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ind w:left="3660" w:right="1580" w:hanging="3652"/>
        <w:spacing w:after="0" w:line="322" w:lineRule="auto"/>
        <w:tabs>
          <w:tab w:leader="none" w:pos="51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-323215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-94615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4540"/>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814-00735</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Portman Ridge Finance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p>
      <w:pPr>
        <w:spacing w:after="0" w:line="18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20-5951150</w:t>
      </w:r>
    </w:p>
    <w:p>
      <w:pPr>
        <w:spacing w:after="0" w:line="23" w:lineRule="exact"/>
        <w:rPr>
          <w:sz w:val="24"/>
          <w:szCs w:val="24"/>
          <w:color w:val="auto"/>
        </w:rPr>
      </w:pPr>
    </w:p>
    <w:p>
      <w:pPr>
        <w:sectPr>
          <w:pgSz w:w="11900" w:h="16838" w:orient="portrait"/>
          <w:cols w:equalWidth="0" w:num="2">
            <w:col w:w="7320" w:space="720"/>
            <w:col w:w="3200"/>
          </w:cols>
          <w:pgMar w:left="320" w:top="326"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39" w:lineRule="exact"/>
        <w:rPr>
          <w:sz w:val="24"/>
          <w:szCs w:val="24"/>
          <w:color w:val="auto"/>
        </w:rPr>
      </w:pPr>
    </w:p>
    <w:p>
      <w:pPr>
        <w:sectPr>
          <w:pgSz w:w="11900" w:h="16838" w:orient="portrait"/>
          <w:cols w:equalWidth="0" w:num="2">
            <w:col w:w="7040" w:space="720"/>
            <w:col w:w="3480"/>
          </w:cols>
          <w:pgMar w:left="320" w:top="32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Madison Avenue, 23rd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326" w:right="339" w:bottom="1440" w:gutter="0" w:footer="0" w:header="0"/>
          <w:type w:val="continuous"/>
        </w:sectPr>
      </w:pP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7"/>
                <w:szCs w:val="17"/>
                <w:color w:val="auto"/>
              </w:rPr>
            </w:pPr>
          </w:p>
        </w:tc>
      </w:tr>
      <w:tr>
        <w:trPr>
          <w:trHeight w:val="212"/>
        </w:trPr>
        <w:tc>
          <w:tcPr>
            <w:tcW w:w="368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4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368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210"/>
        </w:trPr>
        <w:tc>
          <w:tcPr>
            <w:tcW w:w="368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6.125% Notes due 2022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color w:val="auto"/>
                <w:w w:val="99"/>
              </w:rPr>
              <w:t>KCAPL</w:t>
            </w:r>
          </w:p>
        </w:tc>
        <w:tc>
          <w:tcPr>
            <w:tcW w:w="374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60" w:lineRule="exact"/>
        <w:rPr>
          <w:sz w:val="24"/>
          <w:szCs w:val="24"/>
          <w:color w:val="auto"/>
        </w:rPr>
      </w:pPr>
    </w:p>
    <w:p>
      <w:pPr>
        <w:ind w:right="260" w:firstLine="37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4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380"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2" w:lineRule="exact"/>
        <w:rPr>
          <w:sz w:val="24"/>
          <w:szCs w:val="24"/>
          <w:color w:val="auto"/>
        </w:rPr>
      </w:pPr>
    </w:p>
    <w:p>
      <w:pPr>
        <w:ind w:right="20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number of outstanding shares of common stock of the registrant as of November 5, 2020 was 44,169,060.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60" w:type="dxa"/>
            <w:vAlign w:val="bottom"/>
            <w:gridSpan w:val="3"/>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jc w:val="center"/>
              <w:ind w:right="3560"/>
              <w:spacing w:after="0" w:line="176" w:lineRule="exact"/>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Balance Sheets as of September 30, 2020 (unaudited) and December 31,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Operations (unaudited) for the three and nine months ended September 30, 2020 and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Consolidated Statements of Changes in Net Assets (unaudited) for the nine months ended September 30, 2020 and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Consolidated Statements of Cash Flows (unaudited) for the nine months ended September 30, 2020 and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Consolidated Schedules of Investments as of September 30, 2020 (unaudited) and December 31,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Consolidated Financial Highlights (unaudited) for the nine months ended September 30, 2020 and 2019</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Notes to Consolidated Financial Statements (unaudited)</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Quantitative and Qualitative Disclosures About Market Risk</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Controls and Procedures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jc w:val="center"/>
              <w:ind w:right="3560"/>
              <w:spacing w:after="0"/>
              <w:rPr>
                <w:rFonts w:ascii="Times New Roman" w:cs="Times New Roman" w:eastAsia="Times New Roman" w:hAnsi="Times New Roman"/>
                <w:sz w:val="18"/>
                <w:szCs w:val="18"/>
                <w:b w:val="1"/>
                <w:bCs w:val="1"/>
                <w:u w:val="single" w:color="auto"/>
                <w:color w:val="0000EE"/>
                <w:w w:val="99"/>
              </w:rPr>
            </w:pPr>
            <w:hyperlink w:anchor="page96">
              <w:r>
                <w:rPr>
                  <w:rFonts w:ascii="Times New Roman" w:cs="Times New Roman" w:eastAsia="Times New Roman" w:hAnsi="Times New Roman"/>
                  <w:sz w:val="18"/>
                  <w:szCs w:val="18"/>
                  <w:b w:val="1"/>
                  <w:bCs w:val="1"/>
                  <w:u w:val="single" w:color="auto"/>
                  <w:color w:val="0000EE"/>
                  <w:w w:val="99"/>
                </w:rPr>
                <w:t>Part II. Other Information</w:t>
              </w:r>
            </w:hyperlink>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Legal Proceedings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Risk Factors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Defaults Upon Senior Securities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Mine Safety Disclosures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Other Information</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Exhibits</w:t>
              </w:r>
            </w:hyperlink>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Signatures</w:t>
              </w:r>
            </w:hyperlink>
          </w:p>
        </w:tc>
        <w:tc>
          <w:tcPr>
            <w:tcW w:w="3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r>
      <w:tr>
        <w:trPr>
          <w:trHeight w:val="648"/>
        </w:trPr>
        <w:tc>
          <w:tcPr>
            <w:tcW w:w="960" w:type="dxa"/>
            <w:vAlign w:val="bottom"/>
          </w:tcPr>
          <w:p>
            <w:pPr>
              <w:spacing w:after="0"/>
              <w:rPr>
                <w:sz w:val="24"/>
                <w:szCs w:val="24"/>
                <w:color w:val="auto"/>
              </w:rPr>
            </w:pPr>
          </w:p>
        </w:tc>
        <w:tc>
          <w:tcPr>
            <w:tcW w:w="600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NOTE ABOUT REFERENCES TO PORTMAN RIDGE FINANCE CORPORATION</w:t>
      </w:r>
    </w:p>
    <w:p>
      <w:pPr>
        <w:spacing w:after="0" w:line="12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02"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2019,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7"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existing and prospective portfolio companies;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or impact of current and future investments;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other relationships with third parties;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and ability of our existing and prospective portfolio companies to achieve their objectives;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84" w:lineRule="exact"/>
        <w:rPr>
          <w:rFonts w:ascii="Times New Roman" w:cs="Times New Roman" w:eastAsia="Times New Roman" w:hAnsi="Times New Roman"/>
          <w:sz w:val="18"/>
          <w:szCs w:val="18"/>
          <w:color w:val="auto"/>
        </w:rPr>
      </w:pPr>
    </w:p>
    <w:p>
      <w:pPr>
        <w:jc w:val="both"/>
        <w:ind w:left="740" w:right="460" w:hanging="368"/>
        <w:spacing w:after="0" w:line="266"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w:t>
      </w:r>
    </w:p>
    <w:p>
      <w:pPr>
        <w:spacing w:after="0" w:line="13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available liquidity, cash resources and working capital;</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84" w:lineRule="exact"/>
        <w:rPr>
          <w:rFonts w:ascii="Times New Roman" w:cs="Times New Roman" w:eastAsia="Times New Roman" w:hAnsi="Times New Roman"/>
          <w:sz w:val="18"/>
          <w:szCs w:val="18"/>
          <w:color w:val="auto"/>
        </w:rPr>
      </w:pPr>
    </w:p>
    <w:p>
      <w:pPr>
        <w:ind w:left="740" w:right="48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Sierra Crest Investment Management LLC (the “Adviser”) to locate suitable investments for us to monitor and administer our investments;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the Adviser and its affiliates;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on us and our portfolio companies;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on our business;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our ability to access additional capital;</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effects of the COVID-19 pandemic on us and our portfolio companies;</w:t>
      </w:r>
    </w:p>
    <w:p>
      <w:pPr>
        <w:spacing w:after="0" w:line="184"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3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185"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2019.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 (cost: 2020 - $10,219,782; 2019 - $4,207,107)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(amortized cost: 2020 - $216,394,990; 2019 - $194,686,364)</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204,566,258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186,802,908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Fund Securities managed by affiliates (amortized cost: 2020 - $44,741,934; 2019 - $45,099,076)</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17,458,715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29,984,047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 managed by non-affiliates (amortized cost: 2020 - $1,360,499; 2019 - $1,519,641)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 (cost: 2020 - $21,588,325; 2019 - $22,160,993)</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Manager Affiliates (cost: 2020 - $17,791,230; 2019 - $17,791,230)</w:t>
            </w:r>
          </w:p>
        </w:tc>
        <w:tc>
          <w:tcPr>
            <w:tcW w:w="1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Ventures (cost: 2020 - $54,992,546; 2019 - $48,594,539)</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(cost: 2020 - $30,609; 2019 - $30,609)</w:t>
            </w: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(33,437)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 at Fair Value (cost: 2020 - $367,119,915; 2019 - $334,089,559)</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289,079,495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277,897,166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4,907,105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 for unsettled trades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1,847,146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24,420,045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1,508,694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300,134,371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310,374,263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6.125% Notes Due 2022 (net of offering costs of: 2020-$1,207,830; 2019 - $1,651,946)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75,518,145</w:t>
            </w:r>
          </w:p>
        </w:tc>
        <w:tc>
          <w:tcPr>
            <w:tcW w:w="280" w:type="dxa"/>
            <w:vAlign w:val="bottom"/>
          </w:tcPr>
          <w:p>
            <w:pPr>
              <w:spacing w:after="0"/>
              <w:rPr>
                <w:sz w:val="19"/>
                <w:szCs w:val="19"/>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Great Lakes Portman Ridge Funding LLC Revolving Credit Facility (net of offering costs of:</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2020-$1,189,295; 2019 - $1,462,364)</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93,131,603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78,108,535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 for unsettled trades</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174,188,273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158,175,693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par value $0.01 per share, 100,000,000 common shares authorized; 45,098,322 issued,</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44,169,060 outstanding at September 30, 2020, and 45,024,535 issued, and 44,829,676 outstanding</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2019</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441,691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450,601,352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distributable (loss) earnings</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(325,096,945)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(299,603,106)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125,946,098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152,198,570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300,134,371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310,374,263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PORTMAN RIDGE FINANCE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For the Three Months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6"/>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For the Nine Months</w:t>
            </w:r>
          </w:p>
        </w:tc>
      </w:tr>
      <w:tr>
        <w:trPr>
          <w:trHeight w:val="18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Ended September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6"/>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Ended September 30,</w:t>
            </w:r>
          </w:p>
        </w:tc>
      </w:tr>
      <w:tr>
        <w:trPr>
          <w:trHeight w:val="169"/>
        </w:trPr>
        <w:tc>
          <w:tcPr>
            <w:tcW w:w="57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44"/>
              <w:spacing w:after="0" w:line="169" w:lineRule="exact"/>
              <w:rPr>
                <w:sz w:val="20"/>
                <w:szCs w:val="20"/>
                <w:color w:val="auto"/>
              </w:rPr>
            </w:pPr>
            <w:r>
              <w:rPr>
                <w:rFonts w:ascii="Times New Roman" w:cs="Times New Roman" w:eastAsia="Times New Roman" w:hAnsi="Times New Roman"/>
                <w:sz w:val="15"/>
                <w:szCs w:val="15"/>
                <w:b w:val="1"/>
                <w:bCs w:val="1"/>
                <w:color w:val="auto"/>
              </w:rPr>
              <w:t>2020</w:t>
            </w:r>
          </w:p>
        </w:tc>
        <w:tc>
          <w:tcPr>
            <w:tcW w:w="24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4"/>
              <w:spacing w:after="0" w:line="169" w:lineRule="exact"/>
              <w:rPr>
                <w:sz w:val="20"/>
                <w:szCs w:val="20"/>
                <w:color w:val="auto"/>
              </w:rPr>
            </w:pPr>
            <w:r>
              <w:rPr>
                <w:rFonts w:ascii="Times New Roman" w:cs="Times New Roman" w:eastAsia="Times New Roman" w:hAnsi="Times New Roman"/>
                <w:sz w:val="15"/>
                <w:szCs w:val="15"/>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4"/>
              <w:spacing w:after="0" w:line="169" w:lineRule="exact"/>
              <w:rPr>
                <w:sz w:val="20"/>
                <w:szCs w:val="20"/>
                <w:color w:val="auto"/>
              </w:rPr>
            </w:pPr>
            <w:r>
              <w:rPr>
                <w:rFonts w:ascii="Times New Roman" w:cs="Times New Roman" w:eastAsia="Times New Roman" w:hAnsi="Times New Roman"/>
                <w:sz w:val="15"/>
                <w:szCs w:val="15"/>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4"/>
              <w:spacing w:after="0" w:line="169" w:lineRule="exact"/>
              <w:rPr>
                <w:sz w:val="20"/>
                <w:szCs w:val="20"/>
                <w:color w:val="auto"/>
              </w:rPr>
            </w:pPr>
            <w:r>
              <w:rPr>
                <w:rFonts w:ascii="Times New Roman" w:cs="Times New Roman" w:eastAsia="Times New Roman" w:hAnsi="Times New Roman"/>
                <w:sz w:val="15"/>
                <w:szCs w:val="15"/>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69"/>
        </w:trPr>
        <w:tc>
          <w:tcPr>
            <w:tcW w:w="57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Investment Income:</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 in debt securities</w:t>
            </w:r>
          </w:p>
        </w:tc>
        <w:tc>
          <w:tcPr>
            <w:tcW w:w="3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4,517,268</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3,882,096</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13,910,567</w:t>
            </w:r>
          </w:p>
        </w:tc>
        <w:tc>
          <w:tcPr>
            <w:tcW w:w="140" w:type="dxa"/>
            <w:vAlign w:val="bottom"/>
          </w:tcPr>
          <w:p>
            <w:pPr>
              <w:spacing w:after="0"/>
              <w:rPr>
                <w:sz w:val="15"/>
                <w:szCs w:val="15"/>
                <w:color w:val="auto"/>
              </w:rPr>
            </w:pPr>
          </w:p>
        </w:tc>
        <w:tc>
          <w:tcPr>
            <w:tcW w:w="3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10,650,753</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Payment-in-kind investment income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434,446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311,936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1,125,343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325,478</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short-term investments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66,065</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Investment income on CLO Fund Securities managed by affiliates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587,239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1,454,086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2,493,600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3,193,840</w:t>
            </w:r>
          </w:p>
        </w:tc>
        <w:tc>
          <w:tcPr>
            <w:tcW w:w="100" w:type="dxa"/>
            <w:vAlign w:val="bottom"/>
            <w:shd w:val="clear" w:color="auto" w:fill="CFF0FC"/>
          </w:tcPr>
          <w:p>
            <w:pPr>
              <w:spacing w:after="0"/>
              <w:rPr>
                <w:sz w:val="15"/>
                <w:szCs w:val="15"/>
                <w:color w:val="auto"/>
              </w:rPr>
            </w:pPr>
          </w:p>
        </w:tc>
      </w:tr>
      <w:tr>
        <w:trPr>
          <w:trHeight w:val="172"/>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Investment income on CLO Fund Securities managed by non-affiliates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1,894,737</w:t>
            </w:r>
          </w:p>
        </w:tc>
        <w:tc>
          <w:tcPr>
            <w:tcW w:w="100" w:type="dxa"/>
            <w:vAlign w:val="bottom"/>
          </w:tcPr>
          <w:p>
            <w:pPr>
              <w:spacing w:after="0"/>
              <w:rPr>
                <w:sz w:val="14"/>
                <w:szCs w:val="14"/>
                <w:color w:val="auto"/>
              </w:rPr>
            </w:pPr>
          </w:p>
        </w:tc>
      </w:tr>
      <w:tr>
        <w:trPr>
          <w:trHeight w:val="179"/>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Investment income - Joint Ventures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2,182,466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1,300,590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4,760,485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3,542,257</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Capital structuring service fees</w:t>
            </w:r>
          </w:p>
        </w:tc>
        <w:tc>
          <w:tcPr>
            <w:tcW w:w="1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23,602</w:t>
            </w:r>
          </w:p>
        </w:tc>
        <w:tc>
          <w:tcPr>
            <w:tcW w:w="2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5,647</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302,887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116,645</w:t>
            </w:r>
          </w:p>
        </w:tc>
        <w:tc>
          <w:tcPr>
            <w:tcW w:w="100" w:type="dxa"/>
            <w:vAlign w:val="bottom"/>
            <w:shd w:val="clear" w:color="auto" w:fill="CFF0FC"/>
          </w:tcPr>
          <w:p>
            <w:pPr>
              <w:spacing w:after="0"/>
              <w:rPr>
                <w:sz w:val="15"/>
                <w:szCs w:val="15"/>
                <w:color w:val="auto"/>
              </w:rPr>
            </w:pPr>
          </w:p>
        </w:tc>
      </w:tr>
      <w:tr>
        <w:trPr>
          <w:trHeight w:val="169"/>
        </w:trPr>
        <w:tc>
          <w:tcPr>
            <w:tcW w:w="574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income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7,787,362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7,076,196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22,855,463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19,789,775</w:t>
            </w:r>
          </w:p>
        </w:tc>
        <w:tc>
          <w:tcPr>
            <w:tcW w:w="100" w:type="dxa"/>
            <w:vAlign w:val="bottom"/>
          </w:tcPr>
          <w:p>
            <w:pPr>
              <w:spacing w:after="0"/>
              <w:rPr>
                <w:sz w:val="14"/>
                <w:szCs w:val="14"/>
                <w:color w:val="auto"/>
              </w:rPr>
            </w:pPr>
          </w:p>
        </w:tc>
      </w:tr>
      <w:tr>
        <w:trPr>
          <w:trHeight w:val="175"/>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Management fees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1,043,645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3,063,719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2,052,100</w:t>
            </w:r>
          </w:p>
        </w:tc>
        <w:tc>
          <w:tcPr>
            <w:tcW w:w="100" w:type="dxa"/>
            <w:vAlign w:val="bottom"/>
          </w:tcPr>
          <w:p>
            <w:pPr>
              <w:spacing w:after="0"/>
              <w:rPr>
                <w:sz w:val="15"/>
                <w:szCs w:val="15"/>
                <w:color w:val="auto"/>
              </w:rPr>
            </w:pPr>
          </w:p>
        </w:tc>
      </w:tr>
      <w:tr>
        <w:trPr>
          <w:trHeight w:val="175"/>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Performance-based incentive fees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571,846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1,128,726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and amortization of debt issuance costs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2,239,911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2,280,627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6,984,852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6,063,984</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3,688,578</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Professional fees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439,503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644,485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1,810,450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2,827,131</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Insurance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177,154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129,157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478,058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577,257</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Administrative services expense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470,435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438,502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1,361,700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848,102</w:t>
            </w:r>
          </w:p>
        </w:tc>
        <w:tc>
          <w:tcPr>
            <w:tcW w:w="100" w:type="dxa"/>
            <w:vAlign w:val="bottom"/>
          </w:tcPr>
          <w:p>
            <w:pPr>
              <w:spacing w:after="0"/>
              <w:rPr>
                <w:sz w:val="15"/>
                <w:szCs w:val="15"/>
                <w:color w:val="auto"/>
              </w:rPr>
            </w:pPr>
          </w:p>
        </w:tc>
      </w:tr>
      <w:tr>
        <w:trPr>
          <w:trHeight w:val="176"/>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general and administrative expenses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147,818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314,992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522,091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1,374,606</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termination costs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1,431,030</w:t>
            </w:r>
          </w:p>
        </w:tc>
        <w:tc>
          <w:tcPr>
            <w:tcW w:w="100" w:type="dxa"/>
            <w:vAlign w:val="bottom"/>
          </w:tcPr>
          <w:p>
            <w:pPr>
              <w:spacing w:after="0"/>
              <w:rPr>
                <w:sz w:val="15"/>
                <w:szCs w:val="15"/>
                <w:color w:val="auto"/>
              </w:rPr>
            </w:pPr>
          </w:p>
        </w:tc>
      </w:tr>
      <w:tr>
        <w:trPr>
          <w:trHeight w:val="169"/>
        </w:trPr>
        <w:tc>
          <w:tcPr>
            <w:tcW w:w="5740" w:type="dxa"/>
            <w:vAlign w:val="bottom"/>
            <w:tcBorders>
              <w:top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expenses</w:t>
            </w: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5,090,312</w:t>
            </w:r>
          </w:p>
        </w:tc>
        <w:tc>
          <w:tcPr>
            <w:tcW w:w="24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4,833,763</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15,349,596</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18,862,788</w:t>
            </w:r>
          </w:p>
        </w:tc>
        <w:tc>
          <w:tcPr>
            <w:tcW w:w="100" w:type="dxa"/>
            <w:vAlign w:val="bottom"/>
            <w:tcBorders>
              <w:top w:val="single" w:sz="8" w:color="CFF0FC"/>
            </w:tcBorders>
            <w:shd w:val="clear" w:color="auto" w:fill="CFF0FC"/>
          </w:tcPr>
          <w:p>
            <w:pPr>
              <w:spacing w:after="0"/>
              <w:rPr>
                <w:sz w:val="14"/>
                <w:szCs w:val="14"/>
                <w:color w:val="auto"/>
              </w:rPr>
            </w:pPr>
          </w:p>
        </w:tc>
      </w:tr>
      <w:tr>
        <w:trPr>
          <w:trHeight w:val="169"/>
        </w:trPr>
        <w:tc>
          <w:tcPr>
            <w:tcW w:w="5740" w:type="dxa"/>
            <w:vAlign w:val="bottom"/>
            <w:tcBorders>
              <w:bottom w:val="single" w:sz="8" w:color="CFF0FC"/>
            </w:tcBorders>
          </w:tcPr>
          <w:p>
            <w:pPr>
              <w:ind w:left="260"/>
              <w:spacing w:after="0" w:line="169" w:lineRule="exact"/>
              <w:rPr>
                <w:sz w:val="20"/>
                <w:szCs w:val="20"/>
                <w:color w:val="auto"/>
              </w:rPr>
            </w:pPr>
            <w:r>
              <w:rPr>
                <w:rFonts w:ascii="Times New Roman" w:cs="Times New Roman" w:eastAsia="Times New Roman" w:hAnsi="Times New Roman"/>
                <w:sz w:val="15"/>
                <w:szCs w:val="15"/>
                <w:color w:val="auto"/>
              </w:rPr>
              <w:t>Management and performance-based incentive fees waived</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(556,880)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tcPr>
          <w:p>
            <w:pPr>
              <w:spacing w:after="0"/>
              <w:rPr>
                <w:sz w:val="14"/>
                <w:szCs w:val="14"/>
                <w:color w:val="auto"/>
              </w:rPr>
            </w:pPr>
          </w:p>
        </w:tc>
      </w:tr>
      <w:tr>
        <w:trPr>
          <w:trHeight w:val="169"/>
        </w:trPr>
        <w:tc>
          <w:tcPr>
            <w:tcW w:w="574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Net Expenses</w:t>
            </w: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5,090,312</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4,833,763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14,792,716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18,862,788</w:t>
            </w:r>
          </w:p>
        </w:tc>
        <w:tc>
          <w:tcPr>
            <w:tcW w:w="100" w:type="dxa"/>
            <w:vAlign w:val="bottom"/>
            <w:shd w:val="clear" w:color="auto" w:fill="CFF0FC"/>
          </w:tcPr>
          <w:p>
            <w:pPr>
              <w:spacing w:after="0"/>
              <w:rPr>
                <w:sz w:val="14"/>
                <w:szCs w:val="14"/>
                <w:color w:val="auto"/>
              </w:rPr>
            </w:pPr>
          </w:p>
        </w:tc>
      </w:tr>
      <w:tr>
        <w:trPr>
          <w:trHeight w:val="169"/>
        </w:trPr>
        <w:tc>
          <w:tcPr>
            <w:tcW w:w="57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 (Loss)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2,697,050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2,242,433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8,062,747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926,987</w:t>
            </w:r>
          </w:p>
        </w:tc>
        <w:tc>
          <w:tcPr>
            <w:tcW w:w="100" w:type="dxa"/>
            <w:vAlign w:val="bottom"/>
          </w:tcPr>
          <w:p>
            <w:pPr>
              <w:spacing w:after="0"/>
              <w:rPr>
                <w:sz w:val="14"/>
                <w:szCs w:val="14"/>
                <w:color w:val="auto"/>
              </w:rPr>
            </w:pPr>
          </w:p>
        </w:tc>
      </w:tr>
      <w:tr>
        <w:trPr>
          <w:trHeight w:val="175"/>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Realized And Unrealized Gains (Losses) On Investments: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realized (losses) gains from investment transactions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(1,890,090)</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(1,176,073)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(3,819,851)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(16,796,465)</w:t>
            </w:r>
          </w:p>
        </w:tc>
      </w:tr>
      <w:tr>
        <w:trPr>
          <w:trHeight w:val="175"/>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Net change in unrealized appreciation (depreciation) on:</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Debt securities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4,553,027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(621,192)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(3,945,277)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3,584,578</w:t>
            </w:r>
          </w:p>
        </w:tc>
        <w:tc>
          <w:tcPr>
            <w:tcW w:w="100" w:type="dxa"/>
            <w:vAlign w:val="bottom"/>
          </w:tcPr>
          <w:p>
            <w:pPr>
              <w:spacing w:after="0"/>
              <w:rPr>
                <w:sz w:val="15"/>
                <w:szCs w:val="15"/>
                <w:color w:val="auto"/>
              </w:rPr>
            </w:pPr>
          </w:p>
        </w:tc>
      </w:tr>
      <w:tr>
        <w:trPr>
          <w:trHeight w:val="175"/>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Equity securities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337,258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(909,990)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411,276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(5,809,402)</w:t>
            </w:r>
          </w:p>
        </w:tc>
      </w:tr>
      <w:tr>
        <w:trPr>
          <w:trHeight w:val="176"/>
        </w:trPr>
        <w:tc>
          <w:tcPr>
            <w:tcW w:w="5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CLO Fund Securities managed by affiliates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1,573,272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(2,715,673)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(12,168,189)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(3,330,808)</w:t>
            </w:r>
          </w:p>
        </w:tc>
      </w:tr>
      <w:tr>
        <w:trPr>
          <w:trHeight w:val="175"/>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CLO Fund Securities managed by non-affiliates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363,430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55,174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(491,863)</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2,531,746</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Joint Venture Investments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1,146,355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(1,104,502)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(4,654,363)</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2,897,649</w:t>
            </w:r>
          </w:p>
        </w:tc>
        <w:tc>
          <w:tcPr>
            <w:tcW w:w="100" w:type="dxa"/>
            <w:vAlign w:val="bottom"/>
            <w:shd w:val="clear" w:color="auto" w:fill="CFF0FC"/>
          </w:tcPr>
          <w:p>
            <w:pPr>
              <w:spacing w:after="0"/>
              <w:rPr>
                <w:sz w:val="15"/>
                <w:szCs w:val="15"/>
                <w:color w:val="auto"/>
              </w:rPr>
            </w:pPr>
          </w:p>
        </w:tc>
      </w:tr>
      <w:tr>
        <w:trPr>
          <w:trHeight w:val="176"/>
        </w:trPr>
        <w:tc>
          <w:tcPr>
            <w:tcW w:w="5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Derivatives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(461,629)</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(20,959)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(999,612)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(20,959)</w:t>
            </w:r>
          </w:p>
        </w:tc>
      </w:tr>
      <w:tr>
        <w:trPr>
          <w:trHeight w:val="169"/>
        </w:trPr>
        <w:tc>
          <w:tcPr>
            <w:tcW w:w="5740" w:type="dxa"/>
            <w:vAlign w:val="bottom"/>
            <w:tcBorders>
              <w:top w:val="single" w:sz="8" w:color="CFF0FC"/>
            </w:tcBorders>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net change in unrealized appreciation (depreciation)</w:t>
            </w: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7,511,713</w:t>
            </w:r>
          </w:p>
        </w:tc>
        <w:tc>
          <w:tcPr>
            <w:tcW w:w="24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(5,317,142)</w:t>
            </w: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auto"/>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(21,848,028)</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(147,196)</w:t>
            </w:r>
          </w:p>
        </w:tc>
        <w:tc>
          <w:tcPr>
            <w:tcW w:w="100" w:type="dxa"/>
            <w:vAlign w:val="bottom"/>
            <w:tcBorders>
              <w:top w:val="single" w:sz="8" w:color="CFF0FC"/>
            </w:tcBorders>
            <w:shd w:val="clear" w:color="auto" w:fill="CFF0FC"/>
          </w:tcPr>
          <w:p>
            <w:pPr>
              <w:spacing w:after="0"/>
              <w:rPr>
                <w:sz w:val="14"/>
                <w:szCs w:val="14"/>
                <w:color w:val="auto"/>
              </w:rPr>
            </w:pPr>
          </w:p>
        </w:tc>
      </w:tr>
      <w:tr>
        <w:trPr>
          <w:trHeight w:val="169"/>
        </w:trPr>
        <w:tc>
          <w:tcPr>
            <w:tcW w:w="5740" w:type="dxa"/>
            <w:vAlign w:val="bottom"/>
            <w:tcBorders>
              <w:bottom w:val="single" w:sz="8" w:color="CFF0FC"/>
            </w:tcBorders>
          </w:tcPr>
          <w:p>
            <w:pPr>
              <w:ind w:left="260"/>
              <w:spacing w:after="0" w:line="169" w:lineRule="exact"/>
              <w:rPr>
                <w:sz w:val="20"/>
                <w:szCs w:val="20"/>
                <w:color w:val="auto"/>
              </w:rPr>
            </w:pPr>
            <w:r>
              <w:rPr>
                <w:rFonts w:ascii="Times New Roman" w:cs="Times New Roman" w:eastAsia="Times New Roman" w:hAnsi="Times New Roman"/>
                <w:sz w:val="15"/>
                <w:szCs w:val="15"/>
                <w:color w:val="auto"/>
              </w:rPr>
              <w:t>Net realized and unrealized appreciation (depreciation) on investments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5,621,623</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(6,493,215)</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(25,667,879)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(16,943,661)</w:t>
            </w:r>
          </w:p>
        </w:tc>
        <w:tc>
          <w:tcPr>
            <w:tcW w:w="100" w:type="dxa"/>
            <w:vAlign w:val="bottom"/>
            <w:tcBorders>
              <w:bottom w:val="single" w:sz="8" w:color="CFF0FC"/>
            </w:tcBorders>
          </w:tcPr>
          <w:p>
            <w:pPr>
              <w:spacing w:after="0"/>
              <w:rPr>
                <w:sz w:val="14"/>
                <w:szCs w:val="14"/>
                <w:color w:val="auto"/>
              </w:rPr>
            </w:pPr>
          </w:p>
        </w:tc>
      </w:tr>
      <w:tr>
        <w:trPr>
          <w:trHeight w:val="169"/>
        </w:trPr>
        <w:tc>
          <w:tcPr>
            <w:tcW w:w="57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Realized gains on extinguishments of Debt</w:t>
            </w: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154,571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r>
      <w:tr>
        <w:trPr>
          <w:trHeight w:val="209"/>
        </w:trPr>
        <w:tc>
          <w:tcPr>
            <w:tcW w:w="574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Increase (Decrease) In Stockholders’ Equity Resulting From Operations</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8,318,673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(4,250,782)</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gridSpan w:val="2"/>
          </w:tcPr>
          <w:p>
            <w:pPr>
              <w:jc w:val="right"/>
              <w:ind w:right="1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(17,450,561)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(16,016,674)</w:t>
            </w:r>
          </w:p>
        </w:tc>
        <w:tc>
          <w:tcPr>
            <w:tcW w:w="100" w:type="dxa"/>
            <w:vAlign w:val="bottom"/>
            <w:tcBorders>
              <w:bottom w:val="single" w:sz="8" w:color="CFF0FC"/>
            </w:tcBorders>
          </w:tcPr>
          <w:p>
            <w:pPr>
              <w:spacing w:after="0"/>
              <w:rPr>
                <w:sz w:val="18"/>
                <w:szCs w:val="18"/>
                <w:color w:val="auto"/>
              </w:rPr>
            </w:pPr>
          </w:p>
        </w:tc>
      </w:tr>
      <w:tr>
        <w:trPr>
          <w:trHeight w:val="139"/>
        </w:trPr>
        <w:tc>
          <w:tcPr>
            <w:tcW w:w="574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5"/>
                <w:szCs w:val="15"/>
                <w:color w:val="auto"/>
              </w:rPr>
              <w:t>Net Increase (Decrease) In Stockholders' Equity Resulting from Operations per Common</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Basic:</w:t>
            </w:r>
          </w:p>
        </w:tc>
        <w:tc>
          <w:tcPr>
            <w:tcW w:w="3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(0.11)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(0.39)</w:t>
            </w:r>
          </w:p>
        </w:tc>
        <w:tc>
          <w:tcPr>
            <w:tcW w:w="3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(0.43)</w:t>
            </w:r>
          </w:p>
        </w:tc>
      </w:tr>
      <w:tr>
        <w:trPr>
          <w:trHeight w:val="175"/>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Diluted:</w:t>
            </w:r>
          </w:p>
        </w:tc>
        <w:tc>
          <w:tcPr>
            <w:tcW w:w="3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(0.11)</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(0.39)</w:t>
            </w: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(0.43)</w:t>
            </w:r>
          </w:p>
        </w:tc>
      </w:tr>
      <w:tr>
        <w:trPr>
          <w:trHeight w:val="176"/>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Investment Income Per Common Share: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Basic:</w:t>
            </w:r>
          </w:p>
        </w:tc>
        <w:tc>
          <w:tcPr>
            <w:tcW w:w="3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shd w:val="clear" w:color="auto" w:fill="CFF0FC"/>
          </w:tcPr>
          <w:p>
            <w:pPr>
              <w:spacing w:after="0"/>
              <w:rPr>
                <w:sz w:val="15"/>
                <w:szCs w:val="15"/>
                <w:color w:val="auto"/>
              </w:rPr>
            </w:pPr>
          </w:p>
        </w:tc>
      </w:tr>
      <w:tr>
        <w:trPr>
          <w:trHeight w:val="175"/>
        </w:trPr>
        <w:tc>
          <w:tcPr>
            <w:tcW w:w="5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Diluted:</w:t>
            </w:r>
          </w:p>
        </w:tc>
        <w:tc>
          <w:tcPr>
            <w:tcW w:w="3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40" w:type="dxa"/>
            <w:vAlign w:val="bottom"/>
          </w:tcPr>
          <w:p>
            <w:pPr>
              <w:spacing w:after="0"/>
              <w:rPr>
                <w:sz w:val="15"/>
                <w:szCs w:val="15"/>
                <w:color w:val="auto"/>
              </w:rPr>
            </w:pPr>
          </w:p>
        </w:tc>
        <w:tc>
          <w:tcPr>
            <w:tcW w:w="3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tcPr>
          <w:p>
            <w:pPr>
              <w:spacing w:after="0"/>
              <w:rPr>
                <w:sz w:val="15"/>
                <w:szCs w:val="15"/>
                <w:color w:val="auto"/>
              </w:rPr>
            </w:pPr>
          </w:p>
        </w:tc>
      </w:tr>
      <w:tr>
        <w:trPr>
          <w:trHeight w:val="175"/>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Weighted Average Shares of Common Stock Outstanding—Basic</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44,417,783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37,361,746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44,616,502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37,348,835</w:t>
            </w:r>
          </w:p>
        </w:tc>
        <w:tc>
          <w:tcPr>
            <w:tcW w:w="100" w:type="dxa"/>
            <w:vAlign w:val="bottom"/>
            <w:shd w:val="clear" w:color="auto" w:fill="CFF0FC"/>
          </w:tcPr>
          <w:p>
            <w:pPr>
              <w:spacing w:after="0"/>
              <w:rPr>
                <w:sz w:val="15"/>
                <w:szCs w:val="15"/>
                <w:color w:val="auto"/>
              </w:rPr>
            </w:pPr>
          </w:p>
        </w:tc>
      </w:tr>
      <w:tr>
        <w:trPr>
          <w:trHeight w:val="198"/>
        </w:trPr>
        <w:tc>
          <w:tcPr>
            <w:tcW w:w="5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Weighted Average Shares of Common Stock Outstanding—Diluted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44,417,783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37,361,746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44,616,502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37,348,835</w:t>
            </w:r>
          </w:p>
        </w:tc>
        <w:tc>
          <w:tcPr>
            <w:tcW w:w="100" w:type="dxa"/>
            <w:vAlign w:val="bottom"/>
          </w:tcPr>
          <w:p>
            <w:pPr>
              <w:spacing w:after="0"/>
              <w:rPr>
                <w:sz w:val="17"/>
                <w:szCs w:val="17"/>
                <w:color w:val="auto"/>
              </w:rPr>
            </w:pPr>
          </w:p>
        </w:tc>
      </w:tr>
    </w:tbl>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r>
        <w:rPr>
          <w:rFonts w:ascii="Times New Roman" w:cs="Times New Roman" w:eastAsia="Times New Roman" w:hAnsi="Times New Roman"/>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2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8,062,747</w:t>
            </w:r>
          </w:p>
        </w:tc>
        <w:tc>
          <w:tcPr>
            <w:tcW w:w="180" w:type="dxa"/>
            <w:vAlign w:val="bottom"/>
          </w:tcPr>
          <w:p>
            <w:pPr>
              <w:spacing w:after="0"/>
              <w:rPr>
                <w:sz w:val="19"/>
                <w:szCs w:val="19"/>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926,987</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gains from investment transactions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(3,819,851)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(16,796,465)</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from extinguishments of debt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(depreciation) appreciation on investments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(21,848,028)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(147,196)</w:t>
            </w:r>
          </w:p>
        </w:tc>
      </w:tr>
      <w:tr>
        <w:trPr>
          <w:trHeight w:val="223"/>
        </w:trPr>
        <w:tc>
          <w:tcPr>
            <w:tcW w:w="7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(decrease) increase in stockholders’ equity resulting from operations</w:t>
            </w:r>
          </w:p>
        </w:tc>
        <w:tc>
          <w:tcPr>
            <w:tcW w:w="1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(17,450,561)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(16,016,674)</w:t>
            </w:r>
          </w:p>
        </w:tc>
        <w:tc>
          <w:tcPr>
            <w:tcW w:w="120" w:type="dxa"/>
            <w:vAlign w:val="bottom"/>
            <w:tcBorders>
              <w:bottom w:val="single" w:sz="8" w:color="CFF0FC"/>
            </w:tcBorders>
          </w:tcPr>
          <w:p>
            <w:pPr>
              <w:spacing w:after="0"/>
              <w:rPr>
                <w:sz w:val="19"/>
                <w:szCs w:val="19"/>
                <w:color w:val="auto"/>
              </w:rPr>
            </w:pPr>
          </w:p>
        </w:tc>
      </w:tr>
      <w:tr>
        <w:trPr>
          <w:trHeight w:val="45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 distributions:</w:t>
            </w:r>
          </w:p>
        </w:tc>
        <w:tc>
          <w:tcPr>
            <w:tcW w:w="1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(8,043,278)</w:t>
            </w:r>
          </w:p>
        </w:tc>
        <w:tc>
          <w:tcPr>
            <w:tcW w:w="1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(9,707,773)</w:t>
            </w:r>
          </w:p>
        </w:tc>
      </w:tr>
      <w:tr>
        <w:trPr>
          <w:trHeight w:val="229"/>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167,512</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repurchase</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(862,871)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258,936</w:t>
            </w:r>
          </w:p>
        </w:tc>
        <w:tc>
          <w:tcPr>
            <w:tcW w:w="120" w:type="dxa"/>
            <w:vAlign w:val="bottom"/>
          </w:tcPr>
          <w:p>
            <w:pPr>
              <w:spacing w:after="0"/>
              <w:rPr>
                <w:sz w:val="19"/>
                <w:szCs w:val="19"/>
                <w:color w:val="auto"/>
              </w:rPr>
            </w:pPr>
          </w:p>
        </w:tc>
      </w:tr>
      <w:tr>
        <w:trPr>
          <w:trHeight w:val="223"/>
        </w:trPr>
        <w:tc>
          <w:tcPr>
            <w:tcW w:w="7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(decrease) increase in net assets resulting from capital share transactions</w:t>
            </w:r>
          </w:p>
        </w:tc>
        <w:tc>
          <w:tcPr>
            <w:tcW w:w="1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426,448</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152,198,570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158,021,011</w:t>
            </w:r>
          </w:p>
        </w:tc>
        <w:tc>
          <w:tcPr>
            <w:tcW w:w="120" w:type="dxa"/>
            <w:vAlign w:val="bottom"/>
            <w:shd w:val="clear" w:color="auto" w:fill="CFF0FC"/>
          </w:tcPr>
          <w:p>
            <w:pPr>
              <w:spacing w:after="0"/>
              <w:rPr>
                <w:sz w:val="19"/>
                <w:szCs w:val="19"/>
                <w:color w:val="auto"/>
              </w:rPr>
            </w:pPr>
          </w:p>
        </w:tc>
      </w:tr>
      <w:tr>
        <w:trPr>
          <w:trHeight w:val="27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52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125,946,098</w:t>
            </w:r>
          </w:p>
        </w:tc>
        <w:tc>
          <w:tcPr>
            <w:tcW w:w="180" w:type="dxa"/>
            <w:vAlign w:val="bottom"/>
          </w:tcPr>
          <w:p>
            <w:pPr>
              <w:spacing w:after="0"/>
              <w:rPr>
                <w:sz w:val="23"/>
                <w:szCs w:val="23"/>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132,723,012</w:t>
            </w:r>
          </w:p>
        </w:tc>
        <w:tc>
          <w:tcPr>
            <w:tcW w:w="120" w:type="dxa"/>
            <w:vAlign w:val="bottom"/>
          </w:tcPr>
          <w:p>
            <w:pPr>
              <w:spacing w:after="0"/>
              <w:rPr>
                <w:sz w:val="23"/>
                <w:szCs w:val="23"/>
                <w:color w:val="auto"/>
              </w:rPr>
            </w:pPr>
          </w:p>
        </w:tc>
      </w:tr>
      <w:tr>
        <w:trPr>
          <w:trHeight w:val="210"/>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end of period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44,169,060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37,371,912</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ind w:left="3400" w:right="2420" w:hanging="3392"/>
        <w:spacing w:after="0" w:line="477" w:lineRule="auto"/>
        <w:tabs>
          <w:tab w:leader="none" w:pos="3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"Stockholders' Equity" for additional information on changes in components of Stockholders' Equity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4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(decrease) increase in stockholders' equity resulting from operations</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(17,450,561)</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(16,016,674)</w:t>
            </w:r>
          </w:p>
        </w:tc>
        <w:tc>
          <w:tcPr>
            <w:tcW w:w="0" w:type="dxa"/>
            <w:vAlign w:val="bottom"/>
          </w:tcPr>
          <w:p>
            <w:pPr>
              <w:spacing w:after="0"/>
              <w:rPr>
                <w:sz w:val="1"/>
                <w:szCs w:val="1"/>
                <w:color w:val="auto"/>
              </w:rPr>
            </w:pPr>
          </w:p>
        </w:tc>
      </w:tr>
      <w:tr>
        <w:trPr>
          <w:trHeight w:val="139"/>
        </w:trPr>
        <w:tc>
          <w:tcPr>
            <w:tcW w:w="76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(decrease) increase in stockholders' equity resulting from operations to net cash (used in)</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provided by in operations: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losses on investment transactions</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3,819,851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16,796,465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(depreciation) from investments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21,848,028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147,196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(107,085,081)</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(106,626,968)</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Proceeds from sales and redemptions of investments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75,298,827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80,926,508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accretion of investments</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(4,683,861)</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(5,001,145)</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705,256</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787,011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Realized gains on extinguishments of debt</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(154,571)</w:t>
            </w: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amortization of operating lease</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(143,016)</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Operating lease impairment</w:t>
            </w:r>
          </w:p>
        </w:tc>
        <w:tc>
          <w:tcPr>
            <w:tcW w:w="32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payment-in-kind interest income</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(380,093)</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(325,478)</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Receivable for unsettled trades</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22,572,899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Interest and dividends receivable</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(559,702)</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Due from affiliates</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285,756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(396,544)</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(419,565)</w:t>
            </w: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Payable for unsettled trades</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8,284,443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Accrued interest payable</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615,784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Management and incentive fees payable</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538,512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1,026,000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Due to affiliates</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(115,533)</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187,857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(1,777,859)</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(4,953,176)</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(19,724,713)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(372,150)</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Stock repurchase program</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(862,871)</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Distributions to stockholders</w:t>
            </w:r>
          </w:p>
        </w:tc>
        <w:tc>
          <w:tcPr>
            <w:tcW w:w="32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(7,939,040)</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(9,540,261)</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Repurchase of 6.125% Notes Due 2022</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(513,383)</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Borrowings from Revolving Credit Facilities</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Repayment of Revolving Credit Facilities</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(32,500,000)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(63,335,599)</w:t>
            </w: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5,433,364</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11,751,990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CHANGE IN CASH AND RESTRICTED CASH</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480,188</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(7,972,722)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AND RESTRICTED CASH, BEGINNING OF PERIOD</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5,104,355</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9,324,466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AND RESTRICTED CASH, END OF PERIOD</w:t>
            </w:r>
          </w:p>
        </w:tc>
        <w:tc>
          <w:tcPr>
            <w:tcW w:w="320" w:type="dxa"/>
            <w:vAlign w:val="bottom"/>
            <w:tcBorders>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5,584,543</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1,351,744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Amounts per balance sheet:</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677,438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341,166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4,907,105</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1,010,578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Cash and Restricted cash</w:t>
            </w:r>
          </w:p>
        </w:tc>
        <w:tc>
          <w:tcPr>
            <w:tcW w:w="320" w:type="dxa"/>
            <w:vAlign w:val="bottom"/>
            <w:tcBorders>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5,584,543</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1,351,744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32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5,663,812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4,772,071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Dividends paid during the period under the dividend reinvestment plan</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104,238</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3"/>
                <w:szCs w:val="13"/>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4"/>
        </w:trPr>
        <w:tc>
          <w:tcPr>
            <w:tcW w:w="2620" w:type="dxa"/>
            <w:vAlign w:val="bottom"/>
            <w:tcBorders>
              <w:top w:val="single" w:sz="8" w:color="auto"/>
            </w:tcBorders>
            <w:gridSpan w:val="2"/>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Advanced Lighting Technologies, Inc.</w:t>
            </w:r>
          </w:p>
        </w:tc>
        <w:tc>
          <w:tcPr>
            <w:tcW w:w="60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color w:val="auto"/>
              </w:rPr>
              <w:t>(5)(8)(13)</w:t>
            </w:r>
          </w:p>
        </w:tc>
        <w:tc>
          <w:tcPr>
            <w:tcW w:w="31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0" w:type="dxa"/>
            <w:vAlign w:val="bottom"/>
            <w:shd w:val="clear" w:color="auto" w:fill="CFF0FC"/>
          </w:tcPr>
          <w:p>
            <w:pPr>
              <w:spacing w:after="0"/>
              <w:rPr>
                <w:sz w:val="11"/>
                <w:szCs w:val="11"/>
                <w:color w:val="auto"/>
              </w:rPr>
            </w:pPr>
          </w:p>
        </w:tc>
        <w:tc>
          <w:tcPr>
            <w:tcW w:w="20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7905 Cochran Road Suite 300</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8.0% Cash, 10.0% PIK, 3 Month Libor (1.00%) + 7.00%;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Glenwillow, OH 44139   Consumer goods: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Libor Floor 1.00% , Due 10/23</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Durable</w:t>
            </w:r>
          </w:p>
        </w:tc>
        <w:tc>
          <w:tcPr>
            <w:tcW w:w="2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6/13/2012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1,400,030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951,271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Advantage Capital Holdings LLC</w:t>
            </w:r>
          </w:p>
        </w:tc>
        <w:tc>
          <w:tcPr>
            <w:tcW w:w="600" w:type="dxa"/>
            <w:vAlign w:val="bottom"/>
            <w:shd w:val="clear" w:color="auto" w:fill="CFF0FC"/>
          </w:tcPr>
          <w:p>
            <w:pPr>
              <w:spacing w:after="0"/>
              <w:rPr>
                <w:sz w:val="11"/>
                <w:szCs w:val="11"/>
                <w:color w:val="auto"/>
              </w:rPr>
            </w:pP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7"/>
              </w:rPr>
              <w:t>415 Bedford Road - Suite 102 Pleasantville NY,</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gridSpan w:val="2"/>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10570   Banking, Finance, Insurance &amp; Real</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5.0% Cash, 8.0% PIK, Due 1/25</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Estate</w:t>
            </w:r>
          </w:p>
        </w:tc>
        <w:tc>
          <w:tcPr>
            <w:tcW w:w="20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(22)</w:t>
            </w: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Advantage Capital Holdings LLC</w:t>
            </w: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20" w:type="dxa"/>
            <w:vAlign w:val="bottom"/>
            <w:gridSpan w:val="3"/>
            <w:shd w:val="clear" w:color="auto" w:fill="CFF0FC"/>
          </w:tcPr>
          <w:p>
            <w:pPr>
              <w:ind w:left="160"/>
              <w:spacing w:after="0" w:line="143" w:lineRule="exact"/>
              <w:rPr>
                <w:sz w:val="20"/>
                <w:szCs w:val="20"/>
                <w:color w:val="auto"/>
              </w:rPr>
            </w:pPr>
            <w:r>
              <w:rPr>
                <w:rFonts w:ascii="Times New Roman" w:cs="Times New Roman" w:eastAsia="Times New Roman" w:hAnsi="Times New Roman"/>
                <w:sz w:val="10"/>
                <w:szCs w:val="10"/>
                <w:color w:val="auto"/>
              </w:rPr>
              <w:t xml:space="preserve">415 Bedford Road - Suite 102 Pleasantville NY, </w:t>
            </w:r>
            <w:r>
              <w:rPr>
                <w:rFonts w:ascii="Times New Roman" w:cs="Times New Roman" w:eastAsia="Times New Roman" w:hAnsi="Times New Roman"/>
                <w:sz w:val="16"/>
                <w:szCs w:val="16"/>
                <w:color w:val="auto"/>
                <w:vertAlign w:val="superscript"/>
              </w:rPr>
              <w:t>(22)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10570</w:t>
            </w:r>
          </w:p>
        </w:tc>
        <w:tc>
          <w:tcPr>
            <w:tcW w:w="20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Banking, Finance, Insurance &amp; Real</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5.0% Cash, 8.0% PIK, Due 1/25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Estate</w:t>
            </w:r>
          </w:p>
        </w:tc>
        <w:tc>
          <w:tcPr>
            <w:tcW w:w="2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2,422,152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2,422,152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2,425,301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Advantage Capital Holdings LLC</w:t>
            </w: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415 Bedford Road - Suite 102 Pleasantville</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Senior Secured Loan — Delayed Draw Term Loan</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NY, 10570   Banking, Finance, Insurance &amp; Real</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5.0% Cash, 8.0% PIK, Due 1/25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Estate</w:t>
            </w:r>
          </w:p>
        </w:tc>
        <w:tc>
          <w:tcPr>
            <w:tcW w:w="2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934,610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934,610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935,825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Akumin Corp.</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B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8300 W. Sunrise Boulevard Plantation, FL,</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7.0% Cash, 1 Month Libor (1.00%)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33322   Healthcare &amp; Pharmaceuticals</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5/31/2019</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2,236,734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2,197,355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2,141,449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Allied Universal Holdco LLC</w:t>
            </w:r>
          </w:p>
        </w:tc>
        <w:tc>
          <w:tcPr>
            <w:tcW w:w="600" w:type="dxa"/>
            <w:vAlign w:val="bottom"/>
            <w:shd w:val="clear" w:color="auto" w:fill="CFF0FC"/>
          </w:tcPr>
          <w:p>
            <w:pPr>
              <w:spacing w:after="0"/>
              <w:rPr>
                <w:sz w:val="11"/>
                <w:szCs w:val="11"/>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161 Washington St, Suite 600, Conshohocken,</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4.4% Cash, 1 Month Libor (0.15%) + 4.25% , Due 7/26</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 19428</w:t>
            </w:r>
          </w:p>
        </w:tc>
        <w:tc>
          <w:tcPr>
            <w:tcW w:w="2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(8)(14)(22)</w:t>
            </w:r>
          </w:p>
        </w:tc>
        <w:tc>
          <w:tcPr>
            <w:tcW w:w="3220" w:type="dxa"/>
            <w:vAlign w:val="bottom"/>
            <w:gridSpan w:val="2"/>
            <w:vMerge w:val="continue"/>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5,169,539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4,296,005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5,123,841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Anthem Sports &amp; Entertainment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gridSpan w:val="2"/>
            <w:shd w:val="clear" w:color="auto" w:fill="CFF0FC"/>
          </w:tcPr>
          <w:p>
            <w:pPr>
              <w:ind w:left="200"/>
              <w:spacing w:after="0" w:line="140"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4.3% Cash, 2.8% PIK, 3 Month Libor (1.00%) + 3.35%;</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416,667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383,812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(22)</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 Floor 1.00% , Due 9/24</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Anthem Sports &amp; Entertainment Inc.</w:t>
            </w: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9.1% Cash, 2.8% PIK, 3 Month Libor (1.00%) + 8.15%;</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 Floor 1.00% , Due 9/24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3,820,769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3,708,349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3,679,400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BMC Acquisition, Inc. (aka BenefitMall)</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ind w:left="200"/>
              <w:spacing w:after="0" w:line="76" w:lineRule="exact"/>
              <w:rPr>
                <w:sz w:val="20"/>
                <w:szCs w:val="20"/>
                <w:color w:val="auto"/>
              </w:rPr>
            </w:pPr>
            <w:r>
              <w:rPr>
                <w:rFonts w:ascii="Times New Roman" w:cs="Times New Roman" w:eastAsia="Times New Roman" w:hAnsi="Times New Roman"/>
                <w:sz w:val="8"/>
                <w:szCs w:val="8"/>
                <w:color w:val="auto"/>
              </w:rPr>
              <w:t>12404 Park Central Drive, Suite 400S Dallas,</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6.3% Cash, 6 Month Libor (1.00%) + 5.25%; Libor Floor</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00" w:type="dxa"/>
            <w:vAlign w:val="bottom"/>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TX, 75251</w:t>
            </w:r>
          </w:p>
        </w:tc>
        <w:tc>
          <w:tcPr>
            <w:tcW w:w="20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00" w:type="dxa"/>
            <w:vAlign w:val="bottom"/>
            <w:vMerge w:val="continue"/>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12/24</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Banking, Finance, Insurance &amp; Real Estate</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1/2/2018</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2,917,500</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2,916,459</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2,815,096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C.P. Converters Acquisition,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Seventh Amendment Acquisition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15 Grumbacher Rd, York, PA 17406</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Chemicals, Plastics &amp; Rubber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8.8% Cash, Prime (3.25%) + 5.50%; Libor Floor 1.00% ,</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 w:type="dxa"/>
            <w:vAlign w:val="bottom"/>
            <w:shd w:val="clear" w:color="auto" w:fill="CFF0FC"/>
          </w:tcPr>
          <w:p>
            <w:pPr>
              <w:spacing w:after="0"/>
              <w:rPr>
                <w:sz w:val="13"/>
                <w:szCs w:val="13"/>
                <w:color w:val="auto"/>
              </w:rPr>
            </w:pPr>
          </w:p>
        </w:tc>
        <w:tc>
          <w:tcPr>
            <w:tcW w:w="20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6/23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2,962,500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2,895,047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2,935,838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1560" w:type="dxa"/>
            <w:vAlign w:val="bottom"/>
            <w:tcBorders>
              <w:bottom w:val="single" w:sz="8" w:color="auto"/>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3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Care Hospice Acquisition,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 (14)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20" w:type="dxa"/>
            <w:vAlign w:val="bottom"/>
            <w:gridSpan w:val="4"/>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500 Faulconer Drive, Suite 200 Charlottesville,</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6.3% Cash, 1 Month Libor (1.00%) + 5.25%; Libor Floor</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0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VA 22903</w:t>
            </w:r>
          </w:p>
        </w:tc>
        <w:tc>
          <w:tcPr>
            <w:tcW w:w="460" w:type="dxa"/>
            <w:vAlign w:val="bottom"/>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00" w:type="dxa"/>
            <w:vAlign w:val="bottom"/>
            <w:gridSpan w:val="2"/>
            <w:vMerge w:val="continue"/>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4/22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4"/>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4/17/2020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4,974,969</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4,936,679</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4,981,436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Carestream Health,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 (14)</w:t>
            </w: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2023 Extended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4"/>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150 Verona Street, Rochester, NY 14608</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4"/>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5.5% Cash, 8.0% PIK, 6 Month Libor (1.00%) + 4.50%;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 Floor 1.00% , Due 8/23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1,596,869</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1,405,008</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1,328,914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 (14)</w:t>
            </w: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4"/>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8"/>
              </w:rPr>
              <w:t>6053 Veterans Pkwy, Bldg 300, Columbus, GA</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5.3% Cash, 3 Month Libor (1.00%) + 4.25%;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31909</w:t>
            </w:r>
          </w:p>
        </w:tc>
        <w:tc>
          <w:tcPr>
            <w:tcW w:w="2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Services: Consumer</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6/6/2018</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4,314,719</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4,308,990</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4,193,044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Coinamatic Canada Inc. (fka 8433143 Canada</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(3)(13) (14)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Canadian Term Loan (Second</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80" w:type="dxa"/>
            <w:vAlign w:val="bottom"/>
            <w:shd w:val="clear" w:color="auto" w:fill="CFF0FC"/>
          </w:tcPr>
          <w:p>
            <w:pPr>
              <w:spacing w:after="0" w:line="76" w:lineRule="exact"/>
              <w:rPr>
                <w:sz w:val="20"/>
                <w:szCs w:val="20"/>
                <w:color w:val="auto"/>
              </w:rPr>
            </w:pPr>
            <w:r>
              <w:rPr>
                <w:rFonts w:ascii="Times New Roman" w:cs="Times New Roman" w:eastAsia="Times New Roman" w:hAnsi="Times New Roman"/>
                <w:sz w:val="8"/>
                <w:szCs w:val="8"/>
                <w:color w:val="auto"/>
              </w:rPr>
              <w:t>Limited )</w:t>
            </w:r>
          </w:p>
        </w:tc>
        <w:tc>
          <w:tcPr>
            <w:tcW w:w="1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56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Lien)</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301 Matheson Blvd West, Mississauga, ON,</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8.0% Cash, 1 Month Libor (1.00%) + 7.00%; Libor Floor</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L5R 3G3, Canada</w:t>
            </w: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continue"/>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5/23</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4"/>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Consumer goods: Durable</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521,646</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461,244</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452,528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60" w:type="dxa"/>
            <w:vAlign w:val="bottom"/>
            <w:gridSpan w:val="3"/>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w w:val="99"/>
              </w:rPr>
              <w:t>Colibri Group, LLC</w:t>
            </w:r>
          </w:p>
        </w:tc>
        <w:tc>
          <w:tcPr>
            <w:tcW w:w="15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Senior Secured Loan — Last out DDTL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4"/>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McKissock, LLC 218 Liberty Street, Warren,</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PA 16365</w:t>
            </w:r>
          </w:p>
        </w:tc>
        <w:tc>
          <w:tcPr>
            <w:tcW w:w="2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932,983</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926,675</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923,933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gridSpan w:val="3"/>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60" w:type="dxa"/>
            <w:vAlign w:val="bottom"/>
            <w:gridSpan w:val="3"/>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w w:val="99"/>
              </w:rPr>
              <w:t>Colibri Group, LLC</w:t>
            </w:r>
          </w:p>
        </w:tc>
        <w:tc>
          <w:tcPr>
            <w:tcW w:w="15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Senior Secured Loan —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4"/>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McKissock, LLC 218 Liberty Street, Warren,</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PA 16365</w:t>
            </w:r>
          </w:p>
        </w:tc>
        <w:tc>
          <w:tcPr>
            <w:tcW w:w="2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6,033,990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5,993,197</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5,975,461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gridSpan w:val="3"/>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60" w:type="dxa"/>
            <w:vAlign w:val="bottom"/>
            <w:gridSpan w:val="3"/>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w w:val="99"/>
              </w:rPr>
              <w:t>Colibri Group, LLC</w:t>
            </w:r>
          </w:p>
        </w:tc>
        <w:tc>
          <w:tcPr>
            <w:tcW w:w="15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Senior Secured Loan — Last Out Second Amendment 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4"/>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McKissock, LLC 218 Liberty Street, Warren,</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PA 16365</w:t>
            </w:r>
          </w:p>
        </w:tc>
        <w:tc>
          <w:tcPr>
            <w:tcW w:w="2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690,407</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685,740</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683,710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w w:val="99"/>
              </w:rPr>
              <w:t>CSM Bakery Solutions Limited (fka CSM Bakery</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(8)(14)</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Supplies Limited)</w:t>
            </w: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continue"/>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7.3% Cash, 3 Month Libor (1.00%) + 6.25%; Libor Floor</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2711 Centerville Road, Suite 400, Wilmington,</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1/22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4"/>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DE 19808   Beverage, Food and Tobacco</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6/11/2020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1,265,625</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1,245,521</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1,182,094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w w:val="99"/>
              </w:rPr>
              <w:t>CSM Bakery Solutions Limited (fka CSM Bakery</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(8)(14)</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Supplies Limited)</w:t>
            </w: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continue"/>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11.0% Cash, 3 Month Libor (1.00%) + 10.00%; Libor Floor</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2711 Centerville Road, Suite 400, Wilmington,</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2/22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4"/>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DE 19808   Beverage, Food and Tobacco</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6/11/2020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3,083,490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3,087,272</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2,631,250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gridSpan w:val="3"/>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Deliver Buyer Inc.</w:t>
            </w:r>
          </w:p>
        </w:tc>
        <w:tc>
          <w:tcPr>
            <w:tcW w:w="15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Incremental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4"/>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131 Griffin Way, Mount Washington, KY</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7.3% Cash, 3 Month Libor (1.00%) + 6.25%;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40047</w:t>
            </w:r>
          </w:p>
        </w:tc>
        <w:tc>
          <w:tcPr>
            <w:tcW w:w="2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Capital Equipment</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5/24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2,900,000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2,818,014</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2,813,000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Dental Implant Holdings, LLC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8350 E. Crescent Pkway, Suite 30, Greenwood</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4"/>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8.0% Cash, 3 Month Libor (1.00%) + 7.00%; Libor Floor</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Village, CO 80111</w:t>
            </w:r>
          </w:p>
        </w:tc>
        <w:tc>
          <w:tcPr>
            <w:tcW w:w="1560" w:type="dxa"/>
            <w:vAlign w:val="bottom"/>
            <w:vMerge w:val="restart"/>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Healthcare &amp;</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continue"/>
            <w:shd w:val="clear" w:color="auto" w:fill="CFF0FC"/>
          </w:tcPr>
          <w:p>
            <w:pPr>
              <w:spacing w:after="0"/>
              <w:rPr>
                <w:sz w:val="5"/>
                <w:szCs w:val="5"/>
                <w:color w:val="auto"/>
              </w:rPr>
            </w:pPr>
          </w:p>
        </w:tc>
        <w:tc>
          <w:tcPr>
            <w:tcW w:w="156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1/23</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60" w:type="dxa"/>
            <w:vAlign w:val="bottom"/>
            <w:tcBorders>
              <w:bottom w:val="single" w:sz="8" w:color="CFF0FC"/>
            </w:tcBorders>
            <w:gridSpan w:val="3"/>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Pharmaceuticals</w:t>
            </w:r>
          </w:p>
        </w:tc>
        <w:tc>
          <w:tcPr>
            <w:tcW w:w="156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(127,016)</w:t>
            </w: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Dental Implant Holdings, LLC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4"/>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8350 E. Crescent Pkway, Suite 30, Greenwood</w:t>
            </w:r>
          </w:p>
        </w:tc>
        <w:tc>
          <w:tcPr>
            <w:tcW w:w="600" w:type="dxa"/>
            <w:vAlign w:val="bottom"/>
            <w:shd w:val="clear" w:color="auto" w:fill="CFF0FC"/>
          </w:tcPr>
          <w:p>
            <w:pPr>
              <w:spacing w:after="0" w:line="77" w:lineRule="exact"/>
              <w:rPr>
                <w:sz w:val="20"/>
                <w:szCs w:val="20"/>
                <w:color w:val="auto"/>
              </w:rPr>
            </w:pPr>
            <w:r>
              <w:rPr>
                <w:rFonts w:ascii="Times New Roman" w:cs="Times New Roman" w:eastAsia="Times New Roman" w:hAnsi="Times New Roman"/>
                <w:sz w:val="7"/>
                <w:szCs w:val="7"/>
                <w:color w:val="auto"/>
              </w:rPr>
              <w:t>(20)</w:t>
            </w:r>
          </w:p>
        </w:tc>
        <w:tc>
          <w:tcPr>
            <w:tcW w:w="32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8.0% Cash, 1 Month Libor (1.00%) + 7.00%; Libor Floor</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Village, CO 80111</w:t>
            </w:r>
          </w:p>
        </w:tc>
        <w:tc>
          <w:tcPr>
            <w:tcW w:w="1560" w:type="dxa"/>
            <w:vAlign w:val="bottom"/>
            <w:vMerge w:val="restart"/>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Healthcare &amp;</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gridSpan w:val="3"/>
            <w:vMerge w:val="continue"/>
            <w:shd w:val="clear" w:color="auto" w:fill="CFF0FC"/>
          </w:tcPr>
          <w:p>
            <w:pPr>
              <w:spacing w:after="0"/>
              <w:rPr>
                <w:sz w:val="5"/>
                <w:szCs w:val="5"/>
                <w:color w:val="auto"/>
              </w:rPr>
            </w:pPr>
          </w:p>
        </w:tc>
        <w:tc>
          <w:tcPr>
            <w:tcW w:w="156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1/23</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06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Pharmaceuticals</w:t>
            </w:r>
          </w:p>
        </w:tc>
        <w:tc>
          <w:tcPr>
            <w:tcW w:w="15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3220" w:type="dxa"/>
            <w:vAlign w:val="bottom"/>
            <w:gridSpan w:val="2"/>
            <w:vMerge w:val="continue"/>
            <w:shd w:val="clear" w:color="auto" w:fill="CFF0FC"/>
          </w:tcPr>
          <w:p>
            <w:pPr>
              <w:spacing w:after="0"/>
              <w:rPr>
                <w:sz w:val="8"/>
                <w:szCs w:val="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460,705</w:t>
            </w:r>
          </w:p>
        </w:tc>
        <w:tc>
          <w:tcPr>
            <w:tcW w:w="2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463,050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060" w:type="dxa"/>
            <w:vAlign w:val="bottom"/>
            <w:gridSpan w:val="3"/>
            <w:vMerge w:val="continue"/>
            <w:shd w:val="clear" w:color="auto" w:fill="CFF0FC"/>
          </w:tcPr>
          <w:p>
            <w:pPr>
              <w:spacing w:after="0"/>
              <w:rPr>
                <w:sz w:val="4"/>
                <w:szCs w:val="4"/>
                <w:color w:val="auto"/>
              </w:rPr>
            </w:pPr>
          </w:p>
        </w:tc>
        <w:tc>
          <w:tcPr>
            <w:tcW w:w="156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4"/>
        </w:trPr>
        <w:tc>
          <w:tcPr>
            <w:tcW w:w="2620" w:type="dxa"/>
            <w:vAlign w:val="bottom"/>
            <w:tcBorders>
              <w:top w:val="single" w:sz="8" w:color="auto"/>
            </w:tcBorders>
            <w:gridSpan w:val="2"/>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Digitran Innovations B.V. (Pomeroy Solutions</w:t>
            </w:r>
          </w:p>
        </w:tc>
        <w:tc>
          <w:tcPr>
            <w:tcW w:w="60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color w:val="auto"/>
              </w:rPr>
              <w:t>(3)(13)</w:t>
            </w:r>
          </w:p>
        </w:tc>
        <w:tc>
          <w:tcPr>
            <w:tcW w:w="31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EUR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Jachthavenweg 109 H, Amsterdam, 1081 KM ,</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0.0% Cash, 5.0% PIK, Due 5/25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284,616</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283,322</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255,896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w:t>
            </w: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Senior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Jachthavenweg 109 H, Amsterdam, 1081 KM ,</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0.0% Cash, 5.0% PIK, Due 5/25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1,448,991</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1,033,767</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1,122,968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(5)(8)(13)</w:t>
            </w: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Senior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Jachthavenweg 109 H, Amsterdam, 1081 KM ,</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0.0% Cash, 7.0% PIK, Due 5/25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1,458,881</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1,043,657</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w:t>
            </w: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Super Senior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Jachthavenweg 109 H, Amsterdam, 1081 KM ,</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2.0% Cash, 7.0% PIK, Due 5/25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959,944</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942,980</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940,745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Drilling Info Holdings, Inc.</w:t>
            </w: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Senior Secured Loan — 2019 Delayed Draw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2901 Via Fortuna #200 Austin, TX 78746</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(22)</w:t>
            </w:r>
          </w:p>
        </w:tc>
        <w:tc>
          <w:tcPr>
            <w:tcW w:w="322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(First Lien)</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2.0% Cash, Due 7/25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(1,451)</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(18,464)</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 (First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2901 Via Fortuna #200 Austin, TX 78746</w:t>
            </w:r>
          </w:p>
        </w:tc>
        <w:tc>
          <w:tcPr>
            <w:tcW w:w="600" w:type="dxa"/>
            <w:vAlign w:val="bottom"/>
            <w:shd w:val="clear" w:color="auto" w:fill="CFF0FC"/>
          </w:tcPr>
          <w:p>
            <w:pPr>
              <w:spacing w:after="0" w:line="77" w:lineRule="exact"/>
              <w:rPr>
                <w:sz w:val="20"/>
                <w:szCs w:val="20"/>
                <w:color w:val="auto"/>
              </w:rPr>
            </w:pPr>
            <w:r>
              <w:rPr>
                <w:rFonts w:ascii="Times New Roman" w:cs="Times New Roman" w:eastAsia="Times New Roman" w:hAnsi="Times New Roman"/>
                <w:sz w:val="7"/>
                <w:szCs w:val="7"/>
                <w:color w:val="auto"/>
              </w:rPr>
              <w:t>(22)</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4.4% Cash, 1 Month Libor (0.15%) + 4.25% , Due 7/25</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466,812</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466,812</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443,144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2020 Term Loan (First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2901 Via Fortuna #200 Austin, TX 78746</w:t>
            </w:r>
          </w:p>
        </w:tc>
        <w:tc>
          <w:tcPr>
            <w:tcW w:w="600" w:type="dxa"/>
            <w:vAlign w:val="bottom"/>
            <w:shd w:val="clear" w:color="auto" w:fill="CFF0FC"/>
          </w:tcPr>
          <w:p>
            <w:pPr>
              <w:spacing w:after="0" w:line="77" w:lineRule="exact"/>
              <w:rPr>
                <w:sz w:val="20"/>
                <w:szCs w:val="20"/>
                <w:color w:val="auto"/>
              </w:rPr>
            </w:pPr>
            <w:r>
              <w:rPr>
                <w:rFonts w:ascii="Times New Roman" w:cs="Times New Roman" w:eastAsia="Times New Roman" w:hAnsi="Times New Roman"/>
                <w:sz w:val="7"/>
                <w:szCs w:val="7"/>
                <w:color w:val="auto"/>
              </w:rPr>
              <w:t>(22)</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4.7% Cash, 1 Month Libor (0.15%) + 4.50% , Due 7/25</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2/14/2020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995,000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990,599</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940,872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Edelman Financial Center, LLC, The (fka Flight</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(8)(14)</w:t>
            </w: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Debt Merger Sub Inc.)</w:t>
            </w:r>
          </w:p>
        </w:tc>
        <w:tc>
          <w:tcPr>
            <w:tcW w:w="600" w:type="dxa"/>
            <w:vAlign w:val="bottom"/>
            <w:shd w:val="clear" w:color="auto" w:fill="CFF0FC"/>
          </w:tcPr>
          <w:p>
            <w:pPr>
              <w:spacing w:after="0"/>
              <w:rPr>
                <w:sz w:val="11"/>
                <w:szCs w:val="11"/>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4000 Legato Road, 9th Floor Fairfax, VA</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6.9% Cash, 1 Month Libor (0.15%) + 6.74% , Due 7/26</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6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22033   Banking, Finance, Insurance &amp; Real</w:t>
            </w:r>
          </w:p>
        </w:tc>
        <w:tc>
          <w:tcPr>
            <w:tcW w:w="600" w:type="dxa"/>
            <w:vAlign w:val="bottom"/>
            <w:shd w:val="clear" w:color="auto" w:fill="CFF0FC"/>
          </w:tcPr>
          <w:p>
            <w:pPr>
              <w:spacing w:after="0"/>
              <w:rPr>
                <w:sz w:val="8"/>
                <w:szCs w:val="8"/>
                <w:color w:val="auto"/>
              </w:rPr>
            </w:pPr>
          </w:p>
        </w:tc>
        <w:tc>
          <w:tcPr>
            <w:tcW w:w="3220" w:type="dxa"/>
            <w:vAlign w:val="bottom"/>
            <w:gridSpan w:val="2"/>
            <w:vMerge w:val="continue"/>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20" w:type="dxa"/>
            <w:vAlign w:val="bottom"/>
            <w:gridSpan w:val="2"/>
            <w:vMerge w:val="continue"/>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Estate</w:t>
            </w:r>
          </w:p>
        </w:tc>
        <w:tc>
          <w:tcPr>
            <w:tcW w:w="19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271,394</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288,282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Ensono, LP (formerly known as Acxiom IT</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Outsourcing, LP)</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3333 Finley Road Downers Grove, IL 60515</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9.4% Cash, 1 Month Libor (0.15%) + 9.25% , Due 6/26</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Telecommunication</w:t>
            </w:r>
          </w:p>
        </w:tc>
        <w:tc>
          <w:tcPr>
            <w:tcW w:w="60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1,523,075</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1,610,410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w w:val="99"/>
              </w:rPr>
              <w:t>Evergreen North America Acquisition, LLC (f/k/a</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spacing w:after="0" w:line="76" w:lineRule="exact"/>
              <w:rPr>
                <w:sz w:val="20"/>
                <w:szCs w:val="20"/>
                <w:color w:val="auto"/>
              </w:rPr>
            </w:pPr>
            <w:r>
              <w:rPr>
                <w:rFonts w:ascii="Times New Roman" w:cs="Times New Roman" w:eastAsia="Times New Roman" w:hAnsi="Times New Roman"/>
                <w:sz w:val="8"/>
                <w:szCs w:val="8"/>
                <w:color w:val="auto"/>
              </w:rPr>
              <w:t>Industrial Services Acquisition, LLC)</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6.0% Cash, 3 Month Libor (1.00%) + 5.00%; Libor Floor</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704-C Old Undewood Rd. La Porte, Texas</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1.00% , Due 6/22</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77571   Environmental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6/21/2016</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991,412</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993,196</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965,139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Firstlight Holdco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491 Lisbon Street Lewistown, ME 04240</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7.7% Cash, 1 Month Libor (0.15%) + 7.50% , Due 7/26</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Telecommunication</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400,000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360,277</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379,240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GI Advo Opco, LLC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(5)(8)</w:t>
            </w: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7"/>
              </w:rPr>
              <w:t>2520 Wrangle Hill Rd, Ste 200 Bear, DE 19701</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11.0% Cash, Prime (7.00%) + 4.00% , Due 11/21</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62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00" w:type="dxa"/>
            <w:vAlign w:val="bottom"/>
            <w:shd w:val="clear" w:color="auto" w:fill="CFF0FC"/>
          </w:tcPr>
          <w:p>
            <w:pPr>
              <w:spacing w:after="0"/>
              <w:rPr>
                <w:sz w:val="8"/>
                <w:szCs w:val="8"/>
                <w:color w:val="auto"/>
              </w:rPr>
            </w:pPr>
          </w:p>
        </w:tc>
        <w:tc>
          <w:tcPr>
            <w:tcW w:w="3220" w:type="dxa"/>
            <w:vAlign w:val="bottom"/>
            <w:gridSpan w:val="2"/>
            <w:vMerge w:val="continue"/>
            <w:shd w:val="clear" w:color="auto" w:fill="CFF0FC"/>
          </w:tcPr>
          <w:p>
            <w:pPr>
              <w:spacing w:after="0"/>
              <w:rPr>
                <w:sz w:val="8"/>
                <w:szCs w:val="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11/19/2015</w:t>
            </w:r>
          </w:p>
        </w:tc>
        <w:tc>
          <w:tcPr>
            <w:tcW w:w="12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180,304</w:t>
            </w:r>
          </w:p>
        </w:tc>
        <w:tc>
          <w:tcPr>
            <w:tcW w:w="2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164,853</w:t>
            </w:r>
          </w:p>
        </w:tc>
        <w:tc>
          <w:tcPr>
            <w:tcW w:w="24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20" w:type="dxa"/>
            <w:vAlign w:val="bottom"/>
            <w:gridSpan w:val="2"/>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80" w:type="dxa"/>
            <w:vAlign w:val="bottom"/>
            <w:gridSpan w:val="2"/>
          </w:tcPr>
          <w:p>
            <w:pPr>
              <w:ind w:left="90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GI Revelation Acquisition LLC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 (First Lien)</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2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283 Greenwich Ave, Greenwich, CT 06830</w:t>
            </w:r>
          </w:p>
        </w:tc>
        <w:tc>
          <w:tcPr>
            <w:tcW w:w="600" w:type="dxa"/>
            <w:vAlign w:val="bottom"/>
            <w:shd w:val="clear" w:color="auto" w:fill="CFF0FC"/>
          </w:tcPr>
          <w:p>
            <w:pPr>
              <w:spacing w:after="0"/>
              <w:rPr>
                <w:sz w:val="6"/>
                <w:szCs w:val="6"/>
                <w:color w:val="auto"/>
              </w:rPr>
            </w:pPr>
          </w:p>
        </w:tc>
        <w:tc>
          <w:tcPr>
            <w:tcW w:w="322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5.2% Cash, 1 Month Libor (0.15%) + 5.00% , Due 4/25</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3"/>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5/22/2020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3,912,450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3,475,135</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3,698,439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GK Holdings, Inc. (aka Global Knowledge)</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(5)(8)(13)</w:t>
            </w:r>
          </w:p>
        </w:tc>
        <w:tc>
          <w:tcPr>
            <w:tcW w:w="32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9000 Regency Parkway Suite 400, Cary, NC</w:t>
            </w: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5"/>
              </w:rPr>
              <w:t>13.3%</w:t>
            </w:r>
          </w:p>
        </w:tc>
        <w:tc>
          <w:tcPr>
            <w:tcW w:w="28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3 Month Libor (1.00%) + 12.25%;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27518</w:t>
            </w:r>
          </w:p>
        </w:tc>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Services: Business</w:t>
            </w:r>
          </w:p>
        </w:tc>
        <w:tc>
          <w:tcPr>
            <w:tcW w:w="6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5"/>
              </w:rPr>
              <w:t>1.00%</w:t>
            </w:r>
          </w:p>
        </w:tc>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Due 1/22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1/30/2015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1,494,378</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Global Tel*Link Corporation</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(8)(14)</w:t>
            </w:r>
          </w:p>
        </w:tc>
        <w:tc>
          <w:tcPr>
            <w:tcW w:w="322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6"/>
              </w:rPr>
              <w:t>12021 Sunset Hills Road, Suite 100, Reston, VA</w:t>
            </w:r>
          </w:p>
        </w:tc>
        <w:tc>
          <w:tcPr>
            <w:tcW w:w="600" w:type="dxa"/>
            <w:vAlign w:val="bottom"/>
            <w:shd w:val="clear" w:color="auto" w:fill="CFF0FC"/>
          </w:tcPr>
          <w:p>
            <w:pPr>
              <w:spacing w:after="0"/>
              <w:rPr>
                <w:sz w:val="5"/>
                <w:szCs w:val="5"/>
                <w:color w:val="auto"/>
              </w:rPr>
            </w:pPr>
          </w:p>
        </w:tc>
        <w:tc>
          <w:tcPr>
            <w:tcW w:w="3220" w:type="dxa"/>
            <w:vAlign w:val="bottom"/>
            <w:gridSpan w:val="3"/>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gridSpan w:val="2"/>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8.4% Cash, 1 Month Libor (0.15%) + 8.25% , Due 11/26</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20190</w:t>
            </w:r>
          </w:p>
        </w:tc>
        <w:tc>
          <w:tcPr>
            <w:tcW w:w="2220" w:type="dxa"/>
            <w:vAlign w:val="bottom"/>
            <w:tcBorders>
              <w:bottom w:val="single" w:sz="8" w:color="CFF0FC"/>
            </w:tcBorders>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Telecommunication</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3"/>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5/21/2013</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1,500,000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1,480,205</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1,047,750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gridSpan w:val="2"/>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Grupo HIMA San Pablo, Inc.</w:t>
            </w:r>
          </w:p>
        </w:tc>
        <w:tc>
          <w:tcPr>
            <w:tcW w:w="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(5)(8)(13)</w:t>
            </w:r>
          </w:p>
        </w:tc>
        <w:tc>
          <w:tcPr>
            <w:tcW w:w="322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620" w:type="dxa"/>
            <w:vAlign w:val="bottom"/>
            <w:gridSpan w:val="2"/>
            <w:vMerge w:val="restart"/>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P.O. Box 4980 Caguas, PR 00726</w:t>
            </w:r>
          </w:p>
        </w:tc>
        <w:tc>
          <w:tcPr>
            <w:tcW w:w="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(14)</w:t>
            </w:r>
          </w:p>
        </w:tc>
        <w:tc>
          <w:tcPr>
            <w:tcW w:w="3220" w:type="dxa"/>
            <w:vAlign w:val="bottom"/>
            <w:gridSpan w:val="3"/>
            <w:vMerge w:val="continue"/>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620" w:type="dxa"/>
            <w:vAlign w:val="bottom"/>
            <w:gridSpan w:val="2"/>
            <w:vMerge w:val="continue"/>
            <w:shd w:val="clear" w:color="auto" w:fill="CFF0FC"/>
          </w:tcPr>
          <w:p>
            <w:pPr>
              <w:spacing w:after="0"/>
              <w:rPr>
                <w:sz w:val="5"/>
                <w:szCs w:val="5"/>
                <w:color w:val="auto"/>
              </w:rPr>
            </w:pPr>
          </w:p>
        </w:tc>
        <w:tc>
          <w:tcPr>
            <w:tcW w:w="600" w:type="dxa"/>
            <w:vAlign w:val="bottom"/>
            <w:vMerge w:val="continue"/>
            <w:shd w:val="clear" w:color="auto" w:fill="CFF0FC"/>
          </w:tcPr>
          <w:p>
            <w:pPr>
              <w:spacing w:after="0"/>
              <w:rPr>
                <w:sz w:val="5"/>
                <w:szCs w:val="5"/>
                <w:color w:val="auto"/>
              </w:rPr>
            </w:pPr>
          </w:p>
        </w:tc>
        <w:tc>
          <w:tcPr>
            <w:tcW w:w="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w w:val="95"/>
              </w:rPr>
              <w:t>13.8%</w:t>
            </w:r>
          </w:p>
        </w:tc>
        <w:tc>
          <w:tcPr>
            <w:tcW w:w="28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Due 7/18</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0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vMerge w:val="continue"/>
            <w:shd w:val="clear" w:color="auto" w:fill="CFF0FC"/>
          </w:tcPr>
          <w:p>
            <w:pPr>
              <w:spacing w:after="0"/>
              <w:rPr>
                <w:sz w:val="11"/>
                <w:szCs w:val="11"/>
                <w:color w:val="auto"/>
              </w:rPr>
            </w:pPr>
          </w:p>
        </w:tc>
        <w:tc>
          <w:tcPr>
            <w:tcW w:w="288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1/30/2013</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7,191,667</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7,146,178</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1,927,367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Grupo HIMA San Pablo, Inc.</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(8)(13)(14)</w:t>
            </w:r>
          </w:p>
        </w:tc>
        <w:tc>
          <w:tcPr>
            <w:tcW w:w="32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Term B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P.O. Box 4980 Caguas, PR 00726</w:t>
            </w: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5"/>
              </w:rPr>
              <w:t>10.5%</w:t>
            </w:r>
          </w:p>
        </w:tc>
        <w:tc>
          <w:tcPr>
            <w:tcW w:w="28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3 Month Libor (2.00%) + 8.50%;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5"/>
              </w:rPr>
              <w:t>2.00%</w:t>
            </w:r>
          </w:p>
        </w:tc>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Due 1/18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1/30/2013</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2,702,232</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2,702,232</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2,411,742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213" w:right="339" w:bottom="1440" w:gutter="0" w:footer="0" w:header="0"/>
        </w:sectPr>
      </w:pPr>
    </w:p>
    <w:tbl>
      <w:tblPr>
        <w:tblLayout w:type="fixed"/>
        <w:tblInd w:w="0" w:type="dxa"/>
        <w:tblCellMar>
          <w:top w:w="0" w:type="dxa"/>
          <w:left w:w="0" w:type="dxa"/>
          <w:bottom w:w="0" w:type="dxa"/>
          <w:right w:w="0" w:type="dxa"/>
        </w:tblCellMar>
      </w:tblPr>
      <w:tr>
        <w:trPr>
          <w:trHeight w:val="194"/>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Hayward Industries, Inc.</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Junior Secured Loan — Initial Loan (Second Lien)</w:t>
            </w:r>
          </w:p>
        </w:tc>
        <w:tc>
          <w:tcPr>
            <w:tcW w:w="0" w:type="dxa"/>
            <w:vAlign w:val="bottom"/>
          </w:tcPr>
          <w:p>
            <w:pPr>
              <w:spacing w:after="0"/>
              <w:rPr>
                <w:sz w:val="1"/>
                <w:szCs w:val="1"/>
                <w:color w:val="auto"/>
              </w:rPr>
            </w:pPr>
          </w:p>
        </w:tc>
      </w:tr>
      <w:tr>
        <w:trPr>
          <w:trHeight w:val="76"/>
        </w:trPr>
        <w:tc>
          <w:tcPr>
            <w:tcW w:w="25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auto"/>
              </w:rPr>
              <w:t>620 Division Street, Elizabeth, NJ 07207</w:t>
            </w:r>
          </w:p>
        </w:tc>
        <w:tc>
          <w:tcPr>
            <w:tcW w:w="580" w:type="dxa"/>
            <w:vAlign w:val="bottom"/>
          </w:tcPr>
          <w:p>
            <w:pPr>
              <w:spacing w:after="0"/>
              <w:rPr>
                <w:sz w:val="6"/>
                <w:szCs w:val="6"/>
                <w:color w:val="auto"/>
              </w:rPr>
            </w:pPr>
          </w:p>
        </w:tc>
        <w:tc>
          <w:tcPr>
            <w:tcW w:w="3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8.4% Cash, 1 Month Libor (0.15%) + 8.25% , Due 8/25</w:t>
            </w:r>
          </w:p>
        </w:tc>
        <w:tc>
          <w:tcPr>
            <w:tcW w:w="0" w:type="dxa"/>
            <w:vAlign w:val="bottom"/>
          </w:tcPr>
          <w:p>
            <w:pPr>
              <w:spacing w:after="0"/>
              <w:rPr>
                <w:sz w:val="1"/>
                <w:szCs w:val="1"/>
                <w:color w:val="auto"/>
              </w:rPr>
            </w:pPr>
          </w:p>
        </w:tc>
      </w:tr>
      <w:tr>
        <w:trPr>
          <w:trHeight w:val="97"/>
        </w:trPr>
        <w:tc>
          <w:tcPr>
            <w:tcW w:w="25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Consumer goods: Durable</w:t>
            </w:r>
          </w:p>
        </w:tc>
        <w:tc>
          <w:tcPr>
            <w:tcW w:w="580" w:type="dxa"/>
            <w:vAlign w:val="bottom"/>
          </w:tcPr>
          <w:p>
            <w:pPr>
              <w:spacing w:after="0"/>
              <w:rPr>
                <w:sz w:val="8"/>
                <w:szCs w:val="8"/>
                <w:color w:val="auto"/>
              </w:rPr>
            </w:pPr>
          </w:p>
        </w:tc>
        <w:tc>
          <w:tcPr>
            <w:tcW w:w="3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Helix Acquisition Holdings, Inc. (aka MW</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(8)(14)</w:t>
            </w:r>
          </w:p>
        </w:tc>
        <w:tc>
          <w:tcPr>
            <w:tcW w:w="4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Industries, Inc)</w:t>
            </w:r>
          </w:p>
        </w:tc>
        <w:tc>
          <w:tcPr>
            <w:tcW w:w="580" w:type="dxa"/>
            <w:vAlign w:val="bottom"/>
          </w:tcPr>
          <w:p>
            <w:pPr>
              <w:spacing w:after="0"/>
              <w:rPr>
                <w:sz w:val="11"/>
                <w:szCs w:val="11"/>
                <w:color w:val="auto"/>
              </w:rPr>
            </w:pPr>
          </w:p>
        </w:tc>
        <w:tc>
          <w:tcPr>
            <w:tcW w:w="3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w w:val="99"/>
              </w:rPr>
              <w:t>Junior Secured Loan — Initial Term Loan (Second Lien)</w:t>
            </w:r>
          </w:p>
        </w:tc>
        <w:tc>
          <w:tcPr>
            <w:tcW w:w="0" w:type="dxa"/>
            <w:vAlign w:val="bottom"/>
          </w:tcPr>
          <w:p>
            <w:pPr>
              <w:spacing w:after="0"/>
              <w:rPr>
                <w:sz w:val="1"/>
                <w:szCs w:val="1"/>
                <w:color w:val="auto"/>
              </w:rPr>
            </w:pPr>
          </w:p>
        </w:tc>
      </w:tr>
      <w:tr>
        <w:trPr>
          <w:trHeight w:val="68"/>
        </w:trPr>
        <w:tc>
          <w:tcPr>
            <w:tcW w:w="2580" w:type="dxa"/>
            <w:vAlign w:val="bottom"/>
            <w:vMerge w:val="restart"/>
          </w:tcPr>
          <w:p>
            <w:pPr>
              <w:ind w:left="160"/>
              <w:spacing w:after="0" w:line="135" w:lineRule="exact"/>
              <w:rPr>
                <w:sz w:val="20"/>
                <w:szCs w:val="20"/>
                <w:color w:val="auto"/>
              </w:rPr>
            </w:pPr>
            <w:r>
              <w:rPr>
                <w:rFonts w:ascii="Times New Roman" w:cs="Times New Roman" w:eastAsia="Times New Roman" w:hAnsi="Times New Roman"/>
                <w:sz w:val="13"/>
                <w:szCs w:val="13"/>
                <w:color w:val="auto"/>
              </w:rPr>
              <w:t>9501 Technology Boulevard, Suite 401,</w:t>
            </w:r>
          </w:p>
        </w:tc>
        <w:tc>
          <w:tcPr>
            <w:tcW w:w="58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8.2% Cash, 3 Month Libor (0.24%) + 7.98% , Due 9/25</w:t>
            </w:r>
          </w:p>
        </w:tc>
        <w:tc>
          <w:tcPr>
            <w:tcW w:w="0" w:type="dxa"/>
            <w:vAlign w:val="bottom"/>
          </w:tcPr>
          <w:p>
            <w:pPr>
              <w:spacing w:after="0"/>
              <w:rPr>
                <w:sz w:val="1"/>
                <w:szCs w:val="1"/>
                <w:color w:val="auto"/>
              </w:rPr>
            </w:pPr>
          </w:p>
        </w:tc>
      </w:tr>
      <w:tr>
        <w:trPr>
          <w:trHeight w:val="97"/>
        </w:trPr>
        <w:tc>
          <w:tcPr>
            <w:tcW w:w="258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Rosemont, IL 60018</w:t>
            </w:r>
          </w:p>
        </w:tc>
        <w:tc>
          <w:tcPr>
            <w:tcW w:w="580" w:type="dxa"/>
            <w:vAlign w:val="bottom"/>
          </w:tcPr>
          <w:p>
            <w:pPr>
              <w:spacing w:after="0"/>
              <w:rPr>
                <w:sz w:val="8"/>
                <w:szCs w:val="8"/>
                <w:color w:val="auto"/>
              </w:rPr>
            </w:pPr>
          </w:p>
        </w:tc>
        <w:tc>
          <w:tcPr>
            <w:tcW w:w="3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Metals &amp; Mining</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Hoffmaster Group, Inc.</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9"/>
              </w:rPr>
              <w:t>Junior Secured Loan — Initial Term Loan (Second Lien)</w:t>
            </w:r>
          </w:p>
        </w:tc>
        <w:tc>
          <w:tcPr>
            <w:tcW w:w="0" w:type="dxa"/>
            <w:vAlign w:val="bottom"/>
          </w:tcPr>
          <w:p>
            <w:pPr>
              <w:spacing w:after="0"/>
              <w:rPr>
                <w:sz w:val="1"/>
                <w:szCs w:val="1"/>
                <w:color w:val="auto"/>
              </w:rPr>
            </w:pPr>
          </w:p>
        </w:tc>
      </w:tr>
      <w:tr>
        <w:trPr>
          <w:trHeight w:val="76"/>
        </w:trPr>
        <w:tc>
          <w:tcPr>
            <w:tcW w:w="25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auto"/>
              </w:rPr>
              <w:t>2920 N. Main Street P.O. Box 2038 Oshkosh,</w:t>
            </w:r>
          </w:p>
        </w:tc>
        <w:tc>
          <w:tcPr>
            <w:tcW w:w="580" w:type="dxa"/>
            <w:vAlign w:val="bottom"/>
          </w:tcPr>
          <w:p>
            <w:pPr>
              <w:spacing w:after="0"/>
              <w:rPr>
                <w:sz w:val="6"/>
                <w:szCs w:val="6"/>
                <w:color w:val="auto"/>
              </w:rPr>
            </w:pPr>
          </w:p>
        </w:tc>
        <w:tc>
          <w:tcPr>
            <w:tcW w:w="4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auto"/>
                <w:w w:val="95"/>
              </w:rPr>
              <w:t>10.5%</w:t>
            </w:r>
          </w:p>
        </w:tc>
        <w:tc>
          <w:tcPr>
            <w:tcW w:w="262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auto"/>
                <w:w w:val="95"/>
              </w:rPr>
              <w:t>Cash, 3 Month Libor (1.00%) + 9.50%; Libor Floor</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WI 54903</w:t>
            </w:r>
          </w:p>
        </w:tc>
        <w:tc>
          <w:tcPr>
            <w:tcW w:w="5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Due 11/24</w:t>
            </w:r>
          </w:p>
        </w:tc>
        <w:tc>
          <w:tcPr>
            <w:tcW w:w="0" w:type="dxa"/>
            <w:vAlign w:val="bottom"/>
          </w:tcPr>
          <w:p>
            <w:pPr>
              <w:spacing w:after="0"/>
              <w:rPr>
                <w:sz w:val="1"/>
                <w:szCs w:val="1"/>
                <w:color w:val="auto"/>
              </w:rPr>
            </w:pPr>
          </w:p>
        </w:tc>
      </w:tr>
      <w:tr>
        <w:trPr>
          <w:trHeight w:val="97"/>
        </w:trPr>
        <w:tc>
          <w:tcPr>
            <w:tcW w:w="25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Forest Products &amp; Paper</w:t>
            </w:r>
          </w:p>
        </w:tc>
        <w:tc>
          <w:tcPr>
            <w:tcW w:w="5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Idera, Inc.</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Junior Secured Loan — Loan (Second Lien)</w:t>
            </w:r>
          </w:p>
        </w:tc>
        <w:tc>
          <w:tcPr>
            <w:tcW w:w="0" w:type="dxa"/>
            <w:vAlign w:val="bottom"/>
          </w:tcPr>
          <w:p>
            <w:pPr>
              <w:spacing w:after="0"/>
              <w:rPr>
                <w:sz w:val="1"/>
                <w:szCs w:val="1"/>
                <w:color w:val="auto"/>
              </w:rPr>
            </w:pPr>
          </w:p>
        </w:tc>
      </w:tr>
      <w:tr>
        <w:trPr>
          <w:trHeight w:val="76"/>
        </w:trPr>
        <w:tc>
          <w:tcPr>
            <w:tcW w:w="25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auto"/>
              </w:rPr>
              <w:t>2950 North Loop Freeway West Suite 700,</w:t>
            </w:r>
          </w:p>
        </w:tc>
        <w:tc>
          <w:tcPr>
            <w:tcW w:w="580" w:type="dxa"/>
            <w:vAlign w:val="bottom"/>
          </w:tcPr>
          <w:p>
            <w:pPr>
              <w:ind w:left="40"/>
              <w:spacing w:after="0" w:line="77" w:lineRule="exact"/>
              <w:rPr>
                <w:sz w:val="20"/>
                <w:szCs w:val="20"/>
                <w:color w:val="auto"/>
              </w:rPr>
            </w:pPr>
            <w:r>
              <w:rPr>
                <w:rFonts w:ascii="Times New Roman" w:cs="Times New Roman" w:eastAsia="Times New Roman" w:hAnsi="Times New Roman"/>
                <w:sz w:val="7"/>
                <w:szCs w:val="7"/>
                <w:color w:val="auto"/>
              </w:rPr>
              <w:t>(22)</w:t>
            </w:r>
          </w:p>
        </w:tc>
        <w:tc>
          <w:tcPr>
            <w:tcW w:w="4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auto"/>
                <w:w w:val="95"/>
              </w:rPr>
              <w:t>Cash, 3 Month Libor (1.00%) + 9.00%; Libor Floor</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Houston, TX 77042</w:t>
            </w:r>
          </w:p>
        </w:tc>
        <w:tc>
          <w:tcPr>
            <w:tcW w:w="5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Due 6/27</w:t>
            </w:r>
          </w:p>
        </w:tc>
        <w:tc>
          <w:tcPr>
            <w:tcW w:w="0" w:type="dxa"/>
            <w:vAlign w:val="bottom"/>
          </w:tcPr>
          <w:p>
            <w:pPr>
              <w:spacing w:after="0"/>
              <w:rPr>
                <w:sz w:val="1"/>
                <w:szCs w:val="1"/>
                <w:color w:val="auto"/>
              </w:rPr>
            </w:pPr>
          </w:p>
        </w:tc>
      </w:tr>
      <w:tr>
        <w:trPr>
          <w:trHeight w:val="97"/>
        </w:trPr>
        <w:tc>
          <w:tcPr>
            <w:tcW w:w="25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High Tech Industries</w:t>
            </w:r>
          </w:p>
        </w:tc>
        <w:tc>
          <w:tcPr>
            <w:tcW w:w="5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Infobase Holdings, Inc.</w:t>
            </w:r>
          </w:p>
        </w:tc>
        <w:tc>
          <w:tcPr>
            <w:tcW w:w="36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xml:space="preserve">(8)(13)(14)  </w:t>
            </w:r>
            <w:r>
              <w:rPr>
                <w:rFonts w:ascii="Times New Roman" w:cs="Times New Roman" w:eastAsia="Times New Roman" w:hAnsi="Times New Roman"/>
                <w:sz w:val="12"/>
                <w:szCs w:val="12"/>
                <w:color w:val="auto"/>
              </w:rPr>
              <w:t>Senior Secured Loan — Term Loan</w:t>
            </w:r>
          </w:p>
        </w:tc>
        <w:tc>
          <w:tcPr>
            <w:tcW w:w="0" w:type="dxa"/>
            <w:vAlign w:val="bottom"/>
          </w:tcPr>
          <w:p>
            <w:pPr>
              <w:spacing w:after="0"/>
              <w:rPr>
                <w:sz w:val="1"/>
                <w:szCs w:val="1"/>
                <w:color w:val="auto"/>
              </w:rPr>
            </w:pPr>
          </w:p>
        </w:tc>
      </w:tr>
      <w:tr>
        <w:trPr>
          <w:trHeight w:val="135"/>
        </w:trPr>
        <w:tc>
          <w:tcPr>
            <w:tcW w:w="2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132 West 31st Street New York, NY 10001</w:t>
            </w:r>
          </w:p>
        </w:tc>
        <w:tc>
          <w:tcPr>
            <w:tcW w:w="580" w:type="dxa"/>
            <w:vAlign w:val="bottom"/>
          </w:tcPr>
          <w:p>
            <w:pPr>
              <w:spacing w:after="0"/>
              <w:rPr>
                <w:sz w:val="11"/>
                <w:szCs w:val="11"/>
                <w:color w:val="auto"/>
              </w:rPr>
            </w:pPr>
          </w:p>
        </w:tc>
        <w:tc>
          <w:tcPr>
            <w:tcW w:w="30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5.5% Cash, 3 Month Libor (1.00%) + 4.50%; Libor Floor</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High Tech Industries</w:t>
            </w:r>
          </w:p>
        </w:tc>
        <w:tc>
          <w:tcPr>
            <w:tcW w:w="5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Due 12/22</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Infobase Holdings, Inc.</w:t>
            </w:r>
          </w:p>
        </w:tc>
        <w:tc>
          <w:tcPr>
            <w:tcW w:w="36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xml:space="preserve">(8)(13)(14)  </w:t>
            </w:r>
            <w:r>
              <w:rPr>
                <w:rFonts w:ascii="Times New Roman" w:cs="Times New Roman" w:eastAsia="Times New Roman" w:hAnsi="Times New Roman"/>
                <w:sz w:val="12"/>
                <w:szCs w:val="12"/>
                <w:color w:val="auto"/>
              </w:rPr>
              <w:t>Senior Secured Loan — Term Loan (add on)</w:t>
            </w:r>
          </w:p>
        </w:tc>
        <w:tc>
          <w:tcPr>
            <w:tcW w:w="0" w:type="dxa"/>
            <w:vAlign w:val="bottom"/>
          </w:tcPr>
          <w:p>
            <w:pPr>
              <w:spacing w:after="0"/>
              <w:rPr>
                <w:sz w:val="1"/>
                <w:szCs w:val="1"/>
                <w:color w:val="auto"/>
              </w:rPr>
            </w:pPr>
          </w:p>
        </w:tc>
      </w:tr>
      <w:tr>
        <w:trPr>
          <w:trHeight w:val="135"/>
        </w:trPr>
        <w:tc>
          <w:tcPr>
            <w:tcW w:w="2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132 West 31st Street New York, NY 10001</w:t>
            </w:r>
          </w:p>
        </w:tc>
        <w:tc>
          <w:tcPr>
            <w:tcW w:w="580" w:type="dxa"/>
            <w:vAlign w:val="bottom"/>
          </w:tcPr>
          <w:p>
            <w:pPr>
              <w:spacing w:after="0"/>
              <w:rPr>
                <w:sz w:val="11"/>
                <w:szCs w:val="11"/>
                <w:color w:val="auto"/>
              </w:rPr>
            </w:pPr>
          </w:p>
        </w:tc>
        <w:tc>
          <w:tcPr>
            <w:tcW w:w="30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5.5% Cash, 3 Month Libor (1.00%) + 4.50%; Libor Floor</w:t>
            </w:r>
          </w:p>
        </w:tc>
        <w:tc>
          <w:tcPr>
            <w:tcW w:w="0" w:type="dxa"/>
            <w:vAlign w:val="bottom"/>
          </w:tcPr>
          <w:p>
            <w:pPr>
              <w:spacing w:after="0"/>
              <w:rPr>
                <w:sz w:val="1"/>
                <w:szCs w:val="1"/>
                <w:color w:val="auto"/>
              </w:rPr>
            </w:pPr>
          </w:p>
        </w:tc>
      </w:tr>
      <w:tr>
        <w:trPr>
          <w:trHeight w:val="164"/>
        </w:trPr>
        <w:tc>
          <w:tcPr>
            <w:tcW w:w="2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High Tech Industries</w:t>
            </w:r>
          </w:p>
        </w:tc>
        <w:tc>
          <w:tcPr>
            <w:tcW w:w="5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Due 12/22</w:t>
            </w: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Ivanti Software, Inc. (fka LANDesk Group, Inc.)</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(8)</w:t>
            </w:r>
          </w:p>
        </w:tc>
        <w:tc>
          <w:tcPr>
            <w:tcW w:w="3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Junior Secured Loan — Loan (Second Lien)</w:t>
            </w:r>
          </w:p>
        </w:tc>
        <w:tc>
          <w:tcPr>
            <w:tcW w:w="0" w:type="dxa"/>
            <w:vAlign w:val="bottom"/>
          </w:tcPr>
          <w:p>
            <w:pPr>
              <w:spacing w:after="0"/>
              <w:rPr>
                <w:sz w:val="1"/>
                <w:szCs w:val="1"/>
                <w:color w:val="auto"/>
              </w:rPr>
            </w:pPr>
          </w:p>
        </w:tc>
      </w:tr>
      <w:tr>
        <w:trPr>
          <w:trHeight w:val="68"/>
        </w:trPr>
        <w:tc>
          <w:tcPr>
            <w:tcW w:w="2580" w:type="dxa"/>
            <w:vAlign w:val="bottom"/>
            <w:vMerge w:val="restart"/>
          </w:tcPr>
          <w:p>
            <w:pPr>
              <w:ind w:left="160"/>
              <w:spacing w:after="0" w:line="135" w:lineRule="exact"/>
              <w:rPr>
                <w:sz w:val="20"/>
                <w:szCs w:val="20"/>
                <w:color w:val="auto"/>
              </w:rPr>
            </w:pPr>
            <w:r>
              <w:rPr>
                <w:rFonts w:ascii="Times New Roman" w:cs="Times New Roman" w:eastAsia="Times New Roman" w:hAnsi="Times New Roman"/>
                <w:sz w:val="13"/>
                <w:szCs w:val="13"/>
                <w:color w:val="auto"/>
                <w:w w:val="97"/>
              </w:rPr>
              <w:t>10377 South Jordan Gateway, Suite 110, South</w:t>
            </w:r>
          </w:p>
        </w:tc>
        <w:tc>
          <w:tcPr>
            <w:tcW w:w="58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3"/>
                <w:szCs w:val="13"/>
                <w:color w:val="auto"/>
                <w:w w:val="95"/>
              </w:rPr>
              <w:t>Cash, 1 Month Libor (1.00%) + 9.00%; Libor Floor</w:t>
            </w:r>
          </w:p>
        </w:tc>
        <w:tc>
          <w:tcPr>
            <w:tcW w:w="0" w:type="dxa"/>
            <w:vAlign w:val="bottom"/>
          </w:tcPr>
          <w:p>
            <w:pPr>
              <w:spacing w:after="0"/>
              <w:rPr>
                <w:sz w:val="1"/>
                <w:szCs w:val="1"/>
                <w:color w:val="auto"/>
              </w:rPr>
            </w:pPr>
          </w:p>
        </w:tc>
      </w:tr>
      <w:tr>
        <w:trPr>
          <w:trHeight w:val="68"/>
        </w:trPr>
        <w:tc>
          <w:tcPr>
            <w:tcW w:w="258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Jordan, UT 84095</w:t>
            </w:r>
          </w:p>
        </w:tc>
        <w:tc>
          <w:tcPr>
            <w:tcW w:w="5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5"/>
              </w:rPr>
              <w:t>1.00%</w:t>
            </w: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Due 1/25</w:t>
            </w:r>
          </w:p>
        </w:tc>
        <w:tc>
          <w:tcPr>
            <w:tcW w:w="0" w:type="dxa"/>
            <w:vAlign w:val="bottom"/>
          </w:tcPr>
          <w:p>
            <w:pPr>
              <w:spacing w:after="0"/>
              <w:rPr>
                <w:sz w:val="1"/>
                <w:szCs w:val="1"/>
                <w:color w:val="auto"/>
              </w:rPr>
            </w:pPr>
          </w:p>
        </w:tc>
      </w:tr>
      <w:tr>
        <w:trPr>
          <w:trHeight w:val="97"/>
        </w:trPr>
        <w:tc>
          <w:tcPr>
            <w:tcW w:w="25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High Tech Industries</w:t>
            </w:r>
          </w:p>
        </w:tc>
        <w:tc>
          <w:tcPr>
            <w:tcW w:w="5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-2860675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-2500630</wp:posOffset>
            </wp:positionV>
            <wp:extent cx="7132320"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-1969135</wp:posOffset>
            </wp:positionV>
            <wp:extent cx="713232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-1523365</wp:posOffset>
            </wp:positionV>
            <wp:extent cx="713232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4"/>
              </w:rPr>
              <w:t>12/18/2019</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2,159,333</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1,879,348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2,021,568</w:t>
            </w:r>
          </w:p>
        </w:tc>
      </w:tr>
      <w:tr>
        <w:trPr>
          <w:trHeight w:val="837"/>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4"/>
              </w:rPr>
              <w:t>12/18/2019</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1,400,000</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1,209,583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1,205,169</w:t>
            </w:r>
          </w:p>
        </w:tc>
      </w:tr>
      <w:tr>
        <w:trPr>
          <w:trHeight w:val="702"/>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5/6/2014</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1,600,000</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1,575,119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1,244,480</w:t>
            </w:r>
          </w:p>
        </w:tc>
      </w:tr>
      <w:tr>
        <w:trPr>
          <w:trHeight w:val="702"/>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6/27/2019</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7,500,000</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7,404,894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7,219,500</w:t>
            </w:r>
          </w:p>
        </w:tc>
      </w:tr>
      <w:tr>
        <w:trPr>
          <w:trHeight w:val="567"/>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4"/>
              </w:rPr>
              <w:t>12/13/2017</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1,862,500</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1,853,251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1,853,001</w:t>
            </w:r>
          </w:p>
        </w:tc>
      </w:tr>
      <w:tr>
        <w:trPr>
          <w:trHeight w:val="567"/>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4"/>
              </w:rPr>
              <w:t>12/13/2017</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1,974,625</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1,964,821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1,964,554</w:t>
            </w:r>
          </w:p>
        </w:tc>
      </w:tr>
      <w:tr>
        <w:trPr>
          <w:trHeight w:val="702"/>
        </w:trPr>
        <w:tc>
          <w:tcPr>
            <w:tcW w:w="8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3/10/2017</w:t>
            </w: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1,228,619</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1,228,619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1,193,812</w:t>
            </w:r>
          </w:p>
        </w:tc>
      </w:tr>
    </w:tbl>
    <w:p>
      <w:pPr>
        <w:spacing w:after="0" w:line="110" w:lineRule="exact"/>
        <w:rPr>
          <w:sz w:val="20"/>
          <w:szCs w:val="20"/>
          <w:color w:val="auto"/>
        </w:rPr>
      </w:pPr>
    </w:p>
    <w:p>
      <w:pPr>
        <w:sectPr>
          <w:pgSz w:w="11900" w:h="16838" w:orient="portrait"/>
          <w:cols w:equalWidth="0" w:num="2">
            <w:col w:w="6240" w:space="720"/>
            <w:col w:w="4280"/>
          </w:cols>
          <w:pgMar w:left="320" w:top="213"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Location Services Holdings, LLC</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(8)(13)(14)</w:t>
            </w:r>
          </w:p>
        </w:tc>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Loan — Revolving Credit</w:t>
            </w:r>
          </w:p>
        </w:tc>
        <w:tc>
          <w:tcPr>
            <w:tcW w:w="12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3"/>
        </w:trPr>
        <w:tc>
          <w:tcPr>
            <w:tcW w:w="250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3923 Ranchero Drive Ann Arbor, MI 48108</w:t>
            </w:r>
          </w:p>
        </w:tc>
        <w:tc>
          <w:tcPr>
            <w:tcW w:w="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(22)</w:t>
            </w:r>
          </w:p>
        </w:tc>
        <w:tc>
          <w:tcPr>
            <w:tcW w:w="3420" w:type="dxa"/>
            <w:vAlign w:val="bottom"/>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5.1% Cash, 1 Month Libor (1.00%) + 4.13%; Libor Floor</w:t>
            </w:r>
          </w:p>
        </w:tc>
        <w:tc>
          <w:tcPr>
            <w:tcW w:w="12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53"/>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Services: Business</w:t>
            </w:r>
          </w:p>
        </w:tc>
        <w:tc>
          <w:tcPr>
            <w:tcW w:w="660" w:type="dxa"/>
            <w:vAlign w:val="bottom"/>
            <w:shd w:val="clear" w:color="auto" w:fill="CFF0FC"/>
          </w:tcPr>
          <w:p>
            <w:pPr>
              <w:spacing w:after="0"/>
              <w:rPr>
                <w:sz w:val="13"/>
                <w:szCs w:val="13"/>
                <w:color w:val="auto"/>
              </w:rPr>
            </w:pPr>
          </w:p>
        </w:tc>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 Due 5/20</w:t>
            </w:r>
          </w:p>
        </w:tc>
        <w:tc>
          <w:tcPr>
            <w:tcW w:w="126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11/7/2019</w:t>
            </w:r>
          </w:p>
        </w:tc>
        <w:tc>
          <w:tcPr>
            <w:tcW w:w="118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2,291,667</w:t>
            </w:r>
          </w:p>
        </w:tc>
        <w:tc>
          <w:tcPr>
            <w:tcW w:w="124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2,291,667</w:t>
            </w:r>
          </w:p>
        </w:tc>
        <w:tc>
          <w:tcPr>
            <w:tcW w:w="9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2,197,917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40" w:type="dxa"/>
            <w:vAlign w:val="bottom"/>
          </w:tcPr>
          <w:p>
            <w:pPr>
              <w:spacing w:after="0"/>
              <w:rPr>
                <w:sz w:val="11"/>
                <w:szCs w:val="11"/>
                <w:color w:val="auto"/>
              </w:rPr>
            </w:pPr>
          </w:p>
        </w:tc>
        <w:tc>
          <w:tcPr>
            <w:tcW w:w="30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1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40" w:type="dxa"/>
            <w:vAlign w:val="bottom"/>
          </w:tcPr>
          <w:p>
            <w:pPr>
              <w:spacing w:after="0"/>
              <w:rPr>
                <w:sz w:val="13"/>
                <w:szCs w:val="13"/>
                <w:color w:val="auto"/>
              </w:rPr>
            </w:pPr>
          </w:p>
        </w:tc>
        <w:tc>
          <w:tcPr>
            <w:tcW w:w="3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Interest Rate¹ / Maturity</w:t>
            </w:r>
            <w:r>
              <w:rPr>
                <w:rFonts w:ascii="Times New Roman" w:cs="Times New Roman" w:eastAsia="Times New Roman" w:hAnsi="Times New Roman"/>
                <w:sz w:val="10"/>
                <w:szCs w:val="10"/>
                <w:b w:val="1"/>
                <w:bCs w:val="1"/>
                <w:color w:val="auto"/>
                <w:w w:val="97"/>
              </w:rPr>
              <w:t>15</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246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Ministry Brands, LLC (aka MB Holding)</w:t>
            </w:r>
          </w:p>
        </w:tc>
        <w:tc>
          <w:tcPr>
            <w:tcW w:w="640" w:type="dxa"/>
            <w:vAlign w:val="bottom"/>
            <w:tcBorders>
              <w:top w:val="single" w:sz="8" w:color="CFF0FC"/>
            </w:tcBorders>
            <w:shd w:val="clear" w:color="auto" w:fill="CFF0FC"/>
          </w:tcPr>
          <w:p>
            <w:pPr>
              <w:jc w:val="right"/>
              <w:ind w:right="99"/>
              <w:spacing w:after="0" w:line="124" w:lineRule="exact"/>
              <w:rPr>
                <w:sz w:val="20"/>
                <w:szCs w:val="20"/>
                <w:color w:val="auto"/>
              </w:rPr>
            </w:pPr>
            <w:r>
              <w:rPr>
                <w:rFonts w:ascii="Times New Roman" w:cs="Times New Roman" w:eastAsia="Times New Roman" w:hAnsi="Times New Roman"/>
                <w:sz w:val="11"/>
                <w:szCs w:val="11"/>
                <w:color w:val="auto"/>
                <w:w w:val="92"/>
              </w:rPr>
              <w:t>(8)(13)(14)</w:t>
            </w:r>
          </w:p>
        </w:tc>
        <w:tc>
          <w:tcPr>
            <w:tcW w:w="292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Junior Secured Loan — April 2018 Incremental Term</w:t>
            </w:r>
          </w:p>
        </w:tc>
        <w:tc>
          <w:tcPr>
            <w:tcW w:w="140" w:type="dxa"/>
            <w:vAlign w:val="bottom"/>
            <w:tcBorders>
              <w:top w:val="single" w:sz="8" w:color="CFF0FC"/>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14488 Old Stage Rd,Lenoir City, TN 37772</w:t>
            </w:r>
          </w:p>
        </w:tc>
        <w:tc>
          <w:tcPr>
            <w:tcW w:w="3700" w:type="dxa"/>
            <w:vAlign w:val="bottom"/>
            <w:gridSpan w:val="3"/>
            <w:shd w:val="clear" w:color="auto" w:fill="CFF0FC"/>
          </w:tcPr>
          <w:p>
            <w:pPr>
              <w:ind w:left="640"/>
              <w:spacing w:after="0" w:line="135" w:lineRule="exact"/>
              <w:rPr>
                <w:sz w:val="20"/>
                <w:szCs w:val="20"/>
                <w:color w:val="auto"/>
              </w:rPr>
            </w:pPr>
            <w:r>
              <w:rPr>
                <w:rFonts w:ascii="Times New Roman" w:cs="Times New Roman" w:eastAsia="Times New Roman" w:hAnsi="Times New Roman"/>
                <w:sz w:val="13"/>
                <w:szCs w:val="13"/>
                <w:color w:val="auto"/>
              </w:rPr>
              <w:t>Loan (Second Lien)</w:t>
            </w: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Electronics</w:t>
            </w:r>
          </w:p>
        </w:tc>
        <w:tc>
          <w:tcPr>
            <w:tcW w:w="3700" w:type="dxa"/>
            <w:vAlign w:val="bottom"/>
            <w:gridSpan w:val="3"/>
            <w:shd w:val="clear" w:color="auto" w:fill="CFF0FC"/>
          </w:tcPr>
          <w:p>
            <w:pPr>
              <w:ind w:left="640"/>
              <w:spacing w:after="0" w:line="135" w:lineRule="exact"/>
              <w:rPr>
                <w:sz w:val="20"/>
                <w:szCs w:val="20"/>
                <w:color w:val="auto"/>
              </w:rPr>
            </w:pPr>
            <w:r>
              <w:rPr>
                <w:rFonts w:ascii="Times New Roman" w:cs="Times New Roman" w:eastAsia="Times New Roman" w:hAnsi="Times New Roman"/>
                <w:sz w:val="13"/>
                <w:szCs w:val="13"/>
                <w:color w:val="auto"/>
              </w:rPr>
              <w:t>9.0% Cash, 3 Month Libor (1.00%) + 8.00%; Libor Floor</w:t>
            </w: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460" w:type="dxa"/>
            <w:vAlign w:val="bottom"/>
            <w:shd w:val="clear" w:color="auto" w:fill="CFF0FC"/>
          </w:tcPr>
          <w:p>
            <w:pPr>
              <w:spacing w:after="0"/>
              <w:rPr>
                <w:sz w:val="13"/>
                <w:szCs w:val="13"/>
                <w:color w:val="auto"/>
              </w:rPr>
            </w:pPr>
          </w:p>
        </w:tc>
        <w:tc>
          <w:tcPr>
            <w:tcW w:w="370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1.00% , Due 6/23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5,508,728</w:t>
            </w: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5,595,000</w:t>
            </w:r>
          </w:p>
        </w:tc>
        <w:tc>
          <w:tcPr>
            <w:tcW w:w="120" w:type="dxa"/>
            <w:vAlign w:val="bottom"/>
            <w:shd w:val="clear" w:color="auto" w:fill="CFF0FC"/>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w w:val="97"/>
              </w:rPr>
              <w:t>Nasco Healthcare Inc.</w:t>
            </w:r>
          </w:p>
        </w:tc>
        <w:tc>
          <w:tcPr>
            <w:tcW w:w="130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(8)(13)(14)</w:t>
            </w:r>
          </w:p>
        </w:tc>
      </w:tr>
      <w:tr>
        <w:trPr>
          <w:trHeight w:val="143"/>
        </w:trPr>
        <w:tc>
          <w:tcPr>
            <w:tcW w:w="2440" w:type="dxa"/>
            <w:vAlign w:val="bottom"/>
            <w:gridSpan w:val="2"/>
          </w:tcPr>
          <w:p>
            <w:pPr>
              <w:ind w:left="160"/>
              <w:spacing w:after="0" w:line="143" w:lineRule="exact"/>
              <w:rPr>
                <w:sz w:val="20"/>
                <w:szCs w:val="20"/>
                <w:color w:val="auto"/>
              </w:rPr>
            </w:pPr>
            <w:r>
              <w:rPr>
                <w:rFonts w:ascii="Times New Roman" w:cs="Times New Roman" w:eastAsia="Times New Roman" w:hAnsi="Times New Roman"/>
                <w:sz w:val="13"/>
                <w:szCs w:val="13"/>
                <w:color w:val="auto"/>
              </w:rPr>
              <w:t>96 Cimmings Point Road, Stamford, CT</w:t>
            </w: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06902</w:t>
            </w: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4"/>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500" w:type="dxa"/>
            <w:vAlign w:val="bottom"/>
          </w:tcPr>
          <w:p>
            <w:pPr>
              <w:spacing w:after="0"/>
              <w:rPr>
                <w:sz w:val="14"/>
                <w:szCs w:val="14"/>
                <w:color w:val="auto"/>
              </w:rPr>
            </w:pPr>
          </w:p>
        </w:tc>
      </w:tr>
      <w:tr>
        <w:trPr>
          <w:trHeight w:val="268"/>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Navex Topco, Inc.</w:t>
            </w:r>
          </w:p>
        </w:tc>
        <w:tc>
          <w:tcPr>
            <w:tcW w:w="130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(8)(14)(18)</w:t>
            </w:r>
          </w:p>
        </w:tc>
      </w:tr>
      <w:tr>
        <w:trPr>
          <w:trHeight w:val="135"/>
        </w:trPr>
        <w:tc>
          <w:tcPr>
            <w:tcW w:w="24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6000 Meadows Road, Suite 200, Lake</w:t>
            </w:r>
          </w:p>
        </w:tc>
        <w:tc>
          <w:tcPr>
            <w:tcW w:w="500" w:type="dxa"/>
            <w:vAlign w:val="bottom"/>
          </w:tcPr>
          <w:p>
            <w:pPr>
              <w:spacing w:after="0"/>
              <w:rPr>
                <w:sz w:val="11"/>
                <w:szCs w:val="11"/>
                <w:color w:val="auto"/>
              </w:rPr>
            </w:pPr>
          </w:p>
        </w:tc>
      </w:tr>
      <w:tr>
        <w:trPr>
          <w:trHeight w:val="164"/>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Oswego, OR 97035</w:t>
            </w:r>
          </w:p>
        </w:tc>
        <w:tc>
          <w:tcPr>
            <w:tcW w:w="1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Electronics</w:t>
            </w:r>
          </w:p>
        </w:tc>
        <w:tc>
          <w:tcPr>
            <w:tcW w:w="500" w:type="dxa"/>
            <w:vAlign w:val="bottom"/>
          </w:tcPr>
          <w:p>
            <w:pPr>
              <w:spacing w:after="0"/>
              <w:rPr>
                <w:sz w:val="14"/>
                <w:szCs w:val="14"/>
                <w:color w:val="auto"/>
              </w:rPr>
            </w:pPr>
          </w:p>
        </w:tc>
      </w:tr>
      <w:tr>
        <w:trPr>
          <w:trHeight w:val="268"/>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PAE Holding Corporation</w:t>
            </w: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(8)(13)(14)</w:t>
            </w:r>
          </w:p>
        </w:tc>
      </w:tr>
      <w:tr>
        <w:trPr>
          <w:trHeight w:val="135"/>
        </w:trPr>
        <w:tc>
          <w:tcPr>
            <w:tcW w:w="24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1320 N. Courthouse Road Suite 800</w:t>
            </w:r>
          </w:p>
        </w:tc>
        <w:tc>
          <w:tcPr>
            <w:tcW w:w="500" w:type="dxa"/>
            <w:vAlign w:val="bottom"/>
          </w:tcPr>
          <w:p>
            <w:pPr>
              <w:spacing w:after="0"/>
              <w:rPr>
                <w:sz w:val="11"/>
                <w:szCs w:val="11"/>
                <w:color w:val="auto"/>
              </w:rPr>
            </w:pPr>
          </w:p>
        </w:tc>
      </w:tr>
      <w:tr>
        <w:trPr>
          <w:trHeight w:val="164"/>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Arlington, VA 22201</w:t>
            </w:r>
          </w:p>
        </w:tc>
        <w:tc>
          <w:tcPr>
            <w:tcW w:w="13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Aerospace and Defense</w:t>
            </w:r>
          </w:p>
        </w:tc>
        <w:tc>
          <w:tcPr>
            <w:tcW w:w="500" w:type="dxa"/>
            <w:vAlign w:val="bottom"/>
          </w:tcPr>
          <w:p>
            <w:pPr>
              <w:spacing w:after="0"/>
              <w:rPr>
                <w:sz w:val="14"/>
                <w:szCs w:val="14"/>
                <w:color w:val="auto"/>
              </w:rPr>
            </w:pPr>
          </w:p>
        </w:tc>
      </w:tr>
      <w:tr>
        <w:trPr>
          <w:trHeight w:val="268"/>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PHI Group, Inc.</w:t>
            </w:r>
          </w:p>
        </w:tc>
        <w:tc>
          <w:tcPr>
            <w:tcW w:w="130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(8)(14)(22)</w:t>
            </w:r>
          </w:p>
        </w:tc>
      </w:tr>
      <w:tr>
        <w:trPr>
          <w:trHeight w:val="135"/>
        </w:trPr>
        <w:tc>
          <w:tcPr>
            <w:tcW w:w="24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2001 SE Evangeline Thruway, Lafayette,</w:t>
            </w:r>
          </w:p>
        </w:tc>
        <w:tc>
          <w:tcPr>
            <w:tcW w:w="500" w:type="dxa"/>
            <w:vAlign w:val="bottom"/>
          </w:tcPr>
          <w:p>
            <w:pPr>
              <w:spacing w:after="0"/>
              <w:rPr>
                <w:sz w:val="11"/>
                <w:szCs w:val="11"/>
                <w:color w:val="auto"/>
              </w:rPr>
            </w:pPr>
          </w:p>
        </w:tc>
      </w:tr>
      <w:tr>
        <w:trPr>
          <w:trHeight w:val="135"/>
        </w:trPr>
        <w:tc>
          <w:tcPr>
            <w:tcW w:w="1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LA 70508</w:t>
            </w: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4"/>
        </w:trPr>
        <w:tc>
          <w:tcPr>
            <w:tcW w:w="2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Transportation: Cargo</w:t>
            </w:r>
          </w:p>
        </w:tc>
        <w:tc>
          <w:tcPr>
            <w:tcW w:w="500" w:type="dxa"/>
            <w:vAlign w:val="bottom"/>
          </w:tcPr>
          <w:p>
            <w:pPr>
              <w:spacing w:after="0"/>
              <w:rPr>
                <w:sz w:val="14"/>
                <w:szCs w:val="14"/>
                <w:color w:val="auto"/>
              </w:rPr>
            </w:pPr>
          </w:p>
        </w:tc>
      </w:tr>
      <w:tr>
        <w:trPr>
          <w:trHeight w:val="268"/>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Phoenix Guarantor Inc. (aka Brightspring)</w:t>
            </w: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(8)(13)(14)</w:t>
            </w:r>
          </w:p>
        </w:tc>
      </w:tr>
      <w:tr>
        <w:trPr>
          <w:trHeight w:val="135"/>
        </w:trPr>
        <w:tc>
          <w:tcPr>
            <w:tcW w:w="24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w w:val="98"/>
              </w:rPr>
              <w:t>805 North Whittington Parkway, Louisville,</w:t>
            </w:r>
          </w:p>
        </w:tc>
        <w:tc>
          <w:tcPr>
            <w:tcW w:w="500" w:type="dxa"/>
            <w:vAlign w:val="bottom"/>
          </w:tcPr>
          <w:p>
            <w:pPr>
              <w:spacing w:after="0"/>
              <w:rPr>
                <w:sz w:val="11"/>
                <w:szCs w:val="11"/>
                <w:color w:val="auto"/>
              </w:rPr>
            </w:pPr>
          </w:p>
        </w:tc>
      </w:tr>
      <w:tr>
        <w:trPr>
          <w:trHeight w:val="164"/>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KY 40222   Healthcare &amp; Pharmaceuticals</w:t>
            </w:r>
          </w:p>
        </w:tc>
        <w:tc>
          <w:tcPr>
            <w:tcW w:w="500" w:type="dxa"/>
            <w:vAlign w:val="bottom"/>
          </w:tcPr>
          <w:p>
            <w:pPr>
              <w:spacing w:after="0"/>
              <w:rPr>
                <w:sz w:val="14"/>
                <w:szCs w:val="14"/>
                <w:color w:val="auto"/>
              </w:rPr>
            </w:pPr>
          </w:p>
        </w:tc>
      </w:tr>
      <w:tr>
        <w:trPr>
          <w:trHeight w:val="268"/>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Pinstripe Holdings, LLC (Aka Cielo)</w:t>
            </w: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(8)(13)(14)</w:t>
            </w:r>
          </w:p>
        </w:tc>
      </w:tr>
      <w:tr>
        <w:trPr>
          <w:trHeight w:val="135"/>
        </w:trPr>
        <w:tc>
          <w:tcPr>
            <w:tcW w:w="24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200 S Executive Drive, Suite 400,</w:t>
            </w:r>
          </w:p>
        </w:tc>
        <w:tc>
          <w:tcPr>
            <w:tcW w:w="500" w:type="dxa"/>
            <w:vAlign w:val="bottom"/>
          </w:tcPr>
          <w:p>
            <w:pPr>
              <w:spacing w:after="0"/>
              <w:rPr>
                <w:sz w:val="11"/>
                <w:szCs w:val="11"/>
                <w:color w:val="auto"/>
              </w:rPr>
            </w:pPr>
          </w:p>
        </w:tc>
      </w:tr>
      <w:tr>
        <w:trPr>
          <w:trHeight w:val="164"/>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w w:val="97"/>
              </w:rPr>
              <w:t>Brookfield, WI 53005</w:t>
            </w:r>
          </w:p>
        </w:tc>
        <w:tc>
          <w:tcPr>
            <w:tcW w:w="1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Services: Business</w:t>
            </w:r>
          </w:p>
        </w:tc>
        <w:tc>
          <w:tcPr>
            <w:tcW w:w="5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Loan — Term Loan</w:t>
            </w: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5.5% Cash, 6 Month Libor (1.00%) + 4.50%; Libor Floor</w:t>
            </w: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1.00% , Due 6/21</w:t>
            </w:r>
          </w:p>
        </w:tc>
        <w:tc>
          <w:tcPr>
            <w:tcW w:w="126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5/22/2020</w:t>
            </w:r>
          </w:p>
        </w:tc>
        <w:tc>
          <w:tcPr>
            <w:tcW w:w="124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4,521,047</w:t>
            </w: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3"/>
                <w:szCs w:val="13"/>
                <w:color w:val="auto"/>
              </w:rPr>
              <w:t>4,083,122</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4,139,471</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7.2% Cash, 1 Month Libor (0.15%) + 7.00% , Due 9/26</w:t>
            </w:r>
          </w:p>
        </w:tc>
        <w:tc>
          <w:tcPr>
            <w:tcW w:w="126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12/4/2018</w:t>
            </w:r>
          </w:p>
        </w:tc>
        <w:tc>
          <w:tcPr>
            <w:tcW w:w="124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7,700,000</w:t>
            </w: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3"/>
                <w:szCs w:val="13"/>
                <w:color w:val="auto"/>
              </w:rPr>
              <w:t>7,203,661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7,497,875</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10.5% Cash, 3 Month Libor (1.00%) + 9.50%; Libor</w:t>
            </w: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Floor 1.00% , Due 10/23</w:t>
            </w:r>
          </w:p>
        </w:tc>
        <w:tc>
          <w:tcPr>
            <w:tcW w:w="126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12/18/2019</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3,343,347</w:t>
            </w: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3,031,833</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3,322,618</w:t>
            </w:r>
          </w:p>
        </w:tc>
        <w:tc>
          <w:tcPr>
            <w:tcW w:w="0" w:type="dxa"/>
            <w:vAlign w:val="bottom"/>
          </w:tcPr>
          <w:p>
            <w:pPr>
              <w:spacing w:after="0"/>
              <w:rPr>
                <w:sz w:val="1"/>
                <w:szCs w:val="1"/>
                <w:color w:val="auto"/>
              </w:rPr>
            </w:pPr>
          </w:p>
        </w:tc>
      </w:tr>
      <w:tr>
        <w:trPr>
          <w:trHeight w:val="335"/>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Loan — Loan</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8.0% Cash, 1 Month Libor (1.00%) + 7.00%; Libor Floor</w:t>
            </w: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1.00% , Due 9/24</w:t>
            </w:r>
          </w:p>
        </w:tc>
        <w:tc>
          <w:tcPr>
            <w:tcW w:w="126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7/10/2019</w:t>
            </w:r>
          </w:p>
        </w:tc>
        <w:tc>
          <w:tcPr>
            <w:tcW w:w="124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6,734,438</w:t>
            </w: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3"/>
                <w:szCs w:val="13"/>
                <w:color w:val="auto"/>
              </w:rPr>
              <w:t>6,627,019</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6,869,126</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9.3% Cash, 1 Month Libor (1.00%) + 8.25%; Libor Floor</w:t>
            </w: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1.00% , Due 3/27</w:t>
            </w:r>
          </w:p>
        </w:tc>
        <w:tc>
          <w:tcPr>
            <w:tcW w:w="126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12/18/2019</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1,200,000</w:t>
            </w: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1,096,167</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1,172,760</w:t>
            </w: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7.0% Cash, 6 Month Libor (1.00%) + 6.00%; Libor Floor</w:t>
            </w: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1.00% , Due 1/25</w:t>
            </w:r>
          </w:p>
        </w:tc>
        <w:tc>
          <w:tcPr>
            <w:tcW w:w="126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1/17/2019</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4,925,000</w:t>
            </w: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4,854,112</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-2244090</wp:posOffset>
            </wp:positionV>
            <wp:extent cx="713232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-1798320</wp:posOffset>
            </wp:positionV>
            <wp:extent cx="7132320"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-1438275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-1078230</wp:posOffset>
            </wp:positionV>
            <wp:extent cx="7132320" cy="351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-632460</wp:posOffset>
            </wp:positionV>
            <wp:extent cx="71323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-272415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2940" w:space="160"/>
            <w:col w:w="8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PromptCare Companies, The</w:t>
            </w:r>
          </w:p>
        </w:tc>
        <w:tc>
          <w:tcPr>
            <w:tcW w:w="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(8)(13)(14)</w:t>
            </w:r>
          </w:p>
        </w:tc>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Senior Secured Loan — First Delayed Draw Term Loan</w:t>
            </w:r>
          </w:p>
        </w:tc>
        <w:tc>
          <w:tcPr>
            <w:tcW w:w="1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3"/>
                <w:szCs w:val="13"/>
                <w:color w:val="auto"/>
              </w:rPr>
              <w:t>41 Spring Street New Providence, NJ</w:t>
            </w:r>
          </w:p>
        </w:tc>
        <w:tc>
          <w:tcPr>
            <w:tcW w:w="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(22)</w:t>
            </w:r>
          </w:p>
        </w:tc>
        <w:tc>
          <w:tcPr>
            <w:tcW w:w="3320" w:type="dxa"/>
            <w:vAlign w:val="bottom"/>
            <w:shd w:val="clear" w:color="auto" w:fill="CFF0FC"/>
          </w:tcPr>
          <w:p>
            <w:pPr>
              <w:ind w:left="80"/>
              <w:spacing w:after="0" w:line="143" w:lineRule="exact"/>
              <w:rPr>
                <w:sz w:val="20"/>
                <w:szCs w:val="20"/>
                <w:color w:val="auto"/>
              </w:rPr>
            </w:pPr>
            <w:r>
              <w:rPr>
                <w:rFonts w:ascii="Times New Roman" w:cs="Times New Roman" w:eastAsia="Times New Roman" w:hAnsi="Times New Roman"/>
                <w:sz w:val="13"/>
                <w:szCs w:val="13"/>
                <w:color w:val="auto"/>
              </w:rPr>
              <w:t>6.3% Cash, 1 Month Libor (1.00%) + 5.25%; Libor Floor</w:t>
            </w:r>
          </w:p>
        </w:tc>
        <w:tc>
          <w:tcPr>
            <w:tcW w:w="1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07974   Healthcare &amp; Pharmaceuticals</w:t>
            </w:r>
          </w:p>
        </w:tc>
        <w:tc>
          <w:tcPr>
            <w:tcW w:w="640" w:type="dxa"/>
            <w:vAlign w:val="bottom"/>
            <w:shd w:val="clear" w:color="auto" w:fill="CFF0FC"/>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1.00% , Due 12/25</w:t>
            </w:r>
          </w:p>
        </w:tc>
        <w:tc>
          <w:tcPr>
            <w:tcW w:w="12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2/20/2020</w:t>
            </w:r>
          </w:p>
        </w:tc>
        <w:tc>
          <w:tcPr>
            <w:tcW w:w="124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rPr>
              <w:t>541,364</w:t>
            </w:r>
          </w:p>
        </w:tc>
        <w:tc>
          <w:tcPr>
            <w:tcW w:w="1360" w:type="dxa"/>
            <w:vAlign w:val="bottom"/>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rPr>
              <w:t>536,517</w:t>
            </w:r>
          </w:p>
        </w:tc>
        <w:tc>
          <w:tcPr>
            <w:tcW w:w="10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541,255</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PromptCare Companies, The</w:t>
            </w:r>
          </w:p>
        </w:tc>
        <w:tc>
          <w:tcPr>
            <w:tcW w:w="6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320" w:type="dxa"/>
            <w:vAlign w:val="bottom"/>
            <w:shd w:val="clear" w:color="auto" w:fill="CFF0FC"/>
          </w:tcPr>
          <w:p>
            <w:pPr>
              <w:ind w:left="80"/>
              <w:spacing w:after="0" w:line="123" w:lineRule="exact"/>
              <w:rPr>
                <w:sz w:val="20"/>
                <w:szCs w:val="20"/>
                <w:color w:val="auto"/>
              </w:rPr>
            </w:pPr>
            <w:r>
              <w:rPr>
                <w:rFonts w:ascii="Times New Roman" w:cs="Times New Roman" w:eastAsia="Times New Roman" w:hAnsi="Times New Roman"/>
                <w:sz w:val="13"/>
                <w:szCs w:val="13"/>
                <w:color w:val="auto"/>
              </w:rPr>
              <w:t>Senior Secured Loan — Second Delayed Draw Term</w:t>
            </w:r>
          </w:p>
        </w:tc>
        <w:tc>
          <w:tcPr>
            <w:tcW w:w="1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020" w:type="dxa"/>
            <w:vAlign w:val="bottom"/>
            <w:gridSpan w:val="2"/>
            <w:shd w:val="clear" w:color="auto" w:fill="CFF0FC"/>
          </w:tcPr>
          <w:p>
            <w:pPr>
              <w:ind w:left="160"/>
              <w:spacing w:after="0" w:line="143" w:lineRule="exact"/>
              <w:rPr>
                <w:sz w:val="20"/>
                <w:szCs w:val="20"/>
                <w:color w:val="auto"/>
              </w:rPr>
            </w:pPr>
            <w:r>
              <w:rPr>
                <w:rFonts w:ascii="Times New Roman" w:cs="Times New Roman" w:eastAsia="Times New Roman" w:hAnsi="Times New Roman"/>
                <w:sz w:val="10"/>
                <w:szCs w:val="10"/>
                <w:color w:val="auto"/>
              </w:rPr>
              <w:t xml:space="preserve">41 Spring Street New Providence, NJ 07974 </w:t>
            </w:r>
            <w:r>
              <w:rPr>
                <w:rFonts w:ascii="Times New Roman" w:cs="Times New Roman" w:eastAsia="Times New Roman" w:hAnsi="Times New Roman"/>
                <w:sz w:val="16"/>
                <w:szCs w:val="16"/>
                <w:color w:val="auto"/>
                <w:vertAlign w:val="superscript"/>
              </w:rPr>
              <w:t>(22)</w:t>
            </w:r>
          </w:p>
        </w:tc>
        <w:tc>
          <w:tcPr>
            <w:tcW w:w="3320" w:type="dxa"/>
            <w:vAlign w:val="bottom"/>
            <w:shd w:val="clear" w:color="auto" w:fill="CFF0FC"/>
          </w:tcPr>
          <w:p>
            <w:pPr>
              <w:ind w:left="80"/>
              <w:spacing w:after="0" w:line="143" w:lineRule="exact"/>
              <w:rPr>
                <w:sz w:val="20"/>
                <w:szCs w:val="20"/>
                <w:color w:val="auto"/>
              </w:rPr>
            </w:pPr>
            <w:r>
              <w:rPr>
                <w:rFonts w:ascii="Times New Roman" w:cs="Times New Roman" w:eastAsia="Times New Roman" w:hAnsi="Times New Roman"/>
                <w:sz w:val="13"/>
                <w:szCs w:val="13"/>
                <w:color w:val="auto"/>
              </w:rPr>
              <w:t>Loan</w:t>
            </w:r>
          </w:p>
        </w:tc>
        <w:tc>
          <w:tcPr>
            <w:tcW w:w="1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40" w:type="dxa"/>
            <w:vAlign w:val="bottom"/>
            <w:shd w:val="clear" w:color="auto" w:fill="CFF0FC"/>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 Cash, Due 12/25</w:t>
            </w:r>
          </w:p>
        </w:tc>
        <w:tc>
          <w:tcPr>
            <w:tcW w:w="12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2/20/2020</w:t>
            </w:r>
          </w:p>
        </w:tc>
        <w:tc>
          <w:tcPr>
            <w:tcW w:w="124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3"/>
                <w:szCs w:val="13"/>
                <w:color w:val="auto"/>
              </w:rPr>
              <w:t>(2,443)</w:t>
            </w:r>
          </w:p>
        </w:tc>
        <w:tc>
          <w:tcPr>
            <w:tcW w:w="10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(2,727)</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3" w:lineRule="exact"/>
              <w:rPr>
                <w:sz w:val="20"/>
                <w:szCs w:val="20"/>
                <w:color w:val="auto"/>
              </w:rPr>
            </w:pPr>
            <w:r>
              <w:rPr>
                <w:rFonts w:ascii="Times New Roman" w:cs="Times New Roman" w:eastAsia="Times New Roman" w:hAnsi="Times New Roman"/>
                <w:sz w:val="13"/>
                <w:szCs w:val="13"/>
                <w:color w:val="auto"/>
              </w:rPr>
              <w:t>PromptCare Companies, The</w:t>
            </w:r>
          </w:p>
        </w:tc>
        <w:tc>
          <w:tcPr>
            <w:tcW w:w="6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(8)(13)(14)</w:t>
            </w:r>
          </w:p>
        </w:tc>
        <w:tc>
          <w:tcPr>
            <w:tcW w:w="3320" w:type="dxa"/>
            <w:vAlign w:val="bottom"/>
            <w:shd w:val="clear" w:color="auto" w:fill="CFF0FC"/>
          </w:tcPr>
          <w:p>
            <w:pPr>
              <w:ind w:left="80"/>
              <w:spacing w:after="0" w:line="123"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020" w:type="dxa"/>
            <w:vAlign w:val="bottom"/>
            <w:gridSpan w:val="2"/>
            <w:shd w:val="clear" w:color="auto" w:fill="CFF0FC"/>
          </w:tcPr>
          <w:p>
            <w:pPr>
              <w:ind w:left="160"/>
              <w:spacing w:after="0" w:line="143" w:lineRule="exact"/>
              <w:rPr>
                <w:sz w:val="20"/>
                <w:szCs w:val="20"/>
                <w:color w:val="auto"/>
              </w:rPr>
            </w:pPr>
            <w:r>
              <w:rPr>
                <w:rFonts w:ascii="Times New Roman" w:cs="Times New Roman" w:eastAsia="Times New Roman" w:hAnsi="Times New Roman"/>
                <w:sz w:val="10"/>
                <w:szCs w:val="10"/>
                <w:color w:val="auto"/>
              </w:rPr>
              <w:t xml:space="preserve">41 Spring Street New Providence, NJ 07974 </w:t>
            </w:r>
            <w:r>
              <w:rPr>
                <w:rFonts w:ascii="Times New Roman" w:cs="Times New Roman" w:eastAsia="Times New Roman" w:hAnsi="Times New Roman"/>
                <w:sz w:val="16"/>
                <w:szCs w:val="16"/>
                <w:color w:val="auto"/>
                <w:vertAlign w:val="superscript"/>
              </w:rPr>
              <w:t>(22)</w:t>
            </w:r>
          </w:p>
        </w:tc>
        <w:tc>
          <w:tcPr>
            <w:tcW w:w="3320" w:type="dxa"/>
            <w:vAlign w:val="bottom"/>
            <w:shd w:val="clear" w:color="auto" w:fill="CFF0FC"/>
          </w:tcPr>
          <w:p>
            <w:pPr>
              <w:ind w:left="80"/>
              <w:spacing w:after="0" w:line="143" w:lineRule="exact"/>
              <w:rPr>
                <w:sz w:val="20"/>
                <w:szCs w:val="20"/>
                <w:color w:val="auto"/>
              </w:rPr>
            </w:pPr>
            <w:r>
              <w:rPr>
                <w:rFonts w:ascii="Times New Roman" w:cs="Times New Roman" w:eastAsia="Times New Roman" w:hAnsi="Times New Roman"/>
                <w:sz w:val="13"/>
                <w:szCs w:val="13"/>
                <w:color w:val="auto"/>
              </w:rPr>
              <w:t>6.3% Cash, 1 Month Libor (1.00%) + 5.25%; Libor Floor</w:t>
            </w:r>
          </w:p>
        </w:tc>
        <w:tc>
          <w:tcPr>
            <w:tcW w:w="1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40" w:type="dxa"/>
            <w:vAlign w:val="bottom"/>
            <w:shd w:val="clear" w:color="auto" w:fill="CFF0FC"/>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1.00% , Due 12/25</w:t>
            </w:r>
          </w:p>
        </w:tc>
        <w:tc>
          <w:tcPr>
            <w:tcW w:w="12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2/20/2020</w:t>
            </w:r>
          </w:p>
        </w:tc>
        <w:tc>
          <w:tcPr>
            <w:tcW w:w="124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rPr>
              <w:t>3,879,773</w:t>
            </w:r>
          </w:p>
        </w:tc>
        <w:tc>
          <w:tcPr>
            <w:tcW w:w="1360" w:type="dxa"/>
            <w:vAlign w:val="bottom"/>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rPr>
              <w:t>3,845,037</w:t>
            </w:r>
          </w:p>
        </w:tc>
        <w:tc>
          <w:tcPr>
            <w:tcW w:w="10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3,878,997</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PSC Industrial Holdings Corp.</w:t>
            </w:r>
          </w:p>
        </w:tc>
        <w:tc>
          <w:tcPr>
            <w:tcW w:w="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(8)(13)(14)</w:t>
            </w:r>
          </w:p>
        </w:tc>
        <w:tc>
          <w:tcPr>
            <w:tcW w:w="33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380" w:type="dxa"/>
            <w:vAlign w:val="bottom"/>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5151 San Felipe, Ste. 1100, Houston, TX</w:t>
            </w:r>
          </w:p>
        </w:tc>
        <w:tc>
          <w:tcPr>
            <w:tcW w:w="640" w:type="dxa"/>
            <w:vAlign w:val="bottom"/>
            <w:shd w:val="clear" w:color="auto" w:fill="CFF0FC"/>
          </w:tcPr>
          <w:p>
            <w:pPr>
              <w:spacing w:after="0"/>
              <w:rPr>
                <w:sz w:val="5"/>
                <w:szCs w:val="5"/>
                <w:color w:val="auto"/>
              </w:rPr>
            </w:pPr>
          </w:p>
        </w:tc>
        <w:tc>
          <w:tcPr>
            <w:tcW w:w="3320" w:type="dxa"/>
            <w:vAlign w:val="bottom"/>
            <w:vMerge w:val="continue"/>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136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80" w:type="dxa"/>
            <w:vAlign w:val="bottom"/>
            <w:vMerge w:val="continue"/>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3320" w:type="dxa"/>
            <w:vAlign w:val="bottom"/>
            <w:vMerge w:val="restart"/>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9.7% Cash, 6 Month Libor (1.23%) + 8.50%; Libor Floor</w:t>
            </w:r>
          </w:p>
        </w:tc>
        <w:tc>
          <w:tcPr>
            <w:tcW w:w="12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136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80" w:type="dxa"/>
            <w:vAlign w:val="bottom"/>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77056</w:t>
            </w:r>
          </w:p>
        </w:tc>
        <w:tc>
          <w:tcPr>
            <w:tcW w:w="640" w:type="dxa"/>
            <w:vAlign w:val="bottom"/>
            <w:shd w:val="clear" w:color="auto" w:fill="CFF0FC"/>
          </w:tcPr>
          <w:p>
            <w:pPr>
              <w:spacing w:after="0"/>
              <w:rPr>
                <w:sz w:val="5"/>
                <w:szCs w:val="5"/>
                <w:color w:val="auto"/>
              </w:rPr>
            </w:pPr>
          </w:p>
        </w:tc>
        <w:tc>
          <w:tcPr>
            <w:tcW w:w="3320" w:type="dxa"/>
            <w:vAlign w:val="bottom"/>
            <w:vMerge w:val="continue"/>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136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80" w:type="dxa"/>
            <w:vAlign w:val="bottom"/>
            <w:vMerge w:val="continue"/>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33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1.00% , Due 10/25</w:t>
            </w:r>
          </w:p>
        </w:tc>
        <w:tc>
          <w:tcPr>
            <w:tcW w:w="12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136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380" w:type="dxa"/>
            <w:vAlign w:val="bottom"/>
            <w:tcBorders>
              <w:bottom w:val="single" w:sz="8" w:color="CFF0FC"/>
            </w:tcBorders>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Environmental Industries</w:t>
            </w:r>
          </w:p>
        </w:tc>
        <w:tc>
          <w:tcPr>
            <w:tcW w:w="640" w:type="dxa"/>
            <w:vAlign w:val="bottom"/>
            <w:tcBorders>
              <w:bottom w:val="single" w:sz="8" w:color="CFF0FC"/>
            </w:tcBorders>
            <w:shd w:val="clear" w:color="auto" w:fill="CFF0FC"/>
          </w:tcPr>
          <w:p>
            <w:pPr>
              <w:spacing w:after="0"/>
              <w:rPr>
                <w:sz w:val="11"/>
                <w:szCs w:val="11"/>
                <w:color w:val="auto"/>
              </w:rPr>
            </w:pPr>
          </w:p>
        </w:tc>
        <w:tc>
          <w:tcPr>
            <w:tcW w:w="3320" w:type="dxa"/>
            <w:vAlign w:val="bottom"/>
            <w:tcBorders>
              <w:bottom w:val="single" w:sz="8" w:color="CFF0FC"/>
            </w:tcBorders>
            <w:vMerge w:val="continue"/>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10/5/2017</w:t>
            </w:r>
          </w:p>
        </w:tc>
        <w:tc>
          <w:tcPr>
            <w:tcW w:w="1240" w:type="dxa"/>
            <w:vAlign w:val="bottom"/>
            <w:tcBorders>
              <w:bottom w:val="single" w:sz="8" w:color="CFF0FC"/>
            </w:tcBorders>
            <w:shd w:val="clear" w:color="auto" w:fill="CFF0FC"/>
          </w:tcPr>
          <w:p>
            <w:pPr>
              <w:jc w:val="right"/>
              <w:ind w:right="317"/>
              <w:spacing w:after="0" w:line="133" w:lineRule="exact"/>
              <w:rPr>
                <w:sz w:val="20"/>
                <w:szCs w:val="20"/>
                <w:color w:val="auto"/>
              </w:rPr>
            </w:pPr>
            <w:r>
              <w:rPr>
                <w:rFonts w:ascii="Times New Roman" w:cs="Times New Roman" w:eastAsia="Times New Roman" w:hAnsi="Times New Roman"/>
                <w:sz w:val="13"/>
                <w:szCs w:val="13"/>
                <w:color w:val="auto"/>
              </w:rPr>
              <w:t>3,000,000</w:t>
            </w:r>
          </w:p>
        </w:tc>
        <w:tc>
          <w:tcPr>
            <w:tcW w:w="1360" w:type="dxa"/>
            <w:vAlign w:val="bottom"/>
            <w:tcBorders>
              <w:bottom w:val="single" w:sz="8" w:color="CFF0FC"/>
            </w:tcBorders>
            <w:shd w:val="clear" w:color="auto" w:fill="CFF0FC"/>
          </w:tcPr>
          <w:p>
            <w:pPr>
              <w:jc w:val="right"/>
              <w:ind w:right="417"/>
              <w:spacing w:after="0" w:line="133" w:lineRule="exact"/>
              <w:rPr>
                <w:sz w:val="20"/>
                <w:szCs w:val="20"/>
                <w:color w:val="auto"/>
              </w:rPr>
            </w:pPr>
            <w:r>
              <w:rPr>
                <w:rFonts w:ascii="Times New Roman" w:cs="Times New Roman" w:eastAsia="Times New Roman" w:hAnsi="Times New Roman"/>
                <w:sz w:val="13"/>
                <w:szCs w:val="13"/>
                <w:color w:val="auto"/>
              </w:rPr>
              <w:t>2,960,944</w:t>
            </w:r>
          </w:p>
        </w:tc>
        <w:tc>
          <w:tcPr>
            <w:tcW w:w="1080" w:type="dxa"/>
            <w:vAlign w:val="bottom"/>
            <w:tcBorders>
              <w:bottom w:val="single" w:sz="8" w:color="CFF0FC"/>
            </w:tcBorders>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2,636,700</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PVHC Holding Corp</w:t>
            </w:r>
          </w:p>
        </w:tc>
        <w:tc>
          <w:tcPr>
            <w:tcW w:w="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(8)(13)(14)</w:t>
            </w:r>
          </w:p>
        </w:tc>
        <w:tc>
          <w:tcPr>
            <w:tcW w:w="332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Loan</w:t>
            </w:r>
          </w:p>
        </w:tc>
        <w:tc>
          <w:tcPr>
            <w:tcW w:w="1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8"/>
              </w:rPr>
              <w:t>5711 Old Buncombe Road, Greenville, SC</w:t>
            </w:r>
          </w:p>
        </w:tc>
        <w:tc>
          <w:tcPr>
            <w:tcW w:w="640" w:type="dxa"/>
            <w:vAlign w:val="bottom"/>
            <w:shd w:val="clear" w:color="auto" w:fill="CFF0FC"/>
          </w:tcPr>
          <w:p>
            <w:pPr>
              <w:spacing w:after="0"/>
              <w:rPr>
                <w:sz w:val="11"/>
                <w:szCs w:val="11"/>
                <w:color w:val="auto"/>
              </w:rPr>
            </w:pPr>
          </w:p>
        </w:tc>
        <w:tc>
          <w:tcPr>
            <w:tcW w:w="33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5.8% Cash, 3 Month Libor (1.00%) + 4.75%; Libor Floor</w:t>
            </w:r>
          </w:p>
        </w:tc>
        <w:tc>
          <w:tcPr>
            <w:tcW w:w="1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29609   Containers, Packaging and Glass</w:t>
            </w:r>
          </w:p>
        </w:tc>
        <w:tc>
          <w:tcPr>
            <w:tcW w:w="640" w:type="dxa"/>
            <w:vAlign w:val="bottom"/>
            <w:shd w:val="clear" w:color="auto" w:fill="CFF0FC"/>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1.00% , Due 8/24</w:t>
            </w:r>
          </w:p>
        </w:tc>
        <w:tc>
          <w:tcPr>
            <w:tcW w:w="12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color w:val="auto"/>
              </w:rPr>
              <w:t>8/10/2018</w:t>
            </w:r>
          </w:p>
        </w:tc>
        <w:tc>
          <w:tcPr>
            <w:tcW w:w="124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rPr>
              <w:t>2,822,400</w:t>
            </w:r>
          </w:p>
        </w:tc>
        <w:tc>
          <w:tcPr>
            <w:tcW w:w="1360" w:type="dxa"/>
            <w:vAlign w:val="bottom"/>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rPr>
              <w:t>2,813,322</w:t>
            </w:r>
          </w:p>
        </w:tc>
        <w:tc>
          <w:tcPr>
            <w:tcW w:w="10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2,511,372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2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20" w:type="dxa"/>
            <w:vAlign w:val="bottom"/>
            <w:gridSpan w:val="2"/>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Radiology Partners, Inc.</w:t>
            </w:r>
          </w:p>
        </w:tc>
        <w:tc>
          <w:tcPr>
            <w:tcW w:w="780" w:type="dxa"/>
            <w:vAlign w:val="bottom"/>
            <w:gridSpan w:val="2"/>
            <w:shd w:val="clear" w:color="auto" w:fill="CFF0FC"/>
          </w:tcPr>
          <w:p>
            <w:pPr>
              <w:ind w:left="40"/>
              <w:spacing w:after="0" w:line="124" w:lineRule="exact"/>
              <w:rPr>
                <w:sz w:val="20"/>
                <w:szCs w:val="20"/>
                <w:color w:val="auto"/>
              </w:rPr>
            </w:pPr>
            <w:r>
              <w:rPr>
                <w:rFonts w:ascii="Times New Roman" w:cs="Times New Roman" w:eastAsia="Times New Roman" w:hAnsi="Times New Roman"/>
                <w:sz w:val="11"/>
                <w:szCs w:val="11"/>
                <w:color w:val="auto"/>
              </w:rPr>
              <w:t>(8)(14)(22)</w:t>
            </w:r>
          </w:p>
        </w:tc>
        <w:tc>
          <w:tcPr>
            <w:tcW w:w="2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2101 El Segundo Boulevard, Suite 401, El</w:t>
            </w:r>
          </w:p>
        </w:tc>
        <w:tc>
          <w:tcPr>
            <w:tcW w:w="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Senior Secured Loan — Term B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Segundo, CA 90245   Healthcare &amp;</w:t>
            </w:r>
          </w:p>
        </w:tc>
        <w:tc>
          <w:tcPr>
            <w:tcW w:w="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6.0% Cash, 12 Month Libor (1.74%) + 4.25% , Due 7/25</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Pharmaceuticals</w:t>
            </w:r>
          </w:p>
        </w:tc>
        <w:tc>
          <w:tcPr>
            <w:tcW w:w="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3/24/2020</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5,785,448</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6,735,750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Radius Aerospace, Inc.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5425 Wisconsin Avenue, Suite 200, Chevy</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6.8% Cash, 3 Month Libor (1.00%) + 5.75%;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Chase, MD 20815</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3/25</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Aerospace and Defense</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6,895,000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6,814,157</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6,571,624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Ravn Air Group, Inc.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(5)(8)(13)(14)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4700 Old International Airport Road,</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6.0% Cash, 3 Month Libor (1.00%) + 5.00%;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Anchorage, AK 99502</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7/21</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Aerospace and Defense</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7/29/2015</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1,116,176</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272,124</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247,679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Robertshaw US Holding Corp. (fka Fox US</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Bidco Corp.)</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9.0% Cash, 6 Month Libor (1.00%) + 8.00%;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1222 Hamilton Parkway Itasca, IL 60143</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2/26</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Capital Equipment</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2/15/2018</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2,979,671</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1,852,500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Roscoe Medical, Inc.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21973 Commerce Parkway, Strongsville,</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11.3% Cash, Due 3/21</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OH 44149   Healthcare &amp; Pharmaceuticals</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3/26/2014</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6,700,000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6,685,924</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7,563,000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Safe Fleet Holdings LLC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(8)(14)</w:t>
            </w:r>
          </w:p>
        </w:tc>
        <w:tc>
          <w:tcPr>
            <w:tcW w:w="30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6800 East 163rd Street, Belton, MO</w:t>
            </w:r>
          </w:p>
        </w:tc>
        <w:tc>
          <w:tcPr>
            <w:tcW w:w="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7.8% Cash, 6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64012</w:t>
            </w:r>
          </w:p>
        </w:tc>
        <w:tc>
          <w:tcPr>
            <w:tcW w:w="2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Automotive</w:t>
            </w:r>
          </w:p>
        </w:tc>
        <w:tc>
          <w:tcPr>
            <w:tcW w:w="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620,301</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591,500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San Vicente Capital LLC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11726 San Vicente Blvd., Suite 300 Los</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9.5% Cash, 3 Month Libor (2.00%) + 7.50%;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Angeles, CA 90049</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2.00% , Due 6/25</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Telecommunication</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6/10/2020</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2,957,784</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3,000,000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SCSG EA Acquisition Company, Inc.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6"/>
              </w:rPr>
              <w:t>1 American Center, 3100 West End Avenue,</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9.3% Cash, 3 Month Libor (1.00%) + 8.25%;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Suite 150 Nashville, TN 37203   Healthcare</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9/24</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&amp; Pharmaceuticals</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8/18/2017</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6,000,000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5,965,897</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5,682,000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Smartronix, Inc,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(8)(13)(14)(22)</w:t>
            </w: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2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23540 Cottonwood Pkwy, California, MD</w:t>
            </w:r>
          </w:p>
        </w:tc>
        <w:tc>
          <w:tcPr>
            <w:tcW w:w="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30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7.5% Cash, 3 Month Libor (2.00%) + 5.50%; Libor</w:t>
            </w:r>
          </w:p>
        </w:tc>
        <w:tc>
          <w:tcPr>
            <w:tcW w:w="10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00" w:type="dxa"/>
            <w:vAlign w:val="bottom"/>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20619</w:t>
            </w: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2.00% , Due 12/25</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Services: Business</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5/1/2020</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4,974,937</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4,743,559</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4,790,367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Syndigo LLC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2019 Incremental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6"/>
              </w:rPr>
              <w:t>141 W. Jackson Blvd, Ste. 1220 Chicago, IL</w:t>
            </w:r>
          </w:p>
        </w:tc>
        <w:tc>
          <w:tcPr>
            <w:tcW w:w="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6.5% Cash, 6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60604</w:t>
            </w:r>
          </w:p>
        </w:tc>
        <w:tc>
          <w:tcPr>
            <w:tcW w:w="2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Services: Business</w:t>
            </w:r>
          </w:p>
        </w:tc>
        <w:tc>
          <w:tcPr>
            <w:tcW w:w="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8/23/2019</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7,857,701</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7,733,455</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7,618,827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Tailwind Randys, LLC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485 Lexington Avenue, New York, NY</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6.0% Cash, 3 Month Libor (1.00%) + 5.00%;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10017</w:t>
            </w: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5/25</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Automotive</w:t>
            </w:r>
          </w:p>
        </w:tc>
        <w:tc>
          <w:tcPr>
            <w:tcW w:w="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4,937,500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4,869,538</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4,773,575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 Holdings LLC</w:t>
            </w:r>
          </w:p>
        </w:tc>
        <w:tc>
          <w:tcPr>
            <w:tcW w:w="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(5)(8)(9)(13)</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42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6"/>
              </w:rPr>
              <w:t>575 Fifth Avenue 14th Floor, New York NY</w:t>
            </w: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TankConvert</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10017</w:t>
            </w: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0.0% Cash, 10.0% PIK, Due 2/22</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42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Energy: Oil &amp; Gas</w:t>
            </w:r>
          </w:p>
        </w:tc>
        <w:tc>
          <w:tcPr>
            <w:tcW w:w="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3020" w:type="dxa"/>
            <w:vAlign w:val="bottom"/>
            <w:gridSpan w:val="2"/>
            <w:vMerge w:val="continue"/>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2/15/2019</w:t>
            </w:r>
          </w:p>
        </w:tc>
        <w:tc>
          <w:tcPr>
            <w:tcW w:w="120" w:type="dxa"/>
            <w:vAlign w:val="bottom"/>
            <w:shd w:val="clear" w:color="auto" w:fill="CFF0FC"/>
          </w:tcPr>
          <w:p>
            <w:pPr>
              <w:spacing w:after="0"/>
              <w:rPr>
                <w:sz w:val="8"/>
                <w:szCs w:val="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699,199</w:t>
            </w:r>
          </w:p>
        </w:tc>
        <w:tc>
          <w:tcPr>
            <w:tcW w:w="240" w:type="dxa"/>
            <w:vAlign w:val="bottom"/>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620,146</w:t>
            </w:r>
          </w:p>
        </w:tc>
        <w:tc>
          <w:tcPr>
            <w:tcW w:w="240" w:type="dxa"/>
            <w:vAlign w:val="bottom"/>
            <w:shd w:val="clear" w:color="auto" w:fill="CFF0FC"/>
          </w:tcPr>
          <w:p>
            <w:pPr>
              <w:spacing w:after="0"/>
              <w:rPr>
                <w:sz w:val="8"/>
                <w:szCs w:val="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301,984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420" w:type="dxa"/>
            <w:vAlign w:val="bottom"/>
            <w:gridSpan w:val="2"/>
            <w:vMerge w:val="continue"/>
            <w:shd w:val="clear" w:color="auto" w:fill="CFF0FC"/>
          </w:tcPr>
          <w:p>
            <w:pPr>
              <w:spacing w:after="0"/>
              <w:rPr>
                <w:sz w:val="4"/>
                <w:szCs w:val="4"/>
                <w:color w:val="auto"/>
              </w:rPr>
            </w:pPr>
          </w:p>
        </w:tc>
        <w:tc>
          <w:tcPr>
            <w:tcW w:w="4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288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0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2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18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2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40" w:type="dxa"/>
            <w:vAlign w:val="bottom"/>
            <w:gridSpan w:val="2"/>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Tex-Tech Industries, Inc.</w:t>
            </w:r>
          </w:p>
        </w:tc>
        <w:tc>
          <w:tcPr>
            <w:tcW w:w="760" w:type="dxa"/>
            <w:vAlign w:val="bottom"/>
            <w:gridSpan w:val="2"/>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color w:val="auto"/>
              </w:rPr>
              <w:t>(8)(13)(14)</w:t>
            </w:r>
          </w:p>
        </w:tc>
        <w:tc>
          <w:tcPr>
            <w:tcW w:w="28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One City Center, 11th Floor, Portland, ME</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 Cash, 3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04101</w:t>
            </w:r>
          </w:p>
        </w:tc>
        <w:tc>
          <w:tcPr>
            <w:tcW w:w="2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Textiles and Leather</w:t>
            </w: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8/24/2017</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12,508,000</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12,408,780</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11,382,280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TLE Holdings, LLC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210 Hillsboro Technology Drive, Deerfield</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7.0% Cash, 6 Month Libor (1.00%) + 6.00%;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Beach, FL 33441</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6/24</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4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Healthcare, Education and Childcare</w:t>
            </w:r>
          </w:p>
        </w:tc>
        <w:tc>
          <w:tcPr>
            <w:tcW w:w="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746,640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745,343</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704,679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TLE Holdings, LLC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(8)(13)(14)(22)</w:t>
            </w: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Senior Secured Loan — Initial Term Loan</w:t>
            </w: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40" w:type="dxa"/>
            <w:vAlign w:val="bottom"/>
            <w:gridSpan w:val="2"/>
            <w:shd w:val="clear" w:color="auto" w:fill="CFF0FC"/>
          </w:tcPr>
          <w:p>
            <w:pPr>
              <w:ind w:left="160"/>
              <w:spacing w:after="0" w:line="76" w:lineRule="exact"/>
              <w:rPr>
                <w:sz w:val="20"/>
                <w:szCs w:val="20"/>
                <w:color w:val="auto"/>
              </w:rPr>
            </w:pPr>
            <w:r>
              <w:rPr>
                <w:rFonts w:ascii="Times New Roman" w:cs="Times New Roman" w:eastAsia="Times New Roman" w:hAnsi="Times New Roman"/>
                <w:sz w:val="8"/>
                <w:szCs w:val="8"/>
                <w:color w:val="auto"/>
              </w:rPr>
              <w:t>210 Hillsboro Technology Drive, Deerfield</w:t>
            </w:r>
          </w:p>
        </w:tc>
        <w:tc>
          <w:tcPr>
            <w:tcW w:w="2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3020" w:type="dxa"/>
            <w:vAlign w:val="bottom"/>
            <w:gridSpan w:val="2"/>
            <w:vMerge w:val="restart"/>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7.0% Cash, 6 Month Libor (1.00%) + 6.00%; Libor</w:t>
            </w:r>
          </w:p>
        </w:tc>
        <w:tc>
          <w:tcPr>
            <w:tcW w:w="10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Beach, FL 33441</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6/24</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4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Healthcare, Education and Childcare</w:t>
            </w:r>
          </w:p>
        </w:tc>
        <w:tc>
          <w:tcPr>
            <w:tcW w:w="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5,645,596</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5,625,975</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5,328,313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TronAir Parent Inc.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(8)(13)(14)(22)</w:t>
            </w:r>
          </w:p>
        </w:tc>
        <w:tc>
          <w:tcPr>
            <w:tcW w:w="30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One Embarcadero Center, 39th Floor, San</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5.8% 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w w:val="99"/>
              </w:rPr>
              <w:t>Francisco, CA 94111   Aerospace and Defense</w:t>
            </w: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9/30/2016</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969,697</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968,446</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826,085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TRSO I, Inc.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2700 E. Interstate 20 P.O. Box 2488,</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14.0% Cash, 3 Month Libor (1.00%) + 13.00%; Libor</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Odessa, TX 79760</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5/20</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40" w:type="dxa"/>
            <w:vAlign w:val="bottom"/>
            <w:tcBorders>
              <w:bottom w:val="single" w:sz="8" w:color="CFF0FC"/>
            </w:tcBorders>
            <w:gridSpan w:val="2"/>
            <w:shd w:val="clear" w:color="auto" w:fill="CFF0FC"/>
          </w:tcPr>
          <w:p>
            <w:pPr>
              <w:ind w:left="200"/>
              <w:spacing w:after="0" w:line="133" w:lineRule="exact"/>
              <w:rPr>
                <w:sz w:val="20"/>
                <w:szCs w:val="20"/>
                <w:color w:val="auto"/>
              </w:rPr>
            </w:pPr>
            <w:r>
              <w:rPr>
                <w:rFonts w:ascii="Times New Roman" w:cs="Times New Roman" w:eastAsia="Times New Roman" w:hAnsi="Times New Roman"/>
                <w:sz w:val="13"/>
                <w:szCs w:val="13"/>
                <w:color w:val="auto"/>
              </w:rPr>
              <w:t>Energy: Oil &amp; Gas</w:t>
            </w:r>
          </w:p>
        </w:tc>
        <w:tc>
          <w:tcPr>
            <w:tcW w:w="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12/24/2012</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999,962</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TRSO II, Inc.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(5)(8)(13)</w:t>
            </w: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2700 E. Interstate 20 P.O. Box 2488,</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Junior Secured Loan — Promissory Note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Odessa, TX 79760</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0.0% Cash, 1.7% PIK, Due 1/25</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Energy: Oil &amp; Gas</w:t>
            </w: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1/24/2020</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71,321</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71,322</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Vectra Co.</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(8)(14)</w:t>
            </w: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Junior Secured Loan — Initial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w w:val="95"/>
              </w:rPr>
              <w:t>120 South Central Ave., Suite 200, St. Louis,</w:t>
            </w: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40" w:type="dxa"/>
            <w:vAlign w:val="bottom"/>
            <w:gridSpan w:val="2"/>
            <w:vMerge w:val="continue"/>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3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7.4% Cash, 1 Month Libor (0.15%) + 7.25% , Due 3/26</w:t>
            </w: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40" w:type="dxa"/>
            <w:vAlign w:val="bottom"/>
            <w:tcBorders>
              <w:bottom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MO 63105   Chemicals, Plastics &amp; Rubber</w:t>
            </w:r>
          </w:p>
        </w:tc>
        <w:tc>
          <w:tcPr>
            <w:tcW w:w="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3020" w:type="dxa"/>
            <w:vAlign w:val="bottom"/>
            <w:tcBorders>
              <w:bottom w:val="single" w:sz="8" w:color="CFF0FC"/>
            </w:tcBorders>
            <w:gridSpan w:val="2"/>
            <w:vMerge w:val="continue"/>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400,000</w:t>
            </w:r>
          </w:p>
        </w:tc>
        <w:tc>
          <w:tcPr>
            <w:tcW w:w="2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352,407</w:t>
            </w:r>
          </w:p>
        </w:tc>
        <w:tc>
          <w:tcPr>
            <w:tcW w:w="24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377,000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Wash MultiFamily Acquisition Inc.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(8)(13)(14)</w:t>
            </w:r>
          </w:p>
        </w:tc>
        <w:tc>
          <w:tcPr>
            <w:tcW w:w="30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US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100 N. Spulveda Boulevard, 12th Floor, El</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Segundo, CA 90245</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Consumer goods: Durable</w:t>
            </w: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2,978,354</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2,633,233</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2,583,722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WireCo WorldGroup Inc.</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(8)(14)</w:t>
            </w:r>
          </w:p>
        </w:tc>
        <w:tc>
          <w:tcPr>
            <w:tcW w:w="302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2400 W75th St., Prairie Village, KS</w:t>
            </w:r>
          </w:p>
        </w:tc>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 Cash, 6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66208</w:t>
            </w:r>
          </w:p>
        </w:tc>
        <w:tc>
          <w:tcPr>
            <w:tcW w:w="2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Capital Equipment</w:t>
            </w: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8/9/2016</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3,000,000</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2,977,491</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240"/>
          </w:cols>
          <w:pgMar w:left="320" w:top="361" w:right="339" w:bottom="1440" w:gutter="0" w:footer="0" w:header="0"/>
        </w:sect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Wonder Love, Inc.</w:t>
            </w:r>
          </w:p>
        </w:tc>
        <w:tc>
          <w:tcPr>
            <w:tcW w:w="3660" w:type="dxa"/>
            <w:vAlign w:val="bottom"/>
          </w:tcPr>
          <w:p>
            <w:pPr>
              <w:ind w:left="60"/>
              <w:spacing w:after="0"/>
              <w:rPr>
                <w:sz w:val="20"/>
                <w:szCs w:val="20"/>
                <w:color w:val="auto"/>
              </w:rPr>
            </w:pPr>
            <w:r>
              <w:rPr>
                <w:rFonts w:ascii="Times New Roman" w:cs="Times New Roman" w:eastAsia="Times New Roman" w:hAnsi="Times New Roman"/>
                <w:sz w:val="21"/>
                <w:szCs w:val="21"/>
                <w:color w:val="auto"/>
                <w:vertAlign w:val="superscript"/>
              </w:rPr>
              <w:t>(8)(13)(14)(22)</w:t>
            </w:r>
            <w:r>
              <w:rPr>
                <w:rFonts w:ascii="Times New Roman" w:cs="Times New Roman" w:eastAsia="Times New Roman" w:hAnsi="Times New Roman"/>
                <w:sz w:val="13"/>
                <w:szCs w:val="13"/>
                <w:color w:val="auto"/>
              </w:rPr>
              <w:t xml:space="preserve">  Senior Secured Loan — Term Loan</w:t>
            </w:r>
          </w:p>
        </w:tc>
        <w:tc>
          <w:tcPr>
            <w:tcW w:w="0" w:type="dxa"/>
            <w:vAlign w:val="bottom"/>
          </w:tcPr>
          <w:p>
            <w:pPr>
              <w:spacing w:after="0"/>
              <w:rPr>
                <w:sz w:val="1"/>
                <w:szCs w:val="1"/>
                <w:color w:val="auto"/>
              </w:rPr>
            </w:pPr>
          </w:p>
        </w:tc>
      </w:tr>
      <w:tr>
        <w:trPr>
          <w:trHeight w:val="76"/>
        </w:trPr>
        <w:tc>
          <w:tcPr>
            <w:tcW w:w="240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auto"/>
              </w:rPr>
              <w:t>1875 Century Park East, Suite 1200, Los</w:t>
            </w:r>
          </w:p>
        </w:tc>
        <w:tc>
          <w:tcPr>
            <w:tcW w:w="3660" w:type="dxa"/>
            <w:vAlign w:val="bottom"/>
            <w:vMerge w:val="restart"/>
          </w:tcPr>
          <w:p>
            <w:pPr>
              <w:ind w:left="800"/>
              <w:spacing w:after="0" w:line="144" w:lineRule="exact"/>
              <w:rPr>
                <w:sz w:val="20"/>
                <w:szCs w:val="20"/>
                <w:color w:val="auto"/>
              </w:rPr>
            </w:pPr>
            <w:r>
              <w:rPr>
                <w:rFonts w:ascii="Times New Roman" w:cs="Times New Roman" w:eastAsia="Times New Roman" w:hAnsi="Times New Roman"/>
                <w:sz w:val="13"/>
                <w:szCs w:val="13"/>
                <w:color w:val="auto"/>
              </w:rPr>
              <w:t>6.0% Cash, 3 Month Libor (1.00%) + 5.00%; Libor</w:t>
            </w:r>
          </w:p>
        </w:tc>
        <w:tc>
          <w:tcPr>
            <w:tcW w:w="0" w:type="dxa"/>
            <w:vAlign w:val="bottom"/>
          </w:tcPr>
          <w:p>
            <w:pPr>
              <w:spacing w:after="0"/>
              <w:rPr>
                <w:sz w:val="1"/>
                <w:szCs w:val="1"/>
                <w:color w:val="auto"/>
              </w:rPr>
            </w:pPr>
          </w:p>
        </w:tc>
      </w:tr>
      <w:tr>
        <w:trPr>
          <w:trHeight w:val="68"/>
        </w:trPr>
        <w:tc>
          <w:tcPr>
            <w:tcW w:w="240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Angeles, CA 90067   Media: Diversified</w:t>
            </w:r>
          </w:p>
        </w:tc>
        <w:tc>
          <w:tcPr>
            <w:tcW w:w="3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3660" w:type="dxa"/>
            <w:vAlign w:val="bottom"/>
            <w:vMerge w:val="restart"/>
          </w:tcPr>
          <w:p>
            <w:pPr>
              <w:ind w:left="800"/>
              <w:spacing w:after="0"/>
              <w:rPr>
                <w:sz w:val="20"/>
                <w:szCs w:val="20"/>
                <w:color w:val="auto"/>
              </w:rPr>
            </w:pPr>
            <w:r>
              <w:rPr>
                <w:rFonts w:ascii="Times New Roman" w:cs="Times New Roman" w:eastAsia="Times New Roman" w:hAnsi="Times New Roman"/>
                <w:sz w:val="13"/>
                <w:szCs w:val="13"/>
                <w:color w:val="auto"/>
              </w:rPr>
              <w:t>Floor 1.00% , Due 11/24</w:t>
            </w:r>
          </w:p>
        </w:tc>
        <w:tc>
          <w:tcPr>
            <w:tcW w:w="0" w:type="dxa"/>
            <w:vAlign w:val="bottom"/>
          </w:tcPr>
          <w:p>
            <w:pPr>
              <w:spacing w:after="0"/>
              <w:rPr>
                <w:sz w:val="1"/>
                <w:szCs w:val="1"/>
                <w:color w:val="auto"/>
              </w:rPr>
            </w:pPr>
          </w:p>
        </w:tc>
      </w:tr>
      <w:tr>
        <w:trPr>
          <w:trHeight w:val="97"/>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&amp; Production</w:t>
            </w: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vMerge w:val="continue"/>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Zest Acquisition Corp.</w:t>
            </w:r>
          </w:p>
        </w:tc>
        <w:tc>
          <w:tcPr>
            <w:tcW w:w="3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 xml:space="preserve">(8)(13)(14)(18)  </w:t>
            </w:r>
            <w:r>
              <w:rPr>
                <w:rFonts w:ascii="Times New Roman" w:cs="Times New Roman" w:eastAsia="Times New Roman" w:hAnsi="Times New Roman"/>
                <w:sz w:val="12"/>
                <w:szCs w:val="12"/>
                <w:color w:val="auto"/>
              </w:rPr>
              <w:t>Junior Secured Loan — Initial Term Loan (Second Lien)</w:t>
            </w:r>
          </w:p>
        </w:tc>
        <w:tc>
          <w:tcPr>
            <w:tcW w:w="0" w:type="dxa"/>
            <w:vAlign w:val="bottom"/>
          </w:tcPr>
          <w:p>
            <w:pPr>
              <w:spacing w:after="0"/>
              <w:rPr>
                <w:sz w:val="1"/>
                <w:szCs w:val="1"/>
                <w:color w:val="auto"/>
              </w:rPr>
            </w:pPr>
          </w:p>
        </w:tc>
      </w:tr>
      <w:tr>
        <w:trPr>
          <w:trHeight w:val="135"/>
        </w:trPr>
        <w:tc>
          <w:tcPr>
            <w:tcW w:w="24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2875 Loker Avenue East, Carlsbad, CA</w:t>
            </w:r>
          </w:p>
        </w:tc>
        <w:tc>
          <w:tcPr>
            <w:tcW w:w="3660" w:type="dxa"/>
            <w:vAlign w:val="bottom"/>
          </w:tcPr>
          <w:p>
            <w:pPr>
              <w:ind w:left="800"/>
              <w:spacing w:after="0" w:line="135" w:lineRule="exact"/>
              <w:rPr>
                <w:sz w:val="20"/>
                <w:szCs w:val="20"/>
                <w:color w:val="auto"/>
              </w:rPr>
            </w:pPr>
            <w:r>
              <w:rPr>
                <w:rFonts w:ascii="Times New Roman" w:cs="Times New Roman" w:eastAsia="Times New Roman" w:hAnsi="Times New Roman"/>
                <w:sz w:val="13"/>
                <w:szCs w:val="13"/>
                <w:color w:val="auto"/>
              </w:rPr>
              <w:t>8.7% Cash, 1 Month Libor (1.00%) + 7.66%; Libor</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92010   Healthcare, Education and Childcare</w:t>
            </w:r>
          </w:p>
        </w:tc>
        <w:tc>
          <w:tcPr>
            <w:tcW w:w="36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Floor 1.00% , Due 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35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 Investment in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3"/>
          <w:szCs w:val="13"/>
          <w:b w:val="1"/>
          <w:bCs w:val="1"/>
          <w:color w:val="auto"/>
        </w:rPr>
        <w:t>(162%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4"/>
              </w:rPr>
              <w:t>11/18/2019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2,775,000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2,729,175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2,584,357</w:t>
            </w:r>
          </w:p>
        </w:tc>
      </w:tr>
      <w:tr>
        <w:trPr>
          <w:trHeight w:val="567"/>
        </w:trPr>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3/8/2018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3,464,818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2,896,250</w:t>
            </w:r>
          </w:p>
        </w:tc>
      </w:tr>
      <w:tr>
        <w:trPr>
          <w:trHeight w:val="421"/>
        </w:trPr>
        <w:tc>
          <w:tcPr>
            <w:tcW w:w="720" w:type="dxa"/>
            <w:vAlign w:val="bottom"/>
          </w:tcPr>
          <w:p>
            <w:pPr>
              <w:spacing w:after="0"/>
              <w:rPr>
                <w:sz w:val="24"/>
                <w:szCs w:val="24"/>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226,246,739</w:t>
            </w:r>
          </w:p>
        </w:tc>
        <w:tc>
          <w:tcPr>
            <w:tcW w:w="240" w:type="dxa"/>
            <w:vAlign w:val="bottom"/>
          </w:tcPr>
          <w:p>
            <w:pPr>
              <w:spacing w:after="0"/>
              <w:rPr>
                <w:sz w:val="24"/>
                <w:szCs w:val="24"/>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216,394,990</w:t>
            </w:r>
          </w:p>
        </w:tc>
        <w:tc>
          <w:tcPr>
            <w:tcW w:w="240" w:type="dxa"/>
            <w:vAlign w:val="bottom"/>
          </w:tcPr>
          <w:p>
            <w:pPr>
              <w:spacing w:after="0"/>
              <w:rPr>
                <w:sz w:val="24"/>
                <w:szCs w:val="24"/>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204,566,258</w:t>
            </w:r>
          </w:p>
        </w:tc>
      </w:tr>
    </w:tbl>
    <w:p>
      <w:pPr>
        <w:spacing w:after="0" w:line="200" w:lineRule="exact"/>
        <w:rPr>
          <w:sz w:val="20"/>
          <w:szCs w:val="20"/>
          <w:color w:val="auto"/>
        </w:rPr>
      </w:pPr>
    </w:p>
    <w:p>
      <w:pPr>
        <w:sectPr>
          <w:pgSz w:w="11900" w:h="16838" w:orient="portrait"/>
          <w:cols w:equalWidth="0" w:num="2">
            <w:col w:w="6060" w:space="580"/>
            <w:col w:w="4600"/>
          </w:cols>
          <w:pgMar w:left="320" w:top="361" w:right="33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74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74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5"/>
              </w:rPr>
              <w:t>Ownership/Shares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3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4L Technologies Inc.</w:t>
            </w:r>
            <w:r>
              <w:rPr>
                <w:rFonts w:ascii="Times New Roman" w:cs="Times New Roman" w:eastAsia="Times New Roman" w:hAnsi="Times New Roman"/>
                <w:sz w:val="10"/>
                <w:szCs w:val="10"/>
                <w:color w:val="auto"/>
              </w:rPr>
              <w:t>(8)(13)(19)</w:t>
            </w:r>
          </w:p>
        </w:tc>
        <w:tc>
          <w:tcPr>
            <w:tcW w:w="140" w:type="dxa"/>
            <w:vAlign w:val="bottom"/>
            <w:tcBorders>
              <w:top w:val="single" w:sz="8" w:color="CFF0FC"/>
            </w:tcBorders>
            <w:shd w:val="clear" w:color="auto" w:fill="CFF0FC"/>
          </w:tcPr>
          <w:p>
            <w:pPr>
              <w:spacing w:after="0"/>
              <w:rPr>
                <w:sz w:val="10"/>
                <w:szCs w:val="10"/>
                <w:color w:val="auto"/>
              </w:rPr>
            </w:pPr>
          </w:p>
        </w:tc>
        <w:tc>
          <w:tcPr>
            <w:tcW w:w="19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Class A Preferred Units</w:t>
            </w:r>
          </w:p>
        </w:tc>
        <w:tc>
          <w:tcPr>
            <w:tcW w:w="140" w:type="dxa"/>
            <w:vAlign w:val="bottom"/>
            <w:tcBorders>
              <w:top w:val="single" w:sz="8" w:color="CFF0FC"/>
            </w:tcBorders>
            <w:shd w:val="clear" w:color="auto" w:fill="CFF0FC"/>
          </w:tcPr>
          <w:p>
            <w:pPr>
              <w:spacing w:after="0"/>
              <w:rPr>
                <w:sz w:val="10"/>
                <w:szCs w:val="10"/>
                <w:color w:val="auto"/>
              </w:rPr>
            </w:pPr>
          </w:p>
        </w:tc>
        <w:tc>
          <w:tcPr>
            <w:tcW w:w="13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4200 Columbus Street Ottawa, IL 61350</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5/29/2020</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29,277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29,275</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AAPC Holdings LLC.</w:t>
            </w:r>
            <w:r>
              <w:rPr>
                <w:rFonts w:ascii="Times New Roman" w:cs="Times New Roman" w:eastAsia="Times New Roman" w:hAnsi="Times New Roman"/>
                <w:sz w:val="10"/>
                <w:szCs w:val="10"/>
                <w:color w:val="auto"/>
              </w:rPr>
              <w:t>(8)(13)(22)(23)</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Class A Preferred Units; 18% PIK;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2222 Sedwick Drive Durham, NC 27713</w:t>
            </w:r>
          </w:p>
        </w:tc>
        <w:tc>
          <w:tcPr>
            <w:tcW w:w="20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2.99%</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5,500,000</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Advanced Lighting Technologies, Inc.</w:t>
            </w:r>
            <w:r>
              <w:rPr>
                <w:rFonts w:ascii="Times New Roman" w:cs="Times New Roman" w:eastAsia="Times New Roman" w:hAnsi="Times New Roman"/>
                <w:sz w:val="10"/>
                <w:szCs w:val="10"/>
                <w:color w:val="auto"/>
              </w:rPr>
              <w:t>(8)(13)(19)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7905 Cochran Road Suite 300 Glenwillow, OH 44139</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Consumer goods: Durable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6/13/2012</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1.90%</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Advanced Lighting Technologies, Inc.</w:t>
            </w:r>
            <w:r>
              <w:rPr>
                <w:rFonts w:ascii="Times New Roman" w:cs="Times New Roman" w:eastAsia="Times New Roman" w:hAnsi="Times New Roman"/>
                <w:sz w:val="10"/>
                <w:szCs w:val="10"/>
                <w:color w:val="auto"/>
              </w:rPr>
              <w:t>(8)(13)(19)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Membership Interests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7905 Cochran Road Suite 300 Glenwillow, OH 44139</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Consumer goods: Durable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6/13/2012</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0.40%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Advantage Capital Holdings LLC</w:t>
            </w:r>
            <w:r>
              <w:rPr>
                <w:rFonts w:ascii="Times New Roman" w:cs="Times New Roman" w:eastAsia="Times New Roman" w:hAnsi="Times New Roman"/>
                <w:sz w:val="10"/>
                <w:szCs w:val="10"/>
                <w:color w:val="auto"/>
              </w:rPr>
              <w:t>(8)(13)(19)(23)</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Class A 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415 Bedford Road - Suite 102, Pleasantville, NY, 10570</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2/14/2020</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0.51%</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0"/>
                <w:szCs w:val="10"/>
                <w:color w:val="auto"/>
              </w:rPr>
              <w:t>(8)(13)(19)(22)</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 Class A,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43,887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86,241</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0"/>
                <w:szCs w:val="10"/>
                <w:color w:val="auto"/>
              </w:rPr>
              <w:t>(8)(13)(19)(22)</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 Class B,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0"/>
                <w:szCs w:val="10"/>
                <w:color w:val="auto"/>
              </w:rPr>
              <w:t>(8)(13)(19)(22)</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 Common Stock, 9/29</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20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ATP Oil &amp; Gas Corporation</w:t>
            </w:r>
            <w:r>
              <w:rPr>
                <w:rFonts w:ascii="Times New Roman" w:cs="Times New Roman" w:eastAsia="Times New Roman" w:hAnsi="Times New Roman"/>
                <w:sz w:val="10"/>
                <w:szCs w:val="10"/>
                <w:color w:val="auto"/>
              </w:rPr>
              <w:t>(8)(12)(19)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Limited Term Royalty Interest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4600 Post Oak Place, Suite 100, Houston, TX, 77027</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2,395,470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2,035,521</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Carestream Health Inc. </w:t>
            </w:r>
            <w:r>
              <w:rPr>
                <w:rFonts w:ascii="Times New Roman" w:cs="Times New Roman" w:eastAsia="Times New Roman" w:hAnsi="Times New Roman"/>
                <w:sz w:val="10"/>
                <w:szCs w:val="10"/>
                <w:color w:val="auto"/>
              </w:rPr>
              <w:t>(8)(12)(19)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150 Verona Street, Rochester, NY 14608</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0.00%</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eInstruction Acquisition, LLC</w:t>
            </w:r>
            <w:r>
              <w:rPr>
                <w:rFonts w:ascii="Times New Roman" w:cs="Times New Roman" w:eastAsia="Times New Roman" w:hAnsi="Times New Roman"/>
                <w:sz w:val="10"/>
                <w:szCs w:val="10"/>
                <w:color w:val="auto"/>
              </w:rPr>
              <w:t>(8)(13)(19)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255 W Federal St, Youngstown, OH 44503</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Services: Business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7/2/2007</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1,079,617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EJF Investments Ltd.</w:t>
            </w:r>
            <w:r>
              <w:rPr>
                <w:rFonts w:ascii="Times New Roman" w:cs="Times New Roman" w:eastAsia="Times New Roman" w:hAnsi="Times New Roman"/>
                <w:sz w:val="10"/>
                <w:szCs w:val="10"/>
                <w:color w:val="auto"/>
              </w:rPr>
              <w:t>(3)(13)(19)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Preferred Equity, 0%; 6/25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399 Park Ave, New York, NY 10043</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Services: Business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6/17/2020</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1,256,485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1,317,840</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FP WRCA Coinvestment Fund VII, Ltd.</w:t>
            </w:r>
            <w:r>
              <w:rPr>
                <w:rFonts w:ascii="Times New Roman" w:cs="Times New Roman" w:eastAsia="Times New Roman" w:hAnsi="Times New Roman"/>
                <w:sz w:val="10"/>
                <w:szCs w:val="10"/>
                <w:color w:val="auto"/>
              </w:rPr>
              <w:t>(3)(13)(19)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Class A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2400 W75th St., Prairie Village, KS 66208</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Capital Equipment</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2/2/2007</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0.21%</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480,150</w:t>
            </w:r>
          </w:p>
        </w:tc>
        <w:tc>
          <w:tcPr>
            <w:tcW w:w="100" w:type="dxa"/>
            <w:vAlign w:val="bottom"/>
            <w:shd w:val="clear" w:color="auto" w:fill="CFF0FC"/>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New Millennium Holdco, Inc. (Millennium</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Health, LLC)</w:t>
            </w:r>
            <w:r>
              <w:rPr>
                <w:rFonts w:ascii="Times New Roman" w:cs="Times New Roman" w:eastAsia="Times New Roman" w:hAnsi="Times New Roman"/>
                <w:sz w:val="10"/>
                <w:szCs w:val="10"/>
                <w:color w:val="auto"/>
              </w:rPr>
              <w:t>(8)(13)(19)</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16981 Via Tazon, San Diego, CA 92127</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10/7/2014</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1,953,300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Roscoe Investors, LLC</w:t>
            </w:r>
            <w:r>
              <w:rPr>
                <w:rFonts w:ascii="Times New Roman" w:cs="Times New Roman" w:eastAsia="Times New Roman" w:hAnsi="Times New Roman"/>
                <w:sz w:val="10"/>
                <w:szCs w:val="10"/>
                <w:color w:val="auto"/>
              </w:rPr>
              <w:t>(8)(13)(19)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60 East 42nd St., Suite 4510, New York, NY 10165</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3/26/2014</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251,000</w:t>
            </w:r>
          </w:p>
        </w:tc>
        <w:tc>
          <w:tcPr>
            <w:tcW w:w="100" w:type="dxa"/>
            <w:vAlign w:val="bottom"/>
            <w:shd w:val="clear" w:color="auto" w:fill="CFF0FC"/>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 Holdings, LLC</w:t>
            </w:r>
            <w:r>
              <w:rPr>
                <w:rFonts w:ascii="Times New Roman" w:cs="Times New Roman" w:eastAsia="Times New Roman" w:hAnsi="Times New Roman"/>
                <w:sz w:val="10"/>
                <w:szCs w:val="10"/>
                <w:color w:val="auto"/>
              </w:rPr>
              <w:t>(8)(9)(13)(16)(19)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175 Varick Street, New York, NY 10014</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8/28/2014</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48.5%</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6,228,000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Ohene Holdings B.V.</w:t>
            </w:r>
            <w:r>
              <w:rPr>
                <w:rFonts w:ascii="Times New Roman" w:cs="Times New Roman" w:eastAsia="Times New Roman" w:hAnsi="Times New Roman"/>
                <w:sz w:val="10"/>
                <w:szCs w:val="10"/>
                <w:color w:val="auto"/>
              </w:rPr>
              <w:t>(3)(13)(19)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Gustav Mahlerplein 23 A Symp 5th, Amsterdam, 1082MS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Services: Business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3/31/2019</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TRSO II, Inc.</w:t>
            </w:r>
            <w:r>
              <w:rPr>
                <w:rFonts w:ascii="Times New Roman" w:cs="Times New Roman" w:eastAsia="Times New Roman" w:hAnsi="Times New Roman"/>
                <w:sz w:val="10"/>
                <w:szCs w:val="10"/>
                <w:color w:val="auto"/>
              </w:rPr>
              <w:t>(8)(13)(19)</w:t>
            </w:r>
          </w:p>
        </w:tc>
        <w:tc>
          <w:tcPr>
            <w:tcW w:w="208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Common Stock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2700 E. Interstate 20 P.O. Box 2488, Odessa, TX 79760</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12/24/2012</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5.40%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420,289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44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 in Equity Securities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5"/>
        </w:trPr>
        <w:tc>
          <w:tcPr>
            <w:tcW w:w="3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(8% of net asset value at fair value)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21,588,325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9,703,027</w:t>
            </w:r>
          </w:p>
        </w:tc>
        <w:tc>
          <w:tcPr>
            <w:tcW w:w="100" w:type="dxa"/>
            <w:vAlign w:val="bottom"/>
            <w:shd w:val="clear" w:color="auto" w:fill="CFF0FC"/>
          </w:tcPr>
          <w:p>
            <w:pPr>
              <w:spacing w:after="0"/>
              <w:rPr>
                <w:sz w:val="13"/>
                <w:szCs w:val="13"/>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40" w:type="dxa"/>
            <w:vAlign w:val="bottom"/>
          </w:tcPr>
          <w:p>
            <w:pPr>
              <w:spacing w:after="0"/>
              <w:rPr>
                <w:sz w:val="12"/>
                <w:szCs w:val="12"/>
                <w:color w:val="auto"/>
              </w:rPr>
            </w:pPr>
          </w:p>
        </w:tc>
        <w:tc>
          <w:tcPr>
            <w:tcW w:w="30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12"/>
                <w:szCs w:val="12"/>
                <w:b w:val="1"/>
                <w:bCs w:val="1"/>
                <w:color w:val="auto"/>
              </w:rPr>
              <w:t>15,11</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2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33"/>
        </w:trPr>
        <w:tc>
          <w:tcPr>
            <w:tcW w:w="28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Catamaran CLO 2013- 1 Ltd.</w:t>
            </w:r>
            <w:r>
              <w:rPr>
                <w:rFonts w:ascii="Times New Roman" w:cs="Times New Roman" w:eastAsia="Times New Roman" w:hAnsi="Times New Roman"/>
                <w:sz w:val="12"/>
                <w:szCs w:val="12"/>
                <w:color w:val="auto"/>
              </w:rPr>
              <w:t>(3)(6)(13)(18)(21)</w:t>
            </w:r>
          </w:p>
        </w:tc>
        <w:tc>
          <w:tcPr>
            <w:tcW w:w="140" w:type="dxa"/>
            <w:vAlign w:val="bottom"/>
            <w:tcBorders>
              <w:top w:val="single" w:sz="8" w:color="CFF0FC"/>
            </w:tcBorders>
            <w:shd w:val="clear" w:color="auto" w:fill="CFF0FC"/>
          </w:tcPr>
          <w:p>
            <w:pPr>
              <w:spacing w:after="0"/>
              <w:rPr>
                <w:sz w:val="11"/>
                <w:szCs w:val="11"/>
                <w:color w:val="auto"/>
              </w:rPr>
            </w:pPr>
          </w:p>
        </w:tc>
        <w:tc>
          <w:tcPr>
            <w:tcW w:w="29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Subordinated Securities, effective interest 3.3%,</w:t>
            </w:r>
          </w:p>
        </w:tc>
        <w:tc>
          <w:tcPr>
            <w:tcW w:w="14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shd w:val="clear" w:color="auto" w:fill="CFF0FC"/>
          </w:tcPr>
          <w:p>
            <w:pPr>
              <w:ind w:left="140"/>
              <w:spacing w:after="0" w:line="145" w:lineRule="exact"/>
              <w:rPr>
                <w:sz w:val="20"/>
                <w:szCs w:val="20"/>
                <w:color w:val="auto"/>
              </w:rPr>
            </w:pPr>
            <w:r>
              <w:rPr>
                <w:rFonts w:ascii="Times New Roman" w:cs="Times New Roman" w:eastAsia="Times New Roman" w:hAnsi="Times New Roman"/>
                <w:sz w:val="14"/>
                <w:szCs w:val="14"/>
                <w:color w:val="auto"/>
              </w:rPr>
              <w:t>1/28 maturity</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6/4/2013</w:t>
            </w:r>
          </w:p>
        </w:tc>
        <w:tc>
          <w:tcPr>
            <w:tcW w:w="16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6,076,766</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2,709,871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2014-1 Ltd.</w:t>
            </w:r>
            <w:r>
              <w:rPr>
                <w:rFonts w:ascii="Times New Roman" w:cs="Times New Roman" w:eastAsia="Times New Roman" w:hAnsi="Times New Roman"/>
                <w:sz w:val="12"/>
                <w:szCs w:val="12"/>
                <w:color w:val="auto"/>
              </w:rPr>
              <w:t>(3)(6)(13)(18)</w:t>
            </w:r>
          </w:p>
        </w:tc>
        <w:tc>
          <w:tcPr>
            <w:tcW w:w="320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4.7%,</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4/30 maturity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5/6/2014</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10,094,797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2,331,700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Dryden 30 Senior Loan Fund</w:t>
            </w:r>
            <w:r>
              <w:rPr>
                <w:rFonts w:ascii="Times New Roman" w:cs="Times New Roman" w:eastAsia="Times New Roman" w:hAnsi="Times New Roman"/>
                <w:sz w:val="12"/>
                <w:szCs w:val="12"/>
                <w:color w:val="auto"/>
              </w:rPr>
              <w:t>(3)(13)</w:t>
            </w:r>
          </w:p>
        </w:tc>
        <w:tc>
          <w:tcPr>
            <w:tcW w:w="320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11.4%,</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10/10/2013</w:t>
            </w:r>
          </w:p>
        </w:tc>
        <w:tc>
          <w:tcPr>
            <w:tcW w:w="16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1,360,501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1,333,150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655 Broad Street 8th Floor, Newark, NJ 07102</w:t>
            </w:r>
          </w:p>
        </w:tc>
        <w:tc>
          <w:tcPr>
            <w:tcW w:w="32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11/28 maturity</w:t>
            </w:r>
          </w:p>
        </w:tc>
        <w:tc>
          <w:tcPr>
            <w:tcW w:w="11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2014-2 Ltd.</w:t>
            </w:r>
            <w:r>
              <w:rPr>
                <w:rFonts w:ascii="Times New Roman" w:cs="Times New Roman" w:eastAsia="Times New Roman" w:hAnsi="Times New Roman"/>
                <w:sz w:val="12"/>
                <w:szCs w:val="12"/>
                <w:color w:val="auto"/>
              </w:rPr>
              <w:t>(3)(6)(13)(18)(21)</w:t>
            </w:r>
          </w:p>
        </w:tc>
        <w:tc>
          <w:tcPr>
            <w:tcW w:w="320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0.0%,</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10/26 maturity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8/15/2014</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6,065,598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Catamaran CLO 2015-1 Ltd.</w:t>
            </w:r>
            <w:r>
              <w:rPr>
                <w:rFonts w:ascii="Times New Roman" w:cs="Times New Roman" w:eastAsia="Times New Roman" w:hAnsi="Times New Roman"/>
                <w:sz w:val="12"/>
                <w:szCs w:val="12"/>
                <w:color w:val="auto"/>
              </w:rPr>
              <w:t>(3)(6)(13)(18)(21)</w:t>
            </w:r>
          </w:p>
        </w:tc>
        <w:tc>
          <w:tcPr>
            <w:tcW w:w="320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3.2%,</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shd w:val="clear" w:color="auto" w:fill="CFF0FC"/>
          </w:tcPr>
          <w:p>
            <w:pPr>
              <w:ind w:left="140"/>
              <w:spacing w:after="0" w:line="145" w:lineRule="exact"/>
              <w:rPr>
                <w:sz w:val="20"/>
                <w:szCs w:val="20"/>
                <w:color w:val="auto"/>
              </w:rPr>
            </w:pPr>
            <w:r>
              <w:rPr>
                <w:rFonts w:ascii="Times New Roman" w:cs="Times New Roman" w:eastAsia="Times New Roman" w:hAnsi="Times New Roman"/>
                <w:sz w:val="14"/>
                <w:szCs w:val="14"/>
                <w:color w:val="auto"/>
              </w:rPr>
              <w:t>4/27 maturity</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5/5/2015</w:t>
            </w:r>
          </w:p>
        </w:tc>
        <w:tc>
          <w:tcPr>
            <w:tcW w:w="16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4,133,076</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1,552,452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2016-1 Ltd.</w:t>
            </w:r>
            <w:r>
              <w:rPr>
                <w:rFonts w:ascii="Times New Roman" w:cs="Times New Roman" w:eastAsia="Times New Roman" w:hAnsi="Times New Roman"/>
                <w:sz w:val="12"/>
                <w:szCs w:val="12"/>
                <w:color w:val="auto"/>
              </w:rPr>
              <w:t>(3)(6)(13)(18)</w:t>
            </w:r>
          </w:p>
        </w:tc>
        <w:tc>
          <w:tcPr>
            <w:tcW w:w="320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4.9%,</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1/29 maturity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12/21/2016</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9,013,064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4,033,692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Catamaran CLO 2018-1 Ltd</w:t>
            </w:r>
            <w:r>
              <w:rPr>
                <w:rFonts w:ascii="Times New Roman" w:cs="Times New Roman" w:eastAsia="Times New Roman" w:hAnsi="Times New Roman"/>
                <w:sz w:val="12"/>
                <w:szCs w:val="12"/>
                <w:color w:val="auto"/>
              </w:rPr>
              <w:t>(3)(6)(13)(18)</w:t>
            </w:r>
          </w:p>
        </w:tc>
        <w:tc>
          <w:tcPr>
            <w:tcW w:w="320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11.7%,</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Boundary Hall, Cricket Square PO Box 1093, Grand</w:t>
            </w:r>
          </w:p>
        </w:tc>
        <w:tc>
          <w:tcPr>
            <w:tcW w:w="3200" w:type="dxa"/>
            <w:vAlign w:val="bottom"/>
            <w:gridSpan w:val="3"/>
            <w:shd w:val="clear" w:color="auto" w:fill="CFF0FC"/>
          </w:tcPr>
          <w:p>
            <w:pPr>
              <w:ind w:left="140"/>
              <w:spacing w:after="0" w:line="145" w:lineRule="exact"/>
              <w:rPr>
                <w:sz w:val="20"/>
                <w:szCs w:val="20"/>
                <w:color w:val="auto"/>
              </w:rPr>
            </w:pPr>
            <w:r>
              <w:rPr>
                <w:rFonts w:ascii="Times New Roman" w:cs="Times New Roman" w:eastAsia="Times New Roman" w:hAnsi="Times New Roman"/>
                <w:sz w:val="14"/>
                <w:szCs w:val="14"/>
                <w:color w:val="auto"/>
              </w:rPr>
              <w:t>10/31 maturity</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9/27/2018</w:t>
            </w:r>
          </w:p>
        </w:tc>
        <w:tc>
          <w:tcPr>
            <w:tcW w:w="16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9,358,631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6,831,000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Cayman, Ky1-1102 Cayman Islands</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Total Investment in CLO Fund</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Securities (15% of net asset</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value at fair value)</w:t>
            </w:r>
          </w:p>
        </w:tc>
        <w:tc>
          <w:tcPr>
            <w:tcW w:w="140" w:type="dxa"/>
            <w:vAlign w:val="bottom"/>
            <w:shd w:val="clear" w:color="auto" w:fill="CFF0FC"/>
          </w:tcPr>
          <w:p>
            <w:pPr>
              <w:spacing w:after="0"/>
              <w:rPr>
                <w:sz w:val="14"/>
                <w:szCs w:val="14"/>
                <w:color w:val="auto"/>
              </w:rPr>
            </w:pPr>
          </w:p>
        </w:tc>
        <w:tc>
          <w:tcPr>
            <w:tcW w:w="2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46,102,433</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18,791,865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Manager Affiliates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4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24"/>
        </w:trPr>
        <w:tc>
          <w:tcPr>
            <w:tcW w:w="31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0"/>
                <w:szCs w:val="10"/>
                <w:color w:val="auto"/>
              </w:rPr>
              <w:t>(8)(9)(13)(16)</w:t>
            </w:r>
          </w:p>
        </w:tc>
        <w:tc>
          <w:tcPr>
            <w:tcW w:w="140" w:type="dxa"/>
            <w:vAlign w:val="bottom"/>
            <w:tcBorders>
              <w:top w:val="single" w:sz="8" w:color="CFF0FC"/>
            </w:tcBorders>
            <w:shd w:val="clear" w:color="auto" w:fill="CFF0FC"/>
          </w:tcPr>
          <w:p>
            <w:pPr>
              <w:spacing w:after="0"/>
              <w:rPr>
                <w:sz w:val="10"/>
                <w:szCs w:val="10"/>
                <w:color w:val="auto"/>
              </w:rPr>
            </w:pPr>
          </w:p>
        </w:tc>
        <w:tc>
          <w:tcPr>
            <w:tcW w:w="30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650 Madison Ave FL23, New York, NY 10022</w:t>
            </w:r>
          </w:p>
        </w:tc>
        <w:tc>
          <w:tcPr>
            <w:tcW w:w="3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Asset Management Company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12/11/2006</w:t>
            </w: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17,791,230</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17,791,230</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24"/>
        </w:trPr>
        <w:tc>
          <w:tcPr>
            <w:tcW w:w="31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AAPC Holdings LLC.</w:t>
            </w:r>
            <w:r>
              <w:rPr>
                <w:rFonts w:ascii="Times New Roman" w:cs="Times New Roman" w:eastAsia="Times New Roman" w:hAnsi="Times New Roman"/>
                <w:sz w:val="10"/>
                <w:szCs w:val="10"/>
                <w:color w:val="auto"/>
              </w:rPr>
              <w:t>(13)(22)(23)</w:t>
            </w:r>
          </w:p>
        </w:tc>
        <w:tc>
          <w:tcPr>
            <w:tcW w:w="140" w:type="dxa"/>
            <w:vAlign w:val="bottom"/>
            <w:tcBorders>
              <w:top w:val="single" w:sz="8" w:color="CFF0FC"/>
            </w:tcBorders>
            <w:shd w:val="clear" w:color="auto" w:fill="CFF0FC"/>
          </w:tcPr>
          <w:p>
            <w:pPr>
              <w:spacing w:after="0"/>
              <w:rPr>
                <w:sz w:val="10"/>
                <w:szCs w:val="10"/>
                <w:color w:val="auto"/>
              </w:rPr>
            </w:pPr>
          </w:p>
        </w:tc>
        <w:tc>
          <w:tcPr>
            <w:tcW w:w="30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2222 Sedwick Drive Durham, NC 27713</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Securities Swap and Option Agreement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9/30/2019</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(1,093,195)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HDNet Holdco LLC </w:t>
            </w:r>
            <w:r>
              <w:rPr>
                <w:rFonts w:ascii="Times New Roman" w:cs="Times New Roman" w:eastAsia="Times New Roman" w:hAnsi="Times New Roman"/>
                <w:sz w:val="10"/>
                <w:szCs w:val="10"/>
                <w:color w:val="auto"/>
              </w:rPr>
              <w:t>(13)(22)(23)</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8269 E. 23rd Ave Denver, CO 80238</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Call Option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30,609</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30,609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(1,033,048)</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4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22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24"/>
        </w:trPr>
        <w:tc>
          <w:tcPr>
            <w:tcW w:w="31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KCAP Freedom 3 LLC</w:t>
            </w:r>
            <w:r>
              <w:rPr>
                <w:rFonts w:ascii="Times New Roman" w:cs="Times New Roman" w:eastAsia="Times New Roman" w:hAnsi="Times New Roman"/>
                <w:sz w:val="10"/>
                <w:szCs w:val="10"/>
                <w:color w:val="auto"/>
              </w:rPr>
              <w:t>(9)(13)(16)</w:t>
            </w:r>
          </w:p>
        </w:tc>
        <w:tc>
          <w:tcPr>
            <w:tcW w:w="140" w:type="dxa"/>
            <w:vAlign w:val="bottom"/>
            <w:tcBorders>
              <w:top w:val="single" w:sz="8" w:color="CFF0FC"/>
            </w:tcBorders>
            <w:shd w:val="clear" w:color="auto" w:fill="CFF0FC"/>
          </w:tcPr>
          <w:p>
            <w:pPr>
              <w:spacing w:after="0"/>
              <w:rPr>
                <w:sz w:val="10"/>
                <w:szCs w:val="10"/>
                <w:color w:val="auto"/>
              </w:rPr>
            </w:pPr>
          </w:p>
        </w:tc>
        <w:tc>
          <w:tcPr>
            <w:tcW w:w="30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650 Madison Ave FL23, New York, NY 10022</w:t>
            </w:r>
          </w:p>
        </w:tc>
        <w:tc>
          <w:tcPr>
            <w:tcW w:w="3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Joint Venture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7/19/2017</w:t>
            </w: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60%</w:t>
            </w: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24,914,858</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17,175,011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BCP Great Lakes Holdings LP</w:t>
            </w:r>
            <w:r>
              <w:rPr>
                <w:rFonts w:ascii="Times New Roman" w:cs="Times New Roman" w:eastAsia="Times New Roman" w:hAnsi="Times New Roman"/>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Limited Partnership</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650 Madison Ave FL23, New York, NY 10022</w:t>
            </w:r>
          </w:p>
        </w:tc>
        <w:tc>
          <w:tcPr>
            <w:tcW w:w="334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3"/>
                <w:szCs w:val="13"/>
                <w:color w:val="auto"/>
              </w:rPr>
              <w:t>Joint Venture</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12/11/2018</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30,077,688</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29,656,600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(37%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54,992,546</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46,831,611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5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US Bank Money Market Account</w:t>
            </w:r>
            <w:r>
              <w:rPr>
                <w:rFonts w:ascii="Times New Roman" w:cs="Times New Roman" w:eastAsia="Times New Roman" w:hAnsi="Times New Roman"/>
                <w:sz w:val="10"/>
                <w:szCs w:val="10"/>
                <w:color w:val="auto"/>
              </w:rPr>
              <w:t>(7)(8)</w:t>
            </w:r>
          </w:p>
        </w:tc>
        <w:tc>
          <w:tcPr>
            <w:tcW w:w="3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Money Market Account</w:t>
            </w:r>
          </w:p>
        </w:tc>
        <w:tc>
          <w:tcPr>
            <w:tcW w:w="8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N/A</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0.45%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10,219,782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10,219,782</w:t>
            </w:r>
          </w:p>
        </w:tc>
        <w:tc>
          <w:tcPr>
            <w:tcW w:w="100" w:type="dxa"/>
            <w:vAlign w:val="bottom"/>
            <w:shd w:val="clear" w:color="auto" w:fill="CFF0FC"/>
          </w:tcPr>
          <w:p>
            <w:pPr>
              <w:spacing w:after="0"/>
              <w:rPr>
                <w:sz w:val="13"/>
                <w:szCs w:val="13"/>
                <w:color w:val="auto"/>
              </w:rPr>
            </w:pPr>
          </w:p>
        </w:tc>
      </w:tr>
      <w:tr>
        <w:trPr>
          <w:trHeight w:val="125"/>
        </w:trPr>
        <w:tc>
          <w:tcPr>
            <w:tcW w:w="3100" w:type="dxa"/>
            <w:vAlign w:val="bottom"/>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Short-term Investments</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3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(8% of net asset value at fair value)</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10,219,782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10,219,782</w:t>
            </w:r>
          </w:p>
        </w:tc>
        <w:tc>
          <w:tcPr>
            <w:tcW w:w="100" w:type="dxa"/>
            <w:vAlign w:val="bottom"/>
          </w:tcPr>
          <w:p>
            <w:pPr>
              <w:spacing w:after="0"/>
              <w:rPr>
                <w:sz w:val="14"/>
                <w:szCs w:val="14"/>
                <w:color w:val="auto"/>
              </w:rPr>
            </w:pPr>
          </w:p>
        </w:tc>
      </w:tr>
      <w:tr>
        <w:trPr>
          <w:trHeight w:val="142"/>
        </w:trPr>
        <w:tc>
          <w:tcPr>
            <w:tcW w:w="3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0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Investments</w:t>
            </w:r>
            <w:r>
              <w:rPr>
                <w:rFonts w:ascii="Times New Roman" w:cs="Times New Roman" w:eastAsia="Times New Roman" w:hAnsi="Times New Roman"/>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367,119,915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289,079,495</w:t>
            </w:r>
          </w:p>
        </w:tc>
        <w:tc>
          <w:tcPr>
            <w:tcW w:w="100" w:type="dxa"/>
            <w:vAlign w:val="bottom"/>
          </w:tcPr>
          <w:p>
            <w:pPr>
              <w:spacing w:after="0"/>
              <w:rPr>
                <w:sz w:val="14"/>
                <w:szCs w:val="14"/>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380" w:right="40" w:hanging="372"/>
        <w:spacing w:after="0" w:line="266" w:lineRule="auto"/>
        <w:tabs>
          <w:tab w:leader="none" w:pos="3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September 30, 2020 loan. For each such loan, the Company has provided the weighted average annual stated interest rate in effect at September 30, 2020. As noted in the table above, 76% (based on par) of debt securities contain floors which range between 1.00% and 2.00%.</w:t>
      </w:r>
    </w:p>
    <w:p>
      <w:pPr>
        <w:spacing w:after="0" w:line="1"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Reflects the fair market value of all investments as of September 30, 2020 as determined by the Company’s Board of Directors.</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16"/>
          <w:szCs w:val="16"/>
          <w:color w:val="auto"/>
        </w:rPr>
        <w:t>Non-U.S. company or principal place of business outside the U.S.</w:t>
      </w:r>
    </w:p>
    <w:p>
      <w:pPr>
        <w:spacing w:after="0" w:line="16" w:lineRule="exact"/>
        <w:rPr>
          <w:rFonts w:ascii="Times New Roman" w:cs="Times New Roman" w:eastAsia="Times New Roman" w:hAnsi="Times New Roman"/>
          <w:sz w:val="17"/>
          <w:szCs w:val="17"/>
          <w:color w:val="auto"/>
        </w:rPr>
      </w:pPr>
    </w:p>
    <w:p>
      <w:pPr>
        <w:ind w:left="380" w:right="18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16"/>
          <w:szCs w:val="16"/>
          <w:color w:val="auto"/>
        </w:rPr>
        <w:t>The aggregate cost of investments for federal income tax purposes is approximately $373 million. The aggregate gross unrealized appreciation is approximately $4.7 million, the aggregate gross unrealized depreciation is approximately $88.8 million, and the net unrealized depreciation is approximately $84.1 million.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5</w:t>
      </w:r>
      <w:r>
        <w:rPr>
          <w:rFonts w:ascii="Times New Roman" w:cs="Times New Roman" w:eastAsia="Times New Roman" w:hAnsi="Times New Roman"/>
          <w:sz w:val="16"/>
          <w:szCs w:val="16"/>
          <w:color w:val="auto"/>
        </w:rPr>
        <w:t>Loan or debt security is on non-accrual status and therefore is considered non-income producing.</w:t>
      </w:r>
    </w:p>
    <w:p>
      <w:pPr>
        <w:spacing w:after="0" w:line="1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6</w:t>
      </w:r>
      <w:r>
        <w:rPr>
          <w:rFonts w:ascii="Times New Roman" w:cs="Times New Roman" w:eastAsia="Times New Roman" w:hAnsi="Times New Roman"/>
          <w:sz w:val="16"/>
          <w:szCs w:val="16"/>
          <w:color w:val="auto"/>
        </w:rPr>
        <w:t>A CLO Fund managed by an affiliate of LibreMax.</w:t>
      </w:r>
    </w:p>
    <w:p>
      <w:pPr>
        <w:spacing w:after="0" w:line="1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6"/>
          <w:szCs w:val="16"/>
          <w:color w:val="auto"/>
        </w:rPr>
        <w:t>Money market account.</w:t>
      </w:r>
    </w:p>
    <w:p>
      <w:pPr>
        <w:spacing w:after="0" w:line="9" w:lineRule="exact"/>
        <w:rPr>
          <w:rFonts w:ascii="Times New Roman" w:cs="Times New Roman" w:eastAsia="Times New Roman" w:hAnsi="Times New Roman"/>
          <w:sz w:val="17"/>
          <w:szCs w:val="17"/>
          <w:color w:val="auto"/>
        </w:rPr>
      </w:pPr>
    </w:p>
    <w:p>
      <w:pPr>
        <w:ind w:left="380" w:right="100" w:hanging="364"/>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8</w:t>
      </w:r>
      <w:r>
        <w:rPr>
          <w:rFonts w:ascii="Times New Roman" w:cs="Times New Roman" w:eastAsia="Times New Roman" w:hAnsi="Times New Roman"/>
          <w:sz w:val="16"/>
          <w:szCs w:val="16"/>
          <w:color w:val="auto"/>
        </w:rPr>
        <w:t>Qualified asset for purposes of section 55(a) of the Investment Company Act of 1940, as amended (the “1940 Act”). Qualifying assets represent approximately 77.3% of the total assets at September 30, 2020.</w:t>
      </w:r>
    </w:p>
    <w:p>
      <w:pPr>
        <w:spacing w:after="0" w:line="1" w:lineRule="exact"/>
        <w:rPr>
          <w:rFonts w:ascii="Times New Roman" w:cs="Times New Roman" w:eastAsia="Times New Roman" w:hAnsi="Times New Roman"/>
          <w:sz w:val="17"/>
          <w:szCs w:val="17"/>
          <w:color w:val="auto"/>
        </w:rPr>
      </w:pPr>
    </w:p>
    <w:p>
      <w:pPr>
        <w:ind w:left="380" w:right="18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9</w:t>
      </w:r>
      <w:r>
        <w:rPr>
          <w:rFonts w:ascii="Times New Roman" w:cs="Times New Roman" w:eastAsia="Times New Roman" w:hAnsi="Times New Roman"/>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10   </w:t>
      </w:r>
      <w:r>
        <w:rPr>
          <w:rFonts w:ascii="Times New Roman" w:cs="Times New Roman" w:eastAsia="Times New Roman" w:hAnsi="Times New Roman"/>
          <w:sz w:val="16"/>
          <w:szCs w:val="16"/>
          <w:color w:val="auto"/>
        </w:rPr>
        <w:t>Non-voting.</w:t>
      </w:r>
    </w:p>
    <w:p>
      <w:pPr>
        <w:spacing w:after="0" w:line="18" w:lineRule="exact"/>
        <w:rPr>
          <w:rFonts w:ascii="Times New Roman" w:cs="Times New Roman" w:eastAsia="Times New Roman" w:hAnsi="Times New Roman"/>
          <w:sz w:val="17"/>
          <w:szCs w:val="17"/>
          <w:color w:val="auto"/>
        </w:rPr>
      </w:pPr>
    </w:p>
    <w:p>
      <w:pPr>
        <w:ind w:left="380" w:right="14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6"/>
          <w:szCs w:val="16"/>
          <w:color w:val="auto"/>
        </w:rPr>
        <w:t>CLO Subordinated Investments are entitled to periodic distributions which are generally equal to the remaining cash flow of the payments made by the underlying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380" w:right="6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6"/>
          <w:szCs w:val="16"/>
          <w:color w:val="auto"/>
        </w:rPr>
        <w:t>This investment is on non-accrual status and receives a 5% royalty interest on oil being produced on certain fields. All production payments received are being applied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to the cost basis and are considered return of capital.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13   </w:t>
      </w:r>
      <w:r>
        <w:rPr>
          <w:rFonts w:ascii="Times New Roman" w:cs="Times New Roman" w:eastAsia="Times New Roman" w:hAnsi="Times New Roman"/>
          <w:sz w:val="16"/>
          <w:szCs w:val="16"/>
          <w:color w:val="auto"/>
        </w:rPr>
        <w:t>Fair value of this investment was determined using significant unobservable inputs.</w:t>
      </w:r>
    </w:p>
    <w:p>
      <w:pPr>
        <w:spacing w:after="0" w:line="18" w:lineRule="exact"/>
        <w:rPr>
          <w:rFonts w:ascii="Times New Roman" w:cs="Times New Roman" w:eastAsia="Times New Roman" w:hAnsi="Times New Roman"/>
          <w:sz w:val="17"/>
          <w:szCs w:val="17"/>
          <w:color w:val="auto"/>
        </w:rPr>
      </w:pPr>
    </w:p>
    <w:p>
      <w:pPr>
        <w:ind w:left="380" w:right="26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6"/>
          <w:szCs w:val="16"/>
          <w:color w:val="auto"/>
        </w:rPr>
        <w:t>As of September 30, 2020, this investment is owned by Great Lakes Portman Ridge Funding, LLC and was pledged to secure Great Lakes Portman Ridge Funding,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LLC’s debt obligation pursuant to its senior secured revolving credit facility (the “Revolving Credit Facility”) with JPMorgan Chase Bank, National Association (“JPM”).</w:t>
      </w:r>
    </w:p>
    <w:p>
      <w:pPr>
        <w:ind w:left="38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15 </w:t>
      </w:r>
      <w:r>
        <w:rPr>
          <w:rFonts w:ascii="Times New Roman" w:cs="Times New Roman" w:eastAsia="Times New Roman" w:hAnsi="Times New Roman"/>
          <w:sz w:val="16"/>
          <w:szCs w:val="16"/>
          <w:color w:val="auto"/>
        </w:rPr>
        <w:t>The Company's investments are generally acquired in private transactions exempt from registration under the Securities Act of 1933, as amended (the “Securities Act”)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and, therefore, are generally subject to limitations on resale, and may be deemed to be “restricted securities'' under the Securities Act of 1933.</w:t>
      </w:r>
    </w:p>
    <w:p>
      <w:pPr>
        <w:ind w:left="380" w:right="240" w:hanging="364"/>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16 </w:t>
      </w:r>
      <w:r>
        <w:rPr>
          <w:rFonts w:ascii="Times New Roman" w:cs="Times New Roman" w:eastAsia="Times New Roman" w:hAnsi="Times New Roman"/>
          <w:sz w:val="16"/>
          <w:szCs w:val="16"/>
          <w:color w:val="auto"/>
        </w:rPr>
        <w:t>As defined in the 1940 Act, the Company is deemed to be both an “Affiliated Person” and has “Control” of this portfolio company as the Company owns more than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25% of the portfolio company’s outstanding voting securities or has the power to exercise control over management or policies of such portfolio company.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17   </w:t>
      </w:r>
      <w:r>
        <w:rPr>
          <w:rFonts w:ascii="Times New Roman" w:cs="Times New Roman" w:eastAsia="Times New Roman" w:hAnsi="Times New Roman"/>
          <w:sz w:val="16"/>
          <w:szCs w:val="16"/>
          <w:color w:val="auto"/>
        </w:rPr>
        <w:t>Ownership of LP interest held through the holding company BCP Great Lakes Fund, L.P, a non-U.S. company or principal place of business outside the U.S.</w:t>
      </w:r>
    </w:p>
    <w:p>
      <w:pPr>
        <w:spacing w:after="0" w:line="19" w:lineRule="exact"/>
        <w:rPr>
          <w:sz w:val="20"/>
          <w:szCs w:val="20"/>
          <w:color w:val="auto"/>
        </w:rPr>
      </w:pPr>
    </w:p>
    <w:p>
      <w:pPr>
        <w:ind w:left="380" w:right="120" w:hanging="372"/>
        <w:spacing w:after="0" w:line="222"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Non-income producing.</w:t>
      </w:r>
    </w:p>
    <w:p>
      <w:pPr>
        <w:spacing w:after="0" w:line="10" w:lineRule="exact"/>
        <w:rPr>
          <w:rFonts w:ascii="Times New Roman" w:cs="Times New Roman" w:eastAsia="Times New Roman" w:hAnsi="Times New Roman"/>
          <w:sz w:val="23"/>
          <w:szCs w:val="23"/>
          <w:color w:val="auto"/>
          <w:vertAlign w:val="superscript"/>
        </w:rPr>
      </w:pPr>
    </w:p>
    <w:p>
      <w:pPr>
        <w:ind w:left="380" w:right="40" w:hanging="372"/>
        <w:spacing w:after="0" w:line="218"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w:t>
      </w:r>
    </w:p>
    <w:p>
      <w:pPr>
        <w:spacing w:after="0" w:line="1" w:lineRule="exact"/>
        <w:rPr>
          <w:rFonts w:ascii="Times New Roman" w:cs="Times New Roman" w:eastAsia="Times New Roman" w:hAnsi="Times New Roman"/>
          <w:sz w:val="25"/>
          <w:szCs w:val="25"/>
          <w:color w:val="auto"/>
          <w:vertAlign w:val="superscript"/>
        </w:rPr>
      </w:pPr>
    </w:p>
    <w:p>
      <w:pPr>
        <w:ind w:left="380" w:right="220" w:hanging="372"/>
        <w:spacing w:after="0" w:line="206"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This CLO Fund security made a distribution to the Company during the first quarter of 2020. During the second quarter of 2020, the Company was notified that this CLO Fund security will cease making distributions to the Company.</w:t>
      </w:r>
    </w:p>
    <w:p>
      <w:pPr>
        <w:ind w:left="380" w:right="120" w:hanging="372"/>
        <w:spacing w:after="0" w:line="206"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Represents co-investment made with the Company's affiliates in accordance with the terms of the exemptive relief that the Company received from the U.S Securities and Exchange Commission.</w:t>
      </w:r>
    </w:p>
    <w:p>
      <w:pPr>
        <w:spacing w:after="0" w:line="117" w:lineRule="exact"/>
        <w:rPr>
          <w:rFonts w:ascii="Times New Roman" w:cs="Times New Roman" w:eastAsia="Times New Roman" w:hAnsi="Times New Roman"/>
          <w:sz w:val="25"/>
          <w:szCs w:val="25"/>
          <w:color w:val="auto"/>
          <w:vertAlign w:val="superscript"/>
        </w:rPr>
      </w:pPr>
    </w:p>
    <w:p>
      <w:pPr>
        <w:ind w:left="380" w:hanging="372"/>
        <w:spacing w:after="0"/>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Information related to the Company’s derivatives is presented below as of September 30, 2020:</w:t>
      </w:r>
    </w:p>
    <w:tbl>
      <w:tblPr>
        <w:tblLayout w:type="fixed"/>
        <w:tblInd w:w="0" w:type="dxa"/>
        <w:tblCellMar>
          <w:top w:w="0" w:type="dxa"/>
          <w:left w:w="0" w:type="dxa"/>
          <w:bottom w:w="0" w:type="dxa"/>
          <w:right w:w="0" w:type="dxa"/>
        </w:tblCellMar>
      </w:tblPr>
      <w:tr>
        <w:trPr>
          <w:trHeight w:val="134"/>
        </w:trPr>
        <w:tc>
          <w:tcPr>
            <w:tcW w:w="20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5"/>
              </w:rPr>
              <w:t>Payments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left="137"/>
              <w:spacing w:after="0" w:line="134" w:lineRule="exact"/>
              <w:rPr>
                <w:sz w:val="20"/>
                <w:szCs w:val="20"/>
                <w:color w:val="auto"/>
              </w:rPr>
            </w:pPr>
            <w:r>
              <w:rPr>
                <w:rFonts w:ascii="Times New Roman" w:cs="Times New Roman" w:eastAsia="Times New Roman" w:hAnsi="Times New Roman"/>
                <w:sz w:val="13"/>
                <w:szCs w:val="13"/>
                <w:b w:val="1"/>
                <w:bCs w:val="1"/>
                <w:color w:val="auto"/>
                <w:w w:val="93"/>
              </w:rPr>
              <w:t>Upfront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55"/>
        </w:trPr>
        <w:tc>
          <w:tcPr>
            <w:tcW w:w="208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7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8"/>
              </w:rPr>
              <w:t>made</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Payments received</w:t>
            </w:r>
          </w:p>
        </w:tc>
        <w:tc>
          <w:tcPr>
            <w:tcW w:w="400" w:type="dxa"/>
            <w:vAlign w:val="bottom"/>
          </w:tcPr>
          <w:p>
            <w:pPr>
              <w:spacing w:after="0"/>
              <w:rPr>
                <w:sz w:val="13"/>
                <w:szCs w:val="13"/>
                <w:color w:val="auto"/>
              </w:rPr>
            </w:pPr>
          </w:p>
        </w:tc>
        <w:tc>
          <w:tcPr>
            <w:tcW w:w="152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6"/>
              </w:rPr>
              <w:t>Counterparty</w:t>
            </w:r>
          </w:p>
        </w:tc>
        <w:tc>
          <w:tcPr>
            <w:tcW w:w="86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Maturity date</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payments/receipts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gain (loss)</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Securities Swap and Option Agreement</w:t>
            </w:r>
          </w:p>
        </w:tc>
        <w:tc>
          <w:tcPr>
            <w:tcW w:w="780" w:type="dxa"/>
            <w:vAlign w:val="bottom"/>
            <w:tcBorders>
              <w:top w:val="single" w:sz="8" w:color="auto"/>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rPr>
              <w:t>18% PIK</w:t>
            </w:r>
          </w:p>
        </w:tc>
        <w:tc>
          <w:tcPr>
            <w:tcW w:w="1160" w:type="dxa"/>
            <w:vAlign w:val="bottom"/>
            <w:tcBorders>
              <w:top w:val="single" w:sz="8" w:color="auto"/>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16% Cash</w:t>
            </w:r>
          </w:p>
        </w:tc>
        <w:tc>
          <w:tcPr>
            <w:tcW w:w="1920" w:type="dxa"/>
            <w:vAlign w:val="bottom"/>
            <w:tcBorders>
              <w:top w:val="single" w:sz="8" w:color="auto"/>
            </w:tcBorders>
            <w:gridSpan w:val="2"/>
            <w:shd w:val="clear" w:color="auto" w:fill="CFF0FC"/>
          </w:tcPr>
          <w:p>
            <w:pPr>
              <w:jc w:val="center"/>
              <w:ind w:right="17"/>
              <w:spacing w:after="0" w:line="142" w:lineRule="exact"/>
              <w:rPr>
                <w:sz w:val="20"/>
                <w:szCs w:val="20"/>
                <w:color w:val="auto"/>
              </w:rPr>
            </w:pPr>
            <w:r>
              <w:rPr>
                <w:rFonts w:ascii="Times New Roman" w:cs="Times New Roman" w:eastAsia="Times New Roman" w:hAnsi="Times New Roman"/>
                <w:sz w:val="13"/>
                <w:szCs w:val="13"/>
                <w:color w:val="auto"/>
                <w:w w:val="96"/>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  5,500,000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gridSpan w:val="3"/>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w w:val="88"/>
              </w:rPr>
              <w:t>(1,093,195)</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10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  (1,093,195)</w:t>
            </w:r>
          </w:p>
        </w:tc>
        <w:tc>
          <w:tcPr>
            <w:tcW w:w="100" w:type="dxa"/>
            <w:vAlign w:val="bottom"/>
            <w:tcBorders>
              <w:top w:val="single" w:sz="8" w:color="CFF0FC"/>
            </w:tcBorders>
            <w:shd w:val="clear" w:color="auto" w:fill="CFF0FC"/>
          </w:tcPr>
          <w:p>
            <w:pPr>
              <w:spacing w:after="0"/>
              <w:rPr>
                <w:sz w:val="12"/>
                <w:szCs w:val="12"/>
                <w:color w:val="auto"/>
              </w:rPr>
            </w:pPr>
          </w:p>
        </w:tc>
      </w:tr>
      <w:tr>
        <w:trPr>
          <w:trHeight w:val="344"/>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2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8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780" w:type="dxa"/>
            <w:vAlign w:val="bottom"/>
          </w:tcPr>
          <w:p>
            <w:pPr>
              <w:spacing w:after="0"/>
              <w:rPr>
                <w:sz w:val="13"/>
                <w:szCs w:val="13"/>
                <w:color w:val="auto"/>
              </w:rPr>
            </w:pP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5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500" w:type="dxa"/>
            <w:vAlign w:val="bottom"/>
          </w:tcPr>
          <w:p>
            <w:pPr>
              <w:spacing w:after="0"/>
              <w:rPr>
                <w:sz w:val="13"/>
                <w:szCs w:val="13"/>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1580" w:type="dxa"/>
            <w:vAlign w:val="bottom"/>
            <w:gridSpan w:val="3"/>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Call option</w:t>
            </w:r>
          </w:p>
        </w:tc>
        <w:tc>
          <w:tcPr>
            <w:tcW w:w="7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gridSpan w:val="2"/>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color w:val="auto"/>
              </w:rPr>
              <w:t>HDNet Holdco LLC</w:t>
            </w:r>
          </w:p>
        </w:tc>
        <w:tc>
          <w:tcPr>
            <w:tcW w:w="15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36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w w:val="96"/>
              </w:rPr>
              <w:t>0.01</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60,147</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2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Advanced Lighting Technologies, Inc.</w:t>
            </w:r>
          </w:p>
        </w:tc>
        <w:tc>
          <w:tcPr>
            <w:tcW w:w="6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(5)(8)(13)</w:t>
            </w:r>
          </w:p>
        </w:tc>
        <w:tc>
          <w:tcPr>
            <w:tcW w:w="28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6/13/2012</w:t>
            </w:r>
          </w:p>
        </w:tc>
        <w:tc>
          <w:tcPr>
            <w:tcW w:w="1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1,220,614</w:t>
            </w:r>
          </w:p>
        </w:tc>
        <w:tc>
          <w:tcPr>
            <w:tcW w:w="24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951,271</w:t>
            </w:r>
          </w:p>
        </w:tc>
        <w:tc>
          <w:tcPr>
            <w:tcW w:w="240" w:type="dxa"/>
            <w:vAlign w:val="bottom"/>
            <w:tcBorders>
              <w:top w:val="single" w:sz="8" w:color="CFF0FC"/>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2,563</w:t>
            </w:r>
          </w:p>
        </w:tc>
        <w:tc>
          <w:tcPr>
            <w:tcW w:w="120" w:type="dxa"/>
            <w:vAlign w:val="bottom"/>
            <w:tcBorders>
              <w:top w:val="single" w:sz="8" w:color="CFF0FC"/>
            </w:tcBorders>
            <w:shd w:val="clear" w:color="auto" w:fill="CFF0FC"/>
          </w:tcPr>
          <w:p>
            <w:pPr>
              <w:spacing w:after="0"/>
              <w:rPr>
                <w:sz w:val="10"/>
                <w:szCs w:val="10"/>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9.0% Cash, 10.0% PIK, 3 month LIBOR(2.03%)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7.00%; LIBOR Floor 1.00% , Due 10/23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Akumin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B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5/31/2019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2,238,750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2,199,268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2,186,139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Anthem Sports &amp; Entertainment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4,317,019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4,162,593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4,147,792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8.7% Cash, 2.8% PIK, 3 month LIBOR(1.94%)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6.75%; LIBOR Floor 1.00% , Due 9/24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Anthem Sports &amp; Entertainment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Revolving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416,667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377,557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400,333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11.4% Cash, 3 month LIBOR(1.94%)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BMC Acquisition, Inc. (aka BenefitMall)</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2,940,000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2,938,765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2,827,398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7.2% Cash, 6 month LIBOR(1.93%) + 5.25%;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12/24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BW NHHC Holdco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 (First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5/16/2018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1,947,269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1,625,250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6.9% Cash, 3 month LIBOR(1.91%)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Carestream Health,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Extended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10/7/2014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1,510,955</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1,502,210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1,480,736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6/21</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Child Development Schools,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4,520,198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4,512,488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4,493,529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Services: Consumer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6.2% Cash, 1 month LIBOR(1.93%) + 4.25%;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Coinamatic Canada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(3)(14)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Canadian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521,646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443,878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495,564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Community Care Health Network, Inc. (aka Matrix Medical</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Closing Date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1,966,385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1,960,150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Network)</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6.5% Cash, 1 month LIBOR(1.80%) + 4.75%;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CSM Bakery Solutions Limited (fka CSM Bakery Supplies</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5/23/2013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3,003,785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2,868,000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Limited)</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9.8% Cash, 3 month LIBOR(2.03%) + 7.75%;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Beverage, Food and Tobacco</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7/21</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Dental Implant Holdings, LLC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(8)(14)(20) Senior Secured Loan — Term Loan (last out)</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447,624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500,000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8.2% Cash, 1 month LIBOR(1.71%) + 6.50%;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2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Digitran Innovations B.V. (Pomeroy Solutions Holding</w:t>
            </w:r>
          </w:p>
        </w:tc>
        <w:tc>
          <w:tcPr>
            <w:tcW w:w="6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(8)(13)</w:t>
            </w:r>
          </w:p>
        </w:tc>
        <w:tc>
          <w:tcPr>
            <w:tcW w:w="28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Senior Secured Loan — Incremental Tranche 2 Term</w:t>
            </w: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12/10/2018</w:t>
            </w:r>
          </w:p>
        </w:tc>
        <w:tc>
          <w:tcPr>
            <w:tcW w:w="1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286,430</w:t>
            </w:r>
          </w:p>
        </w:tc>
        <w:tc>
          <w:tcPr>
            <w:tcW w:w="24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280,909</w:t>
            </w:r>
          </w:p>
        </w:tc>
        <w:tc>
          <w:tcPr>
            <w:tcW w:w="240" w:type="dxa"/>
            <w:vAlign w:val="bottom"/>
            <w:tcBorders>
              <w:top w:val="single" w:sz="8" w:color="CFF0FC"/>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279,441</w:t>
            </w:r>
          </w:p>
        </w:tc>
        <w:tc>
          <w:tcPr>
            <w:tcW w:w="120" w:type="dxa"/>
            <w:vAlign w:val="bottom"/>
            <w:tcBorders>
              <w:top w:val="single" w:sz="8" w:color="CFF0FC"/>
            </w:tcBorders>
            <w:shd w:val="clear" w:color="auto" w:fill="CFF0FC"/>
          </w:tcPr>
          <w:p>
            <w:pPr>
              <w:spacing w:after="0"/>
              <w:rPr>
                <w:sz w:val="10"/>
                <w:szCs w:val="10"/>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 Holding</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Incremental Tranche A-1 TL</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146,079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143,339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142,515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 Holding</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Incremental Tranche A-3 Term</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47,738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46,803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46,574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 Holding</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Incremental Tranche A-6 Term</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305,427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299,362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297,974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Digitran Innovations B.V. (Pomeroy Solutions Holding</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(5)(8)(13)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4,962,406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4,919,958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3,529,263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11.5% Cash, 3 month LIBOR(1.95%)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1.50% , Due 7/24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Drilling Info Holdings,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2019 Delayed Draw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(2,551)</w:t>
            </w: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2.0% Cash, Due 7/25</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Drilling Info Holdings,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 (First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279,942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279,942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279,242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6.0% Cash, 1 month LIBOR(1.80%) + 4.25%;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w w:val="99"/>
              </w:rPr>
              <w:t>Edelman Financial Center, LLC, The (fka Flight Debt Merger</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267,692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299,250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Sub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8.5% Cash, 1 month LIBOR(1.79%) + 6.75%;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Ensono, LP (formerly known as Acxiom IT Outsourcing, LP)</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1,499,936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1,677,050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11.0% Cash, 1 month LIBOR(1.80%) + 9.25%;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6/26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Evergreen North America Acquisition, LLC (f/k/a Industrial</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6/21/2016</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1,039,547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1,042,241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1,039,547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Services Acquisition, LLC)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6.8% Cash, 1 month LIBOR(1.81%)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Environmental Industries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6/22</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 American Payment Systems, L.P.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Tranche B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1,472,888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1,468,500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12.6% Cash, 3 month LIBOR(2.06%) + 10.50%;</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 Floor 1.00% , Due 7/24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Firstlight Holdco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355,145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397,000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9.3% Cash, 1 month LIBOR(1.80%) + 7.50%;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2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GI Advo Opco, LLC</w:t>
            </w:r>
          </w:p>
        </w:tc>
        <w:tc>
          <w:tcPr>
            <w:tcW w:w="6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(5)(8)</w:t>
            </w:r>
          </w:p>
        </w:tc>
        <w:tc>
          <w:tcPr>
            <w:tcW w:w="28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Senior Secured Loan — Term Loan</w:t>
            </w: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11/19/2015</w:t>
            </w:r>
          </w:p>
        </w:tc>
        <w:tc>
          <w:tcPr>
            <w:tcW w:w="1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ind w:left="120"/>
              <w:spacing w:after="0" w:line="124" w:lineRule="exact"/>
              <w:rPr>
                <w:sz w:val="20"/>
                <w:szCs w:val="20"/>
                <w:color w:val="auto"/>
              </w:rPr>
            </w:pPr>
            <w:r>
              <w:rPr>
                <w:rFonts w:ascii="Times New Roman" w:cs="Times New Roman" w:eastAsia="Times New Roman" w:hAnsi="Times New Roman"/>
                <w:sz w:val="13"/>
                <w:szCs w:val="13"/>
                <w:color w:val="auto"/>
              </w:rPr>
              <w:t>180,304</w:t>
            </w:r>
          </w:p>
        </w:tc>
        <w:tc>
          <w:tcPr>
            <w:tcW w:w="24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179,431</w:t>
            </w:r>
          </w:p>
        </w:tc>
        <w:tc>
          <w:tcPr>
            <w:tcW w:w="240" w:type="dxa"/>
            <w:vAlign w:val="bottom"/>
            <w:tcBorders>
              <w:top w:val="single" w:sz="8" w:color="CFF0FC"/>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shd w:val="clear" w:color="auto" w:fill="CFF0FC"/>
          </w:tcPr>
          <w:p>
            <w:pPr>
              <w:spacing w:after="0"/>
              <w:rPr>
                <w:sz w:val="10"/>
                <w:szCs w:val="10"/>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10.8% Cash, Prime (4.75%) + 6.00%; , Due 11/21</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GK Holdings, Inc. (aka Global Knowledge)</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1/30/2015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1,491,142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1,251,600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12.2% Cash, 3 month LIBOR(1.94%) + 10.25%;</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 Floor 1.00% , Due 1/22</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Global Tel*Link Corporation</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5/21/2013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7,000,000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6,896,373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6,090,000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11/26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Grupo HIMA San Pablo,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B Loan (First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2,702,232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2,702,232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2,648,188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10.9% Cash, 3 month LIBOR(1.94%)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1.50% , Due 1/18</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Grupo HIMA San Pablo,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(5)(8)(13)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7,191,667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7,169,109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4,169,009</w:t>
            </w: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13.8% Cash, Due 7/18</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Hayward Industries,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2,159,333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1,835,957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2,058,492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8/25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Helix Acquisition Holdings, Inc. (aka MW Industries,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1,400,000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1,180,977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1,319,500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Metals &amp; Mining</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9.9% Cash, 3 month LIBOR(1.94%) + 8.00%;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9/25</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Hoffmaster Group,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5/6/2014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1,600,000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1,570,609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1,534,240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Forest Products &amp; Paper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11/24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Idera,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7,500,000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7,394,304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7,495,500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6/27</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Infobase Holdings,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12/13/2017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3,914,383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3,888,371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3,886,590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6.4% Cash, 3 month LIBOR(1.94%) + 4.5%;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12/22</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Ivanti Software, Inc. (fka LANDesk Group,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3/10/2017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1,228,619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1,228,619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1,211,787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10.7% Cash, 1 month LIBOR(1.72%)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1/25</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Kronos Foods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Fourth Amendment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4,937,107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4,895,395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4,882,305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Beverage, Food and Tobacco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9/22</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Location Services Holdings, LLC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Revolving Credit</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1,979,167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1,914,229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1,944,135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8.5% Cash, 1 month LIBOR(1.71%) + 6.75%;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5/20</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2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Ministry Brands, LLC (aka MB Holding)</w:t>
            </w:r>
          </w:p>
        </w:tc>
        <w:tc>
          <w:tcPr>
            <w:tcW w:w="6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(8)(13)(14)</w:t>
            </w:r>
          </w:p>
        </w:tc>
        <w:tc>
          <w:tcPr>
            <w:tcW w:w="28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Junior Secured Loan — April 2018 Incremental Term</w:t>
            </w: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6,000,000</w:t>
            </w:r>
          </w:p>
        </w:tc>
        <w:tc>
          <w:tcPr>
            <w:tcW w:w="24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5,370,528</w:t>
            </w:r>
          </w:p>
        </w:tc>
        <w:tc>
          <w:tcPr>
            <w:tcW w:w="240" w:type="dxa"/>
            <w:vAlign w:val="bottom"/>
            <w:tcBorders>
              <w:top w:val="single" w:sz="8" w:color="CFF0FC"/>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6,000,000</w:t>
            </w:r>
          </w:p>
        </w:tc>
        <w:tc>
          <w:tcPr>
            <w:tcW w:w="120" w:type="dxa"/>
            <w:vAlign w:val="bottom"/>
            <w:tcBorders>
              <w:top w:val="single" w:sz="8" w:color="CFF0FC"/>
            </w:tcBorders>
            <w:shd w:val="clear" w:color="auto" w:fill="CFF0FC"/>
          </w:tcPr>
          <w:p>
            <w:pPr>
              <w:spacing w:after="0"/>
              <w:rPr>
                <w:sz w:val="10"/>
                <w:szCs w:val="10"/>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9.8% Cash, 2 month LIBOR(1.83%)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Navex Topco,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(8)(14)(18) 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12/4/2018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7,140,816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7,636,090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8.8% Cash, 1 month LIBOR(1.80%) + 7.00%;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9/26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OCI Holdings, LLC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(5)(8)(13)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Subordinated Note — Float - 02/2020</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31,817,483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2,165,304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2,422,281</w:t>
            </w: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(18)</w:t>
            </w: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15.8% Cash, 5.0% PIK, Due 2/20</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PAE Holding Corporation</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6,888,196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6,088,533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6,802,094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11.3% Cash, 3 month LIBOR(1.85%)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10/23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PHI Group,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7/10/2019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8,375,422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8,216,303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8,300,043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Transportation: Cargo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Phoenix Guarantor Inc. (aka Brightspring)</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Term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1,084,045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1,212,000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3/27</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Pinstripe Holdings, LLC (Aka Cielo)</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4,962,500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4,878,600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4,807,670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1/25</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PSC Industrial Holdings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10/5/2017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2,956,575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2,885,400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Environmental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10/25</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PVHC Holding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Delayed Draw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(1,424)</w:t>
            </w: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Containers, Packaging and Glass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4.8% Cash, Due 8/24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PVHC Holding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2,844,000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2,833,064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2,616,480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Containers, Packaging and Glass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8/24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Radius Aerospace,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6,947,500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6,852,431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6,852,319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7.7% Cash, 3 month LIBOR(1.96%) + 5.75%;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3/25</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Ravn Air Group,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7/29/2015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1,787,814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1,787,814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1,728,459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7.0% Cash, 3 month LIBOR(1.95%)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7/21</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Robertshaw US Holding Corp. (fka Fox US Bidco Corp.)</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2/15/2018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2,976,852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2,753,100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9.8% Cash, 1 month LIBOR(1.81%)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2/26</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gridSpan w:val="2"/>
          </w:tcPr>
          <w:p>
            <w:pPr>
              <w:ind w:left="152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23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Roscoe Medical, Inc.</w:t>
            </w: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(5)</w:t>
            </w:r>
          </w:p>
        </w:tc>
        <w:tc>
          <w:tcPr>
            <w:tcW w:w="36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3/26/2014</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4,990,760</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2,957,000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Roscoe Medical, Inc.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3/26/2014</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1,695,164</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1,005,380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Safe Fleet Holdings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8.5% Cash, 1 month LIBOR(1.74%) + 6.75%;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2/26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609,102</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680,750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Salient CRGT Inc.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High Tech Industries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8.3% Cash, 1 month LIBOR(1.79%) + 6.50%;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2/22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2/27/2017</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334,873</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337,069</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312,269</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SCSG EA Acquisition Company, Inc.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10.0% Cash, 1 month LIBOR(1.75%)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8/18/2017</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992,752</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995,000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SCSG EA Acquisition Company, Inc.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10.0% Cash, 1 month LIBOR(1.76%)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8/18/2017</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4,966,615</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4,975,000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Syndigo LLC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Senior Secured Loan — Incremental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7.3% Cash, 1 month LIBOR(1.84%)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10/24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7,917,229</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7,768,928</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7,758,884</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Tailwind Randys,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7.4% Cash, 3 month LIBOR(1.94%)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5/25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4,895,406</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4,861,073</w:t>
            </w:r>
          </w:p>
        </w:tc>
        <w:tc>
          <w:tcPr>
            <w:tcW w:w="100" w:type="dxa"/>
            <w:vAlign w:val="bottom"/>
            <w:shd w:val="clear" w:color="auto" w:fill="CFF0FC"/>
          </w:tcPr>
          <w:p>
            <w:pPr>
              <w:spacing w:after="0"/>
              <w:rPr>
                <w:sz w:val="13"/>
                <w:szCs w:val="13"/>
                <w:color w:val="auto"/>
              </w:rPr>
            </w:pPr>
          </w:p>
        </w:tc>
      </w:t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 Holdings</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LLC</w:t>
            </w:r>
          </w:p>
        </w:tc>
        <w:tc>
          <w:tcPr>
            <w:tcW w:w="1060" w:type="dxa"/>
            <w:vAlign w:val="bottom"/>
            <w:gridSpan w:val="2"/>
            <w:shd w:val="clear" w:color="auto" w:fill="CFF0FC"/>
          </w:tcPr>
          <w:p>
            <w:pPr>
              <w:ind w:left="420"/>
              <w:spacing w:after="0" w:line="135" w:lineRule="exact"/>
              <w:rPr>
                <w:sz w:val="20"/>
                <w:szCs w:val="20"/>
                <w:color w:val="auto"/>
              </w:rPr>
            </w:pPr>
            <w:r>
              <w:rPr>
                <w:rFonts w:ascii="Times New Roman" w:cs="Times New Roman" w:eastAsia="Times New Roman" w:hAnsi="Times New Roman"/>
                <w:sz w:val="13"/>
                <w:szCs w:val="13"/>
                <w:color w:val="auto"/>
              </w:rPr>
              <w:t>Energy: (8)</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Senior Unsecured Bond — 10.000% - 02/2022 - TankConvert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Oil &amp; Gas</w:t>
            </w:r>
          </w:p>
        </w:tc>
        <w:tc>
          <w:tcPr>
            <w:tcW w:w="10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0.0% Cash, 10.0% PIK, Due 2/22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648,879</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620,145</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403,615</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Teneo Holdings LLC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Senior Secured Loan — Initial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7.0% Cash, 1 month LIBOR(1.74%) + 5.25%;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7/25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4,987,500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4,800,254</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4,758,075</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Tex-Tech Industries, Inc.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Textiles and Leather</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10.7% Cash, 1 month LIBOR(1.70%) + 9.00%;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8/24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8/24/2017</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12,508,000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12,389,673</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12,180,290</w:t>
            </w:r>
          </w:p>
        </w:tc>
        <w:tc>
          <w:tcPr>
            <w:tcW w:w="100" w:type="dxa"/>
            <w:vAlign w:val="bottom"/>
            <w:shd w:val="clear" w:color="auto" w:fill="CFF0FC"/>
          </w:tcPr>
          <w:p>
            <w:pPr>
              <w:spacing w:after="0"/>
              <w:rPr>
                <w:sz w:val="13"/>
                <w:szCs w:val="13"/>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TLE Holdings, LLC</w:t>
            </w:r>
          </w:p>
        </w:tc>
        <w:tc>
          <w:tcPr>
            <w:tcW w:w="1060" w:type="dxa"/>
            <w:vAlign w:val="bottom"/>
            <w:gridSpan w:val="2"/>
            <w:shd w:val="clear" w:color="auto" w:fill="CFF0FC"/>
          </w:tcPr>
          <w:p>
            <w:pPr>
              <w:ind w:left="840"/>
              <w:spacing w:after="0" w:line="131" w:lineRule="exact"/>
              <w:rPr>
                <w:sz w:val="20"/>
                <w:szCs w:val="20"/>
                <w:color w:val="auto"/>
              </w:rPr>
            </w:pPr>
            <w:r>
              <w:rPr>
                <w:rFonts w:ascii="Times New Roman" w:cs="Times New Roman" w:eastAsia="Times New Roman" w:hAnsi="Times New Roman"/>
                <w:sz w:val="13"/>
                <w:szCs w:val="13"/>
                <w:color w:val="auto"/>
              </w:rPr>
              <w:t>(8)</w:t>
            </w:r>
          </w:p>
        </w:tc>
        <w:tc>
          <w:tcPr>
            <w:tcW w:w="37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Senior Secured Loan — Delayed Draw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Healthcare, Education and Childcare</w:t>
            </w:r>
          </w:p>
        </w:tc>
        <w:tc>
          <w:tcPr>
            <w:tcW w:w="1060" w:type="dxa"/>
            <w:vAlign w:val="bottom"/>
            <w:gridSpan w:val="2"/>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2"/>
              </w:rPr>
              <w:t>(13)</w:t>
            </w:r>
          </w:p>
        </w:tc>
        <w:tc>
          <w:tcPr>
            <w:tcW w:w="374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7.7% Cash, 1 month LIBOR(2.20%)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spacing w:after="0"/>
              <w:rPr>
                <w:sz w:val="13"/>
                <w:szCs w:val="13"/>
                <w:color w:val="auto"/>
              </w:rPr>
            </w:pPr>
          </w:p>
        </w:tc>
        <w:tc>
          <w:tcPr>
            <w:tcW w:w="480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(14) Due 6/24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207,380</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205,810</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205,057</w:t>
            </w:r>
          </w:p>
        </w:tc>
        <w:tc>
          <w:tcPr>
            <w:tcW w:w="100" w:type="dxa"/>
            <w:vAlign w:val="bottom"/>
            <w:shd w:val="clear" w:color="auto" w:fill="CFF0FC"/>
          </w:tcPr>
          <w:p>
            <w:pPr>
              <w:spacing w:after="0"/>
              <w:rPr>
                <w:sz w:val="13"/>
                <w:szCs w:val="13"/>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40" w:type="dxa"/>
            <w:vAlign w:val="bottom"/>
            <w:gridSpan w:val="3"/>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Interest Rate¹ / Maturity</w:t>
            </w:r>
            <w:r>
              <w:rPr>
                <w:rFonts w:ascii="Times New Roman" w:cs="Times New Roman" w:eastAsia="Times New Roman" w:hAnsi="Times New Roman"/>
                <w:sz w:val="10"/>
                <w:szCs w:val="10"/>
                <w:b w:val="1"/>
                <w:bCs w:val="1"/>
                <w:color w:val="auto"/>
              </w:rPr>
              <w:t>15</w:t>
            </w:r>
          </w:p>
        </w:tc>
        <w:tc>
          <w:tcPr>
            <w:tcW w:w="1240" w:type="dxa"/>
            <w:vAlign w:val="bottom"/>
            <w:gridSpan w:val="3"/>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2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TLE Holdings, LLC</w:t>
            </w:r>
          </w:p>
        </w:tc>
        <w:tc>
          <w:tcPr>
            <w:tcW w:w="62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(8)(13)(14)</w:t>
            </w:r>
          </w:p>
        </w:tc>
        <w:tc>
          <w:tcPr>
            <w:tcW w:w="28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6/27/2019</w:t>
            </w: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5,688,912</w:t>
            </w:r>
          </w:p>
        </w:tc>
        <w:tc>
          <w:tcPr>
            <w:tcW w:w="24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5,665,175</w:t>
            </w: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5,625,197</w:t>
            </w:r>
          </w:p>
        </w:tc>
        <w:tc>
          <w:tcPr>
            <w:tcW w:w="120" w:type="dxa"/>
            <w:vAlign w:val="bottom"/>
            <w:tcBorders>
              <w:top w:val="single" w:sz="8" w:color="CFF0FC"/>
            </w:tcBorders>
            <w:shd w:val="clear" w:color="auto" w:fill="CFF0FC"/>
          </w:tcPr>
          <w:p>
            <w:pPr>
              <w:spacing w:after="0"/>
              <w:rPr>
                <w:sz w:val="10"/>
                <w:szCs w:val="10"/>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Healthcare, Education and Childcare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7.3% Cash, 1 month LIBOR(1.80%) + 5.50%;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6/24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TronAir Parent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Initial Term Loan (First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9/30/2016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979,798</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978,209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959,516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6.7% Cash, 3 month LIBOR(1.91%)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TRSO I,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Term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12/24/2012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1,000,000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999,968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1,000,000</w:t>
            </w: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Energy: Oil &amp; Gas</w:t>
            </w: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14.0% Cash, Due 3/20</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Vectra Co.</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Loan (Second Lien)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400,000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345,833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389,320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Chemicals, Plastics &amp; Rubber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3/26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Vertafore,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900,000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794,083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893,430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Wash MultiFamily Acquisition Inc.</w:t>
            </w:r>
          </w:p>
        </w:tc>
        <w:tc>
          <w:tcPr>
            <w:tcW w:w="6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(8)(14)</w:t>
            </w:r>
          </w:p>
        </w:tc>
        <w:tc>
          <w:tcPr>
            <w:tcW w:w="300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Junior Secured Loan — Initial US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2,978,354</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2,534,318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2,829,436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Personal, Food and Miscellaneous Services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5/23</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WireCo WorldGroup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8/9/2016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3,000,000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2,973,265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2,869,200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9/24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Wonder Love, Inc.</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Senior Secured Loan — Term Loan</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2,943,750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2,886,325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2,887,230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Media: Diversified &amp; Production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6.9% Cash, 3 month LIBOR(1.90%)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11/24</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Zest Acquisition Corp.</w:t>
            </w:r>
          </w:p>
        </w:tc>
        <w:tc>
          <w:tcPr>
            <w:tcW w:w="362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(8)(13)(14) Junior Secured Loan — Initial Term Loan (Second</w:t>
            </w:r>
          </w:p>
        </w:tc>
        <w:tc>
          <w:tcPr>
            <w:tcW w:w="10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3/8/2018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3,500,000</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3,482,564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3,306,091</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Healthcare, Education and Childcare</w:t>
            </w:r>
          </w:p>
        </w:tc>
        <w:tc>
          <w:tcPr>
            <w:tcW w:w="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9.3% Cash, 1 month LIBOR(1.75%)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Floor 1.00% , Due 3/26</w:t>
            </w: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32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Investments in Debt Securities</w:t>
            </w:r>
          </w:p>
        </w:tc>
        <w:tc>
          <w:tcPr>
            <w:tcW w:w="62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5"/>
        </w:trPr>
        <w:tc>
          <w:tcPr>
            <w:tcW w:w="3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(123% of net asset value at fair value)</w:t>
            </w: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230,278,820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   194,686,364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186,802,908</w:t>
            </w:r>
          </w:p>
        </w:tc>
        <w:tc>
          <w:tcPr>
            <w:tcW w:w="120" w:type="dxa"/>
            <w:vAlign w:val="bottom"/>
            <w:shd w:val="clear" w:color="auto" w:fill="CFF0FC"/>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Equity Securities Portfolio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9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600" w:type="dxa"/>
            <w:vAlign w:val="bottom"/>
            <w:gridSpan w:val="3"/>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5"/>
              </w:rPr>
              <w:t>Ownership/Shares</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0"/>
                <w:szCs w:val="10"/>
                <w:b w:val="1"/>
                <w:bCs w:val="1"/>
                <w:color w:val="auto"/>
              </w:rPr>
              <w:t>2</w:t>
            </w:r>
          </w:p>
        </w:tc>
      </w:tr>
      <w:tr>
        <w:trPr>
          <w:trHeight w:val="124"/>
        </w:trPr>
        <w:tc>
          <w:tcPr>
            <w:tcW w:w="39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AAPC Holdings LLC.</w:t>
            </w:r>
            <w:r>
              <w:rPr>
                <w:rFonts w:ascii="Times New Roman" w:cs="Times New Roman" w:eastAsia="Times New Roman" w:hAnsi="Times New Roman"/>
                <w:sz w:val="10"/>
                <w:szCs w:val="10"/>
                <w:color w:val="auto"/>
              </w:rPr>
              <w:t>(8)(13)(22)</w:t>
            </w:r>
          </w:p>
        </w:tc>
        <w:tc>
          <w:tcPr>
            <w:tcW w:w="140" w:type="dxa"/>
            <w:vAlign w:val="bottom"/>
            <w:tcBorders>
              <w:top w:val="single" w:sz="8" w:color="CFF0FC"/>
            </w:tcBorders>
            <w:shd w:val="clear" w:color="auto" w:fill="CFF0FC"/>
          </w:tcPr>
          <w:p>
            <w:pPr>
              <w:spacing w:after="0"/>
              <w:rPr>
                <w:sz w:val="10"/>
                <w:szCs w:val="10"/>
                <w:color w:val="auto"/>
              </w:rPr>
            </w:pPr>
          </w:p>
        </w:tc>
        <w:tc>
          <w:tcPr>
            <w:tcW w:w="17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Class A Preferred Units; 18%</w:t>
            </w:r>
          </w:p>
        </w:tc>
        <w:tc>
          <w:tcPr>
            <w:tcW w:w="140" w:type="dxa"/>
            <w:vAlign w:val="bottom"/>
            <w:tcBorders>
              <w:top w:val="single" w:sz="8" w:color="CFF0FC"/>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PIK; No maturity</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2.99%</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5,500,000</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Advanced Lighting Technologies, Inc.</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Consumer goods: Durable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6/13/2012</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Advanced Lighting Technologies, Inc.</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Consumer goods: Durable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6/13/2012</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0.40%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2"/>
                <w:szCs w:val="12"/>
                <w:color w:val="auto"/>
              </w:rPr>
              <w:t>(8)(13)</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43,887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11,485</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Anthem Sports &amp; Entertainment Inc. </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20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maturity</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0.50%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ATP Oil &amp; Gas Corporation</w:t>
            </w:r>
            <w:r>
              <w:rPr>
                <w:rFonts w:ascii="Times New Roman" w:cs="Times New Roman" w:eastAsia="Times New Roman" w:hAnsi="Times New Roman"/>
                <w:sz w:val="10"/>
                <w:szCs w:val="10"/>
                <w:color w:val="auto"/>
              </w:rPr>
              <w:t>(8)(12)(19)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2,994,029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3,445,768</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eInstruction Acquisition, LLC</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Services: Business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7/2/2007</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1,079,617</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FP WRCA Coinvestment Fund VII, Ltd.</w:t>
            </w:r>
            <w:r>
              <w:rPr>
                <w:rFonts w:ascii="Times New Roman" w:cs="Times New Roman" w:eastAsia="Times New Roman" w:hAnsi="Times New Roman"/>
                <w:sz w:val="10"/>
                <w:szCs w:val="10"/>
                <w:color w:val="auto"/>
              </w:rPr>
              <w:t>(3)(13)(19)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Class A Shares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Capital Equipment</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2/2/2007</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0.21%</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831,600</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New Millennium Holdco, Inc. (Millennium</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Health, LLC)</w:t>
            </w:r>
            <w:r>
              <w:rPr>
                <w:rFonts w:ascii="Times New Roman" w:cs="Times New Roman" w:eastAsia="Times New Roman" w:hAnsi="Times New Roman"/>
                <w:sz w:val="10"/>
                <w:szCs w:val="10"/>
                <w:color w:val="auto"/>
              </w:rPr>
              <w:t>(8)(13)(19)</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10/7/2014</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1,953,299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OCI Holdings, LLC</w:t>
            </w:r>
            <w:r>
              <w:rPr>
                <w:rFonts w:ascii="Times New Roman" w:cs="Times New Roman" w:eastAsia="Times New Roman" w:hAnsi="Times New Roman"/>
                <w:sz w:val="10"/>
                <w:szCs w:val="10"/>
                <w:color w:val="auto"/>
              </w:rPr>
              <w:t>(8)(19)(21)</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20.8%</w:t>
            </w: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Roscoe Investors, LLC</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3/26/2014</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 Holdings, LLC</w:t>
            </w:r>
            <w:r>
              <w:rPr>
                <w:rFonts w:ascii="Times New Roman" w:cs="Times New Roman" w:eastAsia="Times New Roman" w:hAnsi="Times New Roman"/>
                <w:sz w:val="10"/>
                <w:szCs w:val="10"/>
                <w:color w:val="auto"/>
              </w:rPr>
              <w:t>(8)(13)(16)(19)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8/28/2014</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48.5%</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6,228,000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Ohene Holdings B.V.</w:t>
            </w:r>
            <w:r>
              <w:rPr>
                <w:rFonts w:ascii="Times New Roman" w:cs="Times New Roman" w:eastAsia="Times New Roman" w:hAnsi="Times New Roman"/>
                <w:sz w:val="10"/>
                <w:szCs w:val="10"/>
                <w:color w:val="auto"/>
              </w:rPr>
              <w:t>(3)(13)(19)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Warrants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Services: Business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3/31/2019</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3"/>
                <w:szCs w:val="13"/>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TRSO II, Inc.</w:t>
            </w:r>
            <w:r>
              <w:rPr>
                <w:rFonts w:ascii="Times New Roman" w:cs="Times New Roman" w:eastAsia="Times New Roman" w:hAnsi="Times New Roman"/>
                <w:sz w:val="10"/>
                <w:szCs w:val="10"/>
                <w:color w:val="auto"/>
              </w:rPr>
              <w:t>(8)(13)(19)</w:t>
            </w:r>
          </w:p>
        </w:tc>
        <w:tc>
          <w:tcPr>
            <w:tcW w:w="2060" w:type="dxa"/>
            <w:vAlign w:val="bottom"/>
            <w:gridSpan w:val="3"/>
            <w:shd w:val="clear" w:color="auto" w:fill="CFF0FC"/>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Energy: Oil &amp; Gas</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12/24/2012</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5.40%</w:t>
            </w: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1,680,161</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70,566</w:t>
            </w:r>
          </w:p>
        </w:tc>
        <w:tc>
          <w:tcPr>
            <w:tcW w:w="100" w:type="dxa"/>
            <w:vAlign w:val="bottom"/>
            <w:shd w:val="clear" w:color="auto" w:fill="CFF0FC"/>
          </w:tcPr>
          <w:p>
            <w:pPr>
              <w:spacing w:after="0"/>
              <w:rPr>
                <w:sz w:val="13"/>
                <w:szCs w:val="13"/>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90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 in Equity Securities (6% of</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5"/>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net asset value at fair value)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22,160,993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9,864,419</w:t>
            </w:r>
          </w:p>
        </w:tc>
        <w:tc>
          <w:tcPr>
            <w:tcW w:w="100" w:type="dxa"/>
            <w:vAlign w:val="bottom"/>
            <w:shd w:val="clear" w:color="auto" w:fill="CFF0FC"/>
          </w:tcPr>
          <w:p>
            <w:pPr>
              <w:spacing w:after="0"/>
              <w:rPr>
                <w:sz w:val="13"/>
                <w:szCs w:val="13"/>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 Subordinated Investments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320" w:type="dxa"/>
            <w:vAlign w:val="bottom"/>
            <w:gridSpan w:val="2"/>
          </w:tcPr>
          <w:p>
            <w:pPr>
              <w:jc w:val="right"/>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40" w:type="dxa"/>
            <w:vAlign w:val="bottom"/>
            <w:tcBorders>
              <w:bottom w:val="single" w:sz="8" w:color="CFF0FC"/>
            </w:tcBorders>
          </w:tcPr>
          <w:p>
            <w:pPr>
              <w:spacing w:after="0"/>
              <w:rPr>
                <w:sz w:val="13"/>
                <w:szCs w:val="13"/>
                <w:color w:val="auto"/>
              </w:rPr>
            </w:pPr>
          </w:p>
        </w:tc>
        <w:tc>
          <w:tcPr>
            <w:tcW w:w="35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15,11</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3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3"/>
              </w:rPr>
              <w:t>Amortized Cost</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Catamaran CLO 2013- 1 Ltd.</w:t>
            </w:r>
            <w:r>
              <w:rPr>
                <w:rFonts w:ascii="Times New Roman" w:cs="Times New Roman" w:eastAsia="Times New Roman" w:hAnsi="Times New Roman"/>
                <w:sz w:val="12"/>
                <w:szCs w:val="12"/>
                <w:color w:val="auto"/>
              </w:rPr>
              <w:t>(3)(6)(13)(18)</w:t>
            </w:r>
          </w:p>
        </w:tc>
        <w:tc>
          <w:tcPr>
            <w:tcW w:w="140" w:type="dxa"/>
            <w:vAlign w:val="bottom"/>
            <w:shd w:val="clear" w:color="auto" w:fill="CFF0FC"/>
          </w:tcPr>
          <w:p>
            <w:pPr>
              <w:spacing w:after="0"/>
              <w:rPr>
                <w:sz w:val="11"/>
                <w:szCs w:val="11"/>
                <w:color w:val="auto"/>
              </w:rPr>
            </w:pPr>
          </w:p>
        </w:tc>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Subordinated Securities, effective interest 15.4%,</w:t>
            </w:r>
          </w:p>
        </w:tc>
        <w:tc>
          <w:tcPr>
            <w:tcW w:w="12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6/4/2013</w:t>
            </w:r>
          </w:p>
        </w:tc>
        <w:tc>
          <w:tcPr>
            <w:tcW w:w="140" w:type="dxa"/>
            <w:vAlign w:val="bottom"/>
            <w:shd w:val="clear" w:color="auto" w:fill="CFF0FC"/>
          </w:tcPr>
          <w:p>
            <w:pPr>
              <w:spacing w:after="0"/>
              <w:rPr>
                <w:sz w:val="11"/>
                <w:szCs w:val="11"/>
                <w:color w:val="auto"/>
              </w:rPr>
            </w:pPr>
          </w:p>
        </w:tc>
        <w:tc>
          <w:tcPr>
            <w:tcW w:w="13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23.3%</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6,094,823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5,025,536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1/28 maturity</w:t>
            </w: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2014-1 Ltd.</w:t>
            </w:r>
            <w:r>
              <w:rPr>
                <w:rFonts w:ascii="Times New Roman" w:cs="Times New Roman" w:eastAsia="Times New Roman" w:hAnsi="Times New Roman"/>
                <w:sz w:val="12"/>
                <w:szCs w:val="12"/>
                <w:color w:val="auto"/>
              </w:rPr>
              <w:t>(3)(6)(13)(18)</w:t>
            </w:r>
          </w:p>
        </w:tc>
        <w:tc>
          <w:tcPr>
            <w:tcW w:w="378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10.9%,</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5/6/2014</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9,995,658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6,379,580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4/30 maturity</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Dryden 30 Senior Loan Fund</w:t>
            </w:r>
            <w:r>
              <w:rPr>
                <w:rFonts w:ascii="Times New Roman" w:cs="Times New Roman" w:eastAsia="Times New Roman" w:hAnsi="Times New Roman"/>
                <w:sz w:val="12"/>
                <w:szCs w:val="12"/>
                <w:color w:val="auto"/>
              </w:rPr>
              <w:t>(3)(13)</w:t>
            </w:r>
          </w:p>
        </w:tc>
        <w:tc>
          <w:tcPr>
            <w:tcW w:w="378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29.9%,</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10/10/2013</w:t>
            </w:r>
          </w:p>
        </w:tc>
        <w:tc>
          <w:tcPr>
            <w:tcW w:w="140" w:type="dxa"/>
            <w:vAlign w:val="bottom"/>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1,519,641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1,984,155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11/28 maturity</w:t>
            </w: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2014-2 Ltd.</w:t>
            </w:r>
            <w:r>
              <w:rPr>
                <w:rFonts w:ascii="Times New Roman" w:cs="Times New Roman" w:eastAsia="Times New Roman" w:hAnsi="Times New Roman"/>
                <w:sz w:val="12"/>
                <w:szCs w:val="12"/>
                <w:color w:val="auto"/>
              </w:rPr>
              <w:t>(3)(6)(13)(18)</w:t>
            </w:r>
          </w:p>
        </w:tc>
        <w:tc>
          <w:tcPr>
            <w:tcW w:w="378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7.8%,</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8/15/2014</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6,072,697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1,139,032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10/26 maturity</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Catamaran CLO 2015-1 Ltd.</w:t>
            </w:r>
            <w:r>
              <w:rPr>
                <w:rFonts w:ascii="Times New Roman" w:cs="Times New Roman" w:eastAsia="Times New Roman" w:hAnsi="Times New Roman"/>
                <w:sz w:val="12"/>
                <w:szCs w:val="12"/>
                <w:color w:val="auto"/>
              </w:rPr>
              <w:t>(3)(6)(13)(18)</w:t>
            </w:r>
          </w:p>
        </w:tc>
        <w:tc>
          <w:tcPr>
            <w:tcW w:w="378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8.4%,</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5/5/2015</w:t>
            </w:r>
          </w:p>
        </w:tc>
        <w:tc>
          <w:tcPr>
            <w:tcW w:w="140" w:type="dxa"/>
            <w:vAlign w:val="bottom"/>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4,088,504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2,514,130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4/27 maturity</w:t>
            </w: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Catamaran CLO 2016-1 Ltd.</w:t>
            </w:r>
            <w:r>
              <w:rPr>
                <w:rFonts w:ascii="Times New Roman" w:cs="Times New Roman" w:eastAsia="Times New Roman" w:hAnsi="Times New Roman"/>
                <w:sz w:val="12"/>
                <w:szCs w:val="12"/>
                <w:color w:val="auto"/>
              </w:rPr>
              <w:t>(3)(6)(13)(18)</w:t>
            </w:r>
          </w:p>
        </w:tc>
        <w:tc>
          <w:tcPr>
            <w:tcW w:w="3780" w:type="dxa"/>
            <w:vAlign w:val="bottom"/>
            <w:gridSpan w:val="3"/>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8.0%,</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12/21/2016</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9,253,304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6,395,016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1/29 maturity</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Catamaran CLO 2018-1 Ltd</w:t>
            </w:r>
            <w:r>
              <w:rPr>
                <w:rFonts w:ascii="Times New Roman" w:cs="Times New Roman" w:eastAsia="Times New Roman" w:hAnsi="Times New Roman"/>
                <w:sz w:val="12"/>
                <w:szCs w:val="12"/>
                <w:color w:val="auto"/>
              </w:rPr>
              <w:t>(3)(6)(13)(18)</w:t>
            </w:r>
          </w:p>
        </w:tc>
        <w:tc>
          <w:tcPr>
            <w:tcW w:w="3780" w:type="dxa"/>
            <w:vAlign w:val="bottom"/>
            <w:gridSpan w:val="3"/>
            <w:shd w:val="clear" w:color="auto" w:fill="CFF0FC"/>
          </w:tcPr>
          <w:p>
            <w:pPr>
              <w:ind w:left="140"/>
              <w:spacing w:after="0" w:line="139" w:lineRule="exact"/>
              <w:rPr>
                <w:sz w:val="20"/>
                <w:szCs w:val="20"/>
                <w:color w:val="auto"/>
              </w:rPr>
            </w:pPr>
            <w:r>
              <w:rPr>
                <w:rFonts w:ascii="Times New Roman" w:cs="Times New Roman" w:eastAsia="Times New Roman" w:hAnsi="Times New Roman"/>
                <w:sz w:val="14"/>
                <w:szCs w:val="14"/>
                <w:color w:val="auto"/>
              </w:rPr>
              <w:t>Subordinated Securities, effective interest 13.0%,</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9/27/2018</w:t>
            </w:r>
          </w:p>
        </w:tc>
        <w:tc>
          <w:tcPr>
            <w:tcW w:w="140" w:type="dxa"/>
            <w:vAlign w:val="bottom"/>
            <w:shd w:val="clear" w:color="auto" w:fill="CFF0FC"/>
          </w:tcPr>
          <w:p>
            <w:pPr>
              <w:spacing w:after="0"/>
              <w:rPr>
                <w:sz w:val="12"/>
                <w:szCs w:val="12"/>
                <w:color w:val="auto"/>
              </w:rPr>
            </w:pPr>
          </w:p>
        </w:tc>
        <w:tc>
          <w:tcPr>
            <w:tcW w:w="13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24.8%</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9,594,090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8,530,753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10/31 maturity</w:t>
            </w: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Investment in CLO</w:t>
            </w:r>
          </w:p>
        </w:tc>
        <w:tc>
          <w:tcPr>
            <w:tcW w:w="140" w:type="dxa"/>
            <w:vAlign w:val="bottom"/>
            <w:shd w:val="clear" w:color="auto" w:fill="CFF0FC"/>
          </w:tcPr>
          <w:p>
            <w:pPr>
              <w:spacing w:after="0"/>
              <w:rPr>
                <w:sz w:val="10"/>
                <w:szCs w:val="10"/>
                <w:color w:val="auto"/>
              </w:rPr>
            </w:pPr>
          </w:p>
        </w:tc>
        <w:tc>
          <w:tcPr>
            <w:tcW w:w="3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Subordinated Securities</w:t>
            </w:r>
          </w:p>
        </w:tc>
        <w:tc>
          <w:tcPr>
            <w:tcW w:w="140" w:type="dxa"/>
            <w:vAlign w:val="bottom"/>
            <w:shd w:val="clear" w:color="auto" w:fill="CFF0FC"/>
          </w:tcPr>
          <w:p>
            <w:pPr>
              <w:spacing w:after="0"/>
              <w:rPr>
                <w:sz w:val="13"/>
                <w:szCs w:val="13"/>
                <w:color w:val="auto"/>
              </w:rPr>
            </w:pPr>
          </w:p>
        </w:tc>
        <w:tc>
          <w:tcPr>
            <w:tcW w:w="3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46,618,717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31,968,202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560" w:type="dxa"/>
            <w:vAlign w:val="bottom"/>
            <w:gridSpan w:val="3"/>
          </w:tcPr>
          <w:p>
            <w:pPr>
              <w:jc w:val="right"/>
              <w:ind w:right="677"/>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0"/>
                <w:szCs w:val="10"/>
                <w:color w:val="auto"/>
              </w:rPr>
              <w:t>(8)(13)(16)</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Asset Management Company</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4"/>
              </w:rPr>
              <w:t>12/11/2006</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3040" w:type="dxa"/>
            <w:vAlign w:val="bottom"/>
            <w:gridSpan w:val="2"/>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Investment in Asset Manager</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Affiliates (2% of net asset value</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5"/>
        </w:trPr>
        <w:tc>
          <w:tcPr>
            <w:tcW w:w="3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3"/>
                <w:szCs w:val="13"/>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580" w:type="dxa"/>
            <w:vAlign w:val="bottom"/>
            <w:gridSpan w:val="3"/>
          </w:tcPr>
          <w:p>
            <w:pPr>
              <w:jc w:val="right"/>
              <w:ind w:right="708"/>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140" w:type="dxa"/>
            <w:vAlign w:val="bottom"/>
          </w:tcPr>
          <w:p>
            <w:pPr>
              <w:spacing w:after="0"/>
              <w:rPr>
                <w:sz w:val="13"/>
                <w:szCs w:val="13"/>
                <w:color w:val="auto"/>
              </w:rPr>
            </w:pPr>
          </w:p>
        </w:tc>
        <w:tc>
          <w:tcPr>
            <w:tcW w:w="3020" w:type="dxa"/>
            <w:vAlign w:val="bottom"/>
            <w:gridSpan w:val="2"/>
          </w:tcPr>
          <w:p>
            <w:pPr>
              <w:ind w:left="10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580" w:type="dxa"/>
            <w:vAlign w:val="bottom"/>
            <w:gridSpan w:val="3"/>
          </w:tcPr>
          <w:p>
            <w:pPr>
              <w:jc w:val="right"/>
              <w:ind w:right="708"/>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24"/>
        </w:trPr>
        <w:tc>
          <w:tcPr>
            <w:tcW w:w="29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AAPC Holdings LLC.</w:t>
            </w:r>
            <w:r>
              <w:rPr>
                <w:rFonts w:ascii="Times New Roman" w:cs="Times New Roman" w:eastAsia="Times New Roman" w:hAnsi="Times New Roman"/>
                <w:sz w:val="10"/>
                <w:szCs w:val="10"/>
                <w:color w:val="auto"/>
              </w:rPr>
              <w:t>(13)(22)</w:t>
            </w:r>
          </w:p>
        </w:tc>
        <w:tc>
          <w:tcPr>
            <w:tcW w:w="140" w:type="dxa"/>
            <w:vAlign w:val="bottom"/>
            <w:tcBorders>
              <w:top w:val="single" w:sz="8" w:color="CFF0FC"/>
            </w:tcBorders>
            <w:shd w:val="clear" w:color="auto" w:fill="CFF0FC"/>
          </w:tcPr>
          <w:p>
            <w:pPr>
              <w:spacing w:after="0"/>
              <w:rPr>
                <w:sz w:val="10"/>
                <w:szCs w:val="10"/>
                <w:color w:val="auto"/>
              </w:rPr>
            </w:pPr>
          </w:p>
        </w:tc>
        <w:tc>
          <w:tcPr>
            <w:tcW w:w="28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53"/>
        </w:trPr>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31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Securities Swap and Option Agreement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9/30/2019</w:t>
            </w:r>
          </w:p>
        </w:tc>
        <w:tc>
          <w:tcPr>
            <w:tcW w:w="140" w:type="dxa"/>
            <w:vAlign w:val="bottom"/>
            <w:shd w:val="clear" w:color="auto" w:fill="CFF0FC"/>
          </w:tcPr>
          <w:p>
            <w:pPr>
              <w:spacing w:after="0"/>
              <w:rPr>
                <w:sz w:val="13"/>
                <w:szCs w:val="13"/>
                <w:color w:val="auto"/>
              </w:rPr>
            </w:pPr>
          </w:p>
        </w:tc>
        <w:tc>
          <w:tcPr>
            <w:tcW w:w="15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(41,093)</w:t>
            </w: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 xml:space="preserve">HDNet Holdco LLC </w:t>
            </w:r>
            <w:r>
              <w:rPr>
                <w:rFonts w:ascii="Times New Roman" w:cs="Times New Roman" w:eastAsia="Times New Roman" w:hAnsi="Times New Roman"/>
                <w:sz w:val="10"/>
                <w:szCs w:val="10"/>
                <w:color w:val="auto"/>
              </w:rPr>
              <w:t>(13)(22)</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Media: Broadcasting &amp; Subscription</w:t>
            </w:r>
          </w:p>
        </w:tc>
        <w:tc>
          <w:tcPr>
            <w:tcW w:w="31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Call Option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9/9/2019</w:t>
            </w: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30,609</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100" w:type="dxa"/>
            <w:vAlign w:val="bottom"/>
            <w:shd w:val="clear" w:color="auto" w:fill="CFF0FC"/>
          </w:tcPr>
          <w:p>
            <w:pPr>
              <w:spacing w:after="0"/>
              <w:rPr>
                <w:sz w:val="13"/>
                <w:szCs w:val="13"/>
                <w:color w:val="auto"/>
              </w:rPr>
            </w:pPr>
          </w:p>
        </w:tc>
      </w:tr>
      <w:tr>
        <w:trPr>
          <w:trHeight w:val="142"/>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w w:val="97"/>
              </w:rPr>
              <w:t>Total Derivatives (0% of net asset value at fair value)</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spacing w:after="0"/>
              <w:rPr>
                <w:sz w:val="12"/>
                <w:szCs w:val="12"/>
                <w:color w:val="auto"/>
              </w:rPr>
            </w:pP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30,609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(33,437)</w:t>
            </w: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Joint Ventures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Principal Business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Ownership</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KCAP Freedom 3 LLC(9)(13)(16)</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Joint Venture</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7/19/2017</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24,914,858</w:t>
            </w:r>
          </w:p>
        </w:tc>
        <w:tc>
          <w:tcPr>
            <w:tcW w:w="260" w:type="dxa"/>
            <w:vAlign w:val="bottom"/>
            <w:gridSpan w:val="2"/>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2"/>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21,307,899</w:t>
            </w:r>
          </w:p>
        </w:tc>
        <w:tc>
          <w:tcPr>
            <w:tcW w:w="100" w:type="dxa"/>
            <w:vAlign w:val="bottom"/>
            <w:shd w:val="clear" w:color="auto" w:fill="CFF0FC"/>
          </w:tcPr>
          <w:p>
            <w:pPr>
              <w:spacing w:after="0"/>
              <w:rPr>
                <w:sz w:val="12"/>
                <w:szCs w:val="12"/>
                <w:color w:val="auto"/>
              </w:rPr>
            </w:pP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9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BCP Great Lakes Holdings LP(10)(17)(18)</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Limited Partnership</w:t>
            </w:r>
          </w:p>
        </w:tc>
        <w:tc>
          <w:tcPr>
            <w:tcW w:w="3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Joint Venture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12/11/2018</w:t>
            </w: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23,679,681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23,780,068</w:t>
            </w:r>
          </w:p>
        </w:tc>
        <w:tc>
          <w:tcPr>
            <w:tcW w:w="100" w:type="dxa"/>
            <w:vAlign w:val="bottom"/>
            <w:shd w:val="clear" w:color="auto" w:fill="CFF0FC"/>
          </w:tcPr>
          <w:p>
            <w:pPr>
              <w:spacing w:after="0"/>
              <w:rPr>
                <w:sz w:val="13"/>
                <w:szCs w:val="13"/>
                <w:color w:val="auto"/>
              </w:rPr>
            </w:pPr>
          </w:p>
        </w:tc>
      </w:tr>
      <w:tr>
        <w:trPr>
          <w:trHeight w:val="122"/>
        </w:trPr>
        <w:tc>
          <w:tcPr>
            <w:tcW w:w="29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Investment in Joint Ventures</w:t>
            </w:r>
          </w:p>
        </w:tc>
        <w:tc>
          <w:tcPr>
            <w:tcW w:w="140" w:type="dxa"/>
            <w:vAlign w:val="bottom"/>
            <w:tcBorders>
              <w:top w:val="single" w:sz="8" w:color="auto"/>
            </w:tcBorders>
          </w:tcPr>
          <w:p>
            <w:pPr>
              <w:spacing w:after="0"/>
              <w:rPr>
                <w:sz w:val="10"/>
                <w:szCs w:val="10"/>
                <w:color w:val="auto"/>
              </w:rPr>
            </w:pPr>
          </w:p>
        </w:tc>
        <w:tc>
          <w:tcPr>
            <w:tcW w:w="2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9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(29% of net asset value at fair value)</w:t>
            </w: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48,594,539</w:t>
            </w:r>
          </w:p>
        </w:tc>
        <w:tc>
          <w:tcPr>
            <w:tcW w:w="420" w:type="dxa"/>
            <w:vAlign w:val="bottom"/>
            <w:gridSpan w:val="4"/>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45,087,967</w:t>
            </w:r>
          </w:p>
        </w:tc>
        <w:tc>
          <w:tcPr>
            <w:tcW w:w="100" w:type="dxa"/>
            <w:vAlign w:val="bottom"/>
          </w:tcPr>
          <w:p>
            <w:pPr>
              <w:spacing w:after="0"/>
              <w:rPr>
                <w:sz w:val="13"/>
                <w:szCs w:val="13"/>
                <w:color w:val="auto"/>
              </w:rPr>
            </w:pPr>
          </w:p>
        </w:tc>
      </w:tr>
      <w:tr>
        <w:trPr>
          <w:trHeight w:val="42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88"/>
              </w:rPr>
              <w:t>Par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/Amortized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Investment</w:t>
            </w:r>
            <w:r>
              <w:rPr>
                <w:rFonts w:ascii="Times New Roman" w:cs="Times New Roman" w:eastAsia="Times New Roman" w:hAnsi="Times New Roman"/>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Yield</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9"/>
              </w:rPr>
              <w:t>Fair Value2</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US Bank Money Market Account(7)(8)</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Money Market Account</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917"/>
              <w:spacing w:after="0" w:line="142" w:lineRule="exact"/>
              <w:rPr>
                <w:sz w:val="20"/>
                <w:szCs w:val="20"/>
                <w:color w:val="auto"/>
              </w:rPr>
            </w:pPr>
            <w:r>
              <w:rPr>
                <w:rFonts w:ascii="Times New Roman" w:cs="Times New Roman" w:eastAsia="Times New Roman" w:hAnsi="Times New Roman"/>
                <w:sz w:val="13"/>
                <w:szCs w:val="13"/>
                <w:color w:val="auto"/>
                <w:w w:val="89"/>
              </w:rPr>
              <w:t>N/A</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0.45%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4,207,107</w:t>
            </w:r>
          </w:p>
        </w:tc>
        <w:tc>
          <w:tcPr>
            <w:tcW w:w="280" w:type="dxa"/>
            <w:vAlign w:val="bottom"/>
            <w:gridSpan w:val="3"/>
            <w:shd w:val="clear" w:color="auto" w:fill="CFF0FC"/>
          </w:tcPr>
          <w:p>
            <w:pPr>
              <w:spacing w:after="0"/>
              <w:rPr>
                <w:sz w:val="12"/>
                <w:szCs w:val="12"/>
                <w:color w:val="auto"/>
              </w:rPr>
            </w:pPr>
          </w:p>
        </w:tc>
        <w:tc>
          <w:tcPr>
            <w:tcW w:w="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4,207,107</w:t>
            </w:r>
          </w:p>
        </w:tc>
        <w:tc>
          <w:tcPr>
            <w:tcW w:w="100" w:type="dxa"/>
            <w:vAlign w:val="bottom"/>
            <w:shd w:val="clear" w:color="auto" w:fill="CFF0FC"/>
          </w:tcPr>
          <w:p>
            <w:pPr>
              <w:spacing w:after="0"/>
              <w:rPr>
                <w:sz w:val="12"/>
                <w:szCs w:val="12"/>
                <w:color w:val="auto"/>
              </w:rPr>
            </w:pPr>
          </w:p>
        </w:tc>
      </w:tr>
      <w:tr>
        <w:trPr>
          <w:trHeight w:val="149"/>
        </w:trPr>
        <w:tc>
          <w:tcPr>
            <w:tcW w:w="29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22"/>
        </w:trPr>
        <w:tc>
          <w:tcPr>
            <w:tcW w:w="29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Short-term Investments</w:t>
            </w:r>
          </w:p>
        </w:tc>
        <w:tc>
          <w:tcPr>
            <w:tcW w:w="140" w:type="dxa"/>
            <w:vAlign w:val="bottom"/>
            <w:shd w:val="clear" w:color="auto" w:fill="CFF0FC"/>
          </w:tcPr>
          <w:p>
            <w:pPr>
              <w:spacing w:after="0"/>
              <w:rPr>
                <w:sz w:val="10"/>
                <w:szCs w:val="10"/>
                <w:color w:val="auto"/>
              </w:rPr>
            </w:pPr>
          </w:p>
        </w:tc>
        <w:tc>
          <w:tcPr>
            <w:tcW w:w="2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(2% of net asset value at fair value)</w:t>
            </w:r>
          </w:p>
        </w:tc>
        <w:tc>
          <w:tcPr>
            <w:tcW w:w="14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4,207,107</w:t>
            </w:r>
          </w:p>
        </w:tc>
        <w:tc>
          <w:tcPr>
            <w:tcW w:w="420" w:type="dxa"/>
            <w:vAlign w:val="bottom"/>
            <w:gridSpan w:val="4"/>
            <w:shd w:val="clear" w:color="auto" w:fill="CFF0FC"/>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4,207,107</w:t>
            </w:r>
          </w:p>
        </w:tc>
        <w:tc>
          <w:tcPr>
            <w:tcW w:w="100" w:type="dxa"/>
            <w:vAlign w:val="bottom"/>
            <w:shd w:val="clear" w:color="auto" w:fill="CFF0FC"/>
          </w:tcPr>
          <w:p>
            <w:pPr>
              <w:spacing w:after="0"/>
              <w:rPr>
                <w:sz w:val="13"/>
                <w:szCs w:val="13"/>
                <w:color w:val="auto"/>
              </w:rPr>
            </w:pPr>
          </w:p>
        </w:tc>
      </w:tr>
      <w:tr>
        <w:trPr>
          <w:trHeight w:val="142"/>
        </w:trPr>
        <w:tc>
          <w:tcPr>
            <w:tcW w:w="29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334,089,559</w:t>
            </w:r>
          </w:p>
        </w:tc>
        <w:tc>
          <w:tcPr>
            <w:tcW w:w="280" w:type="dxa"/>
            <w:vAlign w:val="bottom"/>
            <w:gridSpan w:val="3"/>
          </w:tcPr>
          <w:p>
            <w:pPr>
              <w:spacing w:after="0"/>
              <w:rPr>
                <w:sz w:val="12"/>
                <w:szCs w:val="12"/>
                <w:color w:val="auto"/>
              </w:rPr>
            </w:pPr>
          </w:p>
        </w:tc>
        <w:tc>
          <w:tcPr>
            <w:tcW w:w="1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277,897,166</w:t>
            </w:r>
          </w:p>
        </w:tc>
        <w:tc>
          <w:tcPr>
            <w:tcW w:w="100" w:type="dxa"/>
            <w:vAlign w:val="bottom"/>
          </w:tcPr>
          <w:p>
            <w:pPr>
              <w:spacing w:after="0"/>
              <w:rPr>
                <w:sz w:val="12"/>
                <w:szCs w:val="12"/>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380" w:right="60" w:hanging="372"/>
        <w:spacing w:after="0" w:line="222"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2019 loan. For each such loan, the Company has provided the weighted average annual stated interest rate in</w:t>
      </w:r>
    </w:p>
    <w:p>
      <w:pPr>
        <w:ind w:left="380"/>
        <w:spacing w:after="0" w:line="228" w:lineRule="auto"/>
        <w:rPr>
          <w:sz w:val="20"/>
          <w:szCs w:val="20"/>
          <w:color w:val="auto"/>
        </w:rPr>
      </w:pPr>
      <w:r>
        <w:rPr>
          <w:rFonts w:ascii="Times New Roman" w:cs="Times New Roman" w:eastAsia="Times New Roman" w:hAnsi="Times New Roman"/>
          <w:sz w:val="15"/>
          <w:szCs w:val="15"/>
          <w:color w:val="auto"/>
        </w:rPr>
        <w:t>effect at December 31, 2019. As noted in the table above, 82% (based on par) of debt securities contain floors which range between 1.00% and 1.50%.</w:t>
      </w:r>
    </w:p>
    <w:p>
      <w:pPr>
        <w:ind w:left="380" w:hanging="372"/>
        <w:spacing w:after="0" w:line="224"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Reflects the fair market value of all investments as of December 31, 2019 as determined by the Company’s Board of Directors.</w:t>
      </w:r>
    </w:p>
    <w:p>
      <w:pPr>
        <w:spacing w:after="0" w:line="6" w:lineRule="exact"/>
        <w:rPr>
          <w:rFonts w:ascii="Times New Roman" w:cs="Times New Roman" w:eastAsia="Times New Roman" w:hAnsi="Times New Roman"/>
          <w:sz w:val="17"/>
          <w:szCs w:val="17"/>
          <w:color w:val="auto"/>
        </w:rPr>
      </w:pPr>
    </w:p>
    <w:p>
      <w:pPr>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5"/>
          <w:szCs w:val="15"/>
          <w:color w:val="auto"/>
        </w:rPr>
        <w:t>Non-U.S. company or principal place of business outside the U.S.</w:t>
      </w:r>
    </w:p>
    <w:p>
      <w:pPr>
        <w:ind w:left="380" w:right="180" w:hanging="364"/>
        <w:spacing w:after="0" w:line="21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5"/>
          <w:szCs w:val="15"/>
          <w:color w:val="auto"/>
        </w:rPr>
        <w:t>The aggregate cost of investments for federal income tax purposes is approximately $348 million. The aggregate gross unrealized appreciation is approximately $27.2 million,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the aggregate gross unrealized depreciation is approximately $94.9 million, and the net unrealized depreciation is approximately $67.9 million.</w:t>
      </w:r>
    </w:p>
    <w:p>
      <w:pPr>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5"/>
          <w:szCs w:val="15"/>
          <w:color w:val="auto"/>
        </w:rPr>
        <w:t>Loan or debt security is on non-accrual status and therefore is considered non-income producing.</w:t>
      </w:r>
    </w:p>
    <w:p>
      <w:pPr>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5"/>
          <w:szCs w:val="15"/>
          <w:color w:val="auto"/>
        </w:rPr>
        <w:t>A CLO Fund managed by an affiliate of LibreMax.</w:t>
      </w:r>
    </w:p>
    <w:p>
      <w:pPr>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5"/>
          <w:szCs w:val="15"/>
          <w:color w:val="auto"/>
        </w:rPr>
        <w:t>Money market account.</w:t>
      </w:r>
    </w:p>
    <w:p>
      <w:pPr>
        <w:ind w:left="380" w:hanging="364"/>
        <w:spacing w:after="0" w:line="21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5"/>
          <w:szCs w:val="15"/>
          <w:color w:val="auto"/>
        </w:rPr>
        <w:t>Qualified asset for purposes of section 55(a) of the Investment Company Act of 1940, as amended (the “1940 Act”). Qualifying assets represent approximately 74.7% of the total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assets at December 31, 2019.</w:t>
      </w:r>
    </w:p>
    <w:p>
      <w:pPr>
        <w:ind w:left="380" w:right="40" w:hanging="364"/>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5"/>
          <w:szCs w:val="15"/>
          <w:color w:val="auto"/>
        </w:rPr>
        <w:t>As defined in the 1940 Act, the Company is deemed to be both an “Affiliated Person” and has “Control” of this portfolio company as the Company owns more than 25%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5"/>
          <w:szCs w:val="15"/>
          <w:color w:val="auto"/>
        </w:rPr>
        <w:t>Non-voting.</w:t>
      </w:r>
    </w:p>
    <w:p>
      <w:pPr>
        <w:ind w:left="380" w:hanging="364"/>
        <w:spacing w:after="0" w:line="2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5"/>
          <w:szCs w:val="15"/>
          <w:color w:val="auto"/>
        </w:rPr>
        <w:t>CLO Subordinated Investments are entitled to periodic distributions which are generally equal to the remaining cash flow of the payments made by the underlying fund’s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7"/>
          <w:szCs w:val="17"/>
          <w:color w:val="auto"/>
        </w:rPr>
      </w:pPr>
    </w:p>
    <w:p>
      <w:pPr>
        <w:ind w:left="380" w:right="280" w:hanging="364"/>
        <w:spacing w:after="0" w:line="21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5"/>
          <w:szCs w:val="15"/>
          <w:color w:val="auto"/>
        </w:rPr>
        <w:t>This investment is on non-accrual status and receives a 5% royalty interest on oil being produced on certain fields. All production payments received are being applied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cost basis and are considered return of capital.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5"/>
          <w:szCs w:val="15"/>
          <w:color w:val="auto"/>
        </w:rPr>
        <w:t>Fair value of this investment was determined using significant unobservable inputs.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ind w:left="380" w:right="160" w:hanging="372"/>
        <w:spacing w:after="0" w:line="222"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As of December 31, 2019, this investment is owned by Great Lakes Portman Ridge Funding, LLC and was pledged to secure Great Lakes Portman Ridge Funding, LLC’s debt obligation pursuant to its senior secured revolving credit facility (the “Revolving Credit Facility”) with JPMorgan Chase Bank, National Association (“JPM”).</w:t>
      </w:r>
    </w:p>
    <w:p>
      <w:pPr>
        <w:ind w:left="380" w:right="320" w:hanging="372"/>
        <w:spacing w:after="0" w:line="211"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380" w:right="120" w:hanging="372"/>
        <w:spacing w:after="0" w:line="211"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80" w:hanging="372"/>
        <w:spacing w:after="0" w:line="223"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Ownership of LP interest held through the holding company BCP Great Lakes Fund, L.P, a non-U.S. company or principal place of business outside the U.S.</w:t>
      </w:r>
    </w:p>
    <w:p>
      <w:pPr>
        <w:spacing w:after="0" w:line="7" w:lineRule="exact"/>
        <w:rPr>
          <w:rFonts w:ascii="Times New Roman" w:cs="Times New Roman" w:eastAsia="Times New Roman" w:hAnsi="Times New Roman"/>
          <w:sz w:val="17"/>
          <w:szCs w:val="17"/>
          <w:color w:val="auto"/>
        </w:rPr>
      </w:pPr>
    </w:p>
    <w:p>
      <w:pPr>
        <w:ind w:left="380" w:right="180" w:hanging="372"/>
        <w:spacing w:after="0" w:line="184" w:lineRule="auto"/>
        <w:tabs>
          <w:tab w:leader="none" w:pos="3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7" w:lineRule="auto"/>
        <w:tabs>
          <w:tab w:leader="none" w:pos="3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Non-income producing.</w:t>
      </w:r>
    </w:p>
    <w:p>
      <w:pPr>
        <w:ind w:left="380" w:hanging="372"/>
        <w:spacing w:after="0" w:line="187" w:lineRule="auto"/>
        <w:tabs>
          <w:tab w:leader="none" w:pos="3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Investment is entitled to skim interest which results in a higher interest rate spread of approximately 30 basis points.</w:t>
      </w:r>
    </w:p>
    <w:p>
      <w:pPr>
        <w:ind w:left="380" w:hanging="372"/>
        <w:spacing w:after="0" w:line="187" w:lineRule="auto"/>
        <w:tabs>
          <w:tab w:leader="none" w:pos="3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Owns 100% of Class A Units in OHA/OCI Investments, LLC representing 20.8% diluted ownership of OCI Holdings, LLC</w:t>
      </w:r>
    </w:p>
    <w:p>
      <w:pPr>
        <w:ind w:left="380" w:hanging="372"/>
        <w:spacing w:after="0" w:line="180"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Information related to the Company’s derivatives is presented below as of December 31, 2019:</w:t>
      </w:r>
    </w:p>
    <w:tbl>
      <w:tblPr>
        <w:tblLayout w:type="fixed"/>
        <w:tblInd w:w="0" w:type="dxa"/>
        <w:tblCellMar>
          <w:top w:w="0" w:type="dxa"/>
          <w:left w:w="0" w:type="dxa"/>
          <w:bottom w:w="0" w:type="dxa"/>
          <w:right w:w="0" w:type="dxa"/>
        </w:tblCellMar>
      </w:tblPr>
      <w:tr>
        <w:trPr>
          <w:trHeight w:val="119"/>
        </w:trPr>
        <w:tc>
          <w:tcPr>
            <w:tcW w:w="20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5"/>
              </w:rPr>
              <w:t>Payments</w:t>
            </w:r>
          </w:p>
        </w:tc>
        <w:tc>
          <w:tcPr>
            <w:tcW w:w="1040" w:type="dxa"/>
            <w:vAlign w:val="bottom"/>
          </w:tcPr>
          <w:p>
            <w:pPr>
              <w:jc w:val="center"/>
              <w:ind w:left="137"/>
              <w:spacing w:after="0" w:line="119" w:lineRule="exact"/>
              <w:rPr>
                <w:sz w:val="20"/>
                <w:szCs w:val="20"/>
                <w:color w:val="auto"/>
              </w:rPr>
            </w:pPr>
            <w:r>
              <w:rPr>
                <w:rFonts w:ascii="Times New Roman" w:cs="Times New Roman" w:eastAsia="Times New Roman" w:hAnsi="Times New Roman"/>
                <w:sz w:val="13"/>
                <w:szCs w:val="13"/>
                <w:b w:val="1"/>
                <w:bCs w:val="1"/>
                <w:color w:val="auto"/>
                <w:w w:val="95"/>
              </w:rPr>
              <w:t>Payments</w:t>
            </w:r>
          </w:p>
        </w:tc>
        <w:tc>
          <w:tcPr>
            <w:tcW w:w="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left="17"/>
              <w:spacing w:after="0" w:line="119"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97"/>
              <w:spacing w:after="0" w:line="119" w:lineRule="exact"/>
              <w:rPr>
                <w:sz w:val="20"/>
                <w:szCs w:val="20"/>
                <w:color w:val="auto"/>
              </w:rPr>
            </w:pPr>
            <w:r>
              <w:rPr>
                <w:rFonts w:ascii="Times New Roman" w:cs="Times New Roman" w:eastAsia="Times New Roman" w:hAnsi="Times New Roman"/>
                <w:sz w:val="13"/>
                <w:szCs w:val="13"/>
                <w:b w:val="1"/>
                <w:bCs w:val="1"/>
                <w:color w:val="auto"/>
                <w:w w:val="93"/>
              </w:rPr>
              <w:t>Upfront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55"/>
        </w:trPr>
        <w:tc>
          <w:tcPr>
            <w:tcW w:w="206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2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8"/>
              </w:rPr>
              <w:t>made</w:t>
            </w:r>
          </w:p>
        </w:tc>
        <w:tc>
          <w:tcPr>
            <w:tcW w:w="104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5"/>
              </w:rPr>
              <w:t>received</w:t>
            </w:r>
          </w:p>
        </w:tc>
        <w:tc>
          <w:tcPr>
            <w:tcW w:w="540" w:type="dxa"/>
            <w:vAlign w:val="bottom"/>
          </w:tcPr>
          <w:p>
            <w:pPr>
              <w:spacing w:after="0"/>
              <w:rPr>
                <w:sz w:val="13"/>
                <w:szCs w:val="13"/>
                <w:color w:val="auto"/>
              </w:rPr>
            </w:pPr>
          </w:p>
        </w:tc>
        <w:tc>
          <w:tcPr>
            <w:tcW w:w="1420" w:type="dxa"/>
            <w:vAlign w:val="bottom"/>
          </w:tcPr>
          <w:p>
            <w:pPr>
              <w:jc w:val="center"/>
              <w:ind w:right="377"/>
              <w:spacing w:after="0"/>
              <w:rPr>
                <w:sz w:val="20"/>
                <w:szCs w:val="20"/>
                <w:color w:val="auto"/>
              </w:rPr>
            </w:pPr>
            <w:r>
              <w:rPr>
                <w:rFonts w:ascii="Times New Roman" w:cs="Times New Roman" w:eastAsia="Times New Roman" w:hAnsi="Times New Roman"/>
                <w:sz w:val="13"/>
                <w:szCs w:val="13"/>
                <w:b w:val="1"/>
                <w:bCs w:val="1"/>
                <w:color w:val="auto"/>
                <w:w w:val="96"/>
              </w:rPr>
              <w:t>Counterparty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2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3"/>
              </w:rPr>
              <w:t>amount</w:t>
            </w:r>
          </w:p>
        </w:tc>
        <w:tc>
          <w:tcPr>
            <w:tcW w:w="180" w:type="dxa"/>
            <w:vAlign w:val="bottom"/>
          </w:tcPr>
          <w:p>
            <w:pPr>
              <w:spacing w:after="0"/>
              <w:rPr>
                <w:sz w:val="13"/>
                <w:szCs w:val="13"/>
                <w:color w:val="auto"/>
              </w:rPr>
            </w:pPr>
          </w:p>
        </w:tc>
        <w:tc>
          <w:tcPr>
            <w:tcW w:w="114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18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payments/receipts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9"/>
              </w:rPr>
              <w:t>Securities Swap and Option Agreement</w:t>
            </w:r>
          </w:p>
        </w:tc>
        <w:tc>
          <w:tcPr>
            <w:tcW w:w="820" w:type="dxa"/>
            <w:vAlign w:val="bottom"/>
            <w:tcBorders>
              <w:top w:val="single" w:sz="8" w:color="auto"/>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3"/>
                <w:szCs w:val="13"/>
                <w:color w:val="auto"/>
              </w:rPr>
              <w:t>16% Cash</w:t>
            </w:r>
          </w:p>
        </w:tc>
        <w:tc>
          <w:tcPr>
            <w:tcW w:w="1960" w:type="dxa"/>
            <w:vAlign w:val="bottom"/>
            <w:tcBorders>
              <w:top w:val="single" w:sz="8" w:color="auto"/>
            </w:tcBorders>
            <w:gridSpan w:val="2"/>
            <w:shd w:val="clear" w:color="auto" w:fill="CFF0FC"/>
          </w:tcPr>
          <w:p>
            <w:pPr>
              <w:jc w:val="center"/>
              <w:ind w:left="37"/>
              <w:spacing w:after="0" w:line="142" w:lineRule="exact"/>
              <w:rPr>
                <w:sz w:val="20"/>
                <w:szCs w:val="20"/>
                <w:color w:val="auto"/>
              </w:rPr>
            </w:pPr>
            <w:r>
              <w:rPr>
                <w:rFonts w:ascii="Times New Roman" w:cs="Times New Roman" w:eastAsia="Times New Roman" w:hAnsi="Times New Roman"/>
                <w:sz w:val="13"/>
                <w:szCs w:val="13"/>
                <w:color w:val="auto"/>
                <w:w w:val="97"/>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9/15/24</w:t>
            </w:r>
          </w:p>
        </w:tc>
        <w:tc>
          <w:tcPr>
            <w:tcW w:w="7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$ 5,500,000</w:t>
            </w:r>
          </w:p>
        </w:tc>
        <w:tc>
          <w:tcPr>
            <w:tcW w:w="1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(41,093)</w:t>
            </w:r>
          </w:p>
        </w:tc>
        <w:tc>
          <w:tcPr>
            <w:tcW w:w="10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ind w:right="9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(41,093)</w:t>
            </w:r>
          </w:p>
        </w:tc>
        <w:tc>
          <w:tcPr>
            <w:tcW w:w="100" w:type="dxa"/>
            <w:vAlign w:val="bottom"/>
            <w:tcBorders>
              <w:top w:val="single" w:sz="8" w:color="CFF0FC"/>
            </w:tcBorders>
            <w:shd w:val="clear" w:color="auto" w:fill="CFF0FC"/>
          </w:tcPr>
          <w:p>
            <w:pPr>
              <w:spacing w:after="0"/>
              <w:rPr>
                <w:sz w:val="12"/>
                <w:szCs w:val="12"/>
                <w:color w:val="auto"/>
              </w:rPr>
            </w:pPr>
          </w:p>
        </w:tc>
      </w:tr>
      <w:tr>
        <w:trPr>
          <w:trHeight w:val="344"/>
        </w:trPr>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Notional</w:t>
            </w:r>
          </w:p>
        </w:tc>
        <w:tc>
          <w:tcPr>
            <w:tcW w:w="7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6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20" w:type="dxa"/>
            <w:vAlign w:val="bottom"/>
          </w:tcPr>
          <w:p>
            <w:pPr>
              <w:spacing w:after="0"/>
              <w:rPr>
                <w:sz w:val="13"/>
                <w:szCs w:val="13"/>
                <w:color w:val="auto"/>
              </w:rPr>
            </w:pP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2060" w:type="dxa"/>
            <w:vAlign w:val="bottom"/>
            <w:gridSpan w:val="2"/>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Pr>
          <w:p>
            <w:pPr>
              <w:spacing w:after="0"/>
              <w:rPr>
                <w:sz w:val="13"/>
                <w:szCs w:val="13"/>
                <w:color w:val="auto"/>
              </w:rPr>
            </w:pPr>
          </w:p>
        </w:tc>
        <w:tc>
          <w:tcPr>
            <w:tcW w:w="8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3"/>
                <w:szCs w:val="13"/>
                <w:color w:val="auto"/>
              </w:rPr>
            </w:pPr>
          </w:p>
        </w:tc>
        <w:tc>
          <w:tcPr>
            <w:tcW w:w="1640" w:type="dxa"/>
            <w:vAlign w:val="bottom"/>
            <w:gridSpan w:val="3"/>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Call option</w:t>
            </w:r>
          </w:p>
        </w:tc>
        <w:tc>
          <w:tcPr>
            <w:tcW w:w="8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rPr>
              <w:t>HDNet Holdco LLC</w:t>
            </w:r>
          </w:p>
        </w:tc>
        <w:tc>
          <w:tcPr>
            <w:tcW w:w="14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22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FF0FC"/>
          </w:tcPr>
          <w:p>
            <w:pPr>
              <w:jc w:val="center"/>
              <w:ind w:left="237"/>
              <w:spacing w:after="0" w:line="142" w:lineRule="exact"/>
              <w:rPr>
                <w:sz w:val="20"/>
                <w:szCs w:val="20"/>
                <w:color w:val="auto"/>
              </w:rPr>
            </w:pPr>
            <w:r>
              <w:rPr>
                <w:rFonts w:ascii="Times New Roman" w:cs="Times New Roman" w:eastAsia="Times New Roman" w:hAnsi="Times New Roman"/>
                <w:sz w:val="13"/>
                <w:szCs w:val="13"/>
                <w:color w:val="auto"/>
                <w:w w:val="95"/>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gridSpan w:val="2"/>
            <w:shd w:val="clear" w:color="auto" w:fill="CFF0FC"/>
          </w:tcPr>
          <w:p>
            <w:pPr>
              <w:jc w:val="right"/>
              <w:ind w:right="357"/>
              <w:spacing w:after="0" w:line="142" w:lineRule="exact"/>
              <w:rPr>
                <w:sz w:val="20"/>
                <w:szCs w:val="20"/>
                <w:color w:val="auto"/>
              </w:rPr>
            </w:pPr>
            <w:r>
              <w:rPr>
                <w:rFonts w:ascii="Times New Roman" w:cs="Times New Roman" w:eastAsia="Times New Roman" w:hAnsi="Times New Roman"/>
                <w:sz w:val="13"/>
                <w:szCs w:val="13"/>
                <w:color w:val="auto"/>
                <w:w w:val="98"/>
              </w:rPr>
              <w:t>$ 0.01</w:t>
            </w: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gridSpan w:val="2"/>
            <w:shd w:val="clear" w:color="auto" w:fill="CFF0FC"/>
          </w:tcPr>
          <w:p>
            <w:pPr>
              <w:jc w:val="center"/>
              <w:ind w:right="120"/>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118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7,656</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43"/>
        </w:trPr>
        <w:tc>
          <w:tcPr>
            <w:tcW w:w="634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r>
      <w:tr>
        <w:trPr>
          <w:trHeight w:val="22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Pr>
          <w:p>
            <w:pPr>
              <w:spacing w:after="0"/>
              <w:rPr>
                <w:sz w:val="19"/>
                <w:szCs w:val="19"/>
                <w:color w:val="auto"/>
              </w:rPr>
            </w:pP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investment (loss) income</w:t>
            </w:r>
            <w:r>
              <w:rPr>
                <w:rFonts w:ascii="Times New Roman" w:cs="Times New Roman" w:eastAsia="Times New Roman" w:hAnsi="Times New Roman"/>
                <w:sz w:val="15"/>
                <w:szCs w:val="15"/>
                <w:color w:val="auto"/>
              </w:rPr>
              <w:t>1</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realized (losses) from investments</w:t>
            </w:r>
            <w:r>
              <w:rPr>
                <w:rFonts w:ascii="Times New Roman" w:cs="Times New Roman" w:eastAsia="Times New Roman" w:hAnsi="Times New Roman"/>
                <w:sz w:val="15"/>
                <w:szCs w:val="15"/>
                <w:color w:val="auto"/>
              </w:rPr>
              <w:t>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r>
      <w:tr>
        <w:trPr>
          <w:trHeight w:val="229"/>
        </w:trPr>
        <w:tc>
          <w:tcPr>
            <w:tcW w:w="6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Realized (losses) gains from extinguishment of debt</w:t>
            </w:r>
            <w:r>
              <w:rPr>
                <w:rFonts w:ascii="Times New Roman" w:cs="Times New Roman" w:eastAsia="Times New Roman" w:hAnsi="Times New Roman"/>
                <w:sz w:val="15"/>
                <w:szCs w:val="15"/>
                <w:color w:val="auto"/>
              </w:rPr>
              <w:t>1</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change in unrealized (depreciation) appreciation on investments</w:t>
            </w:r>
            <w:r>
              <w:rPr>
                <w:rFonts w:ascii="Times New Roman" w:cs="Times New Roman" w:eastAsia="Times New Roman" w:hAnsi="Times New Roman"/>
                <w:sz w:val="15"/>
                <w:szCs w:val="15"/>
                <w:color w:val="auto"/>
              </w:rPr>
              <w:t>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63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(decrease) increase in net assets resulting from operations</w:t>
            </w:r>
          </w:p>
        </w:tc>
        <w:tc>
          <w:tcPr>
            <w:tcW w:w="10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40" w:type="dxa"/>
            <w:vAlign w:val="bottom"/>
            <w:tcBorders>
              <w:top w:val="single" w:sz="8" w:color="CFF0FC"/>
            </w:tcBorders>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distributions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net assets relating to stock-based transactions</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10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 value return</w:t>
            </w:r>
            <w:r>
              <w:rPr>
                <w:rFonts w:ascii="Times New Roman" w:cs="Times New Roman" w:eastAsia="Times New Roman" w:hAnsi="Times New Roman"/>
                <w:sz w:val="15"/>
                <w:szCs w:val="15"/>
                <w:color w:val="auto"/>
              </w:rPr>
              <w:t>2</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 share market value at beginning of period</w:t>
            </w:r>
          </w:p>
        </w:tc>
        <w:tc>
          <w:tcPr>
            <w:tcW w:w="12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19"/>
                <w:szCs w:val="19"/>
                <w:color w:val="auto"/>
              </w:rPr>
            </w:pP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 return</w:t>
            </w:r>
            <w:r>
              <w:rPr>
                <w:rFonts w:ascii="Times New Roman" w:cs="Times New Roman" w:eastAsia="Times New Roman" w:hAnsi="Times New Roman"/>
                <w:sz w:val="15"/>
                <w:szCs w:val="15"/>
                <w:color w:val="auto"/>
              </w:rPr>
              <w:t>3</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44,169,060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37,371,912</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2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125,946,098</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132,723,012</w:t>
            </w: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rate</w:t>
            </w:r>
            <w:r>
              <w:rPr>
                <w:rFonts w:ascii="Times New Roman" w:cs="Times New Roman" w:eastAsia="Times New Roman" w:hAnsi="Times New Roman"/>
                <w:sz w:val="15"/>
                <w:szCs w:val="15"/>
                <w:color w:val="auto"/>
              </w:rPr>
              <w:t>5</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coverage ratio</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 (annualized)</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total expenses to average net assets (annualized)</w:t>
            </w:r>
            <w:r>
              <w:rPr>
                <w:rFonts w:ascii="Times New Roman" w:cs="Times New Roman" w:eastAsia="Times New Roman" w:hAnsi="Times New Roman"/>
                <w:sz w:val="15"/>
                <w:szCs w:val="15"/>
                <w:color w:val="auto"/>
              </w:rPr>
              <w:t>6</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Ratio of interest expense to average net assets (annualized)</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non-interest expenses to average net assets (annualized)</w:t>
            </w:r>
            <w:r>
              <w:rPr>
                <w:rFonts w:ascii="Times New Roman" w:cs="Times New Roman" w:eastAsia="Times New Roman" w:hAnsi="Times New Roman"/>
                <w:sz w:val="15"/>
                <w:szCs w:val="15"/>
                <w:color w:val="auto"/>
              </w:rPr>
              <w:t>6</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weighted average number of common shares outstanding-basic for the period.</w:t>
      </w:r>
    </w:p>
    <w:p>
      <w:pPr>
        <w:spacing w:after="0" w:line="26" w:lineRule="exact"/>
        <w:rPr>
          <w:sz w:val="20"/>
          <w:szCs w:val="20"/>
          <w:color w:val="auto"/>
        </w:rPr>
      </w:pPr>
    </w:p>
    <w:p>
      <w:pPr>
        <w:ind w:left="380" w:right="600" w:hanging="372"/>
        <w:spacing w:after="0" w:line="250" w:lineRule="auto"/>
        <w:tabs>
          <w:tab w:leader="none" w:pos="3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net asset value return (not annualized) equals the change in the net asset value per share over the period plus distributions, divided by the beginning net asset value per share.</w:t>
      </w:r>
    </w:p>
    <w:p>
      <w:pPr>
        <w:spacing w:after="0" w:line="1" w:lineRule="exact"/>
        <w:rPr>
          <w:sz w:val="20"/>
          <w:szCs w:val="20"/>
          <w:color w:val="auto"/>
        </w:rPr>
      </w:pPr>
    </w:p>
    <w:p>
      <w:pPr>
        <w:ind w:left="380" w:right="60" w:hanging="372"/>
        <w:spacing w:after="0" w:line="250" w:lineRule="auto"/>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market return (not annualized) equals the change in market price, per share during the period plus distributions, divided by the beginning market price per share.</w:t>
      </w:r>
    </w:p>
    <w:p>
      <w:pPr>
        <w:spacing w:after="0" w:line="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Totals may not sum due to rounding.</w:t>
      </w:r>
    </w:p>
    <w:p>
      <w:pPr>
        <w:spacing w:after="0" w:line="9"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Portfolio turnover rate equals the year-to-date sales and paydowns over the average of the invested assets at fair value.</w:t>
      </w:r>
    </w:p>
    <w:p>
      <w:pPr>
        <w:spacing w:after="0" w:line="9" w:lineRule="exact"/>
        <w:rPr>
          <w:sz w:val="20"/>
          <w:szCs w:val="20"/>
          <w:color w:val="auto"/>
        </w:rPr>
      </w:pPr>
    </w:p>
    <w:p>
      <w:pPr>
        <w:ind w:left="380" w:hanging="372"/>
        <w:spacing w:after="0" w:line="256" w:lineRule="auto"/>
        <w:tabs>
          <w:tab w:leader="none" w:pos="3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Incentive fees earned during the nine months ended September 30, 2020, were approximately $1.1 million, $557 thousand of which was waived pursuant to the Externalization Agreement. Excluding the waiver, the ratio of total expenses to average net assets (annualized) was 14.7% and the ratio of non-interest expenses to average net assets (annualized) was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7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7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29, 2018, the Company’s Board of Directors (the “Board”), including a “required majority” (as such term is defined in Section 57(o) of the</w:t>
      </w:r>
    </w:p>
    <w:p>
      <w:pPr>
        <w:spacing w:after="0" w:line="2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7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81"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LibreMax Transaction</w:t>
      </w:r>
    </w:p>
    <w:p>
      <w:pPr>
        <w:spacing w:after="0" w:line="20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September 30, 2020,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Externalization Agreement</w:t>
      </w:r>
    </w:p>
    <w:p>
      <w:pPr>
        <w:spacing w:after="0" w:line="12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7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84"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54"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Adviser</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7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OHAI Transaction</w:t>
      </w:r>
    </w:p>
    <w:p>
      <w:pPr>
        <w:spacing w:after="0" w:line="121"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On December 18, 2019, the Company completed its acquisition of OHA Investment Corporation (“OHAI”). In accordance with the terms of the merger agreement, each share of common stock, par value $0.001 per share, of OHAI (the “OHAI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The Board approved a stock repurchase program in March 2020 (see Note 10).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GARS Transaction</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On June 24, 2020, the Company entered into an Agreement and Plan of Merger (the “GARS Merger Agreement”) with Garrison Capital Inc., a publicly traded BDC (“GARS”), the Adviser and a wholly-owned merger subsidiary of the Company (such transaction, the “GARS Acquisition”). The transaction closed on October 28, 2020.</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Under the terms of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200" w:lineRule="exact"/>
        <w:rPr>
          <w:sz w:val="20"/>
          <w:szCs w:val="20"/>
          <w:color w:val="auto"/>
        </w:rPr>
      </w:pPr>
    </w:p>
    <w:p>
      <w:pPr>
        <w:spacing w:after="0" w:line="344" w:lineRule="exact"/>
        <w:rPr>
          <w:sz w:val="20"/>
          <w:szCs w:val="20"/>
          <w:color w:val="auto"/>
        </w:rPr>
      </w:pPr>
    </w:p>
    <w:p>
      <w:pPr>
        <w:ind w:left="380" w:right="7420" w:hanging="372"/>
        <w:spacing w:after="0" w:line="456" w:lineRule="auto"/>
        <w:tabs>
          <w:tab w:leader="none" w:pos="37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2019, as filed with the U.S. Securities and Exchange Commission (the “Commission” or the “SEC”).</w:t>
      </w:r>
    </w:p>
    <w:p>
      <w:pPr>
        <w:spacing w:after="0" w:line="14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7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 consolidates the financial statements of its wholly-owned special purpose financing subsidiaries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6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53"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1" w:name="page32"/>
    <w:bookmarkEnd w:id="31"/>
    <w:p>
      <w:pPr>
        <w:ind w:firstLine="374"/>
        <w:spacing w:after="0" w:line="254" w:lineRule="auto"/>
        <w:rPr>
          <w:sz w:val="20"/>
          <w:szCs w:val="20"/>
          <w:color w:val="auto"/>
        </w:rPr>
      </w:pPr>
      <w:r>
        <w:rPr>
          <w:rFonts w:ascii="Times New Roman" w:cs="Times New Roman" w:eastAsia="Times New Roman" w:hAnsi="Times New Roman"/>
          <w:sz w:val="18"/>
          <w:szCs w:val="18"/>
          <w:color w:val="auto"/>
        </w:rPr>
        <w:t>It is the Company’s primary investment objective to generate current income and capital appreciation by lending directly to privately-held middle market companies. During the quarter ended September 30, 2020, the Company provided approximately $107.1 million to portfolio companies. Approximately $26.5 million of this support was contractually obligated. See also Note 9 – Commitments and Contingencies. As of September 30, 2020, the Company held loans it has made to 65 investee companies with aggregate principal amounts of approximately $226.2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2020, the Company did not recognize any fee income from such or similar activities.</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47"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81"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14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Accounting Standards Update 2018-13, Fair Value Measurement (Topic 820): Disclosure Framework—Changes to the Disclosure Requirements for Fair Value Measurement (“ASU 2018-13”)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standard would modify the disclosure requirements for fair value measurements by removing, modifying, or adding certain disclosures. ASU 2018-13 is effective for annual reporting periods beginning after December 15, 2019, including interim periods within that reporting period. The adoption of ASU 2018-13 did not result in a material change in the Company's fair value disclosures.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87"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The Company expects that the adoption of this guidance will not have a material impact on the Company’s financial position, results of operations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 transactions are recorded on the applicable trade date. Realized gains or losses are determined using the specific identification method.</w:t>
      </w:r>
    </w:p>
    <w:p>
      <w:pPr>
        <w:spacing w:after="0" w:line="11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Valuation of Portfolio Investments. </w:t>
      </w:r>
      <w:r>
        <w:rPr>
          <w:rFonts w:ascii="Times New Roman" w:cs="Times New Roman" w:eastAsia="Times New Roman" w:hAnsi="Times New Roman"/>
          <w:sz w:val="18"/>
          <w:szCs w:val="18"/>
          <w:color w:val="auto"/>
        </w:rPr>
        <w:t>The Board is ultimately and solely responsible for making a good faith determination of the fair value of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1"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This standard defines fair value, establishes a framework for measuring fair value, and expands disclosures about assets and liabilities</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32" w:name="page33"/>
    <w:bookmarkEnd w:id="32"/>
    <w:p>
      <w:pPr>
        <w:ind w:right="500"/>
        <w:spacing w:after="0" w:line="282" w:lineRule="auto"/>
        <w:rPr>
          <w:sz w:val="20"/>
          <w:szCs w:val="20"/>
          <w:color w:val="auto"/>
        </w:rPr>
      </w:pPr>
      <w:r>
        <w:rPr>
          <w:rFonts w:ascii="Times New Roman" w:cs="Times New Roman" w:eastAsia="Times New Roman" w:hAnsi="Times New Roman"/>
          <w:sz w:val="18"/>
          <w:szCs w:val="18"/>
          <w:color w:val="auto"/>
        </w:rPr>
        <w:t>measured at fair value. ASC 820: Fair Value defines “fair value” as the price that would be received to sell an asset or paid to transfer a liability in an orderly transaction between market participants at the measurement date.</w:t>
      </w:r>
    </w:p>
    <w:p>
      <w:pPr>
        <w:spacing w:after="0" w:line="54"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7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9"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Translations. </w:t>
      </w:r>
      <w:r>
        <w:rPr>
          <w:rFonts w:ascii="Times New Roman" w:cs="Times New Roman" w:eastAsia="Times New Roman" w:hAnsi="Times New Roman"/>
          <w:sz w:val="18"/>
          <w:szCs w:val="18"/>
          <w:color w:val="auto"/>
        </w:rPr>
        <w:t>The accounting records of the Company are maintained in U.S. dollars. All assets and liabilities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75"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To the extent that the Company’s investments are exchange traded and are priced or have sufficient price indications from 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77"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83" w:lineRule="exact"/>
        <w:rPr>
          <w:sz w:val="20"/>
          <w:szCs w:val="20"/>
          <w:color w:val="auto"/>
        </w:rPr>
      </w:pPr>
    </w:p>
    <w:p>
      <w:pPr>
        <w:ind w:right="8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The Company’s equity securities in portfolio companies for which there is no liquid public market are carried at fair value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72" w:lineRule="exact"/>
        <w:rPr>
          <w:sz w:val="20"/>
          <w:szCs w:val="20"/>
          <w:color w:val="auto"/>
        </w:rPr>
      </w:pPr>
    </w:p>
    <w:p>
      <w:pPr>
        <w:ind w:right="260" w:firstLine="374"/>
        <w:spacing w:after="0" w:line="256" w:lineRule="auto"/>
        <w:rPr>
          <w:sz w:val="20"/>
          <w:szCs w:val="20"/>
          <w:color w:val="auto"/>
        </w:rPr>
      </w:pPr>
      <w:r>
        <w:rPr>
          <w:rFonts w:ascii="Times New Roman" w:cs="Times New Roman" w:eastAsia="Times New Roman" w:hAnsi="Times New Roman"/>
          <w:sz w:val="18"/>
          <w:szCs w:val="18"/>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7"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Company recognizes all derivative instruments as assets or liabilities at fair value in its financial statements. Derivative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7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19" w:lineRule="exact"/>
        <w:rPr>
          <w:sz w:val="20"/>
          <w:szCs w:val="20"/>
          <w:color w:val="auto"/>
        </w:rPr>
      </w:pPr>
    </w:p>
    <w:p>
      <w:pPr>
        <w:ind w:right="4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Asset Manager Affiliates</w:t>
      </w:r>
      <w:r>
        <w:rPr>
          <w:rFonts w:ascii="Times New Roman" w:cs="Times New Roman" w:eastAsia="Times New Roman" w:hAnsi="Times New Roman"/>
          <w:sz w:val="18"/>
          <w:szCs w:val="18"/>
          <w:color w:val="auto"/>
        </w:rPr>
        <w:t>. The Company sold substantially all of its investment in the Asset Manager Affiliates on December 31, 2018. Previously,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74" w:lineRule="exact"/>
        <w:rPr>
          <w:sz w:val="20"/>
          <w:szCs w:val="20"/>
          <w:color w:val="auto"/>
        </w:rPr>
      </w:pPr>
    </w:p>
    <w:p>
      <w:pPr>
        <w:ind w:right="4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CLO Fund Securities</w:t>
      </w:r>
      <w:r>
        <w:rPr>
          <w:rFonts w:ascii="Times New Roman" w:cs="Times New Roman" w:eastAsia="Times New Roman" w:hAnsi="Times New Roman"/>
          <w:sz w:val="18"/>
          <w:szCs w:val="18"/>
          <w:color w:val="auto"/>
        </w:rPr>
        <w:t>. The Company typically makes a minority investment in the most junior class of securities of CLO Funds. The investments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CLO Funds generally relate to non-investment grade credit instruments issued by corporations.</w:t>
      </w:r>
    </w:p>
    <w:p>
      <w:pPr>
        <w:spacing w:after="0" w:line="5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82"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Short-term investments are generally comprised of money market accounts, time deposits, and U.S. treasury bills.</w:t>
      </w:r>
    </w:p>
    <w:p>
      <w:pPr>
        <w:spacing w:after="0" w:line="117" w:lineRule="exact"/>
        <w:rPr>
          <w:sz w:val="20"/>
          <w:szCs w:val="20"/>
          <w:color w:val="auto"/>
        </w:rPr>
      </w:pPr>
    </w:p>
    <w:p>
      <w:pPr>
        <w:ind w:right="4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The Company carries investments in joint ventures (“Joint Ventures”) at fair value based upon the fair value of the investments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joint venture. See Note 4 below, for more information regarding the Joint Ventures.</w:t>
      </w:r>
    </w:p>
    <w:p>
      <w:pPr>
        <w:spacing w:after="0" w:line="50" w:lineRule="exact"/>
        <w:rPr>
          <w:sz w:val="20"/>
          <w:szCs w:val="20"/>
          <w:color w:val="auto"/>
        </w:rPr>
      </w:pPr>
    </w:p>
    <w:p>
      <w:pPr>
        <w:ind w:right="28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Company defines cash as demand deposits. The Company places its cash with financial institutions, and, at times, cash held in checking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may exceed the Federal Deposit Insurance Corporation insured limit.</w:t>
      </w:r>
    </w:p>
    <w:p>
      <w:pPr>
        <w:spacing w:after="0" w:line="50" w:lineRule="exact"/>
        <w:rPr>
          <w:sz w:val="20"/>
          <w:szCs w:val="20"/>
          <w:color w:val="auto"/>
        </w:rPr>
      </w:pPr>
    </w:p>
    <w:p>
      <w:pPr>
        <w:ind w:right="20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Restricted cash and cash equivalents (e.g., money market funds) generally consists of cash held for interest and principal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borrowings.</w:t>
      </w:r>
    </w:p>
    <w:p>
      <w:pPr>
        <w:spacing w:after="0" w:line="50" w:lineRule="exact"/>
        <w:rPr>
          <w:sz w:val="20"/>
          <w:szCs w:val="20"/>
          <w:color w:val="auto"/>
        </w:rPr>
      </w:pPr>
    </w:p>
    <w:p>
      <w:pPr>
        <w:ind w:right="10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including the amortization of premium and accretion of discount and accrual of payment-in-kind (“PIK”) interest,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 respective terms of the applicable loans. Upon the prepayment of a loan, prepayment premiums, any unamortized loan origination fees, OID, or market discounts are recorded as interest income.</w:t>
      </w:r>
    </w:p>
    <w:p>
      <w:pPr>
        <w:spacing w:after="0" w:line="76"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2020, eight of our debt investments were on non-accrual status.</w:t>
      </w:r>
    </w:p>
    <w:p>
      <w:pPr>
        <w:spacing w:after="0" w:line="137"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Distributions from Asset Manager Affiliates. </w:t>
      </w:r>
      <w:r>
        <w:rPr>
          <w:rFonts w:ascii="Times New Roman" w:cs="Times New Roman" w:eastAsia="Times New Roman" w:hAnsi="Times New Roman"/>
          <w:sz w:val="18"/>
          <w:szCs w:val="18"/>
          <w:color w:val="auto"/>
        </w:rPr>
        <w:t>The Company records distributions from the Asset Manager Affiliates on the declaration date,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7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Investment Income on CLO Fund Securities</w:t>
      </w:r>
      <w:r>
        <w:rPr>
          <w:rFonts w:ascii="Times New Roman" w:cs="Times New Roman" w:eastAsia="Times New Roman" w:hAnsi="Times New Roman"/>
          <w:sz w:val="18"/>
          <w:szCs w:val="18"/>
          <w:color w:val="auto"/>
        </w:rPr>
        <w:t>. The Company generates investment income from its investments in the most junior class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non-junior class CLO Fund Securities, interest is earned at a fixed spread relative to the LIBOR index.</w:t>
      </w:r>
    </w:p>
    <w:p>
      <w:pPr>
        <w:spacing w:after="0" w:line="115" w:lineRule="exact"/>
        <w:rPr>
          <w:sz w:val="20"/>
          <w:szCs w:val="20"/>
          <w:color w:val="auto"/>
        </w:rPr>
      </w:pPr>
    </w:p>
    <w:p>
      <w:pPr>
        <w:jc w:val="both"/>
        <w:ind w:right="14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Investment income on Joint Ventures</w:t>
      </w:r>
      <w:r>
        <w:rPr>
          <w:rFonts w:ascii="Times New Roman" w:cs="Times New Roman" w:eastAsia="Times New Roman" w:hAnsi="Times New Roman"/>
          <w:sz w:val="18"/>
          <w:szCs w:val="18"/>
          <w:color w:val="auto"/>
        </w:rPr>
        <w:t>. The Company recognizes investment income on its investment in the Joint Ventures based upon its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75" w:lineRule="exact"/>
        <w:rPr>
          <w:sz w:val="20"/>
          <w:szCs w:val="20"/>
          <w:color w:val="auto"/>
        </w:rPr>
      </w:pPr>
    </w:p>
    <w:p>
      <w:pPr>
        <w:ind w:right="34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Capital Structuring Service Fees</w:t>
      </w:r>
      <w:r>
        <w:rPr>
          <w:rFonts w:ascii="Times New Roman" w:cs="Times New Roman" w:eastAsia="Times New Roman" w:hAnsi="Times New Roman"/>
          <w:sz w:val="18"/>
          <w:szCs w:val="18"/>
          <w:color w:val="auto"/>
        </w:rPr>
        <w:t>. The Company may earn ancillary structuring and other fees related to the origination, investment, disposition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of debt and investment securities. Generally, the Company will capitalize loan origination fees,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ind w:right="240"/>
        <w:spacing w:after="0" w:line="282" w:lineRule="auto"/>
        <w:rPr>
          <w:sz w:val="20"/>
          <w:szCs w:val="20"/>
          <w:color w:val="auto"/>
        </w:rPr>
      </w:pPr>
      <w:r>
        <w:rPr>
          <w:rFonts w:ascii="Times New Roman" w:cs="Times New Roman" w:eastAsia="Times New Roman" w:hAnsi="Times New Roman"/>
          <w:sz w:val="18"/>
          <w:szCs w:val="18"/>
          <w:color w:val="auto"/>
        </w:rPr>
        <w:t>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52" w:lineRule="exact"/>
        <w:rPr>
          <w:sz w:val="20"/>
          <w:szCs w:val="20"/>
          <w:color w:val="auto"/>
        </w:rPr>
      </w:pPr>
    </w:p>
    <w:p>
      <w:pPr>
        <w:ind w:right="4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Debt Issuance Costs</w:t>
      </w:r>
      <w:r>
        <w:rPr>
          <w:rFonts w:ascii="Times New Roman" w:cs="Times New Roman" w:eastAsia="Times New Roman" w:hAnsi="Times New Roman"/>
          <w:sz w:val="18"/>
          <w:szCs w:val="18"/>
          <w:color w:val="auto"/>
        </w:rPr>
        <w:t>. Debt issuance costs represent fees and other direct costs incurred in connection with the Company’s borrowings. These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capitalized, presented as a reduction of debt, and amortized using the effective interest method over the expected term of the borrowing.</w:t>
      </w:r>
    </w:p>
    <w:p>
      <w:pPr>
        <w:spacing w:after="0" w:line="50"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Extinguishment of debt</w:t>
      </w:r>
      <w:r>
        <w:rPr>
          <w:rFonts w:ascii="Times New Roman" w:cs="Times New Roman" w:eastAsia="Times New Roman" w:hAnsi="Times New Roman"/>
          <w:sz w:val="18"/>
          <w:szCs w:val="18"/>
          <w:color w:val="auto"/>
        </w:rPr>
        <w:t>. The Company must derecognize a liability if and only if it has been extinguished through delivery of cash, delivery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7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Prior to April 1, 2019, the Company was internally managed and expensed costs, as incurred, with regard to the running of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Shareholder Distributions</w:t>
      </w:r>
      <w:r>
        <w:rPr>
          <w:rFonts w:ascii="Times New Roman" w:cs="Times New Roman" w:eastAsia="Times New Roman" w:hAnsi="Times New Roman"/>
          <w:sz w:val="18"/>
          <w:szCs w:val="18"/>
          <w:color w:val="auto"/>
        </w:rPr>
        <w:t>. Distributions to common stockholders are recorded on the ex-dividend date. The amount of distributions, if 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8"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2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76"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(decrease) in stockholders’ equity per share for the three and nine months ended September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6"/>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shd w:val="clear" w:color="auto" w:fill="CFF0FC"/>
              </w:rPr>
              <w:t>Net increase (decrease) increase in net assets available to common stockholders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FF0FC"/>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8,318,673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(4,250,782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(17,450,561</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(16,016,674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and common stock equivalent shares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for diluted shares computation</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44,417,783</w:t>
            </w:r>
          </w:p>
        </w:tc>
        <w:tc>
          <w:tcPr>
            <w:tcW w:w="2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37,361,746</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44,616,502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37,348,835</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net assets per basic common shares: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net assets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net assets per diluted shares: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net assets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6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6" w:name="page37"/>
    <w:bookmarkEnd w:id="36"/>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3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There were no options to purchase shares of common stock considered for the computation of the diluted per share information for the three and nine months ended September 30, 2020 and 2019. Since the effects are anti-dilutive for both periods, the options were not included in the computation. These stock options were cancelled in connection with the Externalization.</w:t>
      </w:r>
    </w:p>
    <w:p>
      <w:pPr>
        <w:spacing w:after="0" w:line="145"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Company’s portfolio by security type at September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125,335,848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124,413,259</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90,438,997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79,851,015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301,984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2,165,304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46,102,433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21,588,325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22,160,993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54,992,546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48,594,539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(1,033,048)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(33,437)</w:t>
            </w: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367,119,915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289,079,495</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334,089,559</w:t>
            </w:r>
          </w:p>
        </w:tc>
        <w:tc>
          <w:tcPr>
            <w:tcW w:w="12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277,897,166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percentage of total portfolio at fair value.</w:t>
      </w:r>
    </w:p>
    <w:p>
      <w:pPr>
        <w:spacing w:after="0" w:line="26"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industry concentrations based on the fair value of the Company’s investment portfolio as of September 30, 2020 and December 31,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 2020 (Unaudited)</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Industry Classification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11,086,558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10,968,006</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Asset Management Company </w:t>
            </w:r>
            <w:r>
              <w:rPr>
                <w:rFonts w:ascii="Times New Roman" w:cs="Times New Roman" w:eastAsia="Times New Roman" w:hAnsi="Times New Roman"/>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5,489,838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5,365,075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5,504,508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6,544,615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5,373,704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4,679,345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4,332,793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3,813,344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7,899,181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7,470,650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3,247,453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3,312,838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46,102,433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46,618,717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6,107,095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5,061,758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2,558,619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2,511,372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12,741,666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13,122,150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12,511,345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10,735,186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3,337,511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12,522,303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4,919,950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3,954,140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3,601,839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3,998,816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3,924,947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13,919,257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13,068,713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9,353,548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9,136,345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51,378,854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44,449,977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42,461,467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33,637,136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17,211,273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16,404,753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18,816,125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17,481,155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54,992,546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48,594,539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4,166,658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4,202,371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4,614,647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4,567,266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2,729,186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2,584,357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2,887,230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1,209,583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1,180,977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Personal, Food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2,829,436</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Business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38,830,024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37,656,325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22,726,850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21,415,794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Services: Consumer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4,308,990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4,193,044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4,512,488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4,493,529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Telecommunication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6,321,342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6,037,400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8,751,454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8,164,050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Textiles and Leather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12,408,779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11,382,280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12,389,673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12,180,290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Transportation: Cargo</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6,627,019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6,869,121</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8,216,303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8,300,043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367,119,915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289,079,495</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334,089,559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277,897,166</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as a percentage of total portfolio at fair value.</w:t>
      </w:r>
    </w:p>
    <w:p>
      <w:pPr>
        <w:spacing w:after="0" w:line="26"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181"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or equity of middle market companies located outside of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ind w:firstLine="374"/>
        <w:spacing w:after="0" w:line="257" w:lineRule="auto"/>
        <w:rPr>
          <w:sz w:val="20"/>
          <w:szCs w:val="20"/>
          <w:color w:val="auto"/>
        </w:rPr>
      </w:pPr>
      <w:r>
        <w:rPr>
          <w:rFonts w:ascii="Times New Roman" w:cs="Times New Roman" w:eastAsia="Times New Roman" w:hAnsi="Times New Roman"/>
          <w:sz w:val="18"/>
          <w:szCs w:val="18"/>
          <w:color w:val="auto"/>
        </w:rPr>
        <w:t>At September 30, 2020 and December 31, 2019, the total amount of non-qualifying assets was approximately 22.7% and 25.3% of total assets, respectively. The majority of non-qualifying assets are the Company’s investments in joint ventures, in the aggregate representing 15.6% and 14.5% of total assets as of September 30, 2020 and December 31, 2019, respectively. In addition, the Company owns foreign investments which were approximately</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7.0% and 10.6%, respectively, of the Company’s total assets (including the Company’s investments in CLO Funds, which are typically domiciled outside the U.S. and represent approximately 6.3% and 10.3% of its total assets on such dates,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CLO Fund Securities</w:t>
      </w:r>
    </w:p>
    <w:p>
      <w:pPr>
        <w:spacing w:after="0" w:line="189" w:lineRule="exact"/>
        <w:rPr>
          <w:sz w:val="20"/>
          <w:szCs w:val="20"/>
          <w:color w:val="auto"/>
        </w:rPr>
      </w:pPr>
    </w:p>
    <w:p>
      <w:pPr>
        <w:ind w:right="260" w:firstLine="374"/>
        <w:spacing w:after="0" w:line="255" w:lineRule="auto"/>
        <w:rPr>
          <w:sz w:val="20"/>
          <w:szCs w:val="20"/>
          <w:color w:val="auto"/>
        </w:rPr>
      </w:pPr>
      <w:r>
        <w:rPr>
          <w:rFonts w:ascii="Times New Roman" w:cs="Times New Roman" w:eastAsia="Times New Roman" w:hAnsi="Times New Roman"/>
          <w:sz w:val="18"/>
          <w:szCs w:val="18"/>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48"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In September 2018, the Company purchased $10 million par value of the subordinated notes of Catamaran CLO 2018-1 at a cost of approximately $9.5 million.</w:t>
      </w:r>
    </w:p>
    <w:p>
      <w:pPr>
        <w:spacing w:after="0" w:line="135" w:lineRule="exact"/>
        <w:rPr>
          <w:sz w:val="20"/>
          <w:szCs w:val="20"/>
          <w:color w:val="auto"/>
        </w:rPr>
      </w:pPr>
    </w:p>
    <w:p>
      <w:pPr>
        <w:ind w:right="520" w:firstLine="374"/>
        <w:spacing w:after="0" w:line="266" w:lineRule="auto"/>
        <w:rPr>
          <w:sz w:val="20"/>
          <w:szCs w:val="20"/>
          <w:color w:val="auto"/>
        </w:rPr>
      </w:pPr>
      <w:r>
        <w:rPr>
          <w:rFonts w:ascii="Times New Roman" w:cs="Times New Roman" w:eastAsia="Times New Roman" w:hAnsi="Times New Roman"/>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the first quarter of 2019, the Company sold $2.0 million notional amount of subordinated notes of Catamaran CLO 2014-1 for $800,000.</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June 2019, the Company sold $4.8 million par value of the CLO Rated note issued by Great Lakes KCAP F3C Senior, LLC for $4.4 million.</w:t>
      </w:r>
    </w:p>
    <w:p>
      <w:pPr>
        <w:spacing w:after="0" w:line="185"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As a result of the severe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Affiliate Investments: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investments in affiliates at September 30, 2020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Transfers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Principal at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6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(Sales) of 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In/(Out)</w:t>
            </w:r>
          </w:p>
        </w:tc>
        <w:tc>
          <w:tcPr>
            <w:tcW w:w="60" w:type="dxa"/>
            <w:vAlign w:val="bottom"/>
          </w:tcPr>
          <w:p>
            <w:pPr>
              <w:spacing w:after="0"/>
              <w:rPr>
                <w:sz w:val="11"/>
                <w:szCs w:val="11"/>
                <w:color w:val="auto"/>
              </w:rPr>
            </w:pPr>
          </w:p>
        </w:tc>
        <w:tc>
          <w:tcPr>
            <w:tcW w:w="780" w:type="dxa"/>
            <w:vAlign w:val="bottom"/>
            <w:gridSpan w:val="2"/>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September</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September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Industry</w:t>
            </w:r>
          </w:p>
        </w:tc>
        <w:tc>
          <w:tcPr>
            <w:tcW w:w="6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Advances/</w:t>
            </w:r>
          </w:p>
        </w:tc>
        <w:tc>
          <w:tcPr>
            <w:tcW w:w="6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1"/>
                <w:szCs w:val="11"/>
                <w:color w:val="auto"/>
              </w:rPr>
            </w:pPr>
          </w:p>
        </w:tc>
        <w:tc>
          <w:tcPr>
            <w:tcW w:w="5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40" w:type="dxa"/>
            <w:vAlign w:val="bottom"/>
            <w:gridSpan w:val="3"/>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80" w:type="dxa"/>
            <w:vAlign w:val="bottom"/>
          </w:tcPr>
          <w:p>
            <w:pPr>
              <w:spacing w:after="0"/>
              <w:rPr>
                <w:sz w:val="11"/>
                <w:szCs w:val="11"/>
                <w:color w:val="auto"/>
              </w:rPr>
            </w:pPr>
          </w:p>
        </w:tc>
        <w:tc>
          <w:tcPr>
            <w:tcW w:w="6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860" w:type="dxa"/>
            <w:vAlign w:val="bottom"/>
            <w:gridSpan w:val="2"/>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Dividend</w:t>
            </w: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Classification</w:t>
            </w: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3"/>
                <w:szCs w:val="13"/>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(Distributions)</w:t>
            </w:r>
          </w:p>
        </w:tc>
        <w:tc>
          <w:tcPr>
            <w:tcW w:w="6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Accretion</w:t>
            </w: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Affiliates</w:t>
            </w:r>
          </w:p>
        </w:tc>
        <w:tc>
          <w:tcPr>
            <w:tcW w:w="840" w:type="dxa"/>
            <w:vAlign w:val="bottom"/>
            <w:gridSpan w:val="3"/>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8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8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24"/>
        </w:trPr>
        <w:tc>
          <w:tcPr>
            <w:tcW w:w="150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0"/>
                <w:szCs w:val="10"/>
                <w:color w:val="auto"/>
              </w:rPr>
              <w:t>(4)</w:t>
            </w:r>
          </w:p>
        </w:tc>
        <w:tc>
          <w:tcPr>
            <w:tcW w:w="60" w:type="dxa"/>
            <w:vAlign w:val="bottom"/>
            <w:tcBorders>
              <w:top w:val="single" w:sz="8" w:color="CFF0FC"/>
            </w:tcBorders>
            <w:shd w:val="clear" w:color="auto" w:fill="CFF0FC"/>
          </w:tcPr>
          <w:p>
            <w:pPr>
              <w:spacing w:after="0"/>
              <w:rPr>
                <w:sz w:val="10"/>
                <w:szCs w:val="10"/>
                <w:color w:val="auto"/>
              </w:rPr>
            </w:pPr>
          </w:p>
        </w:tc>
        <w:tc>
          <w:tcPr>
            <w:tcW w:w="134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Asset</w:t>
            </w:r>
          </w:p>
        </w:tc>
        <w:tc>
          <w:tcPr>
            <w:tcW w:w="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(6)</w:t>
            </w:r>
          </w:p>
        </w:tc>
        <w:tc>
          <w:tcPr>
            <w:tcW w:w="1460" w:type="dxa"/>
            <w:vAlign w:val="bottom"/>
            <w:gridSpan w:val="3"/>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Management</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13"/>
                <w:szCs w:val="13"/>
                <w:color w:val="auto"/>
              </w:rPr>
            </w:pP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Company</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$ 17,791,230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w:t>
            </w:r>
          </w:p>
        </w:tc>
        <w:tc>
          <w:tcPr>
            <w:tcW w:w="14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color w:val="auto"/>
              </w:rPr>
              <w:t>Energy: Oil &amp;</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Holdings, LLC</w:t>
            </w:r>
            <w:r>
              <w:rPr>
                <w:rFonts w:ascii="Times New Roman" w:cs="Times New Roman" w:eastAsia="Times New Roman" w:hAnsi="Times New Roman"/>
                <w:sz w:val="10"/>
                <w:szCs w:val="10"/>
                <w:color w:val="auto"/>
              </w:rPr>
              <w:t>(3)(4)(5)(8)</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Gas</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Equipment</w:t>
            </w:r>
          </w:p>
        </w:tc>
        <w:tc>
          <w:tcPr>
            <w:tcW w:w="14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Energy: Oil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Holdings, LLC</w:t>
            </w:r>
            <w:r>
              <w:rPr>
                <w:rFonts w:ascii="Times New Roman" w:cs="Times New Roman" w:eastAsia="Times New Roman" w:hAnsi="Times New Roman"/>
                <w:sz w:val="10"/>
                <w:szCs w:val="10"/>
                <w:color w:val="auto"/>
              </w:rPr>
              <w:t>(3)(4)(5)</w:t>
            </w: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Gas</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403,616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(101,631)</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301,984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699,199</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5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 xml:space="preserve">KCAP Freedom 3, LLC </w:t>
            </w:r>
            <w:r>
              <w:rPr>
                <w:rFonts w:ascii="Times New Roman" w:cs="Times New Roman" w:eastAsia="Times New Roman" w:hAnsi="Times New Roman"/>
                <w:sz w:val="10"/>
                <w:szCs w:val="10"/>
                <w:color w:val="auto"/>
              </w:rPr>
              <w:t>(3)</w:t>
            </w:r>
          </w:p>
        </w:tc>
        <w:tc>
          <w:tcPr>
            <w:tcW w:w="14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3"/>
                <w:szCs w:val="13"/>
                <w:color w:val="auto"/>
              </w:rPr>
              <w:t>Joint Venture</w:t>
            </w: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21,307,899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(4,132,888)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17,175,011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24,720,000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2,947,760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controlled affiliates</w:t>
            </w:r>
          </w:p>
        </w:tc>
        <w:tc>
          <w:tcPr>
            <w:tcW w:w="6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(4,234,519)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17,476,995</w:t>
            </w: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2,947,760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BCP Great Lakes Holdings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Joint Venture</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LP</w:t>
            </w:r>
            <w:r>
              <w:rPr>
                <w:rFonts w:ascii="Times New Roman" w:cs="Times New Roman" w:eastAsia="Times New Roman" w:hAnsi="Times New Roman"/>
                <w:sz w:val="10"/>
                <w:szCs w:val="10"/>
                <w:color w:val="auto"/>
              </w:rPr>
              <w:t>(7)(9)</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23,780,068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6,398,007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(521,475)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29,656,600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30,077,688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1,812,725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2013-1,</w:t>
            </w:r>
          </w:p>
        </w:tc>
        <w:tc>
          <w:tcPr>
            <w:tcW w:w="14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5,025,536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(336,215)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318,152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(2,297,601)</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2,709,871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11,720,000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318,152</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2014-1,</w:t>
            </w:r>
          </w:p>
        </w:tc>
        <w:tc>
          <w:tcPr>
            <w:tcW w:w="14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6,379,580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(423,653)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522,793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(4,147,021)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2,331,700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15,160,600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522,793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2014-2,</w:t>
            </w:r>
          </w:p>
        </w:tc>
        <w:tc>
          <w:tcPr>
            <w:tcW w:w="14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1,139,032</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(60,226)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53,127</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(1,131,933)</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9,900,000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53,127</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2015-1,</w:t>
            </w:r>
          </w:p>
        </w:tc>
        <w:tc>
          <w:tcPr>
            <w:tcW w:w="14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2,514,130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(147,608)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192,180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(1,006,250)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1,552,452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4,952,000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192,180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2016-1,</w:t>
            </w:r>
          </w:p>
        </w:tc>
        <w:tc>
          <w:tcPr>
            <w:tcW w:w="14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6,395,016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(764,089)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523,852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(2,121,087)</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4,033,692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10,140,000</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523,852</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2018-1,</w:t>
            </w:r>
          </w:p>
        </w:tc>
        <w:tc>
          <w:tcPr>
            <w:tcW w:w="14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8,530,751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(1,118,951)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883,496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(1,464,297)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883,496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Navex Topco, Inc.</w:t>
            </w:r>
            <w:r>
              <w:rPr>
                <w:rFonts w:ascii="Times New Roman" w:cs="Times New Roman" w:eastAsia="Times New Roman" w:hAnsi="Times New Roman"/>
                <w:sz w:val="10"/>
                <w:szCs w:val="10"/>
                <w:color w:val="auto"/>
              </w:rPr>
              <w:t>(3)(4)(7)</w:t>
            </w: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Electronics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7,636,090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62,615</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(200,830)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7,497,875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456,191</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Zest Acquisition Corp.</w:t>
            </w:r>
            <w:r>
              <w:rPr>
                <w:rFonts w:ascii="Times New Roman" w:cs="Times New Roman" w:eastAsia="Times New Roman" w:hAnsi="Times New Roman"/>
                <w:sz w:val="10"/>
                <w:szCs w:val="10"/>
                <w:color w:val="auto"/>
              </w:rPr>
              <w:t>(3)(4)</w:t>
            </w:r>
          </w:p>
        </w:tc>
        <w:tc>
          <w:tcPr>
            <w:tcW w:w="14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color w:val="auto"/>
              </w:rPr>
              <w:t>Healthcare, Education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(7)</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and Childcare</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3,306,092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(411,948)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2,896,250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3,500,000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234,030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OCI Holdings, LLC</w:t>
            </w:r>
            <w:r>
              <w:rPr>
                <w:rFonts w:ascii="Times New Roman" w:cs="Times New Roman" w:eastAsia="Times New Roman" w:hAnsi="Times New Roman"/>
                <w:sz w:val="10"/>
                <w:szCs w:val="10"/>
                <w:color w:val="auto"/>
              </w:rPr>
              <w:t>(3)(4)(7)</w:t>
            </w:r>
          </w:p>
        </w:tc>
        <w:tc>
          <w:tcPr>
            <w:tcW w:w="14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Healthcare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FF0FC"/>
          </w:tcPr>
          <w:p>
            <w:pPr>
              <w:spacing w:after="0"/>
              <w:rPr>
                <w:sz w:val="13"/>
                <w:szCs w:val="13"/>
                <w:color w:val="auto"/>
              </w:rPr>
            </w:pPr>
          </w:p>
        </w:tc>
        <w:tc>
          <w:tcPr>
            <w:tcW w:w="14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Pharmaceuticals</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2,422,281</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(2,706,977)</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284,696</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50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Total Non-controlled</w:t>
            </w: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affiliates</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67,128,578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840,288</w:t>
            </w: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2,558,321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(13,302,442)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284,696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57,509,440</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3,183,821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1,812,725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Affiliated Investments</w:t>
            </w: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88,840,092</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840,288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$ 2,558,321</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(17,536,961</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284,696</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74,986,435</w:t>
            </w:r>
          </w:p>
        </w:tc>
        <w:tc>
          <w:tcPr>
            <w:tcW w:w="1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3,183,821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4,760,485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261" w:lineRule="auto"/>
        <w:tabs>
          <w:tab w:leader="none" w:pos="3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ind w:left="380" w:right="260" w:hanging="372"/>
        <w:spacing w:after="0" w:line="266" w:lineRule="auto"/>
        <w:tabs>
          <w:tab w:leader="none" w:pos="3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8" w:lineRule="exact"/>
        <w:rPr>
          <w:sz w:val="20"/>
          <w:szCs w:val="20"/>
          <w:color w:val="auto"/>
        </w:rPr>
      </w:pPr>
    </w:p>
    <w:p>
      <w:pPr>
        <w:ind w:left="380" w:right="40" w:hanging="372"/>
        <w:spacing w:after="0" w:line="266" w:lineRule="auto"/>
        <w:tabs>
          <w:tab w:leader="none" w:pos="3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68"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Number of shares held.</w:t>
      </w:r>
    </w:p>
    <w:p>
      <w:pPr>
        <w:spacing w:after="0" w:line="117" w:lineRule="exact"/>
        <w:rPr>
          <w:sz w:val="20"/>
          <w:szCs w:val="20"/>
          <w:color w:val="auto"/>
        </w:rPr>
      </w:pPr>
    </w:p>
    <w:p>
      <w:pPr>
        <w:ind w:left="380" w:right="200" w:hanging="372"/>
        <w:spacing w:after="0" w:line="199" w:lineRule="auto"/>
        <w:tabs>
          <w:tab w:leader="none" w:pos="38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Ownership of LP interest held through the holding company BCP Great Lakes Fund, L.P, a non-U.S. company or principal place of business outside the U.S.</w:t>
      </w:r>
    </w:p>
    <w:p>
      <w:pPr>
        <w:spacing w:after="0" w:line="199" w:lineRule="exact"/>
        <w:rPr>
          <w:rFonts w:ascii="Times New Roman" w:cs="Times New Roman" w:eastAsia="Times New Roman" w:hAnsi="Times New Roman"/>
          <w:sz w:val="29"/>
          <w:szCs w:val="29"/>
          <w:color w:val="auto"/>
          <w:vertAlign w:val="superscript"/>
        </w:rPr>
      </w:pPr>
    </w:p>
    <w:p>
      <w:pPr>
        <w:ind w:left="3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following table details investments in affiliates at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Transfers</w:t>
            </w:r>
          </w:p>
        </w:tc>
        <w:tc>
          <w:tcPr>
            <w:tcW w:w="860" w:type="dxa"/>
            <w:vAlign w:val="bottom"/>
            <w:gridSpan w:val="3"/>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change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(Sales) of or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In/(Out)</w:t>
            </w:r>
          </w:p>
        </w:tc>
        <w:tc>
          <w:tcPr>
            <w:tcW w:w="60" w:type="dxa"/>
            <w:vAlign w:val="bottom"/>
          </w:tcPr>
          <w:p>
            <w:pPr>
              <w:spacing w:after="0"/>
              <w:rPr>
                <w:sz w:val="11"/>
                <w:szCs w:val="11"/>
                <w:color w:val="auto"/>
              </w:rPr>
            </w:pPr>
          </w:p>
        </w:tc>
        <w:tc>
          <w:tcPr>
            <w:tcW w:w="800" w:type="dxa"/>
            <w:vAlign w:val="bottom"/>
            <w:gridSpan w:val="2"/>
          </w:tcPr>
          <w:p>
            <w:pPr>
              <w:jc w:val="center"/>
              <w:ind w:right="218"/>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Industry</w:t>
            </w:r>
          </w:p>
        </w:tc>
        <w:tc>
          <w:tcPr>
            <w:tcW w:w="8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Advances/</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 w:type="dxa"/>
            <w:vAlign w:val="bottom"/>
          </w:tcPr>
          <w:p>
            <w:pPr>
              <w:spacing w:after="0"/>
              <w:rPr>
                <w:sz w:val="11"/>
                <w:szCs w:val="11"/>
                <w:color w:val="auto"/>
              </w:rPr>
            </w:pPr>
          </w:p>
        </w:tc>
        <w:tc>
          <w:tcPr>
            <w:tcW w:w="800" w:type="dxa"/>
            <w:vAlign w:val="bottom"/>
            <w:gridSpan w:val="2"/>
          </w:tcPr>
          <w:p>
            <w:pPr>
              <w:jc w:val="center"/>
              <w:ind w:right="198"/>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840" w:type="dxa"/>
            <w:vAlign w:val="bottom"/>
            <w:gridSpan w:val="2"/>
          </w:tcPr>
          <w:p>
            <w:pPr>
              <w:jc w:val="right"/>
              <w:ind w:right="238"/>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Dividend</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Classification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(Distributions)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Accretion</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Affiliates</w:t>
            </w:r>
          </w:p>
        </w:tc>
        <w:tc>
          <w:tcPr>
            <w:tcW w:w="860" w:type="dxa"/>
            <w:vAlign w:val="bottom"/>
            <w:gridSpan w:val="3"/>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84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w w:val="95"/>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24"/>
        </w:trPr>
        <w:tc>
          <w:tcPr>
            <w:tcW w:w="148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Asset Manager Affiliates</w:t>
            </w:r>
            <w:r>
              <w:rPr>
                <w:rFonts w:ascii="Times New Roman" w:cs="Times New Roman" w:eastAsia="Times New Roman" w:hAnsi="Times New Roman"/>
                <w:sz w:val="10"/>
                <w:szCs w:val="10"/>
                <w:color w:val="auto"/>
              </w:rPr>
              <w:t>(4)</w:t>
            </w:r>
          </w:p>
        </w:tc>
        <w:tc>
          <w:tcPr>
            <w:tcW w:w="60" w:type="dxa"/>
            <w:vAlign w:val="bottom"/>
            <w:tcBorders>
              <w:top w:val="single" w:sz="8" w:color="CFF0FC"/>
            </w:tcBorders>
            <w:shd w:val="clear" w:color="auto" w:fill="CFF0FC"/>
          </w:tcPr>
          <w:p>
            <w:pPr>
              <w:spacing w:after="0"/>
              <w:rPr>
                <w:sz w:val="10"/>
                <w:szCs w:val="10"/>
                <w:color w:val="auto"/>
              </w:rPr>
            </w:pPr>
          </w:p>
        </w:tc>
        <w:tc>
          <w:tcPr>
            <w:tcW w:w="128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Asset</w:t>
            </w: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(6)</w:t>
            </w:r>
          </w:p>
        </w:tc>
        <w:tc>
          <w:tcPr>
            <w:tcW w:w="1340" w:type="dxa"/>
            <w:vAlign w:val="bottom"/>
            <w:gridSpan w:val="2"/>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Management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Company</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3,470,000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w w:val="99"/>
              </w:rPr>
              <w:t>$ (3,470,000)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3"/>
              </w:rPr>
              <w:t>$ 17,791,230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Tank Partners Holdings,</w:t>
            </w:r>
          </w:p>
        </w:tc>
        <w:tc>
          <w:tcPr>
            <w:tcW w:w="13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Energy: Oil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LLC</w:t>
            </w:r>
            <w:r>
              <w:rPr>
                <w:rFonts w:ascii="Times New Roman" w:cs="Times New Roman" w:eastAsia="Times New Roman" w:hAnsi="Times New Roman"/>
                <w:sz w:val="10"/>
                <w:szCs w:val="10"/>
                <w:color w:val="auto"/>
              </w:rPr>
              <w:t>(3)(4)(5)(8)</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Gas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6,228,000</w:t>
            </w: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(5,064,000)</w:t>
            </w:r>
          </w:p>
        </w:tc>
        <w:tc>
          <w:tcPr>
            <w:tcW w:w="8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(1,165,000)</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Tank Partners Holdings,</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Energy: Oil &amp;</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LLC</w:t>
            </w:r>
            <w:r>
              <w:rPr>
                <w:rFonts w:ascii="Times New Roman" w:cs="Times New Roman" w:eastAsia="Times New Roman" w:hAnsi="Times New Roman"/>
                <w:sz w:val="10"/>
                <w:szCs w:val="10"/>
                <w:color w:val="auto"/>
              </w:rPr>
              <w:t>(3)(4)(5)</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Gas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620,145</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(216,529)</w:t>
            </w:r>
          </w:p>
        </w:tc>
        <w:tc>
          <w:tcPr>
            <w:tcW w:w="8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403,616</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648,879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4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 xml:space="preserve">KCAP Freedom 3, LLC </w:t>
            </w:r>
            <w:r>
              <w:rPr>
                <w:rFonts w:ascii="Times New Roman" w:cs="Times New Roman" w:eastAsia="Times New Roman" w:hAnsi="Times New Roman"/>
                <w:sz w:val="10"/>
                <w:szCs w:val="10"/>
                <w:color w:val="auto"/>
              </w:rPr>
              <w:t>(3)</w:t>
            </w:r>
          </w:p>
        </w:tc>
        <w:tc>
          <w:tcPr>
            <w:tcW w:w="13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Joint Venture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18,390,440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2,917,459</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21,307,899</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24,720,000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controlled affiliates</w:t>
            </w:r>
          </w:p>
        </w:tc>
        <w:tc>
          <w:tcPr>
            <w:tcW w:w="6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21,861,440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6,848,145</w:t>
            </w:r>
          </w:p>
        </w:tc>
        <w:tc>
          <w:tcPr>
            <w:tcW w:w="1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(2,363,070)</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(4,635,000)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3,750,000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BCP Great Lakes Holdings</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Joint Venture</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LP</w:t>
            </w:r>
            <w:r>
              <w:rPr>
                <w:rFonts w:ascii="Times New Roman" w:cs="Times New Roman" w:eastAsia="Times New Roman" w:hAnsi="Times New Roman"/>
                <w:sz w:val="10"/>
                <w:szCs w:val="10"/>
                <w:color w:val="auto"/>
              </w:rPr>
              <w:t>(5)(9)</w:t>
            </w: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12,466,667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11,213,014</w:t>
            </w: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100,387</w:t>
            </w: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23,780,068</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23,679,681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1,109,780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2013-1,</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(1,208,865)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932,029</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7,506,434</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(2,204,062)</w:t>
            </w:r>
          </w:p>
        </w:tc>
        <w:tc>
          <w:tcPr>
            <w:tcW w:w="8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5,025,536</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932,029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2014-1,</w:t>
            </w:r>
          </w:p>
        </w:tc>
        <w:tc>
          <w:tcPr>
            <w:tcW w:w="13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(1,254,962)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933,979</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9,112,278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(2,411,715)</w:t>
            </w: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6,379,580</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15,160,600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933,979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2014-2,</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(521,228)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277,564</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2,591,820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(1,209,124)</w:t>
            </w:r>
          </w:p>
        </w:tc>
        <w:tc>
          <w:tcPr>
            <w:tcW w:w="8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1,139,032</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277,564</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2015-1,</w:t>
            </w:r>
          </w:p>
        </w:tc>
        <w:tc>
          <w:tcPr>
            <w:tcW w:w="13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(551,159)</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336,063</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3,157,769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(428,544)</w:t>
            </w: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2,514,130</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4,952,000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336,063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Catamaran CLO 2016-1,</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(1,033,625)</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666,491</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7,502,959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(740,809)</w:t>
            </w:r>
          </w:p>
        </w:tc>
        <w:tc>
          <w:tcPr>
            <w:tcW w:w="8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6,395,016</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666,491</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Catamaran CLO 2018-1,</w:t>
            </w:r>
          </w:p>
        </w:tc>
        <w:tc>
          <w:tcPr>
            <w:tcW w:w="13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Ltd. </w:t>
            </w:r>
            <w:r>
              <w:rPr>
                <w:rFonts w:ascii="Times New Roman" w:cs="Times New Roman" w:eastAsia="Times New Roman" w:hAnsi="Times New Roman"/>
                <w:sz w:val="10"/>
                <w:szCs w:val="10"/>
                <w:color w:val="auto"/>
              </w:rPr>
              <w:t>(1)(2)(3)(7)</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(1,597,115)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991,888</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185,978</w:t>
            </w: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8,530,751</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991,888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KCAP F3C Senior Funding</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Rated Notes</w:t>
            </w:r>
            <w:r>
              <w:rPr>
                <w:rFonts w:ascii="Times New Roman" w:cs="Times New Roman" w:eastAsia="Times New Roman" w:hAnsi="Times New Roman"/>
                <w:sz w:val="10"/>
                <w:szCs w:val="10"/>
                <w:color w:val="auto"/>
              </w:rPr>
              <w:t>(3)(7)</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Securities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4,473,840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(4,417,967)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18,496</w:t>
            </w: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(66,734)</w:t>
            </w:r>
          </w:p>
        </w:tc>
        <w:tc>
          <w:tcPr>
            <w:tcW w:w="8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(7,635)</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289,373</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Navex Topco, Inc.</w:t>
            </w:r>
            <w:r>
              <w:rPr>
                <w:rFonts w:ascii="Times New Roman" w:cs="Times New Roman" w:eastAsia="Times New Roman" w:hAnsi="Times New Roman"/>
                <w:sz w:val="10"/>
                <w:szCs w:val="10"/>
                <w:color w:val="auto"/>
              </w:rPr>
              <w:t>(3)(4)(7)</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Electronics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496,995</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6,646,229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492,653</w:t>
            </w:r>
          </w:p>
        </w:tc>
        <w:tc>
          <w:tcPr>
            <w:tcW w:w="1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(4,854)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7,636,090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Zest Acquisition Corp.</w:t>
            </w:r>
            <w:r>
              <w:rPr>
                <w:rFonts w:ascii="Times New Roman" w:cs="Times New Roman" w:eastAsia="Times New Roman" w:hAnsi="Times New Roman"/>
                <w:sz w:val="10"/>
                <w:szCs w:val="10"/>
                <w:color w:val="auto"/>
              </w:rPr>
              <w:t>(3)(4)</w:t>
            </w:r>
          </w:p>
        </w:tc>
        <w:tc>
          <w:tcPr>
            <w:tcW w:w="1340" w:type="dxa"/>
            <w:vAlign w:val="bottom"/>
            <w:gridSpan w:val="2"/>
            <w:shd w:val="clear" w:color="auto" w:fill="CFF0FC"/>
          </w:tcPr>
          <w:p>
            <w:pPr>
              <w:ind w:left="60"/>
              <w:spacing w:after="0" w:line="131" w:lineRule="exact"/>
              <w:rPr>
                <w:sz w:val="20"/>
                <w:szCs w:val="20"/>
                <w:color w:val="auto"/>
              </w:rPr>
            </w:pPr>
            <w:r>
              <w:rPr>
                <w:rFonts w:ascii="Times New Roman" w:cs="Times New Roman" w:eastAsia="Times New Roman" w:hAnsi="Times New Roman"/>
                <w:sz w:val="13"/>
                <w:szCs w:val="13"/>
                <w:color w:val="auto"/>
              </w:rPr>
              <w:t>Healthcare, Education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(7)</w:t>
            </w:r>
          </w:p>
        </w:tc>
        <w:tc>
          <w:tcPr>
            <w:tcW w:w="1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and Childcare</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3,231,683</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74,300</w:t>
            </w: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3,306,092</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244,729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4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OCI Holdings, LLC</w:t>
            </w:r>
            <w:r>
              <w:rPr>
                <w:rFonts w:ascii="Times New Roman" w:cs="Times New Roman" w:eastAsia="Times New Roman" w:hAnsi="Times New Roman"/>
                <w:sz w:val="10"/>
                <w:szCs w:val="10"/>
                <w:color w:val="auto"/>
              </w:rPr>
              <w:t>(3)(4)(7)</w:t>
            </w:r>
          </w:p>
        </w:tc>
        <w:tc>
          <w:tcPr>
            <w:tcW w:w="13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Healthcare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Pharmaceuticals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2,422,281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2,422,281</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31,817,483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148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Total Non-controlled</w:t>
            </w:r>
          </w:p>
        </w:tc>
        <w:tc>
          <w:tcPr>
            <w:tcW w:w="60" w:type="dxa"/>
            <w:vAlign w:val="bottom"/>
            <w:tcBorders>
              <w:top w:val="single" w:sz="8" w:color="CFF0FC"/>
            </w:tcBorders>
            <w:shd w:val="clear" w:color="auto" w:fill="CFF0FC"/>
          </w:tcPr>
          <w:p>
            <w:pPr>
              <w:spacing w:after="0"/>
              <w:rPr>
                <w:sz w:val="10"/>
                <w:szCs w:val="10"/>
                <w:color w:val="auto"/>
              </w:rPr>
            </w:pPr>
          </w:p>
        </w:tc>
        <w:tc>
          <w:tcPr>
            <w:tcW w:w="12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affiliates</w:t>
            </w:r>
          </w:p>
        </w:tc>
        <w:tc>
          <w:tcPr>
            <w:tcW w:w="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16,940,507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1,125,088</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4,161,686</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51,121,453</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(6,207,668)</w:t>
            </w:r>
          </w:p>
        </w:tc>
        <w:tc>
          <w:tcPr>
            <w:tcW w:w="8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(12,489)</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67,128,578</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5,052,283</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1,109,780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9"/>
              </w:rPr>
              <w:t>Total Affiliated Investments</w:t>
            </w:r>
          </w:p>
        </w:tc>
        <w:tc>
          <w:tcPr>
            <w:tcW w:w="6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38,801,947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7,973,232</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$ 4,161,686</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$ 51,121,453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(8,570,738</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 (4,647,489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5,052,283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4,859,780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261" w:lineRule="auto"/>
        <w:tabs>
          <w:tab w:leader="none" w:pos="3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72" w:lineRule="exact"/>
        <w:rPr>
          <w:sz w:val="20"/>
          <w:szCs w:val="20"/>
          <w:color w:val="auto"/>
        </w:rPr>
      </w:pPr>
    </w:p>
    <w:p>
      <w:pPr>
        <w:ind w:left="380" w:right="260" w:hanging="372"/>
        <w:spacing w:after="0" w:line="266" w:lineRule="auto"/>
        <w:tabs>
          <w:tab w:leader="none" w:pos="3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68" w:lineRule="exact"/>
        <w:rPr>
          <w:sz w:val="20"/>
          <w:szCs w:val="20"/>
          <w:color w:val="auto"/>
        </w:rPr>
      </w:pPr>
    </w:p>
    <w:p>
      <w:pPr>
        <w:ind w:left="380" w:right="40" w:hanging="372"/>
        <w:spacing w:after="0" w:line="282" w:lineRule="auto"/>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at least 5% but no more than 25% of the portfolio company’s outstanding voting securities or is 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380" w:right="320"/>
        <w:spacing w:after="0" w:line="282" w:lineRule="auto"/>
        <w:rPr>
          <w:sz w:val="20"/>
          <w:szCs w:val="20"/>
          <w:color w:val="auto"/>
        </w:rPr>
      </w:pPr>
      <w:r>
        <w:rPr>
          <w:rFonts w:ascii="Times New Roman" w:cs="Times New Roman" w:eastAsia="Times New Roman" w:hAnsi="Times New Roman"/>
          <w:sz w:val="18"/>
          <w:szCs w:val="18"/>
          <w:color w:val="auto"/>
        </w:rPr>
        <w:t>common control with such portfolio company. Other than for purposes of the 1940 Act, the Company does not believe that it has control over this portfolio company.</w:t>
      </w:r>
    </w:p>
    <w:p>
      <w:pPr>
        <w:spacing w:after="0" w:line="54"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Number of shares held.</w:t>
      </w:r>
    </w:p>
    <w:p>
      <w:pPr>
        <w:spacing w:after="0" w:line="44"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Ownership of LP interest held through the holding company BCP Great Lakes Fund, L.P, a non-U.S. company or principal place of business outside the U.S.</w:t>
      </w:r>
    </w:p>
    <w:p>
      <w:pPr>
        <w:spacing w:after="0" w:line="20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the Company sold its entire investment in Bristol Hospice, LLC to an affiliate. This transaction was approved by the Board of Directors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Joint Ventures:</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the Company recognized $2.2 million and $1.3 million, respectively, in investment income from its investments in Joint Ventures. For the nine months ended September 30, 2020 and 2019, the Company recognized $4.8 million and $3.5 million, respectively, in investment income from its investments in Joint Ventures. As of September 30, 2020 and December 31, 2019, the fair value of the Company’s investments in Joint Ventures was approximately $46.8 million and $45.1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7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7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7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has determined that the Joint Venture is an investment company under Accounting Standards Codification (“ASC”), Financial Services</w:t>
      </w:r>
    </w:p>
    <w:p>
      <w:pPr>
        <w:spacing w:after="0" w:line="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Summarized Statement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72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at fair value</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167,389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26,927,671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Summarized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9"/>
        </w:trPr>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1,294,081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3,689,714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3,957,429</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1,292,084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3,656,217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3,903,246</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on investments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(1,663,956)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(5,583,581)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1,928,979</w:t>
            </w:r>
          </w:p>
        </w:tc>
        <w:tc>
          <w:tcPr>
            <w:tcW w:w="100" w:type="dxa"/>
            <w:vAlign w:val="bottom"/>
          </w:tcPr>
          <w:p>
            <w:pPr>
              <w:spacing w:after="0"/>
              <w:rPr>
                <w:sz w:val="19"/>
                <w:szCs w:val="19"/>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3,071,829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(357,266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(1,927,366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5,832,225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5"/>
        </w:trPr>
        <w:tc>
          <w:tcPr>
            <w:tcW w:w="39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Great Lakes KCAP F3C Senior, LLC</w:t>
            </w:r>
            <w:r>
              <w:rPr>
                <w:rFonts w:ascii="Times New Roman" w:cs="Times New Roman" w:eastAsia="Times New Roman" w:hAnsi="Times New Roman"/>
                <w:sz w:val="15"/>
                <w:szCs w:val="15"/>
                <w:color w:val="auto"/>
              </w:rPr>
              <w:t>(1)(2)</w:t>
            </w:r>
          </w:p>
        </w:tc>
        <w:tc>
          <w:tcPr>
            <w:tcW w:w="16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Subordinated Securities,</w:t>
            </w:r>
          </w:p>
        </w:tc>
        <w:tc>
          <w:tcPr>
            <w:tcW w:w="16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5.8%,</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39,742,392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39,742,392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27,095,060</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380" w:right="160" w:hanging="372"/>
        <w:spacing w:after="0" w:line="255" w:lineRule="auto"/>
        <w:tabs>
          <w:tab w:leader="none" w:pos="3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Times New Roman" w:cs="Times New Roman" w:eastAsia="Times New Roman" w:hAnsi="Times New Roman"/>
          <w:sz w:val="15"/>
          <w:szCs w:val="15"/>
          <w:color w:val="auto"/>
        </w:rPr>
      </w:pPr>
    </w:p>
    <w:p>
      <w:pPr>
        <w:ind w:left="380" w:right="640" w:hanging="372"/>
        <w:spacing w:after="0" w:line="260" w:lineRule="auto"/>
        <w:tabs>
          <w:tab w:leader="none" w:pos="3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5"/>
        </w:trPr>
        <w:tc>
          <w:tcPr>
            <w:tcW w:w="39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Great Lakes KCAP F3C Senior, LLC</w:t>
            </w:r>
            <w:r>
              <w:rPr>
                <w:rFonts w:ascii="Times New Roman" w:cs="Times New Roman" w:eastAsia="Times New Roman" w:hAnsi="Times New Roman"/>
                <w:sz w:val="15"/>
                <w:szCs w:val="15"/>
                <w:color w:val="auto"/>
              </w:rPr>
              <w:t>(1)(2)(3)</w:t>
            </w:r>
          </w:p>
        </w:tc>
        <w:tc>
          <w:tcPr>
            <w:tcW w:w="16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Subordinated Securities,</w:t>
            </w:r>
          </w:p>
        </w:tc>
        <w:tc>
          <w:tcPr>
            <w:tcW w:w="16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11.2%,</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40,801,382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40,801,382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33,737,631</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380" w:right="160" w:hanging="372"/>
        <w:spacing w:after="0" w:line="255" w:lineRule="auto"/>
        <w:tabs>
          <w:tab w:leader="none" w:pos="3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Times New Roman" w:cs="Times New Roman" w:eastAsia="Times New Roman" w:hAnsi="Times New Roman"/>
          <w:sz w:val="15"/>
          <w:szCs w:val="15"/>
          <w:color w:val="auto"/>
        </w:rPr>
      </w:pPr>
    </w:p>
    <w:p>
      <w:pPr>
        <w:ind w:left="380" w:right="640" w:hanging="372"/>
        <w:spacing w:after="0" w:line="250" w:lineRule="auto"/>
        <w:tabs>
          <w:tab w:leader="none" w:pos="3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Formerly known as KCAP F3C Senior Funding, LLC</w:t>
      </w:r>
    </w:p>
    <w:p>
      <w:pPr>
        <w:spacing w:after="0" w:line="166"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severe economic consequences resulting from the COVID-19 pandemic, it is possible that the subordinated securities issued by Great Lakes KCAP F3C Senior LLC CLO, which are owned by KCAP Freedom 3 Joint Venture, could also cease making distributions to the KCAP Freedom 3 Joint Venture.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BCP Great Lakes Partnership LP</w:t>
      </w:r>
    </w:p>
    <w:p>
      <w:pPr>
        <w:spacing w:after="0" w:line="121"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8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fair value of the Company’s investment in the BCP Great Lakes Partnership at September 30, 2020 and December 31, 2019 was $29.7 million and $23.8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4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September 30, 2020 and December 31, 2019, the Company has a $19.9 million and $26.3 million, respectively unfunded commitment to the BCP Great Lakes Partnership. However, at September 30, 2020 our funding commitment was limited to approximately $4.9 million pursuant to the limitations described above.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ind w:right="40" w:firstLine="374"/>
        <w:spacing w:after="0" w:line="257" w:lineRule="auto"/>
        <w:rPr>
          <w:sz w:val="20"/>
          <w:szCs w:val="20"/>
          <w:color w:val="auto"/>
        </w:rPr>
      </w:pPr>
      <w:r>
        <w:rPr>
          <w:rFonts w:ascii="Times New Roman" w:cs="Times New Roman" w:eastAsia="Times New Roman" w:hAnsi="Times New Roman"/>
          <w:sz w:val="18"/>
          <w:szCs w:val="18"/>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1" w:lineRule="exact"/>
        <w:rPr>
          <w:sz w:val="20"/>
          <w:szCs w:val="20"/>
          <w:color w:val="auto"/>
        </w:rPr>
      </w:pPr>
    </w:p>
    <w:p>
      <w:pPr>
        <w:ind w:right="260" w:firstLine="8"/>
        <w:spacing w:after="0" w:line="253" w:lineRule="auto"/>
        <w:tabs>
          <w:tab w:leader="none" w:pos="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right="160"/>
        <w:spacing w:after="0" w:line="261" w:lineRule="auto"/>
        <w:rPr>
          <w:sz w:val="20"/>
          <w:szCs w:val="20"/>
          <w:color w:val="auto"/>
        </w:rPr>
      </w:pPr>
      <w:r>
        <w:rPr>
          <w:rFonts w:ascii="Times New Roman" w:cs="Times New Roman" w:eastAsia="Times New Roman" w:hAnsi="Times New Roman"/>
          <w:sz w:val="18"/>
          <w:szCs w:val="18"/>
          <w:color w:val="auto"/>
        </w:rPr>
        <w:t>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3"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ASC 820: Fair Value establishes the following three-level hierarchy, based upon the transparency of inputs to the fair value measurement of an asset or liability as of the measurement date:</w:t>
      </w:r>
    </w:p>
    <w:p>
      <w:pPr>
        <w:spacing w:after="0" w:line="121"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35"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4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8"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investments by fair value hierarchy levels provided by ASC 820: Fair Value as of September 30, 2020 (unaudited) and December 31, 2019,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September 30, 2020 (Unaudited)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NAV</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38,920,949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165,645,309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204,566,258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17,175,011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29,656,600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(1,033,048)</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(1,033,048)</w:t>
            </w: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49,140,731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210,282,164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29,656,600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289,079,495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50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80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38,420,182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148,382,726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186,802,908</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21,307,899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23,780,068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(33,437)</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(33,437)</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211,489,810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23,780,068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277,897,166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 For those that have observable trades, the Company considers them to be Level II.</w:t>
      </w:r>
    </w:p>
    <w:p>
      <w:pPr>
        <w:spacing w:after="0" w:line="13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investment in the BCP Great Lakes Partnership at September 30, 2020 and December 31, 2019 was $29.7 million and $23.8 million, respectively. Fair value has been determined utilizing the practical expedient pursuant to ASC 820-10.</w:t>
      </w:r>
    </w:p>
    <w:p>
      <w:pPr>
        <w:spacing w:after="0" w:line="135"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43"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9"/>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8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CLO Fund</w:t>
            </w: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Manager</w:t>
            </w:r>
          </w:p>
        </w:tc>
        <w:tc>
          <w:tcPr>
            <w:tcW w:w="1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Joint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Affiliate</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Ventures</w:t>
            </w:r>
          </w:p>
        </w:tc>
        <w:tc>
          <w:tcPr>
            <w:tcW w:w="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148,382,726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31,968,202</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9,864,419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21,307,899</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$ 211,489,810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Transfers out of Level III¹</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(11,638,126)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(11,638,126)</w:t>
            </w: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into Level III²</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10,370,085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10,370,085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accretion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3,854,944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68,230,675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1,285,833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69,516,508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Sales/Paydowns/Return of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(37,319,499)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(3,257,187)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(669,215)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(976,968)</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(42,222,868)</w:t>
            </w: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realized gain (loss) included in earnings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(4,936,119)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(1,189,287)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976,968</w:t>
            </w:r>
          </w:p>
        </w:tc>
        <w:tc>
          <w:tcPr>
            <w:tcW w:w="2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(5,148,438)</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unrealized gain (loss) included in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(8,558,476)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(12,660,052)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(4,132,888)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(999,612)</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(25,939,752)</w:t>
            </w:r>
          </w:p>
        </w:tc>
        <w:tc>
          <w:tcPr>
            <w:tcW w:w="0" w:type="dxa"/>
            <w:vAlign w:val="bottom"/>
          </w:tcPr>
          <w:p>
            <w:pPr>
              <w:spacing w:after="0"/>
              <w:rPr>
                <w:sz w:val="1"/>
                <w:szCs w:val="1"/>
                <w:color w:val="auto"/>
              </w:rPr>
            </w:pPr>
          </w:p>
        </w:tc>
      </w:tr>
      <w:tr>
        <w:trPr>
          <w:trHeight w:val="210"/>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September 30, 2020</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165,645,309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18,791,865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9,703,027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17,175,011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(1,033,048</w:t>
            </w:r>
          </w:p>
        </w:tc>
        <w:tc>
          <w:tcPr>
            <w:tcW w:w="20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$ 210,282,163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Changes in unrealized gains (losses) included in</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earnings related to investments still held at reporting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(6,336,180)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(12,660,052)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411,276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(4,132,888)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(999,612)</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(23,717,456)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Transfers out of Level III represent a transfer of $11.6 million relating to debt securities for which pricing inputs, other than their quoted prices in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active markets were observable as of September 30, 2020.</w:t>
      </w:r>
    </w:p>
    <w:p>
      <w:pPr>
        <w:spacing w:after="0" w:line="8" w:lineRule="exact"/>
        <w:rPr>
          <w:sz w:val="20"/>
          <w:szCs w:val="20"/>
          <w:color w:val="auto"/>
        </w:rPr>
      </w:pPr>
    </w:p>
    <w:p>
      <w:pPr>
        <w:ind w:left="380" w:right="60" w:hanging="372"/>
        <w:spacing w:after="0" w:line="262" w:lineRule="auto"/>
        <w:tabs>
          <w:tab w:leader="none" w:pos="3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Transfers into Level III represent a transfer of $10.4 million relating to debt securities for which pricing inputs, other than their quoted prices in active markets were unobservable as of September 30, 2020.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Asset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CLO Fund</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Manager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Affiliate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Venture</w:t>
            </w:r>
          </w:p>
        </w:tc>
        <w:tc>
          <w:tcPr>
            <w:tcW w:w="124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106,741,671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44,325,000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2,038,020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18,390,440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174,965,131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of Level III¹</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(10,079,999)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(10,079,999)</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10,415,885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108,079,125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14,966,500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123,076,234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Sales/Paydowns/Return of Capital</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(71,139,395)</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(13,629,382)</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(85,139,999)</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realized gain included in earnings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(10,084,819)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(1,395,218)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(1,912,048)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(16,862,085)</w:t>
            </w:r>
          </w:p>
        </w:tc>
        <w:tc>
          <w:tcPr>
            <w:tcW w:w="0" w:type="dxa"/>
            <w:vAlign w:val="bottom"/>
          </w:tcPr>
          <w:p>
            <w:pPr>
              <w:spacing w:after="0"/>
              <w:rPr>
                <w:sz w:val="1"/>
                <w:szCs w:val="1"/>
                <w:color w:val="auto"/>
              </w:rPr>
            </w:pPr>
          </w:p>
        </w:tc>
      </w:tr>
      <w:tr>
        <w:trPr>
          <w:trHeight w:val="21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gain (loss) included in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14,241,206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(3,494,888)</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(4,856,831)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2,917,459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(64,046)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148,382,726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21,307,899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211,489,810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(losses)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earnings related to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still held at reporting date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(4,160,677)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(4,346,029)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(4,856,831)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2,917,459</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(64,046)</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(10,510,124)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400" w:hanging="372"/>
        <w:spacing w:after="0" w:line="260" w:lineRule="auto"/>
        <w:tabs>
          <w:tab w:leader="none" w:pos="3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Transfers out of Level III represent a transfer of $10.1 million relating to debt securities for which pricing inputs, other than their quoted prices in active markets were observable as of December 31, 2019.</w:t>
      </w:r>
    </w:p>
    <w:p>
      <w:pPr>
        <w:spacing w:after="0" w:line="1" w:lineRule="exact"/>
        <w:rPr>
          <w:sz w:val="20"/>
          <w:szCs w:val="20"/>
          <w:color w:val="auto"/>
        </w:rPr>
      </w:pPr>
    </w:p>
    <w:p>
      <w:pPr>
        <w:ind w:left="380" w:right="60" w:hanging="372"/>
        <w:spacing w:after="0" w:line="262" w:lineRule="auto"/>
        <w:tabs>
          <w:tab w:leader="none" w:pos="3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Transfers into Level III represent a transfer of $10.4 million relating to debt securities for which pricing inputs, other than their quoted prices in active markets were unobservable as of December 31, 2019.</w:t>
      </w:r>
    </w:p>
    <w:p>
      <w:pPr>
        <w:spacing w:after="0" w:line="139"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As of September 30, 2020 and December 31, 2019,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$49.1 million and $42.6 million as of September 30, 2020 and December 31, 2019,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18"/>
          <w:szCs w:val="18"/>
          <w:color w:val="auto"/>
        </w:rPr>
        <w:t>As of September 30, 2020, the Company’s Level III portfolio investments had the following valuation techniques and significant inputs: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Times New Roman" w:cs="Times New Roman" w:eastAsia="Times New Roman" w:hAnsi="Times New Roman"/>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Times New Roman" w:cs="Times New Roman" w:eastAsia="Times New Roman" w:hAnsi="Times New Roman"/>
                <w:sz w:val="16"/>
                <w:szCs w:val="16"/>
                <w:b w:val="1"/>
                <w:bCs w:val="1"/>
                <w:color w:val="auto"/>
              </w:rPr>
              <w:t>Range of Inputs</w:t>
            </w:r>
          </w:p>
        </w:tc>
        <w:tc>
          <w:tcPr>
            <w:tcW w:w="0" w:type="dxa"/>
            <w:vAlign w:val="bottom"/>
          </w:tcPr>
          <w:p>
            <w:pPr>
              <w:spacing w:after="0"/>
              <w:rPr>
                <w:sz w:val="1"/>
                <w:szCs w:val="1"/>
                <w:color w:val="auto"/>
              </w:rPr>
            </w:pPr>
          </w:p>
        </w:tc>
      </w:tr>
      <w:tr>
        <w:trPr>
          <w:trHeight w:val="215"/>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Times New Roman" w:cs="Times New Roman" w:eastAsia="Times New Roman" w:hAnsi="Times New Roman"/>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11,862,570</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6.0x-7.9x (6.6x)</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153,782,739</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5.0%-23.0% (11.1%)</w:t>
            </w: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9,700,027</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3.2x-9.0x (0.9x)</w:t>
            </w: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3,000</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ind w:left="100"/>
              <w:spacing w:after="0" w:line="217" w:lineRule="exact"/>
              <w:rPr>
                <w:sz w:val="20"/>
                <w:szCs w:val="20"/>
                <w:color w:val="auto"/>
              </w:rPr>
            </w:pPr>
            <w:r>
              <w:rPr>
                <w:rFonts w:ascii="Times New Roman" w:cs="Times New Roman" w:eastAsia="Times New Roman" w:hAnsi="Times New Roman"/>
                <w:sz w:val="15"/>
                <w:szCs w:val="15"/>
                <w:color w:val="auto"/>
              </w:rPr>
              <w:t>Inputs</w:t>
            </w:r>
            <w:r>
              <w:rPr>
                <w:rFonts w:ascii="Times New Roman" w:cs="Times New Roman" w:eastAsia="Times New Roman" w:hAnsi="Times New Roman"/>
                <w:sz w:val="25"/>
                <w:szCs w:val="25"/>
                <w:color w:val="auto"/>
                <w:vertAlign w:val="superscript"/>
              </w:rPr>
              <w:t>(1)</w:t>
            </w: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13.8%-15.8% (14.8%)</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2.0%-5.5% (3.5%)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18,791,865</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20.0%-30.5% (25.5%)</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69.5%-80.0% (74.5%)</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0.0%-25.0% (12.5%)</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16.0%-17.0% (16.5%)</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3.5%-6.0% (4.8%)</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17,175,011</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21.0%-31.0% (26.0%)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69.0%-79.0% (74.0%)</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0.0%-25.0% (12.5%)</w:t>
            </w: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(1,033,048)</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210,282,164</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80" w:hanging="372"/>
        <w:spacing w:after="0" w:line="276" w:lineRule="auto"/>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its position at a nominal amount to account for the investment’s option value.</w:t>
      </w:r>
    </w:p>
    <w:p>
      <w:pPr>
        <w:spacing w:after="0" w:line="8" w:lineRule="exact"/>
        <w:rPr>
          <w:sz w:val="20"/>
          <w:szCs w:val="20"/>
          <w:color w:val="auto"/>
        </w:rPr>
      </w:pPr>
    </w:p>
    <w:p>
      <w:pPr>
        <w:ind w:left="5540" w:right="3560" w:hanging="5532"/>
        <w:spacing w:after="0" w:line="512" w:lineRule="auto"/>
        <w:tabs>
          <w:tab w:leader="none" w:pos="378"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qualitative inputs used in the fair value measurements include the value of the pledged collateral.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18"/>
          <w:szCs w:val="18"/>
          <w:color w:val="auto"/>
        </w:rPr>
        <w:t>As of December 31, 2019, the Company’s Level III portfolio investments had the following valuation techniques and significant inputs: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Times New Roman" w:cs="Times New Roman" w:eastAsia="Times New Roman" w:hAnsi="Times New Roman"/>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Times New Roman" w:cs="Times New Roman" w:eastAsia="Times New Roman" w:hAnsi="Times New Roman"/>
                <w:sz w:val="16"/>
                <w:szCs w:val="16"/>
                <w:b w:val="1"/>
                <w:bCs w:val="1"/>
                <w:color w:val="auto"/>
              </w:rPr>
              <w:t>Range of Inputs</w:t>
            </w:r>
          </w:p>
        </w:tc>
        <w:tc>
          <w:tcPr>
            <w:tcW w:w="0" w:type="dxa"/>
            <w:vAlign w:val="bottom"/>
          </w:tcPr>
          <w:p>
            <w:pPr>
              <w:spacing w:after="0"/>
              <w:rPr>
                <w:sz w:val="1"/>
                <w:szCs w:val="1"/>
                <w:color w:val="auto"/>
              </w:rPr>
            </w:pPr>
          </w:p>
        </w:tc>
      </w:tr>
      <w:tr>
        <w:trPr>
          <w:trHeight w:val="215"/>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Times New Roman" w:cs="Times New Roman" w:eastAsia="Times New Roman" w:hAnsi="Times New Roman"/>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11,959,848</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5.0x-8.3x (7.0x)</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136,422,878</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5.9%-24.0% (10.3%)</w:t>
            </w: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9,859,419</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3.2x-14.5x (14.0x)</w:t>
            </w: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ind w:left="100"/>
              <w:spacing w:after="0" w:line="217" w:lineRule="exact"/>
              <w:rPr>
                <w:sz w:val="20"/>
                <w:szCs w:val="20"/>
                <w:color w:val="auto"/>
              </w:rPr>
            </w:pPr>
            <w:r>
              <w:rPr>
                <w:rFonts w:ascii="Times New Roman" w:cs="Times New Roman" w:eastAsia="Times New Roman" w:hAnsi="Times New Roman"/>
                <w:sz w:val="15"/>
                <w:szCs w:val="15"/>
                <w:color w:val="auto"/>
              </w:rPr>
              <w:t>Inputs</w:t>
            </w:r>
            <w:r>
              <w:rPr>
                <w:rFonts w:ascii="Times New Roman" w:cs="Times New Roman" w:eastAsia="Times New Roman" w:hAnsi="Times New Roman"/>
                <w:sz w:val="25"/>
                <w:szCs w:val="25"/>
                <w:color w:val="auto"/>
                <w:vertAlign w:val="superscript"/>
              </w:rPr>
              <w:t>(1)</w:t>
            </w: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13.3%-15.0% (13.9%)</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1%-2% (1.5%)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31,968,202</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20.0%-39.5% (29.5%)</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60.5%-80.0% (70.5%)</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15.0%-25.0% (20.0%)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16.0%-17.3% (16.6%)</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2%-3% (2.5%)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21,307,899</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20.5%-39.5% (30.0%)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60.5%-79.5% (70.0%)</w:t>
            </w:r>
          </w:p>
        </w:tc>
        <w:tc>
          <w:tcPr>
            <w:tcW w:w="0" w:type="dxa"/>
            <w:vAlign w:val="bottom"/>
          </w:tcPr>
          <w:p>
            <w:pPr>
              <w:spacing w:after="0"/>
              <w:rPr>
                <w:sz w:val="1"/>
                <w:szCs w:val="1"/>
                <w:color w:val="auto"/>
              </w:rPr>
            </w:pPr>
          </w:p>
        </w:tc>
      </w:tr>
      <w:tr>
        <w:trPr>
          <w:trHeight w:val="198"/>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15.0%-25.0% (20.0%)</w:t>
            </w: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211,489,810</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80" w:hanging="372"/>
        <w:spacing w:after="0" w:line="276" w:lineRule="auto"/>
        <w:tabs>
          <w:tab w:leader="none" w:pos="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its position at a nominal amount to account for the investment’s option value.</w:t>
      </w:r>
    </w:p>
    <w:p>
      <w:pPr>
        <w:spacing w:after="0" w:line="8"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qualitative inputs used in the fair value measurements include the value of the pledged collateral.</w:t>
      </w:r>
    </w:p>
    <w:p>
      <w:pPr>
        <w:spacing w:after="0" w:line="18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39"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67"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Company’s investment in the Joint Venture- KCAP Freedom 3 LLC is carried at fair value based upon the fair value of the investments held by the Joint Venture.</w:t>
      </w:r>
    </w:p>
    <w:p>
      <w:pPr>
        <w:spacing w:after="0" w:line="54"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derivative investments at September 30, 2020 and December 31,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Types of contracts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amounts</w:t>
            </w:r>
          </w:p>
        </w:tc>
        <w:tc>
          <w:tcPr>
            <w:tcW w:w="160" w:type="dxa"/>
            <w:vAlign w:val="bottom"/>
          </w:tcPr>
          <w:p>
            <w:pPr>
              <w:spacing w:after="0"/>
              <w:rPr>
                <w:sz w:val="20"/>
                <w:szCs w:val="20"/>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 xml:space="preserve">(liabilities) </w:t>
            </w:r>
            <w:r>
              <w:rPr>
                <w:rFonts w:ascii="Times New Roman" w:cs="Times New Roman" w:eastAsia="Times New Roman" w:hAnsi="Times New Roman"/>
                <w:sz w:val="15"/>
                <w:szCs w:val="15"/>
                <w:b w:val="1"/>
                <w:bCs w:val="1"/>
                <w:color w:val="auto"/>
                <w:w w:val="99"/>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Call option</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Swap and Option Agreement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(1,093,195)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(1,093,195)</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5,507,656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Net amount included in the derivative caption on the consolidated</w:t>
            </w:r>
          </w:p>
        </w:tc>
        <w:tc>
          <w:tcPr>
            <w:tcW w:w="168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color w:val="auto"/>
              </w:rPr>
              <w:t>balance sheet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vMerge w:val="continue"/>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Types of contracts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amounts</w:t>
            </w:r>
          </w:p>
        </w:tc>
        <w:tc>
          <w:tcPr>
            <w:tcW w:w="160" w:type="dxa"/>
            <w:vAlign w:val="bottom"/>
          </w:tcPr>
          <w:p>
            <w:pPr>
              <w:spacing w:after="0"/>
              <w:rPr>
                <w:sz w:val="20"/>
                <w:szCs w:val="20"/>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 xml:space="preserve">(liabilities) </w:t>
            </w:r>
            <w:r>
              <w:rPr>
                <w:rFonts w:ascii="Times New Roman" w:cs="Times New Roman" w:eastAsia="Times New Roman" w:hAnsi="Times New Roman"/>
                <w:sz w:val="15"/>
                <w:szCs w:val="15"/>
                <w:b w:val="1"/>
                <w:bCs w:val="1"/>
                <w:color w:val="auto"/>
                <w:w w:val="99"/>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Call option</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Swap and Option Agreement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(41,093)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(41,093)</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5,507,656</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-2540</wp:posOffset>
            </wp:positionV>
            <wp:extent cx="456882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68825" cy="254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amount included in the derivative caption on the consolidated balance sheet</w:t>
      </w:r>
    </w:p>
    <w:p>
      <w:pPr>
        <w:spacing w:after="0" w:line="200" w:lineRule="exact"/>
        <w:rPr>
          <w:sz w:val="20"/>
          <w:szCs w:val="20"/>
          <w:color w:val="auto"/>
        </w:rPr>
      </w:pPr>
    </w:p>
    <w:p>
      <w:pPr>
        <w:spacing w:after="0" w:line="22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recent outbreak of the novel coronavirus, or COVID-19, in many countries continues to adversely impact global commercial activity and has contributed to significant volatility in financial markets. The global impact of the outbreak has been rapidly evolving, and as cases of the virus have continued to be identified in additional countries, many countries have reacted by instituting quarantines, restrictions on travel and other measures to mitigate the impact of this pandemic. Such actions are creating disruption in global supply chains, and adversely impacting a number of industries, including, among others, transportation, hospitality and entertainment. The outbreak could have a continued adverse impact on economic and market conditions and trigger a period of global economic slowdown and continued volatility. The rapid development and fluidity of this situation precludes any prediction as to the duration and extent of this pandemic and its impact on the Company’s business, financial condition and results of operations, as well as the business, financial condition and results of operations of the Company’s portfolio companies. Nevertheless, the novel coronavirus presents material uncertainty and risk with respect to our and our portfolio companies’ performance and financial results. The Company is actively monitoring developments with respect to this pandemic and its impact as part of the Company’s overall investment objective and strategy.</w:t>
      </w:r>
    </w:p>
    <w:p>
      <w:pPr>
        <w:spacing w:after="0" w:line="190"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MANAGER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Wholly-Owned Asset Managers</w:t>
      </w:r>
    </w:p>
    <w:p>
      <w:pPr>
        <w:spacing w:after="0" w:line="227"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ind w:firstLine="374"/>
        <w:spacing w:after="0" w:line="261" w:lineRule="auto"/>
        <w:rPr>
          <w:sz w:val="20"/>
          <w:szCs w:val="20"/>
          <w:color w:val="auto"/>
        </w:rPr>
      </w:pPr>
      <w:r>
        <w:rPr>
          <w:rFonts w:ascii="Times New Roman" w:cs="Times New Roman" w:eastAsia="Times New Roman" w:hAnsi="Times New Roman"/>
          <w:sz w:val="18"/>
          <w:szCs w:val="18"/>
          <w:color w:val="auto"/>
        </w:rPr>
        <w:t>The Asset Manager Affiliates manage CLO Funds primarily for third party investors that invest primarily in broadly syndicated loans, high yield bonds and other credit instruments issued by corporations. At September 30, 2020 and December 31, 2019, the Asset Manager Affiliates had approximately $300 million of par value of assets under management, respectively, and the Company’s 100% equity interest in the Asset Manager Affiliates was deemed to have no value.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distributions were declared during the three and nine months ended September 30, 2020.</w:t>
      </w:r>
    </w:p>
    <w:p>
      <w:pPr>
        <w:spacing w:after="0" w:line="225"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28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Summarized Statements of Operations Information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1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23"/>
        </w:trPr>
        <w:tc>
          <w:tcPr>
            <w:tcW w:w="6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Revenue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2,712,405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8,662,932</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645,795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2,914,386</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3,358,200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11,577,318</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7,287,001</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935,654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3,648,760</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2,877,449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10,935,761</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unrealized gains on investments and income taxes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641,557</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410,888</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1,052,445</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(490,150)</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849,762</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1,542,595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Adviser provides management services to the Company pursuant to the Advisory Agreement. Under the terms of the Advisory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is responsible for the following:</w:t>
      </w:r>
    </w:p>
    <w:p>
      <w:pPr>
        <w:spacing w:after="0" w:line="180" w:lineRule="exact"/>
        <w:rPr>
          <w:sz w:val="20"/>
          <w:szCs w:val="20"/>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assets in accordance with our investment objective, policies and restrictions;</w:t>
      </w:r>
    </w:p>
    <w:p>
      <w:pPr>
        <w:spacing w:after="0" w:line="184"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composition of the Company’s portfolio, the nature and timing of the changes to the portfolio and the manner of implementing such changes;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negotiating the structure of the Company’s investments;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investments;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securities and other assets that the Company will purchase, retain or sell;</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with its valuation of the Company’s assets;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investment professionals of the Adviser to provide managerial assistance to the Company’s portfolio companies;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due diligence on prospective portfolio companies;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rights in respect of portfolio securities and other investments for the Company;</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and exercising observer rights for, boards of directors and similar committees of our portfolio companies; and</w:t>
      </w:r>
    </w:p>
    <w:p>
      <w:pPr>
        <w:spacing w:after="0" w:line="184"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Company with such other investment advisory, research and related services as we may, from time to time, reasonably require for the investment of capital.</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it is free to furnish similar services to other entities so long as its services to us are not impaired.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87"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w:t>
      </w:r>
    </w:p>
    <w:p>
      <w:pPr>
        <w:ind w:right="260"/>
        <w:spacing w:after="0" w:line="260" w:lineRule="auto"/>
        <w:rPr>
          <w:sz w:val="20"/>
          <w:szCs w:val="20"/>
          <w:color w:val="auto"/>
        </w:rPr>
      </w:pPr>
      <w:r>
        <w:rPr>
          <w:rFonts w:ascii="Times New Roman" w:cs="Times New Roman" w:eastAsia="Times New Roman" w:hAnsi="Times New Roman"/>
          <w:sz w:val="18"/>
          <w:szCs w:val="18"/>
          <w:color w:val="auto"/>
        </w:rPr>
        <w:t>effect from year-to-year thereafter if approved annually by a majority of the Board or by the holders of a majority of the outstanding shares, and, in each case, a majority of the independent directors.</w:t>
      </w:r>
    </w:p>
    <w:p>
      <w:pPr>
        <w:spacing w:after="0" w:line="154"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Adviser</w:t>
      </w:r>
    </w:p>
    <w:p>
      <w:pPr>
        <w:spacing w:after="0" w:line="187"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Adviser</w:t>
      </w:r>
    </w:p>
    <w:p>
      <w:pPr>
        <w:spacing w:after="0" w:line="187"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average gross assets, excluding cash and cash equivalents, but including assets purchased with borrowed amounts, that exceed the product of (i) 200% and</w:t>
      </w:r>
    </w:p>
    <w:p>
      <w:pPr>
        <w:spacing w:after="0" w:line="27" w:lineRule="exact"/>
        <w:rPr>
          <w:sz w:val="20"/>
          <w:szCs w:val="20"/>
          <w:color w:val="auto"/>
        </w:rPr>
      </w:pPr>
    </w:p>
    <w:p>
      <w:pPr>
        <w:ind w:right="240" w:firstLine="8"/>
        <w:spacing w:after="0" w:line="252"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6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4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4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62" w:lineRule="exact"/>
        <w:rPr>
          <w:sz w:val="20"/>
          <w:szCs w:val="20"/>
          <w:color w:val="auto"/>
        </w:rPr>
      </w:pPr>
    </w:p>
    <w:p>
      <w:pPr>
        <w:ind w:right="2120" w:firstLine="374"/>
        <w:spacing w:after="0" w:line="453" w:lineRule="auto"/>
        <w:rPr>
          <w:sz w:val="20"/>
          <w:szCs w:val="20"/>
          <w:color w:val="auto"/>
        </w:rPr>
      </w:pPr>
      <w:r>
        <w:rPr>
          <w:rFonts w:ascii="Times New Roman" w:cs="Times New Roman" w:eastAsia="Times New Roman" w:hAnsi="Times New Roman"/>
          <w:sz w:val="18"/>
          <w:szCs w:val="18"/>
          <w:color w:val="auto"/>
        </w:rPr>
        <w:t xml:space="preserve">The fees that are payable under the Investment Advisory Agreement for any partial period will be appropriately prorated. </w:t>
      </w:r>
      <w:r>
        <w:rPr>
          <w:rFonts w:ascii="Times New Roman" w:cs="Times New Roman" w:eastAsia="Times New Roman" w:hAnsi="Times New Roman"/>
          <w:sz w:val="18"/>
          <w:szCs w:val="18"/>
          <w:i w:val="1"/>
          <w:iCs w:val="1"/>
          <w:color w:val="auto"/>
        </w:rPr>
        <w:t>Limitations of Liability and Indemnification</w:t>
      </w:r>
    </w:p>
    <w:p>
      <w:pPr>
        <w:spacing w:after="0" w:line="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Advisory Agreement</w:t>
      </w:r>
    </w:p>
    <w:p>
      <w:pPr>
        <w:spacing w:after="0" w:line="187"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3" w:name="page54"/>
    <w:bookmarkEnd w:id="53"/>
    <w:p>
      <w:pPr>
        <w:ind w:right="240"/>
        <w:spacing w:after="0" w:line="258" w:lineRule="auto"/>
        <w:rPr>
          <w:sz w:val="20"/>
          <w:szCs w:val="20"/>
          <w:color w:val="auto"/>
        </w:rPr>
      </w:pPr>
      <w:r>
        <w:rPr>
          <w:rFonts w:ascii="Times New Roman" w:cs="Times New Roman" w:eastAsia="Times New Roman" w:hAnsi="Times New Roman"/>
          <w:sz w:val="18"/>
          <w:szCs w:val="18"/>
          <w:color w:val="auto"/>
        </w:rPr>
        <w:t>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56"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Management fees for the three months ended September 30, 2020 and 2019, were approximately $1.0 million and $1.0 million, respectively. Management fees for the nine months ended September 30, 2020 and 2019, were approximately $3.1 million and $2.1 million, respectively. Incentive fees earned during the three and nine months ended September 30, 2020, were approximately $572 thousand and $1.1 million, $557 thousand of which were waived pursuant to the Externalization Agreement during the nine months ended September 30, 2020. There were no incentive fees earned for the three and nine months ended September 30,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121"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81"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7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7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4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Company incurred $0.5 million and $1.4 million, respectively, of Administrative services expense for the three and nine months ended September 30, 2020.The Company incurred $0.4 million and $0.8 million, respectively, of Administrative services expense for the three and nine months ended September 30,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Expenses under the Advisory and Administration Agreements</w:t>
      </w:r>
    </w:p>
    <w:p>
      <w:pPr>
        <w:spacing w:after="0" w:line="18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t>performing its administrative obligations under the Advisory Agreement, and (iii) all other expenses of our operations and transactions including, without limitation, those relating to:</w:t>
      </w:r>
    </w:p>
    <w:p>
      <w:pPr>
        <w:spacing w:after="0" w:line="135" w:lineRule="exact"/>
        <w:rPr>
          <w:sz w:val="20"/>
          <w:szCs w:val="20"/>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the Company’s net asset value,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any sales and repurchases of the Company’s common stock and other securities;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dealer manager or placement agent agreements, if any;</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 and any sub-administration agreements, including related expenses;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 any stock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certain travel expenses;</w:t>
      </w:r>
    </w:p>
    <w:p>
      <w:pPr>
        <w:spacing w:after="0" w:line="184" w:lineRule="exact"/>
        <w:rPr>
          <w:rFonts w:ascii="Times New Roman" w:cs="Times New Roman" w:eastAsia="Times New Roman" w:hAnsi="Times New Roman"/>
          <w:sz w:val="18"/>
          <w:szCs w:val="18"/>
          <w:color w:val="auto"/>
        </w:rPr>
      </w:pPr>
    </w:p>
    <w:p>
      <w:pPr>
        <w:ind w:left="740" w:right="420" w:hanging="368"/>
        <w:spacing w:after="0" w:line="266"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35"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and staff;</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outside legal and consulting costs;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 our affairs;</w:t>
      </w:r>
    </w:p>
    <w:p>
      <w:pPr>
        <w:spacing w:after="0" w:line="184"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by either the Administrator or us in connection with administering our business, including payments under the Administration Agreement;</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 and</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legacy 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Co-investment Exemptive Relief</w:t>
      </w:r>
    </w:p>
    <w:p>
      <w:pPr>
        <w:spacing w:after="0" w:line="22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297"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exemptive order from the SEC. However, BDCs are permitted to, and may, simultaneously co-invest in transactions where price is the only negotiated term.</w:t>
      </w:r>
    </w:p>
    <w:p>
      <w:pPr>
        <w:spacing w:after="0" w:line="237"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w:t>
      </w:r>
    </w:p>
    <w:p>
      <w:pPr>
        <w:spacing w:after="0" w:line="3" w:lineRule="exact"/>
        <w:rPr>
          <w:sz w:val="20"/>
          <w:szCs w:val="20"/>
          <w:color w:val="auto"/>
        </w:rPr>
      </w:pPr>
    </w:p>
    <w:p>
      <w:pPr>
        <w:ind w:right="120" w:firstLine="8"/>
        <w:spacing w:after="0" w:line="253"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Trimaran Credit Facility</w:t>
      </w:r>
    </w:p>
    <w:p>
      <w:pPr>
        <w:spacing w:after="0" w:line="22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w:t>
      </w:r>
    </w:p>
    <w:p>
      <w:pPr>
        <w:spacing w:after="0" w:line="187"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87"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176"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BORROWINGS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1"/>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9"/>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r>
      <w:tr>
        <w:trPr>
          <w:trHeight w:val="238"/>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Notes Due 2022 (net of offering costs of: 2020-$1,207,830; 2019 - $1,651,946)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75,518,145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75,755,253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 Lakes Portman Ridge Funding LLC Revolving Credit Facility (net of offering costs of:</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2020-$1,189,295; 2019 - $1,462,364)</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93,131,603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78,108,535</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168,649,748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153,863,788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weighted average stated interest rate and weighted average maturity on all our debt outstanding as of September 30, 2020 were 4.5% and 2.7 years, respectively, and as of December 31, 2019 were 5.4% and 3.4 years,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6.125% Notes Due 2022</w:t>
      </w:r>
    </w:p>
    <w:p>
      <w:pPr>
        <w:spacing w:after="0" w:line="18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 At September 30, 2020, the Company was in compliance with all of its debt covenants.</w:t>
      </w:r>
    </w:p>
    <w:p>
      <w:pPr>
        <w:spacing w:after="0" w:line="14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and 2019, interest expense related to the 6.125% Notes Due 2022 was approximately $1.2 million and $1.2 million, respectively. For the nine months ended September 30, 2020 and 2019, interest expense related to the 6.125% Notes Due 2022 was approximately $3.5 million and $3.6 million, respectively.</w:t>
      </w:r>
    </w:p>
    <w:p>
      <w:pPr>
        <w:spacing w:after="0" w:line="14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$1.2 million and $1.7 million remains to be amortized as of September 30, 2020 and December 31, 2019, respectively, and is included on the consolidated balance sheets as a reduction in the related debt liability.</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repurchased approximately $681 thousand of principal amount of the 6.125% Notes Due 2022 at a cost of approximately $513 thousand, resulting in a realized gain on extinguishment of approximately $155 thousand. The Company subsequently surrendered these notes to the Trustee for cancellation.</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of 6.125% Notes Due 2022.</w:t>
      </w:r>
    </w:p>
    <w:p>
      <w:pPr>
        <w:spacing w:after="0" w:line="200"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6.125% Notes Due 2022 were issued via public offering during the third quarter of 2017 and are carried at cost, net of offering costs of $1.2 million and $1.7 million at September 30, 2020 and December 31, 2019. The fair value of the Company’s outstanding 6.125% Notes Due 2022 was approximately $75.7 million and $78.1 million at September 30, 2020 and December 31, 2019. The fair value was determined based on the closing price on September 30, 2020 for the 6.125% Notes Due 2022. The 6.125% Notes Due 2022 are categorized as Level I under the ASC 820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119"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81"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Borrowings under the Prior Revolving Credit Facility bore interest at a rate per annum equal to (i) in the case of LIBOR rate loans, an adjusted LIBOR rate for the applicable interest period plus 3.25% or (ii) in the case of base rate loans, the prime rate plus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right="40"/>
        <w:spacing w:after="0" w:line="282" w:lineRule="auto"/>
        <w:rPr>
          <w:sz w:val="20"/>
          <w:szCs w:val="20"/>
          <w:color w:val="auto"/>
        </w:rPr>
      </w:pPr>
      <w:r>
        <w:rPr>
          <w:rFonts w:ascii="Times New Roman" w:cs="Times New Roman" w:eastAsia="Times New Roman" w:hAnsi="Times New Roman"/>
          <w:sz w:val="18"/>
          <w:szCs w:val="18"/>
          <w:color w:val="auto"/>
        </w:rPr>
        <w:t>3.25%. Funding will pay a fee on any undrawn amounts of 0.375% per annum; provided that if 50% or less of the Prior Revolving Credit Facility is drawn, the fee will be 0.50% per annum.</w:t>
      </w:r>
    </w:p>
    <w:p>
      <w:pPr>
        <w:spacing w:after="0" w:line="54" w:lineRule="exact"/>
        <w:rPr>
          <w:sz w:val="20"/>
          <w:szCs w:val="20"/>
          <w:color w:val="auto"/>
        </w:rPr>
      </w:pPr>
    </w:p>
    <w:p>
      <w:pPr>
        <w:ind w:right="420" w:firstLine="374"/>
        <w:spacing w:after="0" w:line="261" w:lineRule="auto"/>
        <w:rPr>
          <w:sz w:val="20"/>
          <w:szCs w:val="20"/>
          <w:color w:val="auto"/>
        </w:rPr>
      </w:pPr>
      <w:r>
        <w:rPr>
          <w:rFonts w:ascii="Times New Roman" w:cs="Times New Roman" w:eastAsia="Times New Roman" w:hAnsi="Times New Roman"/>
          <w:sz w:val="18"/>
          <w:szCs w:val="18"/>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13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interest and fees expense related to the Prior Revolving Credit Facility was $0.8 million. For the nine months ended September 30, 2019, interest and fees expense related to the Prior Revolving Credit Facility was approximately $1.7 million.</w:t>
      </w:r>
    </w:p>
    <w:p>
      <w:pPr>
        <w:spacing w:after="0" w:line="54"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7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7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7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At September 30, 2020, GLPRF LLC was in compliance with all of its debt covenants and $94.3 million principal amount of borrowings was outstanding under the Revolving Credit Facility. The fair value of GLPRF LLC was approximately $94.3 million at September 30, 2020. The GLPRF LLC is carried at fair value, net of offering costs of $1.2 million at September 30, 2020.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56"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interest and fees expense related to the Revolving Credit Facility was approximately $0.9 million and $3.0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7.375% Notes Due 2019</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October 10, 2012, the Company issued $41.4 million in aggregate principal amount of unsecured 7.375% Notes due 2019 (the “7.375% Notes Due 2019”). The net proceeds for these Notes, after the payment of underwriting expenses, were approximately $39.9 million. All of the 7.375% Notes Due 2019 have either been repurchased or redeemed, and retired and there have been none outstanding since the fourth quarter of 2018. Interest on the 7.375% Notes Due 2019 was paid quarterly in arrears on March 30, June 30, September 30 and December 30, at a rate of 7.375%, commencing December 30,</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ind w:right="440"/>
        <w:spacing w:after="0" w:line="282" w:lineRule="auto"/>
        <w:rPr>
          <w:sz w:val="20"/>
          <w:szCs w:val="20"/>
          <w:color w:val="auto"/>
        </w:rPr>
      </w:pPr>
      <w:r>
        <w:rPr>
          <w:rFonts w:ascii="Times New Roman" w:cs="Times New Roman" w:eastAsia="Times New Roman" w:hAnsi="Times New Roman"/>
          <w:sz w:val="18"/>
          <w:szCs w:val="18"/>
          <w:color w:val="auto"/>
        </w:rPr>
        <w:t>governing the 7.375% Notes Due 2019 contains certain restrictive covenants, including compliance with certain provisions of the 1940 Act relating to borrowing and dividends.</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1" w:lineRule="exact"/>
        <w:rPr>
          <w:sz w:val="20"/>
          <w:szCs w:val="20"/>
          <w:color w:val="auto"/>
        </w:rPr>
      </w:pPr>
    </w:p>
    <w:p>
      <w:pPr>
        <w:ind w:right="180" w:firstLine="374"/>
        <w:spacing w:after="0" w:line="312" w:lineRule="auto"/>
        <w:rPr>
          <w:sz w:val="20"/>
          <w:szCs w:val="20"/>
          <w:color w:val="auto"/>
        </w:rPr>
      </w:pPr>
      <w:r>
        <w:rPr>
          <w:rFonts w:ascii="Times New Roman" w:cs="Times New Roman" w:eastAsia="Times New Roman" w:hAnsi="Times New Roman"/>
          <w:sz w:val="17"/>
          <w:szCs w:val="17"/>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95"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DISTRIBUTABLE TAXABLE INCOME</w:t>
      </w:r>
    </w:p>
    <w:p>
      <w:pPr>
        <w:spacing w:after="0" w:line="189" w:lineRule="exact"/>
        <w:rPr>
          <w:sz w:val="20"/>
          <w:szCs w:val="20"/>
          <w:color w:val="auto"/>
        </w:rPr>
      </w:pPr>
    </w:p>
    <w:p>
      <w:pPr>
        <w:ind w:right="20" w:firstLine="374"/>
        <w:spacing w:after="0" w:line="251" w:lineRule="auto"/>
        <w:rPr>
          <w:sz w:val="20"/>
          <w:szCs w:val="20"/>
          <w:color w:val="auto"/>
        </w:rPr>
      </w:pPr>
      <w:r>
        <w:rPr>
          <w:rFonts w:ascii="Times New Roman" w:cs="Times New Roman" w:eastAsia="Times New Roman" w:hAnsi="Times New Roman"/>
          <w:sz w:val="18"/>
          <w:szCs w:val="18"/>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 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79"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The following reconciles net increase in net assets resulting from operations to taxable income for the nine months ended September 30,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net assets resulting from operations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(17,450,561)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(16,016,674)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depreciation (appreciation) from investments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21,848,028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3,665,280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16,796,465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Book/tax differences on CLO equity investments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516,284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Book/tax differences on lease impairment</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1,431,030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book/tax differences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(315,116)</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Taxable (loss) income before deductions for distributions</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8,263,915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5,065,263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Taxable (loss) income before deductions for distributions per weighted</w:t>
            </w: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basic shares for the period</w:t>
            </w:r>
          </w:p>
        </w:tc>
        <w:tc>
          <w:tcPr>
            <w:tcW w:w="2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Taxable (loss) income before deductions for distributions per weighted</w:t>
            </w:r>
          </w:p>
        </w:tc>
        <w:tc>
          <w:tcPr>
            <w:tcW w:w="2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average diluted shares for the period</w:t>
            </w:r>
          </w:p>
        </w:tc>
        <w:tc>
          <w:tcPr>
            <w:tcW w:w="26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320" w:type="dxa"/>
            <w:vAlign w:val="bottom"/>
          </w:tcPr>
          <w:p>
            <w:pPr>
              <w:spacing w:after="0"/>
              <w:rPr>
                <w:sz w:val="24"/>
                <w:szCs w:val="24"/>
                <w:color w:val="auto"/>
              </w:rPr>
            </w:pPr>
          </w:p>
        </w:tc>
        <w:tc>
          <w:tcPr>
            <w:tcW w:w="24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59" w:name="page60"/>
    <w:bookmarkEnd w:id="59"/>
    <w:p>
      <w:pPr>
        <w:ind w:firstLine="374"/>
        <w:spacing w:after="0" w:line="258" w:lineRule="auto"/>
        <w:rPr>
          <w:sz w:val="20"/>
          <w:szCs w:val="20"/>
          <w:color w:val="auto"/>
        </w:rPr>
      </w:pPr>
      <w:r>
        <w:rPr>
          <w:rFonts w:ascii="Times New Roman" w:cs="Times New Roman" w:eastAsia="Times New Roman" w:hAnsi="Times New Roman"/>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and nine months ended September 30, 2019 the Asset Manager Affiliates did not make any cash distributions to the Company.</w:t>
      </w:r>
    </w:p>
    <w:p>
      <w:pPr>
        <w:spacing w:after="0" w:line="75"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43" w:lineRule="exact"/>
        <w:rPr>
          <w:sz w:val="20"/>
          <w:szCs w:val="20"/>
          <w:color w:val="auto"/>
        </w:rPr>
      </w:pPr>
    </w:p>
    <w:p>
      <w:pPr>
        <w:ind w:right="940"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2020, the Company had a net capital loss carryforward of $243.2 million to offset net capital gains. This net capital loss carryforward is not subject to expiration.</w:t>
      </w:r>
    </w:p>
    <w:p>
      <w:pPr>
        <w:spacing w:after="0" w:line="54"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The Company has certain taxable subsidiaries which have elected to be taxed as corporations for U.S. tax purposes. For the nine months ended September 30, 2020, the taxable subsidiaries’ activity did not result in a material provision for income taxes. As of September 30, 2020 and December 31, 2019, $158 thousand of refundable AMT tax credits receivable was included as an asset on the consolidated balance sheets. The taxable subsidiaries have, in aggregate, approximately $23.2 million of deferred tax assets (primarily due to net operating loss and capital loss carryovers) and approximately $741 thousand of deferred tax liabilities (primarily due to unrealized appreciation on investments). The Company has assessed the realizability of the deferred tax assets and recorded a valuation allowance of approximately $22.4 million. A portion of the taxable subsidiaries’ net operating loss and capital loss carryovers are subject to an annual use limitation under the Code and related regulations.</w:t>
      </w:r>
    </w:p>
    <w:p>
      <w:pPr>
        <w:spacing w:after="0" w:line="16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50"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2020 and December 31, 2019, the Company had $26.5 million and $31.9 million outstanding commitments, respectively. However,</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September 30, 2020 only $2.4 million of our Debt Securities Portfolio is subject to a unilateral draw right by the borrower and the remaining commitments are subject to certain restrictions such as borrowing base, use of proceeds or leverage that must be satisfied before a borrower can draw down on the commitment.</w:t>
      </w:r>
    </w:p>
    <w:p>
      <w:pPr>
        <w:spacing w:after="0" w:line="14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September 30, 2020 and December 31, 2019, the Company had a $19.9 million and $26.3 million, respectively unfunded commitment to the BCP Great Lakes Partnership, subject to the limitations noted above. However, at September 30, 2020 our funding commitment was limited to approximately $4.9 million pursuant to the limitations described above.</w:t>
      </w:r>
    </w:p>
    <w:p>
      <w:pPr>
        <w:spacing w:after="0" w:line="15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Company undertook the commitments under a lease obligation for its former office space. Such obligation was previously with Katonah Debt Advisors. The lease was terminated on November 1, 2019. During 2018, the Company and the Asset Manager Affiliates shared the cost of such lease pursuant to an Overhead Allocation agreement. The Company’s portion of rent expense was approximately $138 thousand for the three months ended September 30, 2019. The Company’s portion of rent expense was approximately $491 thousand for the nine months ended September 30, 2019.</w:t>
      </w:r>
    </w:p>
    <w:p>
      <w:pPr>
        <w:spacing w:after="0" w:line="143" w:lineRule="exact"/>
        <w:rPr>
          <w:sz w:val="20"/>
          <w:szCs w:val="20"/>
          <w:color w:val="auto"/>
        </w:rPr>
      </w:pPr>
    </w:p>
    <w:p>
      <w:pPr>
        <w:ind w:right="660" w:firstLine="374"/>
        <w:spacing w:after="0" w:line="282" w:lineRule="auto"/>
        <w:rPr>
          <w:sz w:val="20"/>
          <w:szCs w:val="20"/>
          <w:color w:val="auto"/>
        </w:rPr>
      </w:pPr>
      <w:r>
        <w:rPr>
          <w:rFonts w:ascii="Times New Roman" w:cs="Times New Roman" w:eastAsia="Times New Roman" w:hAnsi="Times New Roman"/>
          <w:sz w:val="18"/>
          <w:szCs w:val="18"/>
          <w:color w:val="auto"/>
        </w:rPr>
        <w:t>Effective January 1, 2019, the Company adopted ASU 2016-02, “Leases (Topic 842)”. The right-of-use asset and lease liability related to the Company’s office lease were recognized at lease commencement by calculating the present value of lease payments 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lease term. The discount rate used in determining the lease liability was the Company’s estimated incremental borrowing rate of 6.03%. In calculating the initial operating lease liability, the effect of the discounting was approximately $626 thousand. The lease agreement had an expiration date of May 31, 2024.</w:t>
      </w:r>
    </w:p>
    <w:p>
      <w:pPr>
        <w:spacing w:after="0" w:line="68"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impairment charge was measured using a discounted cash flow analysis and recognized in the statement of operations during the second quarter of 2019 as a result of the Company’s estimated impact of entering into a sublease.</w:t>
      </w:r>
    </w:p>
    <w:p>
      <w:pPr>
        <w:spacing w:after="0" w:line="368"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details the components of Stockholders’ Equity for the nine months ended September 30, 2020 and 2019: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100" w:type="dxa"/>
            <w:vAlign w:val="bottom"/>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of Par Value</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(loss) earnings</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January 1, 2020</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448,297</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451,353,379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(299,603,106)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152,198,570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2,765,790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2,765,790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(894,041)</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(894,041)</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(30,924,682)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(30,924,682)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(2,689,779)</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(2,689,779)</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Stock-repurchase</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(1,215)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(122,114)</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(123,330)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March 31,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vMerge w:val="continue"/>
          </w:tcPr>
          <w:p>
            <w:pPr>
              <w:spacing w:after="0"/>
              <w:rPr>
                <w:sz w:val="17"/>
                <w:szCs w:val="17"/>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447,259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451,268,171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(331,345,818)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120,369,612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Net investment income</w:t>
            </w: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2,599,906</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2,599,906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(881,151)</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(881,151)</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1,564,939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1,564,939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(2,683,782)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(2,683,782)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27,894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Stock-repurchase</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(281,456)</w:t>
            </w: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(283,995)</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June 30,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444,952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451,014,609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(330,745,906)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120,713,655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2,697,050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2,697,050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(1,890,090)</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(1,890,090)</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7,511,713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7,511,713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(2,669,713)</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(2,669,713)</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Stock-repurchase</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(3,589)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(451,958)</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(455,547)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September 30,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80" w:type="dxa"/>
            <w:vAlign w:val="bottom"/>
            <w:vMerge w:val="continue"/>
          </w:tcPr>
          <w:p>
            <w:pPr>
              <w:spacing w:after="0"/>
              <w:rPr>
                <w:sz w:val="13"/>
                <w:szCs w:val="13"/>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441,691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450,601,352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(325,096,947)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125,946,098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100" w:type="dxa"/>
            <w:vAlign w:val="bottom"/>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January 1, 2019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of Par Value</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(loss) earnings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373,268</w:t>
            </w:r>
          </w:p>
        </w:tc>
        <w:tc>
          <w:tcPr>
            <w:tcW w:w="1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306,784,387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(149,136,644)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158,021,011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investment loss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(2,195,187)</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(2,195,187)</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(13,349,430)</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(13,349,430)</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4,627,045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4,627,045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(3,732,836)</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(3,732,836)</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56,334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259,042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March 31, 2019</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373,317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307,099,763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(163,787,052)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143,686,028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879,740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879,740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(2,270,962)</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(2,270,962)</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542,900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(3,733,415)</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(3,733,415)</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Balance, June 30, 2019</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307,172,819</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(168,368,789)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139,177,591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Net investment income (loss)</w:t>
            </w: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2,242,433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2,242,433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(losses) from investment transactions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(1,176,073)</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(1,176,073)</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Realized loss from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(5,317,142)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(5,317,142)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(2,241,522)</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(2,241,522)</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 withheld for payroll taxes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September 30, 2019</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373,719</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307,210,386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(174,861,093)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132,723,012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87"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repurchased 358,959 and 734,403 shares, respectively, under the Stock Repurchase Program in open market transactions at an aggregate cost of approximately $456 thousand and $863 thousand, respectively.</w:t>
      </w:r>
    </w:p>
    <w:p>
      <w:pPr>
        <w:spacing w:after="0" w:line="162" w:lineRule="exact"/>
        <w:rPr>
          <w:sz w:val="20"/>
          <w:szCs w:val="20"/>
          <w:color w:val="auto"/>
        </w:rPr>
      </w:pPr>
    </w:p>
    <w:p>
      <w:pPr>
        <w:ind w:right="20" w:firstLine="374"/>
        <w:spacing w:after="0" w:line="277" w:lineRule="auto"/>
        <w:rPr>
          <w:sz w:val="20"/>
          <w:szCs w:val="20"/>
          <w:color w:val="auto"/>
        </w:rPr>
      </w:pPr>
      <w:r>
        <w:rPr>
          <w:rFonts w:ascii="Times New Roman" w:cs="Times New Roman" w:eastAsia="Times New Roman" w:hAnsi="Times New Roman"/>
          <w:sz w:val="17"/>
          <w:szCs w:val="17"/>
          <w:color w:val="auto"/>
        </w:rPr>
        <w:t>During the three months ended September 30, 2020 and 2019, the Company issued 32,798 and 15,851 shares, respectively, of common stock under its dividend reinvestment plan. During the nine months ended September 30, 2020 and 2019, the Company issued 73,787 and 55,637 shares, respectively, of common stock under its dividend reinvestment plan. For the nine months ended September 30, 2020 and 2019, there were no grants of restricted stock. For the nine months ended September 30, 2019, 10,571 shares of restricted stock were forfeited, and 113,382 shares of restricted stock vested. The total number of shares of the Company’s common stock outstanding as of September 30, 2020 and December 31, 2019 was 44,169,060 and 44,829,676,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COMPENSATION PLANS</w:t>
      </w:r>
    </w:p>
    <w:p>
      <w:pPr>
        <w:spacing w:after="0" w:line="18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62" w:name="page63"/>
    <w:bookmarkEnd w:id="62"/>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with respect to options granted, exercised and forfeited under the Equity Incentive Plan for the period January 1, 2019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Value</w:t>
            </w:r>
            <w:r>
              <w:rPr>
                <w:rFonts w:ascii="Times New Roman" w:cs="Times New Roman" w:eastAsia="Times New Roman" w:hAnsi="Times New Roman"/>
                <w:sz w:val="15"/>
                <w:szCs w:val="15"/>
                <w:b w:val="1"/>
                <w:bCs w:val="1"/>
                <w:color w:val="auto"/>
                <w:w w:val="95"/>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vested at September 30, 2019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difference between the market value of shares of the Company on March 31, 2019 and the exercise price of the options.</w:t>
      </w:r>
    </w:p>
    <w:p>
      <w:pPr>
        <w:spacing w:after="0" w:line="185"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The Company uses a Binary Option Pricing Model (American, call option) to establish the expected value of all stock option grants. For the three months ended March 31,2019, the Company did not recognize any non-cash compensation expense related to stock options. At September 30, 2020, the Company had no remaining compensation costs related to unvested stock based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Awards of restricted stock granted under the Non-Employee Director Plan vest as follows: 50% of the shares vest on the grant date and the remaining 50% of the shares vest on the earlier of:</w:t>
      </w:r>
    </w:p>
    <w:p>
      <w:pPr>
        <w:spacing w:after="0" w:line="121" w:lineRule="exact"/>
        <w:rPr>
          <w:sz w:val="20"/>
          <w:szCs w:val="20"/>
          <w:color w:val="auto"/>
        </w:rPr>
      </w:pPr>
    </w:p>
    <w:p>
      <w:pPr>
        <w:ind w:left="600" w:hanging="218"/>
        <w:spacing w:after="0"/>
        <w:tabs>
          <w:tab w:leader="none" w:pos="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such grant, or</w:t>
      </w:r>
    </w:p>
    <w:p>
      <w:pPr>
        <w:spacing w:after="0" w:line="184"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immediately preceding the next annual meeting of shareholders.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May 3, 2018, 6,000 shares of restricted stock were awarded to the Company’s Board.</w:t>
      </w:r>
    </w:p>
    <w:p>
      <w:pPr>
        <w:spacing w:after="0" w:line="18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35"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53" w:lineRule="exact"/>
        <w:rPr>
          <w:sz w:val="20"/>
          <w:szCs w:val="20"/>
          <w:color w:val="auto"/>
        </w:rPr>
      </w:pPr>
    </w:p>
    <w:p>
      <w:pPr>
        <w:jc w:val="both"/>
        <w:ind w:right="180" w:firstLine="374"/>
        <w:spacing w:after="0" w:line="266" w:lineRule="auto"/>
        <w:rPr>
          <w:sz w:val="20"/>
          <w:szCs w:val="20"/>
          <w:color w:val="auto"/>
        </w:rPr>
      </w:pPr>
      <w:r>
        <w:rPr>
          <w:rFonts w:ascii="Times New Roman" w:cs="Times New Roman" w:eastAsia="Times New Roman" w:hAnsi="Times New Roman"/>
          <w:sz w:val="18"/>
          <w:szCs w:val="18"/>
          <w:color w:val="auto"/>
        </w:rPr>
        <w:t>On June 23, 2015, the Company’s Board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3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On September 19, 2017, the Company’s Board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Immediately prior to the Closing, 110,382 shares of restricted stock outstanding and not previously forfeited under the Equity Incentive Plan and the</w:t>
      </w:r>
    </w:p>
    <w:p>
      <w:pPr>
        <w:spacing w:after="0" w:line="27"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Information with respect to restricted stock granted, exercised and forfeited under the Plan for the period January 1, 2019 through September 30, 2019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38"/>
        </w:trPr>
        <w:tc>
          <w:tcPr>
            <w:tcW w:w="89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shares outstanding at January 1, 2019</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(113,382)</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(10,571)</w:t>
            </w:r>
          </w:p>
        </w:tc>
      </w:tr>
      <w:tr>
        <w:trPr>
          <w:trHeight w:val="223"/>
        </w:trPr>
        <w:tc>
          <w:tcPr>
            <w:tcW w:w="8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Outstanding at September 30,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non-cash compensation expense related to restricted stock was approximately $0 and $259,000.</w:t>
      </w:r>
    </w:p>
    <w:p>
      <w:pPr>
        <w:spacing w:after="0" w:line="13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Distributions are paid on all outstanding shares of restricted stock, whether or not vested. In general, shares of unvested restricted stock were forfeited upon the recipient’s termination of employment.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EMPLOYEE COMPENSATION</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was expensed during the three and nine months ended September 30, 2019, respectively, related to the 401K Plan. This Plan was terminated effective March 31, 2019.</w:t>
      </w:r>
    </w:p>
    <w:p>
      <w:pPr>
        <w:spacing w:after="0" w:line="1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Company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during the three and nine months ended September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ACQUISITION OF OHA INVESTMENT CORPORATION</w:t>
      </w:r>
    </w:p>
    <w:p>
      <w:pPr>
        <w:spacing w:after="0" w:line="108"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ind w:firstLine="374"/>
        <w:spacing w:after="0" w:line="253" w:lineRule="auto"/>
        <w:rPr>
          <w:sz w:val="20"/>
          <w:szCs w:val="20"/>
          <w:color w:val="auto"/>
        </w:rPr>
      </w:pPr>
      <w:r>
        <w:rPr>
          <w:rFonts w:ascii="Times New Roman" w:cs="Times New Roman" w:eastAsia="Times New Roman" w:hAnsi="Times New Roman"/>
          <w:sz w:val="18"/>
          <w:szCs w:val="18"/>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Common stock issued by the Company </w:t>
            </w:r>
            <w:r>
              <w:rPr>
                <w:rFonts w:ascii="Times New Roman" w:cs="Times New Roman" w:eastAsia="Times New Roman" w:hAnsi="Times New Roman"/>
                <w:sz w:val="15"/>
                <w:szCs w:val="15"/>
                <w:color w:val="auto"/>
              </w:rPr>
              <w:t>(1)</w:t>
            </w: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consideration to OHAI shareholders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27,911,173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380" w:right="360" w:hanging="372"/>
        <w:spacing w:after="0" w:line="298" w:lineRule="auto"/>
        <w:tabs>
          <w:tab w:leader="none" w:pos="3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market price at closing of $2.09 as of December 18, 2019 and the 7,439,559 shares of common stock issued by the Company in conjunction with the merger.</w:t>
      </w:r>
    </w:p>
    <w:p>
      <w:pPr>
        <w:spacing w:after="0" w:line="56" w:lineRule="exact"/>
        <w:rPr>
          <w:rFonts w:ascii="Times New Roman" w:cs="Times New Roman" w:eastAsia="Times New Roman" w:hAnsi="Times New Roman"/>
          <w:sz w:val="16"/>
          <w:szCs w:val="16"/>
          <w:color w:val="auto"/>
        </w:rPr>
      </w:pPr>
    </w:p>
    <w:p>
      <w:pPr>
        <w:ind w:left="380" w:right="360" w:hanging="372"/>
        <w:spacing w:after="0" w:line="298" w:lineRule="auto"/>
        <w:tabs>
          <w:tab w:leader="none" w:pos="3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$8.5 million cash consideration paid by the Company plus $3.0 million cash payment paid at closing directly to shareholders of OHAI from Sierra Crest and LibreMax.</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08" w:lineRule="exact"/>
        <w:rPr>
          <w:sz w:val="20"/>
          <w:szCs w:val="20"/>
          <w:color w:val="auto"/>
        </w:rPr>
      </w:pPr>
    </w:p>
    <w:p>
      <w:pPr>
        <w:ind w:right="340" w:firstLine="374"/>
        <w:spacing w:after="0" w:line="312" w:lineRule="auto"/>
        <w:rPr>
          <w:sz w:val="20"/>
          <w:szCs w:val="20"/>
          <w:color w:val="auto"/>
        </w:rPr>
      </w:pPr>
      <w:r>
        <w:rPr>
          <w:rFonts w:ascii="Times New Roman" w:cs="Times New Roman" w:eastAsia="Times New Roman" w:hAnsi="Times New Roman"/>
          <w:sz w:val="17"/>
          <w:szCs w:val="17"/>
          <w:color w:val="auto"/>
        </w:rPr>
        <w:t>On October 16, 2020, the Board of Directors of the Company declared a cash distribution of $0.06 per share of common stock, consistent with the current dividend policy. The distribution is payable on November 27, 2020 to shareholders of record at the close of business as of October 26, 2020.</w:t>
      </w:r>
    </w:p>
    <w:p>
      <w:pPr>
        <w:spacing w:after="0" w:line="11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367"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On October, 26, 2020, the Board unanimously expanded the size of the Board from 7 to 9 members and, pursuant to the terms of the GARS Merger Agreement, Matthew Westwood and Joseph Morea (each of whom previously served as a member of the board of directors of GARS) were appointed to the Board to fill the vacancies created by such expansion, with each to hold office until his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successor is elected and qualified, effective as of immediately after the closing of the transactions contemplated by the GARS Merger Agreement.</w:t>
      </w:r>
    </w:p>
    <w:p>
      <w:pPr>
        <w:spacing w:after="0" w:line="22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occurring subsequent to September 30, 2020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6" w:name="page67"/>
    <w:bookmarkEnd w:id="66"/>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2019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We are an externally managed, non-diversified closed-end investment company that has elected to be regulated as a BDC under the 1940 Act. Sierra Crest Investment Management LLC (the “Adviser”) is an affiliate of BC Partners LLP, (“BC Partners”) and LibreMax Intermediate Holdings, LP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4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7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7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10% of the total distribution, for distributions declared on or before December 31, 2020, and after that, at least 20% of the aggregate declared distribution.</w:t>
      </w:r>
    </w:p>
    <w:p>
      <w:pPr>
        <w:spacing w:after="0" w:line="80"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Externalization Agreement</w:t>
      </w:r>
    </w:p>
    <w:p>
      <w:pPr>
        <w:spacing w:after="0" w:line="121"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w:t>
      </w:r>
    </w:p>
    <w:p>
      <w:pPr>
        <w:spacing w:after="0" w:line="6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84"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231F20"/>
        </w:rPr>
        <w:t>On the date of the Closing, we changed our name from KCAP Financial, Inc. to Portman Ridge Finance Corporation and on April 2, 2019, began trading on the NASDAQ Global Select Market under the symbol “PTMN.”</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OHAI Transaction</w:t>
      </w:r>
    </w:p>
    <w:p>
      <w:pPr>
        <w:spacing w:after="0" w:line="12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231F20"/>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we issued an aggregate of 7,439,559 shares of our common stock to former OHAI stockholders (approximately 16.6% of the Company’s outstanding shares at December 31, 2019).</w:t>
      </w:r>
    </w:p>
    <w:p>
      <w:pPr>
        <w:spacing w:after="0" w:line="8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231F20"/>
        </w:rPr>
        <w:t>Pursuant to the merger agreement, if at any time within one year after the closing date of the transaction our common stock is trading at a price below 75% of its net asset value, we will initiate an open-market stock repurchase of up to $10 million to support the trading price of the combined entity for up to one year from the date such program is announced. Our board approved a repurchase program on March 5, 2020. See “Item 2. Unregistered Sales of Equity Securities and Use of Proceeds.”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8" w:name="page69"/>
    <w:bookmarkEnd w:id="68"/>
    <w:p>
      <w:pPr>
        <w:ind w:right="20" w:firstLine="374"/>
        <w:spacing w:after="0" w:line="254" w:lineRule="auto"/>
        <w:rPr>
          <w:sz w:val="20"/>
          <w:szCs w:val="20"/>
          <w:color w:val="auto"/>
        </w:rPr>
      </w:pPr>
      <w:r>
        <w:rPr>
          <w:rFonts w:ascii="Times New Roman" w:cs="Times New Roman" w:eastAsia="Times New Roman" w:hAnsi="Times New Roman"/>
          <w:sz w:val="18"/>
          <w:szCs w:val="18"/>
          <w:color w:val="231F20"/>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Immediately following the acquisition of OHAI, we recorded OHAI’s net assets at their respective fair values and, as a result, the purchase discount was allocated to the cost basis of the OHAI investments acquired and was immediately recognized as unrealized gain on our Consolidated Statement of Operations. The purchase discount was allocated to the acquired investments on a relative fair value basis and, for debt securities, will generally amortize over the life of the investments through interest income with a corresponding reversal of the unrealized appreciation on the OHAI investments acquired through their maturity. Upon the sale of any of the OHAI acquired investments, we will recognize a realized gain or a reduction in realized losses with a corresponding reversal of the unrealized losses.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Common stock issued by the Company </w:t>
            </w:r>
            <w:r>
              <w:rPr>
                <w:rFonts w:ascii="Times New Roman" w:cs="Times New Roman" w:eastAsia="Times New Roman" w:hAnsi="Times New Roman"/>
                <w:sz w:val="15"/>
                <w:szCs w:val="15"/>
                <w:color w:val="auto"/>
              </w:rPr>
              <w:t>(1)</w:t>
            </w: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consideration to OHAI shareholders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27,911,173</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60,547,193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592,329</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61,854,684</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380" w:right="360" w:hanging="372"/>
        <w:spacing w:after="0" w:line="298" w:lineRule="auto"/>
        <w:tabs>
          <w:tab w:leader="none" w:pos="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market price at closing of $2.09 as of December 18, 2019 and the 7,439,559 shares of common stock issued by the Company in conjunction with the merger.</w:t>
      </w:r>
    </w:p>
    <w:p>
      <w:pPr>
        <w:spacing w:after="0" w:line="56" w:lineRule="exact"/>
        <w:rPr>
          <w:rFonts w:ascii="Times New Roman" w:cs="Times New Roman" w:eastAsia="Times New Roman" w:hAnsi="Times New Roman"/>
          <w:sz w:val="16"/>
          <w:szCs w:val="16"/>
          <w:color w:val="auto"/>
        </w:rPr>
      </w:pPr>
    </w:p>
    <w:p>
      <w:pPr>
        <w:ind w:left="380" w:right="360" w:hanging="372"/>
        <w:spacing w:after="0" w:line="298" w:lineRule="auto"/>
        <w:tabs>
          <w:tab w:leader="none" w:pos="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$8.5 million cash consideration paid by the Company plus $3.0 million cash payment paid at closing directly to shareholders of OHAI from Sierra Crest and LibreMax.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Developments</w:t>
      </w:r>
    </w:p>
    <w:p>
      <w:pPr>
        <w:spacing w:after="0" w:line="337" w:lineRule="exact"/>
        <w:rPr>
          <w:sz w:val="20"/>
          <w:szCs w:val="20"/>
          <w:color w:val="auto"/>
        </w:rPr>
      </w:pPr>
    </w:p>
    <w:p>
      <w:pPr>
        <w:ind w:right="100" w:firstLine="499"/>
        <w:spacing w:after="0" w:line="256" w:lineRule="auto"/>
        <w:rPr>
          <w:sz w:val="20"/>
          <w:szCs w:val="20"/>
          <w:color w:val="auto"/>
        </w:rPr>
      </w:pPr>
      <w:r>
        <w:rPr>
          <w:rFonts w:ascii="Times New Roman" w:cs="Times New Roman" w:eastAsia="Times New Roman" w:hAnsi="Times New Roman"/>
          <w:sz w:val="18"/>
          <w:szCs w:val="18"/>
          <w:color w:val="auto"/>
        </w:rPr>
        <w:t>The spread of the novel coronavirus and the COVID-19 pandemic, and the related effect on the U.S. and global economies, has had adverse consequences for the business operations of some of our portfolio companies and has adversely affected, and threatens to continue to adversely affect, our operations and the operations of the Adviser. The Adviser has taken proactive steps around COVID-19 to address the potential impacts on its employees and clients, including shifting to a 100% remote-working model. While we have been carefully monitoring the COVID-19 pandemic and its impact on our business and the businesses of our portfolio companies, we have continued to fund our existing debt commitments and underwrite both follow-on investments in existing borrowers and investments in new borrowers.</w:t>
      </w:r>
    </w:p>
    <w:p>
      <w:pPr>
        <w:spacing w:after="0" w:line="79" w:lineRule="exact"/>
        <w:rPr>
          <w:sz w:val="20"/>
          <w:szCs w:val="20"/>
          <w:color w:val="auto"/>
        </w:rPr>
      </w:pPr>
    </w:p>
    <w:p>
      <w:pPr>
        <w:ind w:right="60" w:firstLine="499"/>
        <w:spacing w:after="0" w:line="253" w:lineRule="auto"/>
        <w:rPr>
          <w:sz w:val="20"/>
          <w:szCs w:val="20"/>
          <w:color w:val="auto"/>
        </w:rPr>
      </w:pPr>
      <w:r>
        <w:rPr>
          <w:rFonts w:ascii="Times New Roman" w:cs="Times New Roman" w:eastAsia="Times New Roman" w:hAnsi="Times New Roman"/>
          <w:sz w:val="18"/>
          <w:szCs w:val="18"/>
          <w:color w:val="auto"/>
        </w:rPr>
        <w:t>We cannot predict the full impact of the COVID-19 pandemic, including its duration in the United States and worldwide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supply-chain disruptions, the extent to which COVID-19 will negatively affect our portfolio companies’ operating results or the impact that such disruptions may have on our results of operations and financial condition. Depending on the duration and extent of the disruption to the operations of our portfolio companies, we expect that certain portfolio companies will experience financial distress and possibly default on their financial obligations to us and their other capital providers. It is possible that some of our portfolio companies may significantly curtail business operations, furlough or lay off employees and terminate service providers, and defer capital expenditures if subjected to prolonged and severe financial distress, which would likely impair their business on a permanent basis. These developments would likely result in a decrease in the value of our investment in any such portfolio company.</w:t>
      </w:r>
    </w:p>
    <w:p>
      <w:pPr>
        <w:spacing w:after="0" w:line="86" w:lineRule="exact"/>
        <w:rPr>
          <w:sz w:val="20"/>
          <w:szCs w:val="20"/>
          <w:color w:val="auto"/>
        </w:rPr>
      </w:pPr>
    </w:p>
    <w:p>
      <w:pPr>
        <w:jc w:val="both"/>
        <w:ind w:right="460" w:firstLine="499"/>
        <w:spacing w:after="0" w:line="266" w:lineRule="auto"/>
        <w:rPr>
          <w:sz w:val="20"/>
          <w:szCs w:val="20"/>
          <w:color w:val="auto"/>
        </w:rPr>
      </w:pPr>
      <w:r>
        <w:rPr>
          <w:rFonts w:ascii="Times New Roman" w:cs="Times New Roman" w:eastAsia="Times New Roman" w:hAnsi="Times New Roman"/>
          <w:sz w:val="18"/>
          <w:szCs w:val="18"/>
          <w:color w:val="auto"/>
        </w:rPr>
        <w:t>In this regard, the pandemic and the resulting economic dislocations have had adverse consequences for the business operations of some of the Company’s portfolio companies and CLO Fund investments and have adversely affected, and threaten to continue to adversely affect, the Company’s operations, particularly with respect to interest income received from our investments. We may need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ind w:right="140"/>
        <w:spacing w:after="0" w:line="282" w:lineRule="auto"/>
        <w:rPr>
          <w:sz w:val="20"/>
          <w:szCs w:val="20"/>
          <w:color w:val="auto"/>
        </w:rPr>
      </w:pPr>
      <w:r>
        <w:rPr>
          <w:rFonts w:ascii="Times New Roman" w:cs="Times New Roman" w:eastAsia="Times New Roman" w:hAnsi="Times New Roman"/>
          <w:sz w:val="18"/>
          <w:szCs w:val="18"/>
          <w:color w:val="auto"/>
        </w:rPr>
        <w:t>to restructure our investments in some of our portfolio companies, which could result in reduced interest payments, an increase in the amount of payment-in-kind (“PIK”) interest we receive, or result in permanent impairments on our investments.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the event that a CLO Fund fails certain tests, holders of debt senior to us may be entitled to additional payments that would, in turn, reduce the payments we would otherwise be entitled to receive. In this regard,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and amount of future distributions, if any, from these CLO Fund Securities is uncertain. It is also possible, based upon current economic conditions resulting from the COVID-19 pandemic, that additional CLO Fund Securities owned by the Company, and including the subordinated securities issued by Great Lakes KCAP F3C Senior LLC CLO, which are owned by the KCAP Freedom 3 Joint Venture, could also cease making distributions to the Company. Separately, the Company may incur expenses to the extent necessary to seek recovery upon default or to negotiate new terms with a defaulting CLO Fund or any other investment we may make. If any of these occur, it could materially and adversely affect our operating results and cash flows.</w:t>
      </w:r>
    </w:p>
    <w:p>
      <w:pPr>
        <w:spacing w:after="0" w:line="200" w:lineRule="exact"/>
        <w:rPr>
          <w:sz w:val="20"/>
          <w:szCs w:val="20"/>
          <w:color w:val="auto"/>
        </w:rPr>
      </w:pPr>
    </w:p>
    <w:p>
      <w:pPr>
        <w:spacing w:after="0" w:line="204" w:lineRule="exact"/>
        <w:rPr>
          <w:sz w:val="20"/>
          <w:szCs w:val="20"/>
          <w:color w:val="auto"/>
        </w:rPr>
      </w:pPr>
    </w:p>
    <w:p>
      <w:pPr>
        <w:ind w:right="80" w:firstLine="499"/>
        <w:spacing w:after="0" w:line="254" w:lineRule="auto"/>
        <w:rPr>
          <w:sz w:val="20"/>
          <w:szCs w:val="20"/>
          <w:color w:val="auto"/>
        </w:rPr>
      </w:pPr>
      <w:r>
        <w:rPr>
          <w:rFonts w:ascii="Times New Roman" w:cs="Times New Roman" w:eastAsia="Times New Roman" w:hAnsi="Times New Roman"/>
          <w:sz w:val="18"/>
          <w:szCs w:val="18"/>
          <w:color w:val="auto"/>
        </w:rPr>
        <w:t>We have had a significant reduction in our net asset value since December 31, 2019 which is primarily the result of the impact of the COVID-19 pandemic. The decrease in net asset value as of September 30, 2020 primarily resulted from an increase in the aggregate unrealized depreciation of our investment portfolio resulting from decreases in the fair value of some of our portfolio company investments primarily due to the immediate adverse economic effects of the COVID-19 pandemic and the continuing uncertainty surrounding its long-term impact, as well as the re-pricing of credit risk in the market.</w:t>
      </w:r>
    </w:p>
    <w:p>
      <w:pPr>
        <w:spacing w:after="0" w:line="3" w:lineRule="exact"/>
        <w:rPr>
          <w:sz w:val="20"/>
          <w:szCs w:val="20"/>
          <w:color w:val="auto"/>
        </w:rPr>
      </w:pPr>
    </w:p>
    <w:p>
      <w:pPr>
        <w:ind w:right="60" w:firstLine="499"/>
        <w:spacing w:after="0" w:line="250" w:lineRule="auto"/>
        <w:rPr>
          <w:sz w:val="20"/>
          <w:szCs w:val="20"/>
          <w:color w:val="auto"/>
        </w:rPr>
      </w:pPr>
      <w:r>
        <w:rPr>
          <w:rFonts w:ascii="Times New Roman" w:cs="Times New Roman" w:eastAsia="Times New Roman" w:hAnsi="Times New Roman"/>
          <w:sz w:val="18"/>
          <w:szCs w:val="18"/>
          <w:color w:val="auto"/>
        </w:rPr>
        <w:t>We are permitted under the 1940 Act, as a BDC, to borrow amounts such that our asset coverage, as defined in the 1940 Act, equals at least 150% after such borrowing. In addition, our and our wholly-owned subsidiary’s outstanding borrowings contain affirmative and negative covenants, including, in the case of us, compliance with certain provisions of the 1940 Act relating to borrowing and dividends, and events of default. As of September 30, 2020, we were in compliance with our asset coverage requirements under the 1940 Act and we and our wholly-owned subsidiary were in compliance with all of the covenants pertaining to all of our borrowings. However, any continued increase in unrealized depreciation of our investment portfolio or further significant reductions in our net asset value as a result of the effects of the COVID-19 pandemic increases the risk of breaching the relevant covenants. If we or our wholly-owned subsidiary fail to satisfy the respective covenants of our borrowings, or are unable to cure any event of default or obtain a waiver, it could result in foreclosure under the borrowing arrangement, which would accelerate our repayment obligations under the borrowing arrangement and thereby have a material adverse effect on our business, liquidity, financial condition, results of operations and ability to pay distributions to our stockholders. See “Item 1A - “Risk Factors - Risks Relating to our Business and Structure” included in our most recent Annual Report on Form 10-K and the other risk factors contained therein and in our subsequent filings with the SEC, including this Quarterly Report on Form 10-Q.</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Garrison Capital Inc.</w:t>
      </w:r>
    </w:p>
    <w:p>
      <w:pPr>
        <w:spacing w:after="0" w:line="2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On June 24, 2020, the Company entered into a merger agreement (the “GARS Merger Agreement”) with Garrison Capital Inc., a publicly traded BDC (“GARS”), the Adviser and a wholly-owned merger subsidiary of the Company (such transaction, the “GARS Acquisition”). The board of directors of both companies each unanimously approved the GARS Acquisition and on October 19, 2020 GARS’s stockholders approved the merger and our stockholders approved the issuance of shares of our common stock to GARS’s stockholders. The GARS Acquisition closed on October 28, 2020. See “Recent Developments” for more information on the GARS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0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35"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Total portfolio investment activity (excluding activity in short-term investments) for the nine months ended September 30, 2020 (unaudited) and for the year ended December 31, 2019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CLO Fund</w:t>
            </w:r>
          </w:p>
        </w:tc>
        <w:tc>
          <w:tcPr>
            <w:tcW w:w="16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Manager</w:t>
            </w:r>
          </w:p>
        </w:tc>
        <w:tc>
          <w:tcPr>
            <w:tcW w:w="18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Joint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Affiliates</w:t>
            </w:r>
          </w:p>
        </w:tc>
        <w:tc>
          <w:tcPr>
            <w:tcW w:w="1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Ventures</w:t>
            </w:r>
          </w:p>
        </w:tc>
        <w:tc>
          <w:tcPr>
            <w:tcW w:w="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0" w:type="dxa"/>
            <w:vAlign w:val="bottom"/>
          </w:tcPr>
          <w:p>
            <w:pPr>
              <w:spacing w:after="0"/>
              <w:rPr>
                <w:sz w:val="1"/>
                <w:szCs w:val="1"/>
                <w:color w:val="auto"/>
              </w:rPr>
            </w:pPr>
          </w:p>
        </w:tc>
      </w:tr>
      <w:tr>
        <w:trPr>
          <w:trHeight w:val="143"/>
        </w:trPr>
        <w:tc>
          <w:tcPr>
            <w:tcW w:w="22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Fair Value at December 31, 2018</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2019 Activity:</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147,861,744</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44,325,000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2,038,020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3,470,000</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30,857,107</w:t>
            </w:r>
          </w:p>
        </w:tc>
        <w:tc>
          <w:tcPr>
            <w:tcW w:w="1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228,551,871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164,680,210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15,857,536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195,534,855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(123,783,352)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(13,629,382)</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(371,222)</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(4,644,523)</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(142,428,478)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366,805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6,162,690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6,529,495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(8,841,780)</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(1,395,218)</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(1,912,048)</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(3,470,000)</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(15,619,046)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6,519,282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(3,494,888)</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(4,856,831)</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3,017,847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(64,046)</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Fair Value at December 31, 2019</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2020 Activity:</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186,802,908</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31,968,202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9,864,419</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45,087,967</w:t>
            </w:r>
          </w:p>
        </w:tc>
        <w:tc>
          <w:tcPr>
            <w:tcW w:w="1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(33,437)</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273,690,061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89,033,939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1,285,833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11,132,725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101,452,497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(65,660,739)</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(3,257,187)</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(669,215)</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(4,734,718)</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(976,968)</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(75,298,827)</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1,942,959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2,740,902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4,683,861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(3,607,532)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(1,189,287)</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976,968</w:t>
            </w:r>
          </w:p>
        </w:tc>
        <w:tc>
          <w:tcPr>
            <w:tcW w:w="1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(3,819,851)</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(3,945,277)</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(12,660,052)</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411,276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(4,654,363)</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(999,612)</w:t>
            </w:r>
          </w:p>
        </w:tc>
        <w:tc>
          <w:tcPr>
            <w:tcW w:w="1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(21,848,028)</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Fair Value at September 30, 2020</w:t>
            </w: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vMerge w:val="continue"/>
            <w:shd w:val="clear" w:color="auto" w:fill="CFF0FC"/>
          </w:tcPr>
          <w:p>
            <w:pPr>
              <w:spacing w:after="0"/>
              <w:rPr>
                <w:sz w:val="13"/>
                <w:szCs w:val="13"/>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204,566,258</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18,791,865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9,703,027</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46,831,611</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(1,033,048)</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278,859,713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Company’s portfolio by security type at September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125,335,848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124,413,259</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90,438,997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79,851,015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301,984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2,165,304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2,422,281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46,102,433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21,588,325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22,160,993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54,992,546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48,594,539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(1,033,048)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(33,437)</w:t>
            </w: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367,119,915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289,079,495</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334,089,559</w:t>
            </w:r>
          </w:p>
        </w:tc>
        <w:tc>
          <w:tcPr>
            <w:tcW w:w="12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277,897,166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total portfolio at fair value.</w:t>
      </w:r>
    </w:p>
    <w:p>
      <w:pPr>
        <w:spacing w:after="0" w:line="27"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industry concentrations, based on the fair value of the Company’s investment portfolio as of September 30, 2020 and December 31,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 2020 (Unaudited)</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Industry Classification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11,086,558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10,968,006</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Asset Management Company </w:t>
            </w:r>
            <w:r>
              <w:rPr>
                <w:rFonts w:ascii="Times New Roman" w:cs="Times New Roman" w:eastAsia="Times New Roman" w:hAnsi="Times New Roman"/>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5,489,838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5,365,075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5,504,508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6,544,615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5,373,704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4,679,345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4,332,793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3,813,344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7,899,181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7,470,650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3,247,453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3,312,838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46,102,433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46,618,717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6,107,095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5,061,758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2,558,619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2,511,372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12,741,666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13,122,150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12,511,345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10,735,186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3,337,511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12,522,303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4,919,950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3,954,140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3,601,839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3,998,816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3,924,947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13,919,257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13,068,713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9,353,548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9,136,345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51,378,854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44,449,977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42,461,467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33,637,136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17,211,273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16,404,753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18,816,125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17,481,155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54,992,546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48,594,539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4,166,658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4,202,371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4,614,647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4,567,266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2,729,186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2,584,357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2,887,230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1,209,583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1,180,977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Personal, Food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2,829,436</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Business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38,830,024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37,656,325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22,726,850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21,415,794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Services: Consumer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4,308,990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4,193,044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4,512,488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4,493,529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Telecommunication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6,321,342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6,037,400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8,751,454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8,164,050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Textiles and Leather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12,408,779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11,382,280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12,389,673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12,180,290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Transportation: Cargo</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6,627,019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6,869,121</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8,216,303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8,300,043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367,119,915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289,079,495</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334,089,559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277,897,166</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as a percentage of total portfolio at fair value.</w:t>
      </w:r>
    </w:p>
    <w:p>
      <w:pPr>
        <w:spacing w:after="0" w:line="26"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equity investment in the Asset Manager Affiliates.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Portfolio</w:t>
      </w:r>
    </w:p>
    <w:p>
      <w:pPr>
        <w:spacing w:after="0" w:line="18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At September 30, 2020 and December 31, 2019, the weighted average contractual interest rate on our loans and debt securities was approximately 8.3% and 10.9%, respectively. At September 30, 2020 and December 31, 2019, the weighted average contractual interest rate on our loans and debt securities, excluding non-accrual and partial non-accrual investments, and excluding CLO Fund Securities and Joint Ventures, was approximately 7.9% and 9.0%, respectively.</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investment portfolio (excluding our investments in the CLO Funds, Joint Ventures and short-term investments) at September 30, 2020 was spread across 23 different industries and 65 different entities with an average par balance per entity of approximately $3.5 million. As of September 30, 2020, eight of our investments were on non-accrual status. As of December 31, 2019, seven of our investments were on non-accrual status.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September 30, 2020 and December 31, 2019, the total amount of non-qualifying assets to total assets was approximately 22.7% and 25.3%, respectively. The majority of non-qualifying assets were foreign investments which were approximately 7.0% and 10.6%, respectively, of our total assets (including our investments in CLO Funds, which are typically domiciled outside the U.S. and represented approximately 6.3% and 10.6%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Manager Affiliates</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September 30, 2020, our Asset Manager Affiliates had approximately $300 million of par value of assets under management, for which management fees were waived and thus were deemed to have no value.</w:t>
      </w:r>
    </w:p>
    <w:p>
      <w:pPr>
        <w:spacing w:after="0" w:line="84"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72"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Although the investment in the Asset Manager Affiliates is deemed to have no value at September 30,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 Fund Securities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made minority investments in the subordinated securities or preferred shares of CLO Funds managed by the Disposed Manager Affiliates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selectively invest in securities issued by CLO Funds managed by other asset management companies. As of September 30, 2020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we had approximately $18.8 million and $32.0 million, respectively, invested in CLO Fund Securities, issued primarily by CLO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by the Disposed Manager Affiliates.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CLO Funds invest primarily in broadly syndicated non-investment grade loans, high-yield bonds and other credit instruments of corporate issuers.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assets in each of the CLO Fund Securities in which we have an investment are generally diversified secured or unsecured corporate debt.</w:t>
      </w:r>
    </w:p>
    <w:p>
      <w:pPr>
        <w:spacing w:after="0" w:line="99" w:lineRule="exact"/>
        <w:rPr>
          <w:sz w:val="20"/>
          <w:szCs w:val="20"/>
          <w:color w:val="auto"/>
        </w:rPr>
      </w:pPr>
    </w:p>
    <w:p>
      <w:pPr>
        <w:ind w:right="20" w:firstLine="499"/>
        <w:spacing w:after="0" w:line="253" w:lineRule="auto"/>
        <w:rPr>
          <w:sz w:val="20"/>
          <w:szCs w:val="20"/>
          <w:color w:val="auto"/>
        </w:rPr>
      </w:pPr>
      <w:r>
        <w:rPr>
          <w:rFonts w:ascii="Times New Roman" w:cs="Times New Roman" w:eastAsia="Times New Roman" w:hAnsi="Times New Roman"/>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 to the general risks associated with investing in debt securities, CLO Funds carry additional risks, including, but not limited to: (i) the 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 see “Risk Factors — Risks Related to Our Investments — Our investments may be risky, and you could lose all or part of your investment.” in Part I, “Item 1A. Risk Factors” in our Annual Report on Form 10-K for the year ended December 31, 2019.</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3" w:name="page74"/>
    <w:bookmarkEnd w:id="73"/>
    <w:p>
      <w:pPr>
        <w:ind w:left="380"/>
        <w:spacing w:after="0"/>
        <w:rPr>
          <w:sz w:val="20"/>
          <w:szCs w:val="20"/>
          <w:color w:val="auto"/>
        </w:rPr>
      </w:pPr>
      <w:r>
        <w:rPr>
          <w:rFonts w:ascii="Times New Roman" w:cs="Times New Roman" w:eastAsia="Times New Roman" w:hAnsi="Times New Roman"/>
          <w:sz w:val="18"/>
          <w:szCs w:val="18"/>
          <w:color w:val="auto"/>
        </w:rPr>
        <w:t>Our CLO Fund Securities as of September 30, 2020 and December 31, 2019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 2020(2)</w:t>
            </w: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2019</w:t>
            </w:r>
            <w:r>
              <w:rPr>
                <w:rFonts w:ascii="Times New Roman" w:cs="Times New Roman" w:eastAsia="Times New Roman" w:hAnsi="Times New Roman"/>
                <w:sz w:val="15"/>
                <w:szCs w:val="15"/>
                <w:b w:val="1"/>
                <w:bCs w:val="1"/>
                <w:color w:val="auto"/>
              </w:rPr>
              <w:t>(2)</w:t>
            </w:r>
          </w:p>
        </w:tc>
      </w:tr>
      <w:tr>
        <w:trPr>
          <w:trHeight w:val="201"/>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5"/>
        </w:trPr>
        <w:tc>
          <w:tcPr>
            <w:tcW w:w="32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Catamaran CLO 2013- 1 Ltd.</w:t>
            </w: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Subordinated</w:t>
            </w:r>
          </w:p>
        </w:tc>
        <w:tc>
          <w:tcPr>
            <w:tcW w:w="1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4"/>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6,076,766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2,709,871</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6,094,823</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5,025,536</w:t>
            </w:r>
          </w:p>
        </w:tc>
        <w:tc>
          <w:tcPr>
            <w:tcW w:w="120" w:type="dxa"/>
            <w:vAlign w:val="bottom"/>
            <w:shd w:val="clear" w:color="auto" w:fill="CFF0FC"/>
          </w:tcPr>
          <w:p>
            <w:pPr>
              <w:spacing w:after="0"/>
              <w:rPr>
                <w:sz w:val="20"/>
                <w:szCs w:val="20"/>
                <w:color w:val="auto"/>
              </w:rPr>
            </w:pPr>
          </w:p>
        </w:tc>
      </w:tr>
      <w:tr>
        <w:trPr>
          <w:trHeight w:val="211"/>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Catamaran CLO 2014-1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10,094,797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2,331,700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9,995,658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6,379,580</w:t>
            </w:r>
          </w:p>
        </w:tc>
        <w:tc>
          <w:tcPr>
            <w:tcW w:w="120" w:type="dxa"/>
            <w:vAlign w:val="bottom"/>
          </w:tcPr>
          <w:p>
            <w:pPr>
              <w:spacing w:after="0"/>
              <w:rPr>
                <w:sz w:val="20"/>
                <w:szCs w:val="20"/>
                <w:color w:val="auto"/>
              </w:rPr>
            </w:pPr>
          </w:p>
        </w:tc>
      </w:tr>
      <w:tr>
        <w:trPr>
          <w:trHeight w:val="211"/>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1,333,150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1,519,641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1,984,155</w:t>
            </w:r>
          </w:p>
        </w:tc>
        <w:tc>
          <w:tcPr>
            <w:tcW w:w="120" w:type="dxa"/>
            <w:vAlign w:val="bottom"/>
            <w:shd w:val="clear" w:color="auto" w:fill="CFF0FC"/>
          </w:tcPr>
          <w:p>
            <w:pPr>
              <w:spacing w:after="0"/>
              <w:rPr>
                <w:sz w:val="20"/>
                <w:szCs w:val="20"/>
                <w:color w:val="auto"/>
              </w:rPr>
            </w:pPr>
          </w:p>
        </w:tc>
      </w:tr>
      <w:tr>
        <w:trPr>
          <w:trHeight w:val="211"/>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Catamaran CLO 2014-2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6,065,598</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6,072,697</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1,139,032</w:t>
            </w:r>
          </w:p>
        </w:tc>
        <w:tc>
          <w:tcPr>
            <w:tcW w:w="120" w:type="dxa"/>
            <w:vAlign w:val="bottom"/>
          </w:tcPr>
          <w:p>
            <w:pPr>
              <w:spacing w:after="0"/>
              <w:rPr>
                <w:sz w:val="20"/>
                <w:szCs w:val="20"/>
                <w:color w:val="auto"/>
              </w:rPr>
            </w:pPr>
          </w:p>
        </w:tc>
      </w:tr>
      <w:tr>
        <w:trPr>
          <w:trHeight w:val="211"/>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4,133,076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1,552,452</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4,088,504</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2,514,130</w:t>
            </w:r>
          </w:p>
        </w:tc>
        <w:tc>
          <w:tcPr>
            <w:tcW w:w="120" w:type="dxa"/>
            <w:vAlign w:val="bottom"/>
            <w:shd w:val="clear" w:color="auto" w:fill="CFF0FC"/>
          </w:tcPr>
          <w:p>
            <w:pPr>
              <w:spacing w:after="0"/>
              <w:rPr>
                <w:sz w:val="20"/>
                <w:szCs w:val="20"/>
                <w:color w:val="auto"/>
              </w:rPr>
            </w:pPr>
          </w:p>
        </w:tc>
      </w:tr>
      <w:tr>
        <w:trPr>
          <w:trHeight w:val="211"/>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Catamaran CLO 2016-1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9,013,064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4,033,692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9,253,304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6,395,016</w:t>
            </w:r>
          </w:p>
        </w:tc>
        <w:tc>
          <w:tcPr>
            <w:tcW w:w="120" w:type="dxa"/>
            <w:vAlign w:val="bottom"/>
          </w:tcPr>
          <w:p>
            <w:pPr>
              <w:spacing w:after="0"/>
              <w:rPr>
                <w:sz w:val="20"/>
                <w:szCs w:val="20"/>
                <w:color w:val="auto"/>
              </w:rPr>
            </w:pPr>
          </w:p>
        </w:tc>
      </w:tr>
      <w:tr>
        <w:trPr>
          <w:trHeight w:val="211"/>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9,358,631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6,831,000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9,594,090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8,530,751</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46,102,433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18,791,865</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46,618,717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31,968,202</w:t>
            </w:r>
          </w:p>
        </w:tc>
        <w:tc>
          <w:tcPr>
            <w:tcW w:w="1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percentage of class held at September 30, 2020.</w:t>
      </w:r>
    </w:p>
    <w:p>
      <w:pPr>
        <w:spacing w:after="0" w:line="117" w:lineRule="exact"/>
        <w:rPr>
          <w:sz w:val="20"/>
          <w:szCs w:val="20"/>
          <w:color w:val="auto"/>
        </w:rPr>
      </w:pPr>
    </w:p>
    <w:p>
      <w:pPr>
        <w:ind w:left="380" w:right="580" w:hanging="372"/>
        <w:spacing w:after="0" w:line="282" w:lineRule="auto"/>
        <w:tabs>
          <w:tab w:leader="none" w:pos="3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than Dryden 30 Senior Loan Fund, all of our CLO Fund securities investments were managed by affiliates as of September 30, 2020 and December 31, 2019.</w:t>
      </w:r>
    </w:p>
    <w:p>
      <w:pPr>
        <w:spacing w:after="0" w:line="33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and amount of future distributions, if any, from these CLO Fund Securities is uncertain. It is also possible, based upon current economic conditions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Joint Ventures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84" w:lineRule="exact"/>
        <w:rPr>
          <w:sz w:val="20"/>
          <w:szCs w:val="20"/>
          <w:color w:val="auto"/>
        </w:rPr>
      </w:pPr>
    </w:p>
    <w:p>
      <w:pPr>
        <w:ind w:right="20" w:firstLine="374"/>
        <w:spacing w:after="0" w:line="277" w:lineRule="auto"/>
        <w:rPr>
          <w:sz w:val="20"/>
          <w:szCs w:val="20"/>
          <w:color w:val="auto"/>
        </w:rPr>
      </w:pPr>
      <w:r>
        <w:rPr>
          <w:rFonts w:ascii="Times New Roman" w:cs="Times New Roman" w:eastAsia="Times New Roman" w:hAnsi="Times New Roman"/>
          <w:sz w:val="17"/>
          <w:szCs w:val="17"/>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5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43" w:lineRule="exact"/>
        <w:rPr>
          <w:sz w:val="20"/>
          <w:szCs w:val="20"/>
          <w:color w:val="auto"/>
        </w:rPr>
      </w:pPr>
    </w:p>
    <w:p>
      <w:pPr>
        <w:ind w:right="340" w:firstLine="374"/>
        <w:spacing w:after="0" w:line="258" w:lineRule="auto"/>
        <w:rPr>
          <w:sz w:val="20"/>
          <w:szCs w:val="20"/>
          <w:color w:val="auto"/>
        </w:rPr>
      </w:pPr>
      <w:r>
        <w:rPr>
          <w:rFonts w:ascii="Times New Roman" w:cs="Times New Roman" w:eastAsia="Times New Roman" w:hAnsi="Times New Roman"/>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Summarized Statement of Financial Condition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72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at fair value</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167,389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26,927,671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Summarized Statement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00" w:type="dxa"/>
            <w:vAlign w:val="bottom"/>
            <w:tcBorders>
              <w:bottom w:val="single" w:sz="8" w:color="CFF0FC"/>
            </w:tcBorders>
          </w:tcPr>
          <w:p>
            <w:pPr>
              <w:spacing w:after="0"/>
              <w:rPr>
                <w:sz w:val="20"/>
                <w:szCs w:val="20"/>
                <w:color w:val="auto"/>
              </w:rPr>
            </w:pPr>
          </w:p>
        </w:tc>
        <w:tc>
          <w:tcPr>
            <w:tcW w:w="2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1,294,081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3,689,714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3,957,429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1,292,084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3,656,217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3,903,246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on investments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(1,663,956)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(5,583,581)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3,071,829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(357,266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(1,927,366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5,832,225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1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by Joint</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Venture</w:t>
            </w:r>
          </w:p>
        </w:tc>
        <w:tc>
          <w:tcPr>
            <w:tcW w:w="1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5"/>
        </w:trPr>
        <w:tc>
          <w:tcPr>
            <w:tcW w:w="31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Great Lakes KCAP F3C Senior, LLC</w:t>
            </w:r>
            <w:r>
              <w:rPr>
                <w:rFonts w:ascii="Times New Roman" w:cs="Times New Roman" w:eastAsia="Times New Roman" w:hAnsi="Times New Roman"/>
                <w:sz w:val="15"/>
                <w:szCs w:val="15"/>
                <w:color w:val="auto"/>
              </w:rPr>
              <w:t>(1)(2)</w:t>
            </w:r>
          </w:p>
        </w:tc>
        <w:tc>
          <w:tcPr>
            <w:tcW w:w="140" w:type="dxa"/>
            <w:vAlign w:val="bottom"/>
            <w:tcBorders>
              <w:top w:val="single" w:sz="8" w:color="CFF0FC"/>
            </w:tcBorders>
            <w:shd w:val="clear" w:color="auto" w:fill="CFF0FC"/>
          </w:tcPr>
          <w:p>
            <w:pPr>
              <w:spacing w:after="0"/>
              <w:rPr>
                <w:sz w:val="17"/>
                <w:szCs w:val="17"/>
                <w:color w:val="auto"/>
              </w:rPr>
            </w:pPr>
          </w:p>
        </w:tc>
        <w:tc>
          <w:tcPr>
            <w:tcW w:w="34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5.8%, 12/29 maturity</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39,742,392</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27,095,060</w:t>
            </w:r>
          </w:p>
        </w:tc>
        <w:tc>
          <w:tcPr>
            <w:tcW w:w="100" w:type="dxa"/>
            <w:vAlign w:val="bottom"/>
            <w:shd w:val="clear" w:color="auto" w:fill="CFF0FC"/>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39,742,392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27,095,060</w:t>
            </w:r>
          </w:p>
        </w:tc>
        <w:tc>
          <w:tcPr>
            <w:tcW w:w="100" w:type="dxa"/>
            <w:vAlign w:val="bottom"/>
          </w:tcPr>
          <w:p>
            <w:pPr>
              <w:spacing w:after="0"/>
              <w:rPr>
                <w:sz w:val="19"/>
                <w:szCs w:val="19"/>
                <w:color w:val="auto"/>
              </w:rPr>
            </w:pPr>
          </w:p>
        </w:tc>
      </w:tr>
    </w:tbl>
    <w:p>
      <w:pPr>
        <w:spacing w:after="0" w:line="373" w:lineRule="exact"/>
        <w:rPr>
          <w:sz w:val="20"/>
          <w:szCs w:val="20"/>
          <w:color w:val="auto"/>
        </w:rPr>
      </w:pPr>
    </w:p>
    <w:p>
      <w:pPr>
        <w:ind w:left="380" w:right="160" w:hanging="372"/>
        <w:spacing w:after="0" w:line="255" w:lineRule="auto"/>
        <w:tabs>
          <w:tab w:leader="none" w:pos="3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Times New Roman" w:cs="Times New Roman" w:eastAsia="Times New Roman" w:hAnsi="Times New Roman"/>
          <w:sz w:val="15"/>
          <w:szCs w:val="15"/>
          <w:color w:val="auto"/>
        </w:rPr>
      </w:pPr>
    </w:p>
    <w:p>
      <w:pPr>
        <w:ind w:left="380" w:right="640" w:hanging="372"/>
        <w:spacing w:after="0" w:line="260" w:lineRule="auto"/>
        <w:tabs>
          <w:tab w:leader="none" w:pos="3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36"/>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by Joint</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760" w:type="dxa"/>
            <w:vAlign w:val="bottom"/>
            <w:gridSpan w:val="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8"/>
              </w:rPr>
              <w:t>Venture</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5"/>
        </w:trPr>
        <w:tc>
          <w:tcPr>
            <w:tcW w:w="32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Great Lakes KCAP F3C Senior, LLC</w:t>
            </w:r>
            <w:r>
              <w:rPr>
                <w:rFonts w:ascii="Times New Roman" w:cs="Times New Roman" w:eastAsia="Times New Roman" w:hAnsi="Times New Roman"/>
                <w:sz w:val="15"/>
                <w:szCs w:val="15"/>
                <w:color w:val="auto"/>
              </w:rPr>
              <w:t>(1)(2)</w:t>
            </w:r>
          </w:p>
        </w:tc>
        <w:tc>
          <w:tcPr>
            <w:tcW w:w="160" w:type="dxa"/>
            <w:vAlign w:val="bottom"/>
            <w:tcBorders>
              <w:top w:val="single" w:sz="8" w:color="CFF0FC"/>
            </w:tcBorders>
            <w:shd w:val="clear" w:color="auto" w:fill="CFF0FC"/>
          </w:tcPr>
          <w:p>
            <w:pPr>
              <w:spacing w:after="0"/>
              <w:rPr>
                <w:sz w:val="17"/>
                <w:szCs w:val="17"/>
                <w:color w:val="auto"/>
              </w:rPr>
            </w:pPr>
          </w:p>
        </w:tc>
        <w:tc>
          <w:tcPr>
            <w:tcW w:w="31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Subordinated Securities, effective interest</w:t>
            </w:r>
          </w:p>
        </w:tc>
        <w:tc>
          <w:tcPr>
            <w:tcW w:w="16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4"/>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11.2%, 12/29 maturity</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40,801,382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33,737,631</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40,801,382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33,737,631</w:t>
            </w:r>
          </w:p>
        </w:tc>
        <w:tc>
          <w:tcPr>
            <w:tcW w:w="120" w:type="dxa"/>
            <w:vAlign w:val="bottom"/>
          </w:tcPr>
          <w:p>
            <w:pPr>
              <w:spacing w:after="0"/>
              <w:rPr>
                <w:sz w:val="19"/>
                <w:szCs w:val="19"/>
                <w:color w:val="auto"/>
              </w:rPr>
            </w:pPr>
          </w:p>
        </w:tc>
      </w:tr>
    </w:tbl>
    <w:p>
      <w:pPr>
        <w:spacing w:after="0" w:line="387" w:lineRule="exact"/>
        <w:rPr>
          <w:sz w:val="20"/>
          <w:szCs w:val="20"/>
          <w:color w:val="auto"/>
        </w:rPr>
      </w:pPr>
    </w:p>
    <w:p>
      <w:pPr>
        <w:ind w:left="380" w:right="160" w:hanging="372"/>
        <w:spacing w:after="0" w:line="252" w:lineRule="auto"/>
        <w:tabs>
          <w:tab w:leader="none" w:pos="3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5"/>
          <w:szCs w:val="15"/>
          <w:color w:val="auto"/>
        </w:rPr>
      </w:pPr>
    </w:p>
    <w:p>
      <w:pPr>
        <w:ind w:left="380" w:right="640" w:hanging="372"/>
        <w:spacing w:after="0" w:line="249" w:lineRule="auto"/>
        <w:tabs>
          <w:tab w:leader="none" w:pos="3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Formerly known as KCAP F3C Senior Funding, LLC</w:t>
      </w:r>
    </w:p>
    <w:p>
      <w:pPr>
        <w:spacing w:after="0" w:line="9" w:lineRule="exact"/>
        <w:rPr>
          <w:rFonts w:ascii="Times New Roman" w:cs="Times New Roman" w:eastAsia="Times New Roman" w:hAnsi="Times New Roman"/>
          <w:sz w:val="15"/>
          <w:szCs w:val="15"/>
          <w:color w:val="auto"/>
        </w:rPr>
      </w:pPr>
    </w:p>
    <w:p>
      <w:pPr>
        <w:ind w:left="3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a result of the severe economic consequences resulting from the COVID 19 pandemic, it is possible that the subordinated securities issued by</w:t>
      </w:r>
    </w:p>
    <w:p>
      <w:pPr>
        <w:spacing w:after="0" w:line="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Great Lakes KCAP F3C Senior LLC CLO, which are owned by the KCAP Freedom 3 Joint Venture, could also cease making distributions to the KCAP Freedom 3 Joint Venture.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BCP Great Lakes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ind w:firstLine="374"/>
        <w:spacing w:after="0" w:line="255" w:lineRule="auto"/>
        <w:rPr>
          <w:sz w:val="20"/>
          <w:szCs w:val="20"/>
          <w:color w:val="auto"/>
        </w:rPr>
      </w:pPr>
      <w:r>
        <w:rPr>
          <w:rFonts w:ascii="Times New Roman" w:cs="Times New Roman" w:eastAsia="Times New Roman" w:hAnsi="Times New Roman"/>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fair value of our investment in the BCP Great Lakes Partnership at September 30, 2020 and December 31, 2019 was $29.7 million and $23.8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September 30, 2020 and December 31, 2019, we have a $19.9 million and $26.3 million, respectively unfunded commitment to the BCP Great Lakes Partnership. However, at September 30, 2020 our funding commitment was limited to approximately $4.9 million pursuant to the limitations described above.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56" w:lineRule="exact"/>
        <w:rPr>
          <w:sz w:val="20"/>
          <w:szCs w:val="20"/>
          <w:color w:val="auto"/>
        </w:rPr>
      </w:pPr>
    </w:p>
    <w:p>
      <w:pPr>
        <w:ind w:right="1800" w:firstLine="374"/>
        <w:spacing w:after="0" w:line="453" w:lineRule="auto"/>
        <w:rPr>
          <w:sz w:val="20"/>
          <w:szCs w:val="20"/>
          <w:color w:val="auto"/>
        </w:rPr>
      </w:pPr>
      <w:r>
        <w:rPr>
          <w:rFonts w:ascii="Times New Roman" w:cs="Times New Roman" w:eastAsia="Times New Roman" w:hAnsi="Times New Roman"/>
          <w:sz w:val="18"/>
          <w:szCs w:val="18"/>
          <w:color w:val="auto"/>
        </w:rPr>
        <w:t xml:space="preserve">Set forth below is a discussion of our results of operations for the three and nine months ended September 30, 2020 and 2019. </w:t>
      </w:r>
      <w:r>
        <w:rPr>
          <w:rFonts w:ascii="Times New Roman" w:cs="Times New Roman" w:eastAsia="Times New Roman" w:hAnsi="Times New Roman"/>
          <w:sz w:val="18"/>
          <w:szCs w:val="18"/>
          <w:i w:val="1"/>
          <w:iCs w:val="1"/>
          <w:color w:val="auto"/>
        </w:rPr>
        <w:t>Revenue</w:t>
      </w:r>
    </w:p>
    <w:p>
      <w:pPr>
        <w:spacing w:after="0" w:line="2"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Revenues consist primarily of investment income from interest and dividends on our investment portfolio and various ancillary fees related to our investment holdings.</w:t>
      </w:r>
    </w:p>
    <w:p>
      <w:pPr>
        <w:spacing w:after="0" w:line="133"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Interest from Investments in Debt Securities</w:t>
      </w:r>
      <w:r>
        <w:rPr>
          <w:rFonts w:ascii="Times New Roman" w:cs="Times New Roman" w:eastAsia="Times New Roman" w:hAnsi="Times New Roman"/>
          <w:sz w:val="18"/>
          <w:szCs w:val="18"/>
          <w:color w:val="auto"/>
        </w:rPr>
        <w:t>. We generate interest income from our investments in debt securities that consist primarily of senior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On July 27, 2017, the Financial Conduct Authority (“FCA”) announced that it would phase out the LIBOR as a benchmark by the end of 2021 and the FCA has indicated that market participants should not rely on LIBOR being available after 2021. As an alternative to LIBOR, for example, the U.S. Federal Reserve, in conjunction with the Alternative Reference Rates Committee, a steering committee comprised of large U.S. financial institutions, is considering replacing U.S.-dollar LIBOR with the Secured Overnight Financing Rate ("SOFR"), a new index calculated by short-term repurchase agreements, backed by Treasury securities. Abandonment of or modifications to LIBOR could have adverse impacts on newly issued financial instruments and our existing financial instruments which reference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or our funds currently own or may in the future own. It remains uncertain how such changes would be implemented and the effects such changes would have on us, issuers of instruments in which we invest and financial markets generally.</w:t>
      </w:r>
    </w:p>
    <w:p>
      <w:pPr>
        <w:spacing w:after="0" w:line="15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expected discontinuation of LIBOR could have a significant impact on our business. The dollar amount of our outstanding debt investments and borrowings that are linked to LIBOR with maturity dates after the anticipated discontinuation date of 2021 is material. We anticipate significant operational challenges for the transition away from LIBOR including, but not limited to, amending existing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any further changes or reforms to the determination or supervision of LIBOR may result in a sudden or prolonged increase or decrease in reported LIBOR, which could have an adverse impact on the market value for or value of any LIBOR-linked securities, loans, and other financial obligations or extensions of credit held by or due to us and could have a material adverse effect on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Investment Income on Investments in CLO Fund Securities</w:t>
      </w:r>
      <w:r>
        <w:rPr>
          <w:rFonts w:ascii="Times New Roman" w:cs="Times New Roman" w:eastAsia="Times New Roman" w:hAnsi="Times New Roman"/>
          <w:sz w:val="18"/>
          <w:szCs w:val="18"/>
          <w:color w:val="auto"/>
        </w:rPr>
        <w:t>. We generate investment income from our investments in the securities (typically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subordinated securities) of CLO Funds. We distinguish CLO Funds managed by our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1"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non-junior class CLO Fund securities, interest is earned at a fixed spread relative to the LIBOR index.</w:t>
      </w:r>
    </w:p>
    <w:p>
      <w:pPr>
        <w:spacing w:after="0" w:line="183"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from Asset Manager Affiliates. </w:t>
      </w:r>
      <w:r>
        <w:rPr>
          <w:rFonts w:ascii="Times New Roman" w:cs="Times New Roman" w:eastAsia="Times New Roman" w:hAnsi="Times New Roman"/>
          <w:sz w:val="18"/>
          <w:szCs w:val="18"/>
          <w:color w:val="auto"/>
        </w:rPr>
        <w:t>Substantially all of our investment in the Asset Manager Affiliates was sold on December 31, 2018.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we had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5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 a result of tax-basis goodwill amortization and certain other tax-related adjustments, portions of distributions received may be deemed return of capital. Our Asset Manager Affiliates was deemed to have no value at September 30, 2020 and December 31, 2019. There were no distributions from the Asset Manager Affiliates during the first three quarters of 2019.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September 30, 2020 and December 31, 2019.</w:t>
      </w:r>
    </w:p>
    <w:p>
      <w:pPr>
        <w:spacing w:after="0" w:line="146"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in Joint Ventures. </w:t>
      </w:r>
      <w:r>
        <w:rPr>
          <w:rFonts w:ascii="Times New Roman" w:cs="Times New Roman" w:eastAsia="Times New Roman" w:hAnsi="Times New Roman"/>
          <w:sz w:val="18"/>
          <w:szCs w:val="18"/>
          <w:color w:val="auto"/>
        </w:rPr>
        <w:t>For the three months ended September 30, 2020 and 2019, the Company recognized $2.2 million and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investment income from its investments in Joint Ventures. For the nine months ended September 30, 2020 and 2019, the Company recognized $4.8 million and $3.5 million, respectively, in investment income from its investments in Joint Ventures. As of September 30, 2020 and December 31, 2019, the fair value of our investments in Joint Ventures was approximately $46.8 million and $45.1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44" w:lineRule="exact"/>
        <w:rPr>
          <w:sz w:val="20"/>
          <w:szCs w:val="20"/>
          <w:color w:val="auto"/>
        </w:rPr>
      </w:pPr>
    </w:p>
    <w:p>
      <w:pPr>
        <w:ind w:right="8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Capital Structuring Service Fees</w:t>
      </w:r>
      <w:r>
        <w:rPr>
          <w:rFonts w:ascii="Times New Roman" w:cs="Times New Roman" w:eastAsia="Times New Roman" w:hAnsi="Times New Roman"/>
          <w:sz w:val="18"/>
          <w:szCs w:val="18"/>
          <w:color w:val="auto"/>
        </w:rPr>
        <w:t>. We may earn ancillary structuring and other fees related to the origination, investment, disposition or liquidation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investment securities.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00"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2020 and 2019 and was approximately $7.8 million and $7.1 million, respectively. Of these amounts, approximately $5.0 million and $4.2 million, respectively was attributable to interest income on our Debt Securities Portfolio.</w:t>
      </w:r>
    </w:p>
    <w:p>
      <w:pPr>
        <w:spacing w:after="0" w:line="121"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Investment income for the nine months ended September 30, 2020 and 2019 was approximately $22.9 million and $19.8 million, respectively. Of these amounts, approximately $15.0 million and $11.0 million, respectively was attributable to interest income on our Debt Securities Portfolio.</w:t>
      </w:r>
    </w:p>
    <w:p>
      <w:pPr>
        <w:spacing w:after="0" w:line="121"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the weighted average contractual interest rate on our loans and debt securities was approximately 8.3% and 10.9%, respectively. At September 30, 2020 and December 31, 2019, the weighted average contractual interest rate on our loans and debt securities, excluding non-accrual and partial non-accrual investments, was approximately 7.9% and 9.0%, respectively.</w:t>
      </w:r>
    </w:p>
    <w:p>
      <w:pPr>
        <w:spacing w:after="0" w:line="14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3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2020 and 2019, approximately $0.6 million and $1.6 million, respectively, of investment income was attributable to investments in CLO Fund Securities. For the nine months ended September 30, 2020 and 2019, approximately $2.7 million and $5.1 million, respectively, of investment income was attributable to investments in CLO Fund Securities. On a tax basis, the Company recognized $3.3 million and $5.9 million of taxable distributable income on distributions from our CLO Fund Securities during the nine months ended September 30, 2020 and 2019,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51" w:lineRule="exact"/>
        <w:rPr>
          <w:sz w:val="20"/>
          <w:szCs w:val="20"/>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any sales and repurchases of our common stock and other securities;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dealer manager or placement agent agreements, if any;</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 and any sub-administration agreements, including related expenses;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740" w:right="440" w:hanging="368"/>
        <w:spacing w:after="0" w:line="282" w:lineRule="auto"/>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0" w:name="page81"/>
    <w:bookmarkEnd w:id="80"/>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 any stock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certain travel expenses;</w:t>
      </w:r>
    </w:p>
    <w:p>
      <w:pPr>
        <w:spacing w:after="0" w:line="184" w:lineRule="exact"/>
        <w:rPr>
          <w:rFonts w:ascii="Times New Roman" w:cs="Times New Roman" w:eastAsia="Times New Roman" w:hAnsi="Times New Roman"/>
          <w:sz w:val="18"/>
          <w:szCs w:val="18"/>
          <w:color w:val="auto"/>
        </w:rPr>
      </w:pPr>
    </w:p>
    <w:p>
      <w:pPr>
        <w:ind w:left="740" w:right="480" w:hanging="368"/>
        <w:spacing w:after="0" w:line="266" w:lineRule="auto"/>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35"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and staff;</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outside legal and consulting costs;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 our affairs;</w:t>
      </w:r>
    </w:p>
    <w:p>
      <w:pPr>
        <w:spacing w:after="0" w:line="184"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by either the Administrator or us in connection with administering our business, including payments under the Administration Agreement;</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 and</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w:t>
      </w:r>
    </w:p>
    <w:p>
      <w:pPr>
        <w:spacing w:after="0" w:line="183" w:lineRule="exact"/>
        <w:rPr>
          <w:sz w:val="20"/>
          <w:szCs w:val="20"/>
          <w:color w:val="auto"/>
        </w:rPr>
      </w:pPr>
    </w:p>
    <w:p>
      <w:pPr>
        <w:ind w:right="20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Management Fees. </w:t>
      </w:r>
      <w:r>
        <w:rPr>
          <w:rFonts w:ascii="Times New Roman" w:cs="Times New Roman" w:eastAsia="Times New Roman" w:hAnsi="Times New Roman"/>
          <w:sz w:val="18"/>
          <w:szCs w:val="18"/>
          <w:color w:val="auto"/>
        </w:rPr>
        <w:t>Management fees for the three months ended September 30, 2020 and 2019, were approximately $1.0 million and $1.0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Incentive fees earned during the three months ended September 30, 2020 and 2019, were approximately $572 thousand and $0.</w:t>
      </w:r>
    </w:p>
    <w:p>
      <w:pPr>
        <w:spacing w:after="0" w:line="13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Management fees for the nine months ended September 30, 2020 and 2019, were approximately $3.1 million and $2.1 million, respectively. Incentive fees earned during nine months ended September 30, 2020 and 2019, were approximately $1.1 million and $0, $557 thousand of which were waived pursuant to the Externalization Agreement for the nine months ended September 30, 2020.</w:t>
      </w:r>
    </w:p>
    <w:p>
      <w:pPr>
        <w:spacing w:after="0" w:line="133" w:lineRule="exact"/>
        <w:rPr>
          <w:sz w:val="20"/>
          <w:szCs w:val="20"/>
          <w:color w:val="auto"/>
        </w:rPr>
      </w:pPr>
    </w:p>
    <w:p>
      <w:pPr>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Amortization of Debt Issuance Costs</w:t>
      </w:r>
      <w:r>
        <w:rPr>
          <w:rFonts w:ascii="Times New Roman" w:cs="Times New Roman" w:eastAsia="Times New Roman" w:hAnsi="Times New Roman"/>
          <w:sz w:val="18"/>
          <w:szCs w:val="18"/>
          <w:color w:val="auto"/>
        </w:rPr>
        <w:t>. Interest expense is dependent on the average outstanding balance on our borrowings and, the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rate for the period. Debt issuance costs represent fees, and other direct costs incurred in connection with our borrowings. These amounts are capitalized and amortized ratably over the expected term of the borrowing.</w:t>
      </w:r>
    </w:p>
    <w:p>
      <w:pPr>
        <w:spacing w:after="0" w:line="13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Compensation Expense</w:t>
      </w:r>
      <w:r>
        <w:rPr>
          <w:rFonts w:ascii="Times New Roman" w:cs="Times New Roman" w:eastAsia="Times New Roman" w:hAnsi="Times New Roman"/>
          <w:sz w:val="18"/>
          <w:szCs w:val="18"/>
          <w:color w:val="auto"/>
        </w:rPr>
        <w:t>. Prior to the Closing of the Externalization on April 1, 2019, compensation expense included base salaries, bonuses,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56" w:lineRule="exact"/>
        <w:rPr>
          <w:sz w:val="20"/>
          <w:szCs w:val="20"/>
          <w:color w:val="auto"/>
        </w:rPr>
      </w:pPr>
    </w:p>
    <w:p>
      <w:pPr>
        <w:ind w:right="2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Professional Fees, Administrative Services Expense and General Administrative Expenses</w:t>
      </w:r>
      <w:r>
        <w:rPr>
          <w:rFonts w:ascii="Times New Roman" w:cs="Times New Roman" w:eastAsia="Times New Roman" w:hAnsi="Times New Roman"/>
          <w:sz w:val="18"/>
          <w:szCs w:val="18"/>
          <w:color w:val="auto"/>
        </w:rPr>
        <w:t>. The balance of our expenses includes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legal, accounting, director fees, valuation and other professional services), insurance costs, Administrative services expense under the Administration Agreement and general administrative and other costs.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expenses for the three months ended September 30, 2020 and 2019 were approximately $5.1 million and $4.8 million, respectively.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1" w:name="page82"/>
    <w:bookmarkEnd w:id="81"/>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2020 and 2019, interest expense and amortization on debt issuance costs for the period was approximately $2.2 million and $2.3 million, respectively, on average debt outstanding of $173 million and $131 million, respectively.</w:t>
      </w:r>
    </w:p>
    <w:p>
      <w:pPr>
        <w:spacing w:after="0" w:line="135"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respectively, professional fees and insurance expenses totaled approximately $0.6 million and $0.8 million. Other general and administrative costs, (which in 2019 include rent expense on the Company’s lease obligation, which was terminated in the fourth quarter of 2019), and other administrative expenses, totaled approximately $0.1 million and $0.3 million for the three months ended September 30, 2020 and 2019, respectively.</w:t>
      </w:r>
    </w:p>
    <w:p>
      <w:pPr>
        <w:spacing w:after="0" w:line="139"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During the second quarter of 2019, the Company recorded an impairment charge of approximately $1.4 million to write down the lease right-of-use asset for office space previously occupied by the Company. The impairment charge is recorded as a separate line item within the expense section of the consolidated statement of operations.</w:t>
      </w:r>
    </w:p>
    <w:p>
      <w:pPr>
        <w:spacing w:after="0" w:line="13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and 2019, professional fees and insurance expenses totaled approximately $2.3 million and $3.4 million respectively. For the nine months ended September 30, 2019, the Company incurred approximately $1.0 million of professional fees in connection with the Externalization. Other general and administrative expenses, which in 2019 includes rent expense on the Company’s lease obligation, technology and other office and administrative expenses, totaled approximately $0.5 million and $1.4 million for the nine months ended September 30, 2020 and 2019, respectively.</w:t>
      </w:r>
    </w:p>
    <w:p>
      <w:pPr>
        <w:spacing w:after="0" w:line="15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Total expenses for the nine months ended September 30, 2020 and 2019 were approximately $14.8 million and $18.9 million, respectively. For the nine months ended September 30, 2019, we incurred approximately $3.4 million in total expenses in connection with the Externalization and approximately $1.4 million related to a non-cash impairment charge to write down the value of the right-of-use asset for the lease of office space formerly occupied by the Company prior to the Externalization. The impairment charge related to our write down of the lease right-of-use asset is recorded as a separate line item within the expense section of the consolidated statement of operations. For the nine months ended September 30, 2020 and 2019, interest expense and amortization on debt issuance costs for the period was approximately $7.0 million and $6.1 million, respectively, on average debt outstanding of $160 million and $117 million, respectively. For the six months ended June 30, 2019, we incurred approximately $187,000 in administrative costs in connection with the Externalization. Since April 1, 2019, as a result of the Externalization, the Company no longer has employees and does not incur employee compensation costs. For the nine months ended September 30, 2019, we incurred approximately $2.2 million in compensation expense (primarily severance) in connection with the Externalization.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Gains (Losses)</w:t>
      </w:r>
    </w:p>
    <w:p>
      <w:pPr>
        <w:spacing w:after="0" w:line="18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Net investment income and net realized gains (losses) represents the change in stockholder’s equity before net unrealized appreciation or depreciation on investments. For the three months ended September 30, 2020, net investment income and net realized gains were approximately $0.8 million, or $0.02 per share. For the three months ended September 30, 2019, net investment income and net realized losses were approximately $1.1 million, or $0.03 per share. Net investment income represents the income earned on our investments less operating and interest expense before net realized gains or losses and unrealized appreciation or depreciation on investments.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nine months ended September 30, 2020, net investment income and net realized losses were approximately $4.2 million, or $0.10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2019, net investment loss and net realized losses were approximately ($15.9) million, or ($0.42) per share.</w:t>
      </w:r>
    </w:p>
    <w:p>
      <w:pPr>
        <w:spacing w:after="0" w:line="166"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nine months ended September 30, 2020, GAAP-basis net investment income was approximately $8.1 million or $0.18 per share, while tax-basis distributable income was approximately $8.3 million or $0.19 per share. For the nine months ended September 30, 2019, GAAP-basis net investment income was approximately $0.9 million or $0.02 per basic share, while tax-basis distributable income was approximately $5.1 million or $0.14 per share.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Net Unrealized (Depreciation) Appreciation on Investments</w:t>
      </w:r>
    </w:p>
    <w:p>
      <w:pPr>
        <w:spacing w:after="0" w:line="202"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2020, our total investments had net unrealized appreciation of approximately $7.5 million. Included in the net unrealized appreciation are unrealized appreciation on CLO Fund Securities of approximately $1.9 million unrealized appreciation and on equity securities of approximately $0.3 million, an unrealized appreciation of $1.1 million on our Joint Ventures investment, unrealized appreciation on our debt securities of $4.6 million, and unrealized depreciation of $0.5 million on our derivatives. During the three months ended September 30, 2019, our total investments had net unrealized depreciation of approximately $5.3 million. Included in the net unrealized depreciation are unrealized depreciation on CLO Fund Securities of approximately $2.7 million unrealized depreciation and on equity securities of approximately $0.9 million, an unrealized depreciation of $1.1 million on our Joint Ventures investment and unrealized depreciation on our debt securities of $0.6 million.</w:t>
      </w:r>
    </w:p>
    <w:p>
      <w:pPr>
        <w:spacing w:after="0" w:line="14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our total investments had net unrealized depreciation of approximately $21.8 million. Included in the net unrealized depreciation for the nine months ended September 30, 2020, are unrealized depreciation on CLO Fund Securities of approximately $12.7 million, net unrealized appreciation on equity securities of approximately $0.4 million, unrealized depreciation of $1.0 million on our derivatives, no unrealized on the Asset Manager Affiliates, as well as an unrealized depreciation of $4.7 million on our Joint Ventures investment and unrealized depreciation on our debt securities of approximately $3.9 million. During the nine months ended September 30, 2019, our total investments had net unrealized depreciation of approximately $0.1 million. Included in the net unrealized depreciation are unrealized depreciation on CLO Fund Securities of approximately $0.8 million unrealized depreciation and on equity securities of approximately $5.8 million, no unrealized depreciation on the Asset Manager Affiliates, as well as an unrealized appreciation of $2.9 million on our Joint Ventures investment and unrealized appreciation on our debt securities of $3.6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Stockholder’s Equity Resulting From Operations</w:t>
      </w:r>
    </w:p>
    <w:p>
      <w:pPr>
        <w:spacing w:after="0" w:line="20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net increase in stockholders’ equity resulting from operations for the three months ended September 30, 2020 was $8.3 million, or $0.19 per basic share. Net decrease in stockholders’ equity resulting from operations for the three months ended September 30, 2019 was ($4.3) million, or $(0.11) per share.</w:t>
      </w:r>
    </w:p>
    <w:p>
      <w:pPr>
        <w:spacing w:after="0" w:line="135"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net decrease in stockholders’ equity resulting from operations for the nine months ended September 30, 2020 was ($17.5) million, or $(0.39) per basic share. Net decrease in stockholders’ equity resulting from operations for the nine months ended September 30, 2019 was ($16.0) million, or $(0.43) per share.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2020 and December 31, 2019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677,438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4,907,105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4,967,491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10,219,782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4,207,107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Loan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124,413,259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88,788,639</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Junior Secured Loan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79,851,015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95,188,373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2,422,281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403,615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CLO Fund Securities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18,791,865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31,968,202</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9,703,027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9,864,419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46,831,611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45,087,967</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(1,033,048)</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(33,437)</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294,664,038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283,001,520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83" w:name="page84"/>
    <w:bookmarkEnd w:id="83"/>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September 30, 2020, we had approximately $171 million of par value of outstanding borrowings and our asset coverage ratio of total assets to total borrowings was 172%, compliant with the minimum asset coverage level of 150% generally required for a BDC by the 1940 Act. We may also borrow amounts of up to 5% of the value of our total assets for temporary purposes.</w:t>
      </w:r>
    </w:p>
    <w:p>
      <w:pPr>
        <w:spacing w:after="0" w:line="147" w:lineRule="exact"/>
        <w:rPr>
          <w:sz w:val="20"/>
          <w:szCs w:val="20"/>
          <w:color w:val="auto"/>
        </w:rPr>
      </w:pPr>
    </w:p>
    <w:p>
      <w:pPr>
        <w:ind w:right="340" w:firstLine="374"/>
        <w:spacing w:after="0" w:line="258" w:lineRule="auto"/>
        <w:rPr>
          <w:sz w:val="20"/>
          <w:szCs w:val="20"/>
          <w:color w:val="auto"/>
        </w:rPr>
      </w:pPr>
      <w:r>
        <w:rPr>
          <w:rFonts w:ascii="Times New Roman" w:cs="Times New Roman" w:eastAsia="Times New Roman" w:hAnsi="Times New Roman"/>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5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On April 8, 2020, in connection with the outbreak of the COVID-19 pandemic, the SEC issued the Order Under Sections 6(c), 17(d), 38(a) and 57(i) of the Investment Company Act of 1940 and Rule 17d-1 Thereunder Granting Exemptions from Specified Provisions of the Investment Company Act and Certain Rules Thereunder, Investment Company Act Release No. 33837 (Apr. 8, 2020) (the “April 2020 Order”), which provides exemptions from certain requirements of the 1940 Act. Section II of the April 2020 Order (i) affords BDCs greater flexibility in calculating asset coverage ratios for purposes of the 1940 Act asset coverage requirements, (ii) requires a BDC’s board of directors, including a required majority of such board, as defined in Section 57(o) of the 1940 Act, to determine that the issuance or sale of covered senior securities is permitted by this Order and is in the best interests of the BDC and its stockholders, (iii) requires prior disclosure on Form 8-K of the election to rely on Section II of the April 2020 Order, and (iv) includes certain limitations on new investments, among other requirements detailed in the April 2020 Order.</w:t>
      </w:r>
    </w:p>
    <w:p>
      <w:pPr>
        <w:spacing w:after="0" w:line="151"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In particular, election to be subject to Section II of the April 2020 Order would permit us to use a modified formula to calculate our asset coverage ratios for purposes of the 1940 Act asset coverage requirements and, in doing so, would permit us to rely in part on the fair value of our assets as of December 31, 2019. The overall effect of any election to be subject to Section II of the April 2020 Order would be to make it easier for us to meet our applicable asset coverage ratios for purposes of the 1940 Act asset coverage requirements, as well as for purposes of covenants referencing the 1940 Act asset coverage requirements, including under the indenture governing our 6.125% Notes due 2022. As of the date of this filing, our board of directors has no intention to elect to be subject to Section II of the April 2020 Order but will continue to assess its potential benefits to the Company with respect to providing additional flexibility to manage our portfolio and support our portfolio companies during the economic disruption caused by the COVID-19 pandemic.</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intend to maintain adequate liquidity and compliance with regulatory and contractual asset coverage requirements.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Outstanding Notes</w:t>
      </w:r>
    </w:p>
    <w:p>
      <w:pPr>
        <w:spacing w:after="0" w:line="20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 In this regard, the 1940 Act-related indenture covenants provide that, for the period of time during which the 6.125% Notes Due 2022 are outstanding, the Company will not violate (regardless of whether it is subject to):</w:t>
      </w:r>
    </w:p>
    <w:p>
      <w:pPr>
        <w:spacing w:after="0" w:line="148" w:lineRule="exact"/>
        <w:rPr>
          <w:sz w:val="20"/>
          <w:szCs w:val="20"/>
          <w:color w:val="auto"/>
        </w:rPr>
      </w:pPr>
    </w:p>
    <w:p>
      <w:pPr>
        <w:ind w:left="1120" w:right="40" w:hanging="370"/>
        <w:spacing w:after="0" w:line="261" w:lineRule="auto"/>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18(a)(1)(A) as modified by Section 61(a)(1) of the 1940 Act or any successor provisions, whether or not the Company continues to be subject to such provisions of the 1940 Act, but giving effect, in either case, to any exemptive relief granted to it by the SEC. These provisions generally prohibit the Company from making additional borrowings, including through the issuance of additional debt or the sale of additional debt securities, unless our asset coverage, as defined in the 1940 Act, equals at least 150% after such borrowings.</w:t>
      </w:r>
    </w:p>
    <w:p>
      <w:pPr>
        <w:spacing w:after="0" w:line="139" w:lineRule="exact"/>
        <w:rPr>
          <w:rFonts w:ascii="Times New Roman" w:cs="Times New Roman" w:eastAsia="Times New Roman" w:hAnsi="Times New Roman"/>
          <w:sz w:val="18"/>
          <w:szCs w:val="18"/>
          <w:color w:val="auto"/>
        </w:rPr>
      </w:pPr>
    </w:p>
    <w:p>
      <w:pPr>
        <w:ind w:left="1120" w:right="40" w:hanging="370"/>
        <w:spacing w:after="0" w:line="255" w:lineRule="auto"/>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18(a)(1)(B) as modified by Section 61(a)(1) of the 1940 Act or any successor provisions,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These provisions generally prohibit us from declaring any cash dividend or distribution upon any class of our capital stock, or purchasing any such capital stock if our asset coverage, as defined in the 1940 Act, is below 150% at the time of the declaration of the dividend or distribution or the purchase and after deducting the amount of such dividend, distribution or purchase.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repurchased approximately $681 thousand of principal amount of the 6.125% Notes Due 2022 at a cost of approximately $513 thousand, resulting in a realized gain on extinguishment of $155 thousand. The Company subsequently surrendered these notes to the Trustee for cancellation.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11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8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7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75"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6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7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2"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2020, GLPRF LLC was in compliance with all of its debt covenants and $94.3 million principal amount of borrowings was outstanding under the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Distributions</w:t>
      </w:r>
    </w:p>
    <w:p>
      <w:pPr>
        <w:spacing w:after="0" w:line="189"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21" w:lineRule="exact"/>
        <w:rPr>
          <w:sz w:val="20"/>
          <w:szCs w:val="20"/>
          <w:color w:val="auto"/>
        </w:rPr>
      </w:pPr>
    </w:p>
    <w:p>
      <w:pPr>
        <w:ind w:left="740" w:hanging="368"/>
        <w:spacing w:after="0"/>
        <w:tabs>
          <w:tab w:leader="none" w:pos="7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ordinary net taxable income for the calendar year;</w:t>
      </w:r>
    </w:p>
    <w:p>
      <w:pPr>
        <w:spacing w:after="0" w:line="184" w:lineRule="exact"/>
        <w:rPr>
          <w:rFonts w:ascii="Times New Roman" w:cs="Times New Roman" w:eastAsia="Times New Roman" w:hAnsi="Times New Roman"/>
          <w:sz w:val="18"/>
          <w:szCs w:val="18"/>
          <w:color w:val="auto"/>
        </w:rPr>
      </w:pPr>
    </w:p>
    <w:p>
      <w:pPr>
        <w:jc w:val="center"/>
        <w:ind w:left="5540" w:right="1040" w:hanging="5168"/>
        <w:spacing w:after="0" w:line="532" w:lineRule="auto"/>
        <w:tabs>
          <w:tab w:leader="none" w:pos="7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gains, if any, in excess of capital losses for the one-year period ending on October 31 of the calendar year; and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ind w:left="740" w:right="500" w:hanging="368"/>
        <w:spacing w:after="0" w:line="282" w:lineRule="auto"/>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net capital gains for the preceding year that were not distributed during such year and on which we do not pay corporate tax.</w:t>
      </w:r>
    </w:p>
    <w:p>
      <w:pPr>
        <w:spacing w:after="0" w:line="12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We may choose to carry forward taxable income in excess of current year distributions into the next tax year and pay a 4% excise tax on such income, to the extent required.</w:t>
      </w:r>
    </w:p>
    <w:p>
      <w:pPr>
        <w:spacing w:after="0" w:line="135"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21"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88"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On October 16, 2020, our Board declared a cash distribution of $0.06 per share of common stock, consistent with the current dividend policy. The distribution is payable on November 27, 2020 to shareholders of record at the close of business as of October 26, 2020.</w:t>
      </w:r>
    </w:p>
    <w:p>
      <w:pPr>
        <w:spacing w:after="0" w:line="54"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As described above, we are prohibited by the 1940 Act and the indenture governing our 6.125% Notes Due 2022 from making distributions on our common stock if, at the time of declaration, our asset coverage, as defined in the 1940 Act, is below 150% (subject to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quarterly distributions paid by us since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Declaration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Distribution</w:t>
            </w:r>
          </w:p>
        </w:tc>
        <w:tc>
          <w:tcPr>
            <w:tcW w:w="2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 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8/5/2020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2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3/17/2020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2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2/5/2020</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2/18/2020</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2/28/2020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2020</w:t>
            </w:r>
          </w:p>
        </w:tc>
        <w:tc>
          <w:tcPr>
            <w:tcW w:w="2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2019:</w:t>
            </w: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Fourth quarter</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2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2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12/12/2018</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1/7/2019</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1/31/2019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2019</w:t>
            </w:r>
          </w:p>
        </w:tc>
        <w:tc>
          <w:tcPr>
            <w:tcW w:w="2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2018:</w:t>
            </w: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Fourth quarter</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2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2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12/13/2017</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1/5/2018</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1/25/2018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2018</w:t>
            </w:r>
          </w:p>
        </w:tc>
        <w:tc>
          <w:tcPr>
            <w:tcW w:w="2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6" w:name="page87"/>
    <w:bookmarkEnd w:id="86"/>
    <w:p>
      <w:pPr>
        <w:ind w:left="740" w:hanging="36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record date of this distribution is subsequent to year-end, it is a subsequent year tax event.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87"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repurchased 358,959 and 734,403 shares, respectively, under the Stock Repurchase Program in open market transactions at an aggregate cost of approximately $456 thousand and $863 thousand, respectively.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2020 and December 31, 2019, we had approximately $26.5 million and $31.9 million commitments to fund investments, respectively. However, at September 30, 2020 only $2.4 million of our Debt Securities Portfolio is subject to a unilateral draw right by the borrower and the remaining commitments are subject to certain restrictions such as borrowing base, use of proceeds or leverage that must be satisfied before a borrower can draw down on the commitment. We may also enter into derivative contracts with off-balance sheet risk in connection with its investing activities.</w:t>
      </w:r>
    </w:p>
    <w:p>
      <w:pPr>
        <w:spacing w:after="0" w:line="84"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Investment Company Act of 1940). As of September 30, 2020 and December 31, 2019, we had a $19.9 million and $26.3 million, respectively unfunded commitment to the BCP Great Lakes Partnership, subject to the limitations noted above. However, at September 30, 2020 our funding commitment was limited to approximately $4.9 million pursuant to the limitations described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contractual cash obligations and other commercial commitments as of September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7"/>
                <w:szCs w:val="17"/>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3 - 5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$171,046,874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$ 76,725,975</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$ 94,320,899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202"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2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53"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See Note 4 to the consolidated financial statements for the additional information about the level of market observability associated with investments carried at fair value.</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51"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ASC 820: Fair Value establishes the following three-level hierarchy, based upon the transparency of inputs to the fair value measurement of an asset or liability as of the measurement date:</w:t>
      </w:r>
    </w:p>
    <w:p>
      <w:pPr>
        <w:spacing w:after="0" w:line="135" w:lineRule="exact"/>
        <w:rPr>
          <w:sz w:val="20"/>
          <w:szCs w:val="20"/>
          <w:color w:val="auto"/>
        </w:rPr>
      </w:pPr>
    </w:p>
    <w:p>
      <w:pPr>
        <w:ind w:left="740" w:right="200" w:hanging="368"/>
        <w:spacing w:after="0" w:line="266" w:lineRule="auto"/>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135" w:lineRule="exact"/>
        <w:rPr>
          <w:rFonts w:ascii="Times New Roman" w:cs="Times New Roman" w:eastAsia="Times New Roman" w:hAnsi="Times New Roman"/>
          <w:sz w:val="18"/>
          <w:szCs w:val="18"/>
          <w:color w:val="auto"/>
        </w:rPr>
      </w:pPr>
    </w:p>
    <w:p>
      <w:pPr>
        <w:ind w:left="740" w:right="80" w:hanging="368"/>
        <w:spacing w:after="0" w:line="258" w:lineRule="auto"/>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42" w:lineRule="exact"/>
        <w:rPr>
          <w:rFonts w:ascii="Times New Roman" w:cs="Times New Roman" w:eastAsia="Times New Roman" w:hAnsi="Times New Roman"/>
          <w:sz w:val="18"/>
          <w:szCs w:val="18"/>
          <w:color w:val="auto"/>
        </w:rPr>
      </w:pPr>
    </w:p>
    <w:p>
      <w:pPr>
        <w:ind w:left="740" w:right="100" w:hanging="368"/>
        <w:spacing w:after="0" w:line="274" w:lineRule="auto"/>
        <w:tabs>
          <w:tab w:leader="none" w:pos="7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32" w:lineRule="exact"/>
        <w:rPr>
          <w:sz w:val="20"/>
          <w:szCs w:val="20"/>
          <w:color w:val="auto"/>
        </w:rPr>
      </w:pPr>
    </w:p>
    <w:p>
      <w:pPr>
        <w:jc w:val="both"/>
        <w:ind w:right="380" w:firstLine="374"/>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8" w:name="page89"/>
    <w:bookmarkEnd w:id="88"/>
    <w:p>
      <w:pPr>
        <w:ind w:right="20"/>
        <w:spacing w:after="0" w:line="258" w:lineRule="auto"/>
        <w:rPr>
          <w:sz w:val="20"/>
          <w:szCs w:val="20"/>
          <w:color w:val="auto"/>
        </w:rPr>
      </w:pPr>
      <w:r>
        <w:rPr>
          <w:rFonts w:ascii="Times New Roman" w:cs="Times New Roman" w:eastAsia="Times New Roman" w:hAnsi="Times New Roman"/>
          <w:sz w:val="18"/>
          <w:szCs w:val="18"/>
          <w:color w:val="auto"/>
        </w:rPr>
        <w:t>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56" w:lineRule="exact"/>
        <w:rPr>
          <w:sz w:val="20"/>
          <w:szCs w:val="20"/>
          <w:color w:val="auto"/>
        </w:rPr>
      </w:pPr>
    </w:p>
    <w:p>
      <w:pPr>
        <w:ind w:right="340" w:firstLine="374"/>
        <w:spacing w:after="0" w:line="289" w:lineRule="auto"/>
        <w:rPr>
          <w:sz w:val="20"/>
          <w:szCs w:val="20"/>
          <w:color w:val="auto"/>
        </w:rPr>
      </w:pPr>
      <w:r>
        <w:rPr>
          <w:rFonts w:ascii="Times New Roman" w:cs="Times New Roman" w:eastAsia="Times New Roman" w:hAnsi="Times New Roman"/>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17"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5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carry investments in joint ventures at fair value based upon the fair value of the investments held by the joint venture.</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4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56"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9" w:name="page90"/>
    <w:bookmarkEnd w:id="89"/>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53" w:lineRule="exact"/>
        <w:rPr>
          <w:sz w:val="20"/>
          <w:szCs w:val="20"/>
          <w:color w:val="auto"/>
        </w:rPr>
      </w:pPr>
    </w:p>
    <w:p>
      <w:pPr>
        <w:ind w:left="380" w:right="1020"/>
        <w:spacing w:after="0" w:line="453" w:lineRule="auto"/>
        <w:rPr>
          <w:sz w:val="20"/>
          <w:szCs w:val="20"/>
          <w:color w:val="auto"/>
        </w:rPr>
      </w:pPr>
      <w:r>
        <w:rPr>
          <w:rFonts w:ascii="Times New Roman" w:cs="Times New Roman" w:eastAsia="Times New Roman" w:hAnsi="Times New Roman"/>
          <w:sz w:val="18"/>
          <w:szCs w:val="18"/>
          <w:color w:val="auto"/>
        </w:rPr>
        <w:t xml:space="preserve">Our Board may consider other methods of valuation to determine the fair value of investments as appropriate in conformity with GAAP. </w:t>
      </w:r>
      <w:r>
        <w:rPr>
          <w:rFonts w:ascii="Times New Roman" w:cs="Times New Roman" w:eastAsia="Times New Roman" w:hAnsi="Times New Roman"/>
          <w:sz w:val="18"/>
          <w:szCs w:val="18"/>
          <w:b w:val="1"/>
          <w:bCs w:val="1"/>
          <w:i w:val="1"/>
          <w:iCs w:val="1"/>
          <w:color w:val="auto"/>
        </w:rPr>
        <w:t>Interest Income</w:t>
      </w:r>
    </w:p>
    <w:p>
      <w:pPr>
        <w:spacing w:after="0" w:line="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Interest income, including amortization of premium and accretion of discount and accrual of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2020, eight of our investments were on non-accrual status.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on CLO Fund Securities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8"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non-junior class CLO Fund Securities interest is earned at a fixed spread relative to the LIBOR index.</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Asset Manager Affiliates</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record any distributions from our Asset Manager Affiliates on the declaration date, which represents the ex-dividend date. Any distributions in excess of tax-basis earnings and profits are recorded as tax-basis return of capital. For interim periods, we estimate the tax attributes of any distributions as being either from tax-basis earnings and profits (i.e. dividend income) or return of capital (i.e. adjustment to our cost basis in the Asset Manager Affiliates). The final determination of the tax attributes of any distributions from our Asset Manager Affiliates is made on an annual (full calendar year) basis at the end of the year based upon taxable income and distributions for the full-year. Therefore, any estimate of tax attributes of any distributions made on a quarterly basis may not be representative of the actual tax attributes of distributions for a full year.</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Payment in Kind Interest</w:t>
      </w:r>
    </w:p>
    <w:p>
      <w:pPr>
        <w:spacing w:after="0" w:line="18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Fee Income</w:t>
      </w:r>
    </w:p>
    <w:p>
      <w:pPr>
        <w:spacing w:after="0" w:line="202" w:lineRule="exact"/>
        <w:rPr>
          <w:sz w:val="20"/>
          <w:szCs w:val="20"/>
          <w:color w:val="auto"/>
        </w:rPr>
      </w:pPr>
    </w:p>
    <w:p>
      <w:pPr>
        <w:ind w:right="920" w:firstLine="374"/>
        <w:spacing w:after="0" w:line="282" w:lineRule="auto"/>
        <w:rPr>
          <w:sz w:val="20"/>
          <w:szCs w:val="20"/>
          <w:color w:val="auto"/>
        </w:rPr>
      </w:pPr>
      <w:r>
        <w:rPr>
          <w:rFonts w:ascii="Times New Roman" w:cs="Times New Roman" w:eastAsia="Times New Roman" w:hAnsi="Times New Roman"/>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0" w:name="page91"/>
    <w:bookmarkEnd w:id="90"/>
    <w:p>
      <w:pPr>
        <w:ind w:right="260"/>
        <w:spacing w:after="0" w:line="282" w:lineRule="auto"/>
        <w:rPr>
          <w:sz w:val="20"/>
          <w:szCs w:val="20"/>
          <w:color w:val="auto"/>
        </w:rPr>
      </w:pPr>
      <w:r>
        <w:rPr>
          <w:rFonts w:ascii="Times New Roman" w:cs="Times New Roman" w:eastAsia="Times New Roman" w:hAnsi="Times New Roman"/>
          <w:sz w:val="18"/>
          <w:szCs w:val="18"/>
          <w:color w:val="auto"/>
        </w:rPr>
        <w:t>generally recognized as income over the life of the underlying loan, whereas due diligence, structuring, transaction service and management service fees are generally recognized as income when the services are rendered.</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Management Compensation</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2008 Non-Employee Director Plan that was outstanding immediately prior to the Externalization (each, a “Company Stock Option”) was cancelled in exchange for the payment in cash to the holder thereof.</w:t>
      </w:r>
    </w:p>
    <w:p>
      <w:pPr>
        <w:spacing w:after="0" w:line="143"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Taxes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Shareholders</w:t>
      </w:r>
    </w:p>
    <w:p>
      <w:pPr>
        <w:spacing w:after="0" w:line="202"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The amount of our declared distributions, as evaluated by management and approved by our Board, is based primarily on our evaluation of net investment income and distributable taxable income.</w:t>
      </w:r>
    </w:p>
    <w:p>
      <w:pPr>
        <w:spacing w:after="0" w:line="54"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On October 16, 2020, our Board declared a cash distribution of $0.06 per share of common stock, consistent with the current dividend policy. The distribution is payable on November 27, 2020 to shareholders of record at the close of business as of October 26, 2020.</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quarterly distributions paid by us for the 2020, 2019 and 2018 calendar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Declaration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Distribution</w:t>
            </w:r>
          </w:p>
        </w:tc>
        <w:tc>
          <w:tcPr>
            <w:tcW w:w="2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8/5/2020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8/28/2020</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3/17/2020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2/5/2020</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2/18/2020</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2/28/2020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2020</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8/29/2019</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4/26/2019</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12/12/2018</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1/7/2019</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1/31/2019</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2019</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10/29/2018</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7/27/2018</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4/27/2018</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12/13/2017</w:t>
            </w:r>
            <w:r>
              <w:rPr>
                <w:rFonts w:ascii="Times New Roman" w:cs="Times New Roman" w:eastAsia="Times New Roman" w:hAnsi="Times New Roman"/>
                <w:sz w:val="15"/>
                <w:szCs w:val="15"/>
                <w:color w:val="auto"/>
              </w:rPr>
              <w:t>1</w:t>
            </w: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1/5/2018</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1/25/2018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declared in 2018</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Since the record date of this distribution is subsequent to year-end, it is a subsequent year tax event.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73"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17"/>
          <w:szCs w:val="17"/>
          <w:color w:val="auto"/>
        </w:rPr>
        <w:t>On October 28, 2020 we completed the GARS Acquisition, pursuant to the terms and conditions of the GARS Merger Agreement. To effect the acquisition, a wholly owned merger subsidiary of ours merged with and into GARS, with GARS surviving the merger as our wholly owned subsidiary. Immediately thereafter and as a single integrated transaction, GARS consummated a second merger, whereby GARS merged with and into us, with us surviving the merger. Under the terms of the GARS Merger Agreement, each share of common stock, par value $0.001 per share, of GARS (the “GARS Common Stock”) issued and outstanding was converted into the right to receive (i) an amount in cash, without interest, equal to approximately $1.19 and</w:t>
      </w:r>
    </w:p>
    <w:p>
      <w:pPr>
        <w:spacing w:after="0" w:line="3" w:lineRule="exact"/>
        <w:rPr>
          <w:sz w:val="20"/>
          <w:szCs w:val="20"/>
          <w:color w:val="auto"/>
        </w:rPr>
      </w:pPr>
    </w:p>
    <w:p>
      <w:pPr>
        <w:ind w:right="220" w:firstLine="8"/>
        <w:spacing w:after="0" w:line="255" w:lineRule="auto"/>
        <w:tabs>
          <w:tab w:leader="none" w:pos="2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18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On September 22, 2020, putative GARS stockholder Kenneth Bachmeier filed a complaint on behalf of himself and all others similarly situated in the Delaware Court of Chancery, captioned Bachmeier v. Tansey, et al., No. 2020-0812-SG (Del. Ch.). On September 23, 2020, (i) putative GARS stockholder Ricardo Rodriguez filed a complaint in the United States District Court for the Eastern District of New York, captioned Rodriguez v. Garrison Capital Inc., et al., No. 1:20-cv-04512 (E.D.N.Y.) and (ii) putative GARS stockholder Steve Schnipper Individual 401(k) filed a complaint in the United States District Court for the Southern District of New York, captioned Steve Schnipper Individual 401(k) Cust v. Garrison Capital Inc., et al., No. 1:20-cv-07838 (S.D.N.Y.). On September 24, 2020, putative GARS stockholder Edward Smith filed a complaint on behalf of himself and all others similarly situated in the United States District Court for the District of Delaware, captioned Smith v. Garrison Capital Inc., et al., No. 1:20-cv-01290 (D. Del.). On September 25, 2020, putative GARS stockholder Jerome Williams filed a complaint in the United States District Court for the Southern District of New York, captioned Williams v. Garrison Capital, Inc., et al., No. 1:20-cv-07955 (S.D.N.Y.). On September 29, 2020, putative GARS stockholder Stephen Bushansky filed a complaint in, the United States District Court for the Southern District of New York, captioned Bushansky v. Garrison Capital Inc., et al., No. 1:20-cv-08055 (S.D.N.Y.). These lawsuits are collectively referred to as the “Merger Litigation”. The Merger Litigation alleges breach of fiduciary duty claims against the board of directors of GARS and/or violations of sections 14(a) and 20(a) of the Securities Exchange Act of 1934, as amended (the “Exchange Act”) against GARS, the board of directors of GARS and, with respect to one lawsuit (</w:t>
      </w:r>
      <w:r>
        <w:rPr>
          <w:rFonts w:ascii="Times New Roman" w:cs="Times New Roman" w:eastAsia="Times New Roman" w:hAnsi="Times New Roman"/>
          <w:sz w:val="18"/>
          <w:szCs w:val="18"/>
          <w:i w:val="1"/>
          <w:iCs w:val="1"/>
          <w:color w:val="auto"/>
        </w:rPr>
        <w:t>Smith</w:t>
      </w:r>
      <w:r>
        <w:rPr>
          <w:rFonts w:ascii="Times New Roman" w:cs="Times New Roman" w:eastAsia="Times New Roman" w:hAnsi="Times New Roman"/>
          <w:sz w:val="18"/>
          <w:szCs w:val="18"/>
          <w:color w:val="auto"/>
        </w:rPr>
        <w:t>), us and our wholly owned merger subsidiary, in connection with the solicitation of stockholder approval of the GARS Acquisition. The claims against us are made as a purported “control person” of GARS under Section 20(a) of the Exchange Act. The Merger Litigation alleges, among other things, that the proxy statement GARS issued seeking approval of the GARS Acquisition omitted certain information that the plaintiffs claim is material. The plaintiffs in the Merger Litigation sought to enjoin the merger or, in the alternative, an award of recessionary damages, as well as costs and fees. We and the other defendants believe that the claims in the Merger Litigations are wholly without merit, that GARS had previously disclosed all information required to be disclosed to ensure that its stockholders could make an informed vote at its special meeting, and that the additional disclosures requested by the plaintiffs were immaterial. As reported more fully in a Form 8-K dated October 2, 2020, in an attempt to reduce the costs, risks and uncertainties inherent in litigation and to maximize GARS’ net asset value at the time of the merger, a supplemental set of disclosures was also issued. On November 4, 2020, the lawsuit brought against us (</w:t>
      </w:r>
      <w:r>
        <w:rPr>
          <w:rFonts w:ascii="Times New Roman" w:cs="Times New Roman" w:eastAsia="Times New Roman" w:hAnsi="Times New Roman"/>
          <w:sz w:val="18"/>
          <w:szCs w:val="18"/>
          <w:i w:val="1"/>
          <w:iCs w:val="1"/>
          <w:color w:val="auto"/>
        </w:rPr>
        <w:t>Smith</w:t>
      </w:r>
      <w:r>
        <w:rPr>
          <w:rFonts w:ascii="Times New Roman" w:cs="Times New Roman" w:eastAsia="Times New Roman" w:hAnsi="Times New Roman"/>
          <w:sz w:val="18"/>
          <w:szCs w:val="18"/>
          <w:color w:val="auto"/>
        </w:rPr>
        <w:t>) was voluntarily dismissed by the applicable Plaintiffs.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89"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4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Our investment income is affected by fluctuations in various interest rates, including LIBOR and prime rates. As of September 30, 2020, approximately 93% of our Debt Securities Portfolio were floating rate with a spread to an interest rate index such as LIBOR or the prime rate, and 76% of these floating rate loans contain LIBOR floors ranging between 1.00% and 2.00%. We generally expect that future portfolio investments will predominately be floating rate investments. As of September 30, 2020, we had $171.0 million (par value) of borrowings outstanding at a current weighted average rate of 4.5%, of which $76.7 million par value had a fixed rate and $94.3 million par value has a floating rate.</w:t>
      </w:r>
    </w:p>
    <w:p>
      <w:pPr>
        <w:spacing w:after="0" w:line="156"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Revolving Credit Facility would fluctuate with changes in interest rates.</w:t>
      </w:r>
    </w:p>
    <w:p>
      <w:pPr>
        <w:spacing w:after="0" w:line="13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35"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have analyzed the potential impact of changes in interest rates on interest income net of interest expense. Assuming that our balance sheet at September 30, 2020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Impact on net investment income from</w:t>
            </w:r>
          </w:p>
        </w:tc>
      </w:tr>
      <w:tr>
        <w:trPr>
          <w:trHeight w:val="238"/>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2,217,893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4,148,996</w:t>
            </w:r>
          </w:p>
        </w:tc>
        <w:tc>
          <w:tcPr>
            <w:tcW w:w="120" w:type="dxa"/>
            <w:vAlign w:val="bottom"/>
            <w:shd w:val="clear" w:color="auto" w:fill="CFF0FC"/>
          </w:tcPr>
          <w:p>
            <w:pPr>
              <w:spacing w:after="0"/>
              <w:rPr>
                <w:sz w:val="19"/>
                <w:szCs w:val="19"/>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interest rate</w:t>
            </w:r>
          </w:p>
        </w:tc>
        <w:tc>
          <w:tcPr>
            <w:tcW w:w="27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(160,797)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(374,340)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(374,340)</w:t>
            </w:r>
          </w:p>
        </w:tc>
      </w:tr>
    </w:tbl>
    <w:p>
      <w:pPr>
        <w:spacing w:after="0" w:line="193"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As shown above, net investment income assuming a 1% increase in interest rates would increase by approximately $1.1 million on an annualized basis. If the increase in rates was more significant, such as 2% or 3%, the net effect on net investment income would be an increase of approximately $2.2 million and $4.1 million, respectively.</w:t>
      </w:r>
    </w:p>
    <w:p>
      <w:pPr>
        <w:spacing w:after="0" w:line="14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On an annualized basis, a decrease in interest rates of 1%, 2% and 3% would result in a decrease in net investment income of approximately $0.2 million, $0.4 million and $0.4 million, respectively. The effect on net investment income from declines in interest rates impacted by interest rate floors on certain of our floating rate investments, as there is no floor on our floating rate debt facility.</w:t>
      </w:r>
    </w:p>
    <w:p>
      <w:pPr>
        <w:spacing w:after="0" w:line="13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Portfolio Valuation</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 value of investments that cannot be marked to market, the fair value of our investments may differ materially from the values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line="258" w:lineRule="auto"/>
        <w:rPr>
          <w:sz w:val="20"/>
          <w:szCs w:val="20"/>
          <w:color w:val="auto"/>
        </w:rPr>
      </w:pPr>
      <w:r>
        <w:rPr>
          <w:rFonts w:ascii="Times New Roman" w:cs="Times New Roman" w:eastAsia="Times New Roman" w:hAnsi="Times New Roman"/>
          <w:sz w:val="18"/>
          <w:szCs w:val="18"/>
          <w:color w:val="auto"/>
        </w:rPr>
        <w:t>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56"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94" w:name="page95"/>
    <w:bookmarkEnd w:id="94"/>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period ended September 30, 2020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than as described above under “Recent Developments,” the Company is not currently a party to any material legal proceedings.</w:t>
      </w:r>
    </w:p>
    <w:p>
      <w:pPr>
        <w:spacing w:after="0" w:line="19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Other than the items noted below, there have been no material changes during fiscal 2019 to the risk factors that were included in our Annual Report on Form 10-K for the year ended December 31, 2019.</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public health issues, and specifically the novel coronavirus COVID-19, could have an adverse impact on our financial condition and results of operations and other aspects of our business</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are closely monitoring developments related to the COVID-19 pandemic to assess its impact on our and our portfolio companies’ business; while, due to the evolving and highly uncertain nature of this event, it currently is not possible to estimate its impact precisely, the COVID-19 pandemic could impact our business, financial condition, results of operations, liquidity or prospects and those of our portfolio companies in a number of ways. For instance, our investment portfolio (and, specifically, the valuations of investment assets we hold) has been, and may continue to be, adversely affected as a result of market developments from the COVID-19 pandemic and uncertainty regarding its outcome. Moreover, changes in interest rates, reduced liquidity or a continued slowdown in U.S. or global economic conditions may also adversely affect our business, financial condition, results of operations, liquidity or prospects and those of our portfolio companies. Further, extreme market volatility may leave us and our portfolio companies unable to react to market events in a prudent manner consistent with our historical practices in dealing with more orderly markets. Although it is impossible to predict with certainty the full magnitude of the business and economic ramifications, COVID-19 has impacted, and may further impact, our business in various ways, including but not limited to:</w:t>
      </w:r>
    </w:p>
    <w:p>
      <w:pPr>
        <w:spacing w:after="0" w:line="100" w:lineRule="exact"/>
        <w:rPr>
          <w:sz w:val="20"/>
          <w:szCs w:val="20"/>
          <w:color w:val="auto"/>
        </w:rPr>
      </w:pPr>
    </w:p>
    <w:p>
      <w:pPr>
        <w:ind w:left="1000" w:right="120" w:hanging="439"/>
        <w:spacing w:after="0" w:line="261"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 operational perspective, our Adviser’s employees, as well as the workforces of our vendors, service providers and counterparties, may also be adversely affected by the COVID-19 pandemic or efforts to mitigate the pandemic, including government-mandated shutdowns, requests or orders for employees to work remotely, and other social distancing measures, which could result in an adverse impact on our ability to conduct our business;</w:t>
      </w:r>
    </w:p>
    <w:p>
      <w:pPr>
        <w:spacing w:after="0" w:line="85"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market dislocation caused by COVID-19 may present attractive investment opportunities, due to increased volatility in the financial markets, we may not be able to complete those investments;</w:t>
      </w:r>
    </w:p>
    <w:p>
      <w:pPr>
        <w:spacing w:after="0" w:line="67" w:lineRule="exact"/>
        <w:rPr>
          <w:rFonts w:ascii="Times New Roman" w:cs="Times New Roman" w:eastAsia="Times New Roman" w:hAnsi="Times New Roman"/>
          <w:sz w:val="18"/>
          <w:szCs w:val="18"/>
          <w:color w:val="auto"/>
        </w:rPr>
      </w:pPr>
    </w:p>
    <w:p>
      <w:pPr>
        <w:ind w:left="1000" w:right="60" w:hanging="439"/>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impact of COVID-19 continues, we may have more limited opportunities to successfully exit existing investments, due to, among other reasons, lower valuations, decreased revenues and earnings, or lack of potential buyers with financial resources to pursue an acquisition, resulting in a reduced ability to realize value from such investments;</w:t>
      </w:r>
    </w:p>
    <w:p>
      <w:pPr>
        <w:spacing w:after="0" w:line="81" w:lineRule="exact"/>
        <w:rPr>
          <w:rFonts w:ascii="Times New Roman" w:cs="Times New Roman" w:eastAsia="Times New Roman" w:hAnsi="Times New Roman"/>
          <w:sz w:val="18"/>
          <w:szCs w:val="18"/>
          <w:color w:val="auto"/>
        </w:rPr>
      </w:pPr>
    </w:p>
    <w:p>
      <w:pPr>
        <w:ind w:left="1000" w:right="120" w:hanging="439"/>
        <w:spacing w:after="0" w:line="261"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are facing or may face in the future increased credit and liquidity risk due to volatility in financial markets, reduced revenue streams, and limited or higher cost of access to preferred sources of funding, which may result in write-downs or write-offs in the value of our investments. Changes in the debt financing markets are impacting, or, if the volatility in financial market continues, may in the future impact, the ability of our portfolio companies to meet their respective financial obligations;</w:t>
      </w:r>
    </w:p>
    <w:p>
      <w:pPr>
        <w:spacing w:after="0" w:line="85" w:lineRule="exact"/>
        <w:rPr>
          <w:rFonts w:ascii="Times New Roman" w:cs="Times New Roman" w:eastAsia="Times New Roman" w:hAnsi="Times New Roman"/>
          <w:sz w:val="18"/>
          <w:szCs w:val="18"/>
          <w:color w:val="auto"/>
        </w:rPr>
      </w:pPr>
    </w:p>
    <w:p>
      <w:pPr>
        <w:ind w:left="1000" w:right="180" w:hanging="439"/>
        <w:spacing w:after="0" w:line="261"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of loans, notes and other credit instruments in our portfolio may be unable to meet their principal or interest payment obligations or satisfy financial covenants, resulting in a decrease in value of our investments and lower-than-expected return. In addition, for variable interest instruments, lower reference rates resulting from government stimulus programs in response to COVID-19 could lead to lower interest income;</w:t>
      </w:r>
    </w:p>
    <w:p>
      <w:pPr>
        <w:spacing w:after="0" w:line="85" w:lineRule="exact"/>
        <w:rPr>
          <w:rFonts w:ascii="Times New Roman" w:cs="Times New Roman" w:eastAsia="Times New Roman" w:hAnsi="Times New Roman"/>
          <w:sz w:val="18"/>
          <w:szCs w:val="18"/>
          <w:color w:val="auto"/>
        </w:rPr>
      </w:pPr>
    </w:p>
    <w:p>
      <w:pPr>
        <w:ind w:left="1000" w:right="100" w:hanging="439"/>
        <w:spacing w:after="0" w:line="25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portfolio companies operate in industries that are materially impacted by COVID-19, including but not limited to healthcare, travel, entertainment and hospitality. Many of these companies are facing operational and financial hardships resulting from the spread of COVID-19 and related governmental measures, such as the closure of stores, restrictions on travel, quarantines or stay-at-home orders. If the disruptions caused by COVID-19 continue and such measures are not lifted, the businesses of these portfolio companies could suffer materially or become insolvent, which would decrease the value of our investments;</w:t>
      </w:r>
    </w:p>
    <w:p>
      <w:pPr>
        <w:spacing w:after="0" w:line="210"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extended period of remote working by our Adviser’s employees could strain its technology resources and introduce operational risks, including heightened cybersecurity risk. Remote working environments may be less secure and more susceptible to hacking attacks, including phishing and social engineering attempts that seek to exploit the COVID-19 pandemic;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left="1000" w:right="200" w:hanging="439"/>
        <w:spacing w:after="0" w:line="261"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presents a significant threat to our Adviser’s employees’ well-being and morale. While our Adviser has implemented a business continuity plan to protect the health of its employees and has contingency plans in place for key</w:t>
      </w:r>
    </w:p>
    <w:p>
      <w:pPr>
        <w:ind w:left="100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or executive officers who may become sick or otherwise unable to perform their duties for an extended period of time, such plans cannot anticipate all scenarios, and our Adviser may experience potential loss of productivity or a delay in the roll out of certain strategic plans.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w:t>
      </w:r>
    </w:p>
    <w:p>
      <w:pPr>
        <w:spacing w:after="0" w:line="229" w:lineRule="exact"/>
        <w:rPr>
          <w:sz w:val="20"/>
          <w:szCs w:val="20"/>
          <w:color w:val="auto"/>
        </w:rPr>
      </w:pPr>
    </w:p>
    <w:p>
      <w:pPr>
        <w:jc w:val="both"/>
        <w:ind w:firstLine="589"/>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7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Although we have historically paid distributions to our stockholders, we cannot assure you that we will achieve investment results that will allow us to make a specified level of cash distributions or year-to-year increases in cash distributions going forward. Our ability to pay distributions has been, and may continue to be, adversely affected by the impact of one or more of the risk factors described in this report or in our Annual Report on Form 10-K for the fiscal year ended December 31, 2019,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are unable to satisfy the asset coverage test applicable to us under the 1940 Act as a BDC or if we violate certain covenants under our existing or future credit facilities or other borrowing arrangements, we may be limited in our ability to make distributions in the future. If we declare a distribution,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03"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foregoing, the pandemic is exacerbating many of the other risks described in our Annual Report on Form 10-K for the year ended December 31, 2019.</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consummation of the GARS Acquisition, we will hold investments in a collateralized loan obligation vehicle, which investments are subject to a number of significant risks.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GARS directly owns all of the subordinated notes issued as part of the 2018-2 CLO (as defined below) (the “Subordinated Notes”), and after the consummation of the GARS Acquisition, we will consolidate the financial statements of the 2018-2 CLO in our financial statements and treat the Subordinated Notes as leverage. “2018-2 CLO” refers to the $420.0 million collateralized loan obligation (“CLO”) completed on October 18, 2018 by Garrison Funding 2018-2 Ltd., an exempted company incorporated with limited liability under the laws of the Cayman Islands and Garrison Funding 2018-2 LLC, a Delaware limited liability company and wholly-owned subsidiary of Garrison Funding 2018-2 Ltd.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Investments in CLOs, including an investment in the 2018-2 CLO, involve a number of significant risks, including:</w:t>
      </w:r>
    </w:p>
    <w:p>
      <w:pPr>
        <w:spacing w:after="0" w:line="225" w:lineRule="exact"/>
        <w:rPr>
          <w:sz w:val="20"/>
          <w:szCs w:val="20"/>
          <w:color w:val="auto"/>
        </w:rPr>
      </w:pPr>
    </w:p>
    <w:p>
      <w:pPr>
        <w:ind w:left="740" w:right="60" w:hanging="368"/>
        <w:spacing w:after="0" w:line="261" w:lineRule="auto"/>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 typically are comprised of a portfolio of senior secured loans; payments on CLO investments are and will be payable solely from the cash-flows from such senior secured loans;</w:t>
      </w: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investments are exposed to leveraged credit risk;</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Funds are highly leveraged;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the potential for interruption and deferral of cash-flow from CLO investments;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paid by corporate borrowers are subject to volatility;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a CLO collateral manager to reinvest the proceeds of the prepayment of senior secured loans may adversely affect us;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 investments are subject to prepayments and calls, increasing re-investment risk;</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of the administration and amendment of senior secured loans owned by the CLOs in which we invest;</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of the administration and amendment of any CLO in which we invest;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740" w:hanging="368"/>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loans of CLOs may be sold and replaced resulting in a loss to us;</w:t>
      </w:r>
    </w:p>
    <w:p>
      <w:pPr>
        <w:spacing w:after="0" w:line="27" w:lineRule="exact"/>
        <w:rPr>
          <w:rFonts w:ascii="Times New Roman" w:cs="Times New Roman" w:eastAsia="Times New Roman" w:hAnsi="Times New Roman"/>
          <w:sz w:val="18"/>
          <w:szCs w:val="18"/>
          <w:color w:val="auto"/>
        </w:rPr>
      </w:pPr>
    </w:p>
    <w:p>
      <w:pPr>
        <w:ind w:left="740" w:right="40" w:hanging="368"/>
        <w:spacing w:after="0" w:line="250" w:lineRule="auto"/>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affected adversely if one or more of our significant equity or junior debt investments in a CLO vehicle defaults on its payment obligations or fails to perform as we expect; and</w:t>
      </w:r>
    </w:p>
    <w:p>
      <w:pPr>
        <w:ind w:left="740" w:hanging="368"/>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non-investment grade debt involves a greater risk of default and higher price volatility than investment grade debt.</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some of our term loans to our portfolio companies may be priced using a spread over LIBOR, which may be phased out in the future.</w:t>
      </w:r>
    </w:p>
    <w:p>
      <w:pPr>
        <w:spacing w:after="0" w:line="1"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18"/>
          <w:szCs w:val="18"/>
          <w:color w:val="auto"/>
        </w:rPr>
        <w:t>On July 27, 2017, the Financial Conduct Authority (“FCA”) announced that it would phase out the London Interbank Offered Rate (“LIBOR”) as a benchmark by the end of 2021. It is unclear whether new methods of calculating LIBOR will be established such that it continues to exist after 2021 and the FCA has indicated that market participants should not rely on LIBOR being available after 2021. As an alternative to LIBOR, for example, the U.S. Federal Reserve, in conjunction with the Alternative Reference Rates Committee, a steering committee comprised of large U.S. financial institutions, is considering replacing U.S.-dollar LIBOR with the Secured Overnight Financing Rate ("SOFR"), a new index calculated by short-term repurchase agreements, backed by Treasury securities. Abandonment of or modifications to LIBOR could have adverse impacts on newly issued financial instruments and our existing financial instruments which reference LIBOR. While some instruments may contemplate a scenario where LIBOR is no longer available by providing for an alternative rate setting methodology, not all instruments may have such provisions and there is significant uncertainty regarding the effectiveness of any such alternative methodologies. Abandonment of or modifications to LIBOR could lead to significant short-term and long-term uncertainty and market instability. If LIBOR ceases to exist, we and our portfolio companies may need to amend or restructure our existing LIBOR-based debt instruments and any related hedging arrangements that extend beyond 2021, which may be difficult, costly and time consuming. In addition, from time to time we invest in floating rate loans and investment securities whose interest rates are indexed to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or our funds currently own or may in the future own. It remains uncertain how such changes would be implemented and the effects such changes would have on us, issuers of instruments in which we invest and financial markets generally.</w:t>
      </w:r>
    </w:p>
    <w:p>
      <w:pPr>
        <w:spacing w:after="0" w:line="6"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18"/>
          <w:szCs w:val="18"/>
          <w:color w:val="auto"/>
        </w:rPr>
        <w:t>The expected discontinuation of LIBOR could have a significant impact on our business. The dollar amount of our outstanding debt investments and borrowings that are linked to LIBOR with maturity dates after the anticipated discontinuation date of 2021 is material. We anticipate significant operational challenges for the transition away from LIBOR including, but not limited to, amending existing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the cessation of LIBOR could:</w:t>
      </w:r>
    </w:p>
    <w:p>
      <w:pPr>
        <w:spacing w:after="0" w:line="3" w:lineRule="exact"/>
        <w:rPr>
          <w:sz w:val="20"/>
          <w:szCs w:val="20"/>
          <w:color w:val="auto"/>
        </w:rPr>
      </w:pPr>
    </w:p>
    <w:p>
      <w:pPr>
        <w:ind w:left="740" w:hanging="368"/>
        <w:spacing w:after="0" w:line="260"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pricing, liquidity, value of, return on and trading for a broad array of financial products, including any LIBOR-linked securities, loans and derivatives that are included in our assets and liabilities;</w:t>
      </w:r>
    </w:p>
    <w:p>
      <w:pPr>
        <w:spacing w:after="0" w:line="18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inquiries or other actions from regulators in respect of our preparation and readiness for the replacement of LIBOR with one or more alternative reference rates;</w:t>
      </w:r>
    </w:p>
    <w:p>
      <w:pPr>
        <w:spacing w:after="0" w:line="161" w:lineRule="exact"/>
        <w:rPr>
          <w:rFonts w:ascii="Times New Roman" w:cs="Times New Roman" w:eastAsia="Times New Roman" w:hAnsi="Times New Roman"/>
          <w:sz w:val="18"/>
          <w:szCs w:val="18"/>
          <w:color w:val="auto"/>
        </w:rPr>
      </w:pPr>
    </w:p>
    <w:p>
      <w:pPr>
        <w:jc w:val="both"/>
        <w:ind w:left="740" w:hanging="368"/>
        <w:spacing w:after="0" w:line="261"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179"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There is no guarantee that a transition from LIBOR to an alternative will not result in financial market disruptions, significant increases in benchmark rates, or borrowing costs to borrowers, any of which could have a material adverse effect on our business, result of operations, financial condition, and unit price.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While we did not engage in any sales of unregistered securities during the nine months ended September 30, 2020, we issued a total of 73,787 shares of common stock under our dividend reinvestment plan (“DRIP”). This issuance was not subject to the registration requirements of the Securities Act of 1933. For the nine months ended September 30, 2020, the aggregate value of the shares of our common stock issued under our DRIP was approximately $104,000.</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regarding repurchases of shares of our common stock during the nine months ended September 30, 2020:</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80" w:type="dxa"/>
            <w:vAlign w:val="bottom"/>
          </w:tcPr>
          <w:p>
            <w:pPr>
              <w:spacing w:after="0"/>
              <w:rPr>
                <w:sz w:val="12"/>
                <w:szCs w:val="12"/>
                <w:color w:val="auto"/>
              </w:rPr>
            </w:pPr>
          </w:p>
        </w:tc>
        <w:tc>
          <w:tcPr>
            <w:tcW w:w="23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 (Dollars in</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(a)</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 (a)</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1-March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1-June 30, 2020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253,896</w:t>
            </w:r>
          </w:p>
        </w:tc>
        <w:tc>
          <w:tcPr>
            <w:tcW w:w="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1-September 30,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358,959</w:t>
            </w:r>
          </w:p>
        </w:tc>
        <w:tc>
          <w:tcPr>
            <w:tcW w:w="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September 30,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hanging="368"/>
        <w:spacing w:after="0" w:line="256" w:lineRule="auto"/>
        <w:tabs>
          <w:tab w:leader="none" w:pos="7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in the 1940 Act or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87"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Reference is made to the Exhibit List filed as a part of this report beginning on page E-1. Each of such exhibits is incorporated by reference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line="200" w:lineRule="exact"/>
        <w:rPr>
          <w:sz w:val="20"/>
          <w:szCs w:val="20"/>
          <w:color w:val="auto"/>
        </w:rPr>
      </w:pPr>
    </w:p>
    <w:p>
      <w:pPr>
        <w:spacing w:after="0" w:line="2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829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70" w:lineRule="exact"/>
        <w:rPr>
          <w:sz w:val="20"/>
          <w:szCs w:val="20"/>
          <w:color w:val="auto"/>
        </w:rPr>
      </w:pPr>
    </w:p>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21"/>
            <w:szCs w:val="21"/>
            <w:color w:val="0000EE"/>
          </w:rPr>
          <w:t>.</w:t>
        </w:r>
        <w:r>
          <w:rPr>
            <w:rFonts w:ascii="Times New Roman" w:cs="Times New Roman" w:eastAsia="Times New Roman" w:hAnsi="Times New Roman"/>
            <w:sz w:val="18"/>
            <w:szCs w:val="18"/>
            <w:u w:val="single" w:color="auto"/>
            <w:color w:val="0000EE"/>
          </w:rPr>
          <w:t>1</w:t>
        </w:r>
      </w:hyperlink>
    </w:p>
    <w:p>
      <w:pPr>
        <w:spacing w:after="0" w:line="20" w:lineRule="exact"/>
        <w:rPr>
          <w:sz w:val="20"/>
          <w:szCs w:val="20"/>
          <w:color w:val="auto"/>
        </w:rPr>
      </w:pPr>
      <w:r>
        <w:rPr>
          <w:sz w:val="20"/>
          <w:szCs w:val="20"/>
          <w:color w:val="auto"/>
        </w:rPr>
        <w:br w:type="column"/>
      </w:r>
    </w:p>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4808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50"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Agreement and Plan of Merger, dated as of June 24, 2020 by and among Portman Ridge Finance Corporation, Citadel Acquisition Sub Inc.,</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Garrison Capital Inc. and Sierra Crest Investment Management LLC (incorporated by reference to Exhibit 2.1 of the Current Report on Form</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8-K, as filed on June 24, 2020).</w:t>
        </w:r>
      </w:hyperlink>
    </w:p>
    <w:p>
      <w:pPr>
        <w:spacing w:after="0" w:line="19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0" w:space="400"/>
            <w:col w:w="10180"/>
          </w:cols>
          <w:pgMar w:left="320" w:top="117" w:right="359" w:bottom="1440" w:gutter="0" w:footer="0" w:header="0"/>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3.1</w:t>
              </w:r>
            </w:hyperlink>
          </w:p>
        </w:tc>
        <w:tc>
          <w:tcPr>
            <w:tcW w:w="10180" w:type="dxa"/>
            <w:vAlign w:val="bottom"/>
            <w:gridSpan w:val="11"/>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Certificate of Incorporation of Company (incorporated by reference to the exhibit included in Pre-Effective Amendment No. 1 on</w:t>
              </w:r>
            </w:hyperlink>
          </w:p>
        </w:tc>
      </w:tr>
      <w:tr>
        <w:trPr>
          <w:trHeight w:val="196"/>
        </w:trPr>
        <w:tc>
          <w:tcPr>
            <w:tcW w:w="1040" w:type="dxa"/>
            <w:vAlign w:val="bottom"/>
          </w:tcPr>
          <w:p>
            <w:pPr>
              <w:spacing w:after="0"/>
              <w:rPr>
                <w:sz w:val="17"/>
                <w:szCs w:val="17"/>
                <w:color w:val="auto"/>
              </w:rPr>
            </w:pPr>
          </w:p>
        </w:tc>
        <w:tc>
          <w:tcPr>
            <w:tcW w:w="9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N-2, as filed on October 6, 2006 ).</w:t>
              </w:r>
            </w:hyperlink>
          </w:p>
        </w:tc>
        <w:tc>
          <w:tcPr>
            <w:tcW w:w="2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3.1.1</w:t>
              </w:r>
            </w:hyperlink>
          </w:p>
        </w:tc>
        <w:tc>
          <w:tcPr>
            <w:tcW w:w="10180" w:type="dxa"/>
            <w:vAlign w:val="bottom"/>
            <w:gridSpan w:val="11"/>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Certificate of Amendment to Certificate of Incorporation of Portman Ridge Finance Corporation (incorporated by reference to Exhibit 3.1 of</w:t>
              </w:r>
            </w:hyperlink>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the Current Report on Form 8-K, as filed on April 2, 2019).</w:t>
              </w:r>
            </w:hyperlink>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rFonts w:ascii="Times New Roman" w:cs="Times New Roman" w:eastAsia="Times New Roman" w:hAnsi="Times New Roman"/>
                <w:sz w:val="18"/>
                <w:szCs w:val="18"/>
                <w:u w:val="single" w:color="auto"/>
                <w:color w:val="0000EE"/>
              </w:rPr>
            </w:pPr>
            <w:hyperlink r:id="rId144">
              <w:r>
                <w:rPr>
                  <w:rFonts w:ascii="Times New Roman" w:cs="Times New Roman" w:eastAsia="Times New Roman" w:hAnsi="Times New Roman"/>
                  <w:sz w:val="18"/>
                  <w:szCs w:val="18"/>
                  <w:u w:val="single" w:color="auto"/>
                  <w:color w:val="0000EE"/>
                </w:rPr>
                <w:t>3.2</w:t>
              </w:r>
            </w:hyperlink>
          </w:p>
        </w:tc>
        <w:tc>
          <w:tcPr>
            <w:tcW w:w="10180" w:type="dxa"/>
            <w:vAlign w:val="bottom"/>
            <w:gridSpan w:val="11"/>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Second Amended and Restated Bylaws of KCAP Financial, Inc., dated as of December 12, 2018 (incorporated by reference to Exhibit 3.1 of</w:t>
              </w:r>
            </w:hyperlink>
          </w:p>
        </w:tc>
      </w:tr>
      <w:tr>
        <w:trPr>
          <w:trHeight w:val="196"/>
        </w:trPr>
        <w:tc>
          <w:tcPr>
            <w:tcW w:w="10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the Current Report on Form 8-K, as filed on December 14, 2018).</w:t>
              </w:r>
            </w:hyperlink>
          </w:p>
        </w:tc>
        <w:tc>
          <w:tcPr>
            <w:tcW w:w="538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40" w:type="dxa"/>
            <w:vAlign w:val="bottom"/>
          </w:tcPr>
          <w:p>
            <w:pPr>
              <w:spacing w:after="0"/>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3.2.1</w:t>
              </w:r>
            </w:hyperlink>
          </w:p>
        </w:tc>
        <w:tc>
          <w:tcPr>
            <w:tcW w:w="10180" w:type="dxa"/>
            <w:vAlign w:val="bottom"/>
            <w:gridSpan w:val="11"/>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No. 1 to the Second Amended and Restated Bylaws of Portman Ridge Finance Corporation (incorporated by reference to</w:t>
              </w:r>
            </w:hyperlink>
          </w:p>
        </w:tc>
      </w:tr>
      <w:tr>
        <w:trPr>
          <w:trHeight w:val="196"/>
        </w:trPr>
        <w:tc>
          <w:tcPr>
            <w:tcW w:w="1040" w:type="dxa"/>
            <w:vAlign w:val="bottom"/>
          </w:tcPr>
          <w:p>
            <w:pPr>
              <w:spacing w:after="0"/>
              <w:rPr>
                <w:sz w:val="17"/>
                <w:szCs w:val="17"/>
                <w:color w:val="auto"/>
              </w:rPr>
            </w:pPr>
          </w:p>
        </w:tc>
        <w:tc>
          <w:tcPr>
            <w:tcW w:w="96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Exhibit 3.2 of the Current Report on Form 8-K, as filed on April 2, 2019).</w:t>
              </w:r>
            </w:hyperlink>
          </w:p>
        </w:tc>
        <w:tc>
          <w:tcPr>
            <w:tcW w:w="50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682"/>
        </w:trPr>
        <w:tc>
          <w:tcPr>
            <w:tcW w:w="104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31.1**</w:t>
              </w:r>
            </w:hyperlink>
          </w:p>
        </w:tc>
        <w:tc>
          <w:tcPr>
            <w:tcW w:w="9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Certification of Chief Executive Officer Pursuant to Rule 13a-14(a) under the Securities Exchange Act of 1934, as adopted pursuant to</w:t>
              </w:r>
            </w:hyperlink>
          </w:p>
        </w:tc>
        <w:tc>
          <w:tcPr>
            <w:tcW w:w="4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Section 302 of the Sarbanes-Oxley Act of 2002.</w:t>
              </w:r>
            </w:hyperlink>
          </w:p>
        </w:tc>
        <w:tc>
          <w:tcPr>
            <w:tcW w:w="6720" w:type="dxa"/>
            <w:vAlign w:val="bottom"/>
            <w:gridSpan w:val="9"/>
          </w:tcPr>
          <w:p>
            <w:pPr>
              <w:spacing w:after="0"/>
              <w:rPr>
                <w:sz w:val="17"/>
                <w:szCs w:val="17"/>
                <w:color w:val="auto"/>
              </w:rPr>
            </w:pPr>
          </w:p>
        </w:tc>
      </w:tr>
      <w:tr>
        <w:trPr>
          <w:trHeight w:val="317"/>
        </w:trPr>
        <w:tc>
          <w:tcPr>
            <w:tcW w:w="104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31.2**</w:t>
              </w:r>
            </w:hyperlink>
          </w:p>
        </w:tc>
        <w:tc>
          <w:tcPr>
            <w:tcW w:w="10180" w:type="dxa"/>
            <w:vAlign w:val="bottom"/>
            <w:gridSpan w:val="11"/>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Certification of Chief Financial Officer Pursuant to Rule 13a-14(a) under the Securities Exchange Act of 1934, as adopted pursuant to</w:t>
              </w:r>
            </w:hyperlink>
          </w:p>
        </w:tc>
      </w:tr>
      <w:tr>
        <w:trPr>
          <w:trHeight w:val="196"/>
        </w:trPr>
        <w:tc>
          <w:tcPr>
            <w:tcW w:w="10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Section 302 of the Sarbanes-Oxley Act of 2002.</w:t>
              </w:r>
            </w:hyperlink>
          </w:p>
        </w:tc>
        <w:tc>
          <w:tcPr>
            <w:tcW w:w="6180" w:type="dxa"/>
            <w:vAlign w:val="bottom"/>
            <w:tcBorders>
              <w:top w:val="single" w:sz="8" w:color="0000EE"/>
            </w:tcBorders>
            <w:gridSpan w:val="4"/>
          </w:tcPr>
          <w:p>
            <w:pPr>
              <w:spacing w:after="0"/>
              <w:rPr>
                <w:sz w:val="17"/>
                <w:szCs w:val="17"/>
                <w:color w:val="auto"/>
              </w:rPr>
            </w:pPr>
          </w:p>
        </w:tc>
        <w:tc>
          <w:tcPr>
            <w:tcW w:w="540" w:type="dxa"/>
            <w:vAlign w:val="bottom"/>
            <w:gridSpan w:val="5"/>
          </w:tcPr>
          <w:p>
            <w:pPr>
              <w:spacing w:after="0"/>
              <w:rPr>
                <w:sz w:val="17"/>
                <w:szCs w:val="17"/>
                <w:color w:val="auto"/>
              </w:rPr>
            </w:pPr>
          </w:p>
        </w:tc>
      </w:tr>
      <w:tr>
        <w:trPr>
          <w:trHeight w:val="358"/>
        </w:trPr>
        <w:tc>
          <w:tcPr>
            <w:tcW w:w="104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32.1**</w:t>
              </w:r>
            </w:hyperlink>
          </w:p>
        </w:tc>
        <w:tc>
          <w:tcPr>
            <w:tcW w:w="10180" w:type="dxa"/>
            <w:vAlign w:val="bottom"/>
            <w:gridSpan w:val="11"/>
          </w:tcPr>
          <w:p>
            <w:pPr>
              <w:spacing w:after="0"/>
              <w:rPr>
                <w:rFonts w:ascii="Times New Roman" w:cs="Times New Roman" w:eastAsia="Times New Roman" w:hAnsi="Times New Roman"/>
                <w:sz w:val="18"/>
                <w:szCs w:val="18"/>
                <w:u w:val="single" w:color="auto"/>
                <w:color w:val="0000EE"/>
                <w:w w:val="99"/>
              </w:rPr>
            </w:pPr>
            <w:hyperlink w:anchor="page104">
              <w:r>
                <w:rPr>
                  <w:rFonts w:ascii="Times New Roman" w:cs="Times New Roman" w:eastAsia="Times New Roman" w:hAnsi="Times New Roman"/>
                  <w:sz w:val="18"/>
                  <w:szCs w:val="18"/>
                  <w:u w:val="single" w:color="auto"/>
                  <w:color w:val="0000EE"/>
                  <w:w w:val="99"/>
                </w:rPr>
                <w:t>Certification of Chief Executive Officer Pursuant to 18 U. S. C. 1350, as adopted pursuant to Section 906 of the Sarbanes-Oxley Act of 2002.</w:t>
              </w:r>
            </w:hyperlink>
          </w:p>
        </w:tc>
      </w:tr>
      <w:tr>
        <w:trPr>
          <w:trHeight w:val="338"/>
        </w:trPr>
        <w:tc>
          <w:tcPr>
            <w:tcW w:w="104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32.2**</w:t>
              </w:r>
            </w:hyperlink>
          </w:p>
        </w:tc>
        <w:tc>
          <w:tcPr>
            <w:tcW w:w="10180" w:type="dxa"/>
            <w:vAlign w:val="bottom"/>
            <w:gridSpan w:val="11"/>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Certification of Chief Financial Officer Pursuant to 18 U. S. C. 1350, as adopted pursuant to Section 906 of the Sarbanes-Oxley Act of 2002.</w:t>
              </w:r>
            </w:hyperlink>
          </w:p>
        </w:tc>
      </w:tr>
    </w:tbl>
    <w:p>
      <w:pPr>
        <w:spacing w:after="0" w:line="200" w:lineRule="exact"/>
        <w:rPr>
          <w:sz w:val="20"/>
          <w:szCs w:val="20"/>
          <w:color w:val="auto"/>
        </w:rPr>
      </w:pPr>
    </w:p>
    <w:p>
      <w:pPr>
        <w:spacing w:after="0" w:line="362"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PORTMAN RIDGE FINANCE CORPORATION</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2020</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Goldthorpe</w:t>
            </w:r>
          </w:p>
        </w:tc>
      </w:tr>
      <w:tr>
        <w:trPr>
          <w:trHeight w:val="189"/>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Edward Goldthorpe</w:t>
            </w:r>
          </w:p>
        </w:tc>
      </w:tr>
      <w:tr>
        <w:trPr>
          <w:trHeight w:val="216"/>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2020</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Edward U. Gilpin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80"/>
        <w:spacing w:after="0"/>
        <w:rPr>
          <w:sz w:val="20"/>
          <w:szCs w:val="20"/>
          <w:color w:val="auto"/>
        </w:rPr>
      </w:pPr>
      <w:r>
        <w:rPr>
          <w:rFonts w:ascii="Times New Roman" w:cs="Times New Roman" w:eastAsia="Times New Roman" w:hAnsi="Times New Roman"/>
          <w:sz w:val="18"/>
          <w:szCs w:val="18"/>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Edward Goldthorpe, certify that:</w:t>
      </w:r>
    </w:p>
    <w:p>
      <w:pPr>
        <w:spacing w:after="0" w:line="117" w:lineRule="exact"/>
        <w:rPr>
          <w:sz w:val="20"/>
          <w:szCs w:val="20"/>
          <w:color w:val="auto"/>
        </w:rPr>
      </w:pPr>
    </w:p>
    <w:p>
      <w:pPr>
        <w:ind w:right="600" w:firstLine="456"/>
        <w:spacing w:after="0" w:line="282" w:lineRule="auto"/>
        <w:tabs>
          <w:tab w:leader="none" w:pos="6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Portman Ridge Finance Corporation (the “registrant”);</w:t>
      </w:r>
    </w:p>
    <w:p>
      <w:pPr>
        <w:spacing w:after="0" w:line="53" w:lineRule="exact"/>
        <w:rPr>
          <w:rFonts w:ascii="Times New Roman" w:cs="Times New Roman" w:eastAsia="Times New Roman" w:hAnsi="Times New Roman"/>
          <w:sz w:val="18"/>
          <w:szCs w:val="18"/>
          <w:color w:val="auto"/>
        </w:rPr>
      </w:pPr>
    </w:p>
    <w:p>
      <w:pPr>
        <w:ind w:right="80" w:firstLine="456"/>
        <w:spacing w:after="0" w:line="312" w:lineRule="auto"/>
        <w:tabs>
          <w:tab w:leader="none" w:pos="62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456"/>
        <w:spacing w:after="0" w:line="282" w:lineRule="auto"/>
        <w:tabs>
          <w:tab w:leader="none" w:pos="6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456"/>
        <w:spacing w:after="0" w:line="266" w:lineRule="auto"/>
        <w:tabs>
          <w:tab w:leader="none" w:pos="6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60" w:firstLine="456"/>
        <w:spacing w:after="0" w:line="266" w:lineRule="auto"/>
        <w:tabs>
          <w:tab w:leader="none" w:pos="6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380" w:firstLine="456"/>
        <w:spacing w:after="0" w:line="266" w:lineRule="auto"/>
        <w:tabs>
          <w:tab w:leader="none" w:pos="7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40" w:firstLine="456"/>
        <w:spacing w:after="0" w:line="282" w:lineRule="auto"/>
        <w:tabs>
          <w:tab w:leader="none" w:pos="6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456"/>
        <w:spacing w:after="0" w:line="266" w:lineRule="auto"/>
        <w:tabs>
          <w:tab w:leader="none" w:pos="7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00" w:firstLine="456"/>
        <w:spacing w:after="0" w:line="282" w:lineRule="auto"/>
        <w:tabs>
          <w:tab w:leader="none" w:pos="6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40" w:firstLine="456"/>
        <w:spacing w:after="0" w:line="282" w:lineRule="auto"/>
        <w:tabs>
          <w:tab w:leader="none" w:pos="69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456"/>
        <w:spacing w:after="0" w:line="282" w:lineRule="auto"/>
        <w:tabs>
          <w:tab w:leader="none" w:pos="70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52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Edward U. Gilpin, certify that:</w:t>
      </w:r>
    </w:p>
    <w:p>
      <w:pPr>
        <w:spacing w:after="0" w:line="117" w:lineRule="exact"/>
        <w:rPr>
          <w:sz w:val="20"/>
          <w:szCs w:val="20"/>
          <w:color w:val="auto"/>
        </w:rPr>
      </w:pPr>
    </w:p>
    <w:p>
      <w:pPr>
        <w:ind w:right="600" w:firstLine="456"/>
        <w:spacing w:after="0" w:line="282" w:lineRule="auto"/>
        <w:tabs>
          <w:tab w:leader="none" w:pos="6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Portman Ridge Finance Corporation (the “registrant”);</w:t>
      </w:r>
    </w:p>
    <w:p>
      <w:pPr>
        <w:spacing w:after="0" w:line="53" w:lineRule="exact"/>
        <w:rPr>
          <w:rFonts w:ascii="Times New Roman" w:cs="Times New Roman" w:eastAsia="Times New Roman" w:hAnsi="Times New Roman"/>
          <w:sz w:val="18"/>
          <w:szCs w:val="18"/>
          <w:color w:val="auto"/>
        </w:rPr>
      </w:pPr>
    </w:p>
    <w:p>
      <w:pPr>
        <w:ind w:right="80" w:firstLine="456"/>
        <w:spacing w:after="0" w:line="312" w:lineRule="auto"/>
        <w:tabs>
          <w:tab w:leader="none" w:pos="62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100" w:firstLine="456"/>
        <w:spacing w:after="0" w:line="282" w:lineRule="auto"/>
        <w:tabs>
          <w:tab w:leader="none" w:pos="6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456"/>
        <w:spacing w:after="0" w:line="266" w:lineRule="auto"/>
        <w:tabs>
          <w:tab w:leader="none" w:pos="6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60" w:firstLine="456"/>
        <w:spacing w:after="0" w:line="266" w:lineRule="auto"/>
        <w:tabs>
          <w:tab w:leader="none" w:pos="6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64"/>
        <w:spacing w:after="0"/>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40" w:firstLine="456"/>
        <w:spacing w:after="0" w:line="282" w:lineRule="auto"/>
        <w:tabs>
          <w:tab w:leader="none" w:pos="6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456"/>
        <w:spacing w:after="0" w:line="266" w:lineRule="auto"/>
        <w:tabs>
          <w:tab w:leader="none" w:pos="70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00" w:firstLine="456"/>
        <w:spacing w:after="0" w:line="282" w:lineRule="auto"/>
        <w:tabs>
          <w:tab w:leader="none" w:pos="6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40" w:firstLine="456"/>
        <w:spacing w:after="0" w:line="282" w:lineRule="auto"/>
        <w:tabs>
          <w:tab w:leader="none" w:pos="6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456"/>
        <w:spacing w:after="0" w:line="282" w:lineRule="auto"/>
        <w:tabs>
          <w:tab w:leader="none" w:pos="7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S /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7"/>
          <w:szCs w:val="17"/>
          <w:color w:val="auto"/>
        </w:rPr>
        <w:t xml:space="preserve"> U. G</w:t>
      </w:r>
      <w:r>
        <w:rPr>
          <w:rFonts w:ascii="Times New Roman" w:cs="Times New Roman" w:eastAsia="Times New Roman" w:hAnsi="Times New Roman"/>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Portman Ridge Finance Corporation (the “Company”) on Form 10-Q for the quarter ended September 30, 2020 (the “Report”), I, Edward Goldthorpe, President and Chief Executive Officer of the Company, certify, pursuant to 18 U.S.C. §1350, as adopted pursuant to §906 of the Sarbanes-Oxley Act of 2002, that:</w:t>
      </w:r>
    </w:p>
    <w:p>
      <w:pPr>
        <w:spacing w:after="0" w:line="135" w:lineRule="exact"/>
        <w:rPr>
          <w:sz w:val="20"/>
          <w:szCs w:val="20"/>
          <w:color w:val="auto"/>
        </w:rPr>
      </w:pPr>
    </w:p>
    <w:p>
      <w:pPr>
        <w:ind w:left="700" w:hanging="260"/>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52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Portman Ridge Finance Corporation the “Company”) on Form 10-Q for the quarter ended September 30, 2020 (the “Report”), I, Edward U. Gilpin, Chief Financial Officer of the Company, certify, pursuant to 18 U.S.C. §1350, as adopted pursuant to §906 of the Sarbanes-Oxley Act of 2002, that:</w:t>
      </w:r>
    </w:p>
    <w:p>
      <w:pPr>
        <w:spacing w:after="0" w:line="135" w:lineRule="exact"/>
        <w:rPr>
          <w:sz w:val="20"/>
          <w:szCs w:val="20"/>
          <w:color w:val="auto"/>
        </w:rPr>
      </w:pPr>
    </w:p>
    <w:p>
      <w:pPr>
        <w:ind w:left="700" w:hanging="260"/>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S /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7"/>
          <w:szCs w:val="17"/>
          <w:color w:val="auto"/>
        </w:rPr>
        <w:t xml:space="preserve"> U. G</w:t>
      </w:r>
      <w:r>
        <w:rPr>
          <w:rFonts w:ascii="Times New Roman" w:cs="Times New Roman" w:eastAsia="Times New Roman" w:hAnsi="Times New Roman"/>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bullet"/>
      <w:start w:val="1"/>
    </w:lvl>
  </w:abstractNum>
  <w:abstractNum w:abstractNumId="6">
    <w:nsid w:val="275AC794"/>
    <w:multiLevelType w:val="hybridMultilevel"/>
    <w:lvl w:ilvl="0">
      <w:lvlJc w:val="left"/>
      <w:lvlText w:val="2"/>
      <w:numFmt w:val="bullet"/>
      <w:start w:val="1"/>
    </w:lvl>
  </w:abstractNum>
  <w:abstractNum w:abstractNumId="7">
    <w:nsid w:val="39386575"/>
    <w:multiLevelType w:val="hybridMultilevel"/>
    <w:lvl w:ilvl="0">
      <w:lvlJc w:val="left"/>
      <w:lvlText w:val="%1"/>
      <w:numFmt w:val="decimal"/>
      <w:start w:val="18"/>
    </w:lvl>
  </w:abstractNum>
  <w:abstractNum w:abstractNumId="8">
    <w:nsid w:val="1CF10FD8"/>
    <w:multiLevelType w:val="hybridMultilevel"/>
    <w:lvl w:ilvl="0">
      <w:lvlJc w:val="left"/>
      <w:lvlText w:val="1"/>
      <w:numFmt w:val="bullet"/>
      <w:start w:val="1"/>
    </w:lvl>
  </w:abstractNum>
  <w:abstractNum w:abstractNumId="9">
    <w:nsid w:val="180115BE"/>
    <w:multiLevelType w:val="hybridMultilevel"/>
    <w:lvl w:ilvl="0">
      <w:lvlJc w:val="left"/>
      <w:lvlText w:val="2"/>
      <w:numFmt w:val="bullet"/>
      <w:start w:val="1"/>
    </w:lvl>
  </w:abstractNum>
  <w:abstractNum w:abstractNumId="10">
    <w:nsid w:val="235BA861"/>
    <w:multiLevelType w:val="hybridMultilevel"/>
    <w:lvl w:ilvl="0">
      <w:lvlJc w:val="left"/>
      <w:lvlText w:val="%1"/>
      <w:numFmt w:val="decimal"/>
      <w:start w:val="14"/>
    </w:lvl>
  </w:abstractNum>
  <w:abstractNum w:abstractNumId="11">
    <w:nsid w:val="47398C89"/>
    <w:multiLevelType w:val="hybridMultilevel"/>
    <w:lvl w:ilvl="0">
      <w:lvlJc w:val="left"/>
      <w:lvlText w:val="1"/>
      <w:numFmt w:val="bullet"/>
      <w:start w:val="1"/>
    </w:lvl>
  </w:abstractNum>
  <w:abstractNum w:abstractNumId="12">
    <w:nsid w:val="354FE9F9"/>
    <w:multiLevelType w:val="hybridMultilevel"/>
    <w:lvl w:ilvl="0">
      <w:lvlJc w:val="left"/>
      <w:lvlText w:val="2"/>
      <w:numFmt w:val="bullet"/>
      <w:start w:val="1"/>
    </w:lvl>
  </w:abstractNum>
  <w:abstractNum w:abstractNumId="13">
    <w:nsid w:val="15B5AF5C"/>
    <w:multiLevelType w:val="hybridMultilevel"/>
    <w:lvl w:ilvl="0">
      <w:lvlJc w:val="left"/>
      <w:lvlText w:val="3"/>
      <w:numFmt w:val="bullet"/>
      <w:start w:val="1"/>
    </w:lvl>
  </w:abstractNum>
  <w:abstractNum w:abstractNumId="14">
    <w:nsid w:val="741226BB"/>
    <w:multiLevelType w:val="hybridMultilevel"/>
    <w:lvl w:ilvl="0">
      <w:lvlJc w:val="left"/>
      <w:lvlText w:val="4"/>
      <w:numFmt w:val="bullet"/>
      <w:start w:val="1"/>
    </w:lvl>
  </w:abstractNum>
  <w:abstractNum w:abstractNumId="15">
    <w:nsid w:val="D34B6A8"/>
    <w:multiLevelType w:val="hybridMultilevel"/>
    <w:lvl w:ilvl="0">
      <w:lvlJc w:val="left"/>
      <w:lvlText w:val="5"/>
      <w:numFmt w:val="bullet"/>
      <w:start w:val="1"/>
    </w:lvl>
  </w:abstractNum>
  <w:abstractNum w:abstractNumId="16">
    <w:nsid w:val="10233C99"/>
    <w:multiLevelType w:val="hybridMultilevel"/>
    <w:lvl w:ilvl="0">
      <w:lvlJc w:val="left"/>
      <w:lvlText w:val="6"/>
      <w:numFmt w:val="bullet"/>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1."/>
      <w:numFmt w:val="decimal"/>
      <w:start w:val="2"/>
    </w:lvl>
  </w:abstractNum>
  <w:abstractNum w:abstractNumId="19">
    <w:nsid w:val="7E0C57B1"/>
    <w:multiLevelType w:val="hybridMultilevel"/>
    <w:lvl w:ilvl="0">
      <w:lvlJc w:val="left"/>
      <w:lvlText w:val="%1:"/>
      <w:numFmt w:val="decimal"/>
      <w:start w:val="820"/>
    </w:lvl>
  </w:abstractNum>
  <w:abstractNum w:abstractNumId="20">
    <w:nsid w:val="77AE35EB"/>
    <w:multiLevelType w:val="hybridMultilevel"/>
    <w:lvl w:ilvl="0">
      <w:lvlJc w:val="left"/>
      <w:lvlText w:val="%1."/>
      <w:numFmt w:val="decimal"/>
      <w:start w:val="3"/>
    </w:lvl>
  </w:abstractNum>
  <w:abstractNum w:abstractNumId="21">
    <w:nsid w:val="579BE4F1"/>
    <w:multiLevelType w:val="hybridMultilevel"/>
    <w:lvl w:ilvl="0">
      <w:lvlJc w:val="left"/>
      <w:lvlText w:val="%1."/>
      <w:numFmt w:val="decimal"/>
      <w:start w:val="4"/>
    </w:lvl>
  </w:abstractNum>
  <w:abstractNum w:abstractNumId="22">
    <w:nsid w:val="310C50B3"/>
    <w:multiLevelType w:val="hybridMultilevel"/>
    <w:lvl w:ilvl="0">
      <w:lvlJc w:val="left"/>
      <w:lvlText w:val="1"/>
      <w:numFmt w:val="bullet"/>
      <w:start w:val="1"/>
    </w:lvl>
  </w:abstractNum>
  <w:abstractNum w:abstractNumId="23">
    <w:nsid w:val="5FF87E05"/>
    <w:multiLevelType w:val="hybridMultilevel"/>
    <w:lvl w:ilvl="0">
      <w:lvlJc w:val="left"/>
      <w:lvlText w:val="2"/>
      <w:numFmt w:val="bullet"/>
      <w:start w:val="1"/>
    </w:lvl>
  </w:abstractNum>
  <w:abstractNum w:abstractNumId="24">
    <w:nsid w:val="2F305DEF"/>
    <w:multiLevelType w:val="hybridMultilevel"/>
    <w:lvl w:ilvl="0">
      <w:lvlJc w:val="left"/>
      <w:lvlText w:val="3"/>
      <w:numFmt w:val="bullet"/>
      <w:start w:val="1"/>
    </w:lvl>
  </w:abstractNum>
  <w:abstractNum w:abstractNumId="25">
    <w:nsid w:val="25A70BF7"/>
    <w:multiLevelType w:val="hybridMultilevel"/>
    <w:lvl w:ilvl="0">
      <w:lvlJc w:val="left"/>
      <w:lvlText w:val="1"/>
      <w:numFmt w:val="bullet"/>
      <w:start w:val="1"/>
    </w:lvl>
  </w:abstractNum>
  <w:abstractNum w:abstractNumId="26">
    <w:nsid w:val="1DBABF00"/>
    <w:multiLevelType w:val="hybridMultilevel"/>
    <w:lvl w:ilvl="0">
      <w:lvlJc w:val="left"/>
      <w:lvlText w:val="2"/>
      <w:numFmt w:val="bullet"/>
      <w:start w:val="1"/>
    </w:lvl>
  </w:abstractNum>
  <w:abstractNum w:abstractNumId="27">
    <w:nsid w:val="4AD084E9"/>
    <w:multiLevelType w:val="hybridMultilevel"/>
    <w:lvl w:ilvl="0">
      <w:lvlJc w:val="left"/>
      <w:lvlText w:val="1"/>
      <w:numFmt w:val="bullet"/>
      <w:start w:val="1"/>
    </w:lvl>
  </w:abstractNum>
  <w:abstractNum w:abstractNumId="28">
    <w:nsid w:val="1F48EAA1"/>
    <w:multiLevelType w:val="hybridMultilevel"/>
    <w:lvl w:ilvl="0">
      <w:lvlJc w:val="left"/>
      <w:lvlText w:val="2"/>
      <w:numFmt w:val="bullet"/>
      <w:start w:val="1"/>
    </w:lvl>
  </w:abstractNum>
  <w:abstractNum w:abstractNumId="29">
    <w:nsid w:val="1381823A"/>
    <w:multiLevelType w:val="hybridMultilevel"/>
    <w:lvl w:ilvl="0">
      <w:lvlJc w:val="left"/>
      <w:lvlText w:val="3"/>
      <w:numFmt w:val="bullet"/>
      <w:start w:val="1"/>
    </w:lvl>
  </w:abstractNum>
  <w:abstractNum w:abstractNumId="30">
    <w:nsid w:val="5DB70AE5"/>
    <w:multiLevelType w:val="hybridMultilevel"/>
    <w:lvl w:ilvl="0">
      <w:lvlJc w:val="left"/>
      <w:lvlText w:val="4"/>
      <w:numFmt w:val="bullet"/>
      <w:start w:val="1"/>
    </w:lvl>
  </w:abstractNum>
  <w:abstractNum w:abstractNumId="31">
    <w:nsid w:val="100F8FCA"/>
    <w:multiLevelType w:val="hybridMultilevel"/>
    <w:lvl w:ilvl="0">
      <w:lvlJc w:val="left"/>
      <w:lvlText w:val="5"/>
      <w:numFmt w:val="bullet"/>
      <w:start w:val="1"/>
    </w:lvl>
  </w:abstractNum>
  <w:abstractNum w:abstractNumId="32">
    <w:nsid w:val="6590700B"/>
    <w:multiLevelType w:val="hybridMultilevel"/>
    <w:lvl w:ilvl="0">
      <w:lvlJc w:val="left"/>
      <w:lvlText w:val="6"/>
      <w:numFmt w:val="bullet"/>
      <w:start w:val="1"/>
    </w:lvl>
  </w:abstractNum>
  <w:abstractNum w:abstractNumId="33">
    <w:nsid w:val="15014ACB"/>
    <w:multiLevelType w:val="hybridMultilevel"/>
    <w:lvl w:ilvl="0">
      <w:lvlJc w:val="left"/>
      <w:lvlText w:val="7"/>
      <w:numFmt w:val="bullet"/>
      <w:start w:val="1"/>
    </w:lvl>
  </w:abstractNum>
  <w:abstractNum w:abstractNumId="34">
    <w:nsid w:val="5F5E7FD0"/>
    <w:multiLevelType w:val="hybridMultilevel"/>
    <w:lvl w:ilvl="0">
      <w:lvlJc w:val="left"/>
      <w:lvlText w:val="8"/>
      <w:numFmt w:val="bullet"/>
      <w:start w:val="1"/>
    </w:lvl>
  </w:abstractNum>
  <w:abstractNum w:abstractNumId="35">
    <w:nsid w:val="98A3148"/>
    <w:multiLevelType w:val="hybridMultilevel"/>
    <w:lvl w:ilvl="0">
      <w:lvlJc w:val="left"/>
      <w:lvlText w:val="9"/>
      <w:numFmt w:val="bullet"/>
      <w:start w:val="1"/>
    </w:lvl>
  </w:abstractNum>
  <w:abstractNum w:abstractNumId="36">
    <w:nsid w:val="799D0247"/>
    <w:multiLevelType w:val="hybridMultilevel"/>
    <w:lvl w:ilvl="0">
      <w:lvlJc w:val="left"/>
      <w:lvlText w:val="1"/>
      <w:numFmt w:val="bullet"/>
      <w:start w:val="1"/>
    </w:lvl>
  </w:abstractNum>
  <w:abstractNum w:abstractNumId="37">
    <w:nsid w:val="6B94764"/>
    <w:multiLevelType w:val="hybridMultilevel"/>
    <w:lvl w:ilvl="0">
      <w:lvlJc w:val="left"/>
      <w:lvlText w:val="2"/>
      <w:numFmt w:val="bullet"/>
      <w:start w:val="1"/>
    </w:lvl>
  </w:abstractNum>
  <w:abstractNum w:abstractNumId="38">
    <w:nsid w:val="42C296BD"/>
    <w:multiLevelType w:val="hybridMultilevel"/>
    <w:lvl w:ilvl="0">
      <w:lvlJc w:val="left"/>
      <w:lvlText w:val="3"/>
      <w:numFmt w:val="bullet"/>
      <w:start w:val="1"/>
    </w:lvl>
  </w:abstractNum>
  <w:abstractNum w:abstractNumId="39">
    <w:nsid w:val="168E121F"/>
    <w:multiLevelType w:val="hybridMultilevel"/>
    <w:lvl w:ilvl="0">
      <w:lvlJc w:val="left"/>
      <w:lvlText w:val="4"/>
      <w:numFmt w:val="bullet"/>
      <w:start w:val="1"/>
    </w:lvl>
  </w:abstractNum>
  <w:abstractNum w:abstractNumId="40">
    <w:nsid w:val="1EBA5D23"/>
    <w:multiLevelType w:val="hybridMultilevel"/>
    <w:lvl w:ilvl="0">
      <w:lvlJc w:val="left"/>
      <w:lvlText w:val="5"/>
      <w:numFmt w:val="bullet"/>
      <w:start w:val="1"/>
    </w:lvl>
  </w:abstractNum>
  <w:abstractNum w:abstractNumId="41">
    <w:nsid w:val="661E3F1E"/>
    <w:multiLevelType w:val="hybridMultilevel"/>
    <w:lvl w:ilvl="0">
      <w:lvlJc w:val="left"/>
      <w:lvlText w:val="6"/>
      <w:numFmt w:val="bullet"/>
      <w:start w:val="1"/>
    </w:lvl>
  </w:abstractNum>
  <w:abstractNum w:abstractNumId="42">
    <w:nsid w:val="5DC79EA8"/>
    <w:multiLevelType w:val="hybridMultilevel"/>
    <w:lvl w:ilvl="0">
      <w:lvlJc w:val="left"/>
      <w:lvlText w:val="7"/>
      <w:numFmt w:val="bullet"/>
      <w:start w:val="1"/>
    </w:lvl>
  </w:abstractNum>
  <w:abstractNum w:abstractNumId="43">
    <w:nsid w:val="540A471C"/>
    <w:multiLevelType w:val="hybridMultilevel"/>
    <w:lvl w:ilvl="0">
      <w:lvlJc w:val="left"/>
      <w:lvlText w:val="8"/>
      <w:numFmt w:val="bullet"/>
      <w:start w:val="1"/>
    </w:lvl>
  </w:abstractNum>
  <w:abstractNum w:abstractNumId="44">
    <w:nsid w:val="7BD3EE7B"/>
    <w:multiLevelType w:val="hybridMultilevel"/>
    <w:lvl w:ilvl="0">
      <w:lvlJc w:val="left"/>
      <w:lvlText w:val="9"/>
      <w:numFmt w:val="bullet"/>
      <w:start w:val="1"/>
    </w:lvl>
  </w:abstractNum>
  <w:abstractNum w:abstractNumId="45">
    <w:nsid w:val="51D9C564"/>
    <w:multiLevelType w:val="hybridMultilevel"/>
    <w:lvl w:ilvl="0">
      <w:lvlJc w:val="left"/>
      <w:lvlText w:val="\emdash "/>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820"/>
    </w:lvl>
  </w:abstractNum>
  <w:abstractNum w:abstractNumId="49">
    <w:nsid w:val="42963E5A"/>
    <w:multiLevelType w:val="hybridMultilevel"/>
    <w:lvl w:ilvl="0">
      <w:lvlJc w:val="left"/>
      <w:lvlText w:val="1"/>
      <w:numFmt w:val="bullet"/>
      <w:start w:val="1"/>
    </w:lvl>
  </w:abstractNum>
  <w:abstractNum w:abstractNumId="50">
    <w:nsid w:val="A0382C5"/>
    <w:multiLevelType w:val="hybridMultilevel"/>
    <w:lvl w:ilvl="0">
      <w:lvlJc w:val="left"/>
      <w:lvlText w:val="2"/>
      <w:numFmt w:val="bullet"/>
      <w:start w:val="1"/>
    </w:lvl>
  </w:abstractNum>
  <w:abstractNum w:abstractNumId="51">
    <w:nsid w:val="8F2B15E"/>
    <w:multiLevelType w:val="hybridMultilevel"/>
    <w:lvl w:ilvl="0">
      <w:lvlJc w:val="left"/>
      <w:lvlText w:val="1"/>
      <w:numFmt w:val="bullet"/>
      <w:start w:val="1"/>
    </w:lvl>
  </w:abstractNum>
  <w:abstractNum w:abstractNumId="52">
    <w:nsid w:val="1A32234B"/>
    <w:multiLevelType w:val="hybridMultilevel"/>
    <w:lvl w:ilvl="0">
      <w:lvlJc w:val="left"/>
      <w:lvlText w:val="2"/>
      <w:numFmt w:val="bullet"/>
      <w:start w:val="1"/>
    </w:lvl>
  </w:abstractNum>
  <w:abstractNum w:abstractNumId="53">
    <w:nsid w:val="3B0FD379"/>
    <w:multiLevelType w:val="hybridMultilevel"/>
    <w:lvl w:ilvl="0">
      <w:lvlJc w:val="left"/>
      <w:lvlText w:val="1"/>
      <w:numFmt w:val="bullet"/>
      <w:start w:val="1"/>
    </w:lvl>
  </w:abstractNum>
  <w:abstractNum w:abstractNumId="54">
    <w:nsid w:val="68EB2F63"/>
    <w:multiLevelType w:val="hybridMultilevel"/>
    <w:lvl w:ilvl="0">
      <w:lvlJc w:val="left"/>
      <w:lvlText w:val="2"/>
      <w:numFmt w:val="bullet"/>
      <w:start w:val="1"/>
    </w:lvl>
  </w:abstractNum>
  <w:abstractNum w:abstractNumId="55">
    <w:nsid w:val="4962813B"/>
    <w:multiLevelType w:val="hybridMultilevel"/>
    <w:lvl w:ilvl="0">
      <w:lvlJc w:val="left"/>
      <w:lvlText w:val="1"/>
      <w:numFmt w:val="bullet"/>
      <w:start w:val="1"/>
    </w:lvl>
  </w:abstractNum>
  <w:abstractNum w:abstractNumId="56">
    <w:nsid w:val="60B6DF70"/>
    <w:multiLevelType w:val="hybridMultilevel"/>
    <w:lvl w:ilvl="0">
      <w:lvlJc w:val="left"/>
      <w:lvlText w:val="2"/>
      <w:numFmt w:val="bullet"/>
      <w:start w:val="1"/>
    </w:lvl>
  </w:abstractNum>
  <w:abstractNum w:abstractNumId="57">
    <w:nsid w:val="6A5EE64"/>
    <w:multiLevelType w:val="hybridMultilevel"/>
    <w:lvl w:ilvl="0">
      <w:lvlJc w:val="left"/>
      <w:lvlText w:val="%1."/>
      <w:numFmt w:val="decimal"/>
      <w:start w:val="5"/>
    </w:lvl>
  </w:abstractNum>
  <w:abstractNum w:abstractNumId="58">
    <w:nsid w:val="14330624"/>
    <w:multiLevelType w:val="hybridMultilevel"/>
    <w:lvl w:ilvl="0">
      <w:lvlJc w:val="left"/>
      <w:lvlText w:val="%1."/>
      <w:numFmt w:val="decimal"/>
      <w:start w:val="6"/>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lowerRoman"/>
      <w:start w:val="2"/>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lowerRoman"/>
      <w:start w:val="1"/>
    </w:lvl>
  </w:abstractNum>
  <w:abstractNum w:abstractNumId="63">
    <w:nsid w:val="7FB7E0AA"/>
    <w:multiLevelType w:val="hybridMultilevel"/>
    <w:lvl w:ilvl="0">
      <w:lvlJc w:val="left"/>
      <w:lvlText w:val="%1."/>
      <w:numFmt w:val="decimal"/>
      <w:start w:val="8"/>
    </w:lvl>
  </w:abstractNum>
  <w:abstractNum w:abstractNumId="64">
    <w:nsid w:val="6EB5BD4"/>
    <w:multiLevelType w:val="hybridMultilevel"/>
    <w:lvl w:ilvl="0">
      <w:lvlJc w:val="left"/>
      <w:lvlText w:val="%1."/>
      <w:numFmt w:val="decimal"/>
      <w:start w:val="9"/>
    </w:lvl>
  </w:abstractNum>
  <w:abstractNum w:abstractNumId="65">
    <w:nsid w:val="6F6DD9AC"/>
    <w:multiLevelType w:val="hybridMultilevel"/>
    <w:lvl w:ilvl="0">
      <w:lvlJc w:val="left"/>
      <w:lvlText w:val="%1."/>
      <w:numFmt w:val="decimal"/>
      <w:start w:val="10"/>
    </w:lvl>
  </w:abstractNum>
  <w:abstractNum w:abstractNumId="66">
    <w:nsid w:val="94211F2"/>
    <w:multiLevelType w:val="hybridMultilevel"/>
    <w:lvl w:ilvl="0">
      <w:lvlJc w:val="left"/>
      <w:lvlText w:val="1"/>
      <w:numFmt w:val="bullet"/>
      <w:start w:val="1"/>
    </w:lvl>
  </w:abstractNum>
  <w:abstractNum w:abstractNumId="67">
    <w:nsid w:val="885E1B"/>
    <w:multiLevelType w:val="hybridMultilevel"/>
    <w:lvl w:ilvl="0">
      <w:lvlJc w:val="left"/>
      <w:lvlText w:val="(%1)"/>
      <w:numFmt w:val="lowerRoman"/>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¹"/>
      <w:numFmt w:val="bullet"/>
      <w:start w:val="1"/>
    </w:lvl>
  </w:abstractNum>
  <w:abstractNum w:abstractNumId="71">
    <w:nsid w:val="14E17E33"/>
    <w:multiLevelType w:val="hybridMultilevel"/>
    <w:lvl w:ilvl="0">
      <w:lvlJc w:val="left"/>
      <w:lvlText w:val="²"/>
      <w:numFmt w:val="bullet"/>
      <w:start w:val="1"/>
    </w:lvl>
  </w:abstractNum>
  <w:abstractNum w:abstractNumId="72">
    <w:nsid w:val="3222E7CD"/>
    <w:multiLevelType w:val="hybridMultilevel"/>
    <w:lvl w:ilvl="0">
      <w:lvlJc w:val="left"/>
      <w:lvlText w:val="³"/>
      <w:numFmt w:val="bullet"/>
      <w:start w:val="1"/>
    </w:lvl>
  </w:abstractNum>
  <w:abstractNum w:abstractNumId="73">
    <w:nsid w:val="74DE0EE3"/>
    <w:multiLevelType w:val="hybridMultilevel"/>
    <w:lvl w:ilvl="0">
      <w:lvlJc w:val="left"/>
      <w:lvlText w:val="1"/>
      <w:numFmt w:val="bullet"/>
      <w:start w:val="1"/>
    </w:lvl>
  </w:abstractNum>
  <w:abstractNum w:abstractNumId="74">
    <w:nsid w:val="68EBC550"/>
    <w:multiLevelType w:val="hybridMultilevel"/>
    <w:lvl w:ilvl="0">
      <w:lvlJc w:val="left"/>
      <w:lvlText w:val="2"/>
      <w:numFmt w:val="bullet"/>
      <w:start w:val="1"/>
    </w:lvl>
  </w:abstractNum>
  <w:abstractNum w:abstractNumId="75">
    <w:nsid w:val="2DF6D648"/>
    <w:multiLevelType w:val="hybridMultilevel"/>
    <w:lvl w:ilvl="0">
      <w:lvlJc w:val="left"/>
      <w:lvlText w:val="1"/>
      <w:numFmt w:val="bullet"/>
      <w:start w:val="1"/>
    </w:lvl>
  </w:abstractNum>
  <w:abstractNum w:abstractNumId="76">
    <w:nsid w:val="46B7D447"/>
    <w:multiLevelType w:val="hybridMultilevel"/>
    <w:lvl w:ilvl="0">
      <w:lvlJc w:val="left"/>
      <w:lvlText w:val="2"/>
      <w:numFmt w:val="bullet"/>
      <w:start w:val="1"/>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1"/>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bullet"/>
      <w:start w:val="1"/>
    </w:lvl>
  </w:abstractNum>
  <w:abstractNum w:abstractNumId="87">
    <w:nsid w:val="5FB8370B"/>
    <w:multiLevelType w:val="hybridMultilevel"/>
    <w:lvl w:ilvl="0">
      <w:lvlJc w:val="left"/>
      <w:lvlText w:val="(%1)"/>
      <w:numFmt w:val="lowerRoman"/>
      <w:start w:val="2"/>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5"/>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1"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40" Type="http://schemas.openxmlformats.org/officeDocument/2006/relationships/hyperlink" Target="http://www.sec.gov/Archives/edgar/data/1372807/000119312520178041/d948145d8k.htm" TargetMode="External"/><Relationship Id="rId142" Type="http://schemas.openxmlformats.org/officeDocument/2006/relationships/hyperlink" Target="http://www.sec.gov/Archives/edgar/data/1372807/000119312506204545/dex99a.htm" TargetMode="External"/><Relationship Id="rId143" Type="http://schemas.openxmlformats.org/officeDocument/2006/relationships/hyperlink" Target="http://www.sec.gov/Archives/edgar/data/1372807/000114420419017514/tv517653_ex3-1.htm" TargetMode="External"/><Relationship Id="rId144" Type="http://schemas.openxmlformats.org/officeDocument/2006/relationships/hyperlink" Target="http://www.sec.gov/Archives/edgar/data/1372807/000114420418064543/tv509148_ex3-1.htm" TargetMode="External"/><Relationship Id="rId145" Type="http://schemas.openxmlformats.org/officeDocument/2006/relationships/hyperlink" Target="http://www.sec.gov/Archives/edgar/data/1372807/000114420419017514/tv51765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2020-11-09T16:23:06Z</dcterms:created>
  <dcterms:modified xsi:type="dcterms:W3CDTF">2020-11-09T16:23:06Z</dcterms:modified>
</cp:coreProperties>
</file>