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p>
      <w:pPr>
        <w:ind w:left="3660" w:right="1720" w:hanging="3287"/>
        <w:spacing w:after="0" w:line="328" w:lineRule="auto"/>
        <w:rPr>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ind w:left="360"/>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02" w:lineRule="exact"/>
        <w:rPr>
          <w:sz w:val="24"/>
          <w:szCs w:val="24"/>
          <w:color w:val="auto"/>
        </w:rPr>
      </w:pPr>
    </w:p>
    <w:p>
      <w:pPr>
        <w:ind w:left="4540"/>
        <w:spacing w:after="0"/>
        <w:tabs>
          <w:tab w:leader="none" w:pos="7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Commission File No. 814-00735</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Portman Ridge Finance Corporation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p>
      <w:pPr>
        <w:spacing w:after="0" w:line="192"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20-5951150</w:t>
      </w:r>
    </w:p>
    <w:p>
      <w:pPr>
        <w:spacing w:after="0" w:line="68" w:lineRule="exact"/>
        <w:rPr>
          <w:sz w:val="24"/>
          <w:szCs w:val="24"/>
          <w:color w:val="auto"/>
        </w:rPr>
      </w:pPr>
    </w:p>
    <w:p>
      <w:pPr>
        <w:sectPr>
          <w:pgSz w:w="11900" w:h="16838" w:orient="portrait"/>
          <w:cols w:equalWidth="0" w:num="2">
            <w:col w:w="7320" w:space="720"/>
            <w:col w:w="3200"/>
          </w:cols>
          <w:pgMar w:left="320" w:top="575" w:right="33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37" w:lineRule="exact"/>
        <w:rPr>
          <w:sz w:val="24"/>
          <w:szCs w:val="24"/>
          <w:color w:val="auto"/>
        </w:rPr>
      </w:pP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spacing w:after="0" w:line="25" w:lineRule="exact"/>
        <w:rPr>
          <w:sz w:val="24"/>
          <w:szCs w:val="24"/>
          <w:color w:val="auto"/>
        </w:rPr>
      </w:pPr>
    </w:p>
    <w:p>
      <w:pPr>
        <w:jc w:val="center"/>
        <w:ind w:right="2060"/>
        <w:spacing w:after="0"/>
        <w:rPr>
          <w:sz w:val="20"/>
          <w:szCs w:val="20"/>
          <w:color w:val="auto"/>
        </w:rPr>
      </w:pPr>
      <w:r>
        <w:rPr>
          <w:rFonts w:ascii="Arial" w:cs="Arial" w:eastAsia="Arial" w:hAnsi="Arial"/>
          <w:sz w:val="13"/>
          <w:szCs w:val="13"/>
          <w:b w:val="1"/>
          <w:bCs w:val="1"/>
          <w:color w:val="auto"/>
        </w:rPr>
        <w:t>Identification Number)</w:t>
      </w:r>
    </w:p>
    <w:p>
      <w:pPr>
        <w:spacing w:after="0" w:line="101" w:lineRule="exact"/>
        <w:rPr>
          <w:sz w:val="24"/>
          <w:szCs w:val="24"/>
          <w:color w:val="auto"/>
        </w:rPr>
      </w:pPr>
    </w:p>
    <w:p>
      <w:pPr>
        <w:sectPr>
          <w:pgSz w:w="11900" w:h="16838" w:orient="portrait"/>
          <w:cols w:equalWidth="0" w:num="2">
            <w:col w:w="7040" w:space="720"/>
            <w:col w:w="3480"/>
          </w:cols>
          <w:pgMar w:left="320" w:top="575"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650 Madison Avenue, 23rd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240"/>
          </w:cols>
          <w:pgMar w:left="320" w:top="575" w:right="339" w:bottom="1440" w:gutter="0" w:footer="0" w:header="0"/>
          <w:type w:val="continuous"/>
        </w:sectPr>
      </w:pPr>
    </w:p>
    <w:p>
      <w:pPr>
        <w:spacing w:after="0" w:line="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891-2880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3680" w:type="dxa"/>
            <w:vAlign w:val="bottom"/>
          </w:tcPr>
          <w:p>
            <w:pPr>
              <w:spacing w:after="0"/>
              <w:rPr>
                <w:sz w:val="17"/>
                <w:szCs w:val="17"/>
                <w:color w:val="auto"/>
              </w:rPr>
            </w:pPr>
          </w:p>
        </w:tc>
        <w:tc>
          <w:tcPr>
            <w:tcW w:w="3820" w:type="dxa"/>
            <w:vAlign w:val="bottom"/>
            <w:gridSpan w:val="5"/>
          </w:tcPr>
          <w:p>
            <w:pPr>
              <w:ind w:left="80"/>
              <w:spacing w:after="0"/>
              <w:rPr>
                <w:sz w:val="20"/>
                <w:szCs w:val="20"/>
                <w:color w:val="auto"/>
              </w:rPr>
            </w:pPr>
            <w:r>
              <w:rPr>
                <w:rFonts w:ascii="Arial" w:cs="Arial" w:eastAsia="Arial" w:hAnsi="Arial"/>
                <w:sz w:val="16"/>
                <w:szCs w:val="16"/>
                <w:color w:val="auto"/>
                <w:w w:val="91"/>
              </w:rPr>
              <w:t>Securities registered pursuant to Section 12(b) of the Act:</w:t>
            </w:r>
          </w:p>
        </w:tc>
        <w:tc>
          <w:tcPr>
            <w:tcW w:w="3740" w:type="dxa"/>
            <w:vAlign w:val="bottom"/>
          </w:tcPr>
          <w:p>
            <w:pPr>
              <w:spacing w:after="0"/>
              <w:rPr>
                <w:sz w:val="17"/>
                <w:szCs w:val="17"/>
                <w:color w:val="auto"/>
              </w:rPr>
            </w:pPr>
          </w:p>
        </w:tc>
      </w:tr>
      <w:tr>
        <w:trPr>
          <w:trHeight w:val="213"/>
        </w:trPr>
        <w:tc>
          <w:tcPr>
            <w:tcW w:w="3680" w:type="dxa"/>
            <w:vAlign w:val="bottom"/>
            <w:tcBorders>
              <w:bottom w:val="single" w:sz="8" w:color="auto"/>
            </w:tcBorders>
          </w:tcPr>
          <w:p>
            <w:pPr>
              <w:jc w:val="center"/>
              <w:ind w:left="739"/>
              <w:spacing w:after="0"/>
              <w:rPr>
                <w:sz w:val="20"/>
                <w:szCs w:val="20"/>
                <w:color w:val="auto"/>
              </w:rPr>
            </w:pPr>
            <w:r>
              <w:rPr>
                <w:rFonts w:ascii="Arial" w:cs="Arial" w:eastAsia="Arial" w:hAnsi="Arial"/>
                <w:sz w:val="16"/>
                <w:szCs w:val="16"/>
                <w:b w:val="1"/>
                <w:bCs w:val="1"/>
                <w:color w:val="auto"/>
                <w:w w:val="88"/>
              </w:rPr>
              <w:t>Title of each class</w:t>
            </w:r>
          </w:p>
        </w:tc>
        <w:tc>
          <w:tcPr>
            <w:tcW w:w="8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jc w:val="center"/>
              <w:ind w:right="63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6"/>
        </w:trPr>
        <w:tc>
          <w:tcPr>
            <w:tcW w:w="3680" w:type="dxa"/>
            <w:vAlign w:val="bottom"/>
          </w:tcPr>
          <w:p>
            <w:pPr>
              <w:jc w:val="center"/>
              <w:ind w:left="759"/>
              <w:spacing w:after="0"/>
              <w:rPr>
                <w:sz w:val="20"/>
                <w:szCs w:val="20"/>
                <w:color w:val="auto"/>
              </w:rPr>
            </w:pPr>
            <w:r>
              <w:rPr>
                <w:rFonts w:ascii="Arial" w:cs="Arial" w:eastAsia="Arial" w:hAnsi="Arial"/>
                <w:sz w:val="16"/>
                <w:szCs w:val="16"/>
                <w:color w:val="auto"/>
                <w:w w:val="90"/>
              </w:rPr>
              <w:t>Common Stock, par value $0.01 per share</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gridSpan w:val="3"/>
          </w:tcPr>
          <w:p>
            <w:pPr>
              <w:jc w:val="center"/>
              <w:ind w:right="840"/>
              <w:spacing w:after="0"/>
              <w:rPr>
                <w:sz w:val="20"/>
                <w:szCs w:val="20"/>
                <w:color w:val="auto"/>
              </w:rPr>
            </w:pPr>
            <w:r>
              <w:rPr>
                <w:rFonts w:ascii="Arial" w:cs="Arial" w:eastAsia="Arial" w:hAnsi="Arial"/>
                <w:sz w:val="16"/>
                <w:szCs w:val="16"/>
                <w:color w:val="auto"/>
                <w:w w:val="96"/>
              </w:rPr>
              <w:t>PTMN</w:t>
            </w:r>
          </w:p>
        </w:tc>
        <w:tc>
          <w:tcPr>
            <w:tcW w:w="3740" w:type="dxa"/>
            <w:vAlign w:val="bottom"/>
          </w:tcPr>
          <w:p>
            <w:pPr>
              <w:jc w:val="center"/>
              <w:ind w:right="639"/>
              <w:spacing w:after="0"/>
              <w:rPr>
                <w:sz w:val="20"/>
                <w:szCs w:val="20"/>
                <w:color w:val="auto"/>
              </w:rPr>
            </w:pPr>
            <w:r>
              <w:rPr>
                <w:rFonts w:ascii="Arial" w:cs="Arial" w:eastAsia="Arial" w:hAnsi="Arial"/>
                <w:sz w:val="16"/>
                <w:szCs w:val="16"/>
                <w:color w:val="auto"/>
                <w:w w:val="94"/>
              </w:rPr>
              <w:t>The NASDAQ Global Select Market</w:t>
            </w:r>
          </w:p>
        </w:tc>
      </w:tr>
    </w:tbl>
    <w:p>
      <w:pPr>
        <w:spacing w:after="0" w:line="293" w:lineRule="exact"/>
        <w:rPr>
          <w:sz w:val="24"/>
          <w:szCs w:val="24"/>
          <w:color w:val="auto"/>
        </w:rPr>
      </w:pPr>
    </w:p>
    <w:p>
      <w:pPr>
        <w:ind w:right="260" w:firstLine="374"/>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34" w:lineRule="exact"/>
        <w:rPr>
          <w:sz w:val="24"/>
          <w:szCs w:val="24"/>
          <w:color w:val="auto"/>
        </w:rPr>
      </w:pPr>
    </w:p>
    <w:p>
      <w:pPr>
        <w:ind w:right="40" w:firstLine="374"/>
        <w:spacing w:after="0" w:line="30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No</w:t>
      </w:r>
    </w:p>
    <w:p>
      <w:pPr>
        <w:spacing w:after="0" w:line="1" w:lineRule="exact"/>
        <w:rPr>
          <w:sz w:val="24"/>
          <w:szCs w:val="24"/>
          <w:color w:val="auto"/>
        </w:rPr>
      </w:pPr>
    </w:p>
    <w:p>
      <w:pPr>
        <w:ind w:right="380" w:firstLine="37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96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96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59" w:lineRule="exact"/>
        <w:rPr>
          <w:sz w:val="24"/>
          <w:szCs w:val="24"/>
          <w:color w:val="auto"/>
        </w:rPr>
      </w:pPr>
    </w:p>
    <w:p>
      <w:pPr>
        <w:ind w:right="200" w:firstLine="37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4" w:lineRule="exact"/>
        <w:rPr>
          <w:sz w:val="24"/>
          <w:szCs w:val="24"/>
          <w:color w:val="auto"/>
        </w:rPr>
      </w:pPr>
    </w:p>
    <w:p>
      <w:pPr>
        <w:ind w:left="380"/>
        <w:spacing w:after="0"/>
        <w:tabs>
          <w:tab w:leader="none" w:pos="75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 Yes</w:t>
        <w:tab/>
        <w:t>No</w:t>
      </w:r>
    </w:p>
    <w:p>
      <w:pPr>
        <w:spacing w:after="0" w:line="161" w:lineRule="exact"/>
        <w:rPr>
          <w:sz w:val="24"/>
          <w:szCs w:val="24"/>
          <w:color w:val="auto"/>
        </w:rPr>
      </w:pPr>
    </w:p>
    <w:p>
      <w:pPr>
        <w:ind w:left="380"/>
        <w:spacing w:after="0"/>
        <w:rPr>
          <w:sz w:val="20"/>
          <w:szCs w:val="20"/>
          <w:color w:val="auto"/>
        </w:rPr>
      </w:pPr>
      <w:r>
        <w:rPr>
          <w:rFonts w:ascii="Arial" w:cs="Arial" w:eastAsia="Arial" w:hAnsi="Arial"/>
          <w:sz w:val="18"/>
          <w:szCs w:val="18"/>
          <w:color w:val="auto"/>
        </w:rPr>
        <w:t>The number of outstanding shares of common stock of the registrant as of November 3, 2021 was 9,123,275.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422275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57"/>
        </w:trPr>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7"/>
        </w:trPr>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820" w:type="dxa"/>
            <w:vAlign w:val="bottom"/>
            <w:gridSpan w:val="14"/>
            <w:shd w:val="clear" w:color="auto" w:fill="CCEEFF"/>
          </w:tcPr>
          <w:p>
            <w:pPr>
              <w:jc w:val="center"/>
              <w:ind w:right="3560"/>
              <w:spacing w:after="0" w:line="202" w:lineRule="exact"/>
              <w:rPr>
                <w:sz w:val="20"/>
                <w:szCs w:val="20"/>
                <w:color w:val="auto"/>
              </w:rPr>
            </w:pPr>
            <w:r>
              <w:rPr>
                <w:rFonts w:ascii="Arial" w:cs="Arial" w:eastAsia="Arial" w:hAnsi="Arial"/>
                <w:sz w:val="18"/>
                <w:szCs w:val="18"/>
                <w:b w:val="1"/>
                <w:bCs w:val="1"/>
                <w:color w:val="auto"/>
                <w:w w:val="95"/>
              </w:rPr>
              <w:t>Part I. Financial Information</w:t>
            </w:r>
          </w:p>
        </w:tc>
        <w:tc>
          <w:tcPr>
            <w:tcW w:w="720" w:type="dxa"/>
            <w:vAlign w:val="bottom"/>
            <w:shd w:val="clear" w:color="auto" w:fill="CCEEFF"/>
          </w:tcPr>
          <w:p>
            <w:pPr>
              <w:spacing w:after="0"/>
              <w:rPr>
                <w:sz w:val="20"/>
                <w:szCs w:val="20"/>
                <w:color w:val="auto"/>
              </w:rPr>
            </w:pPr>
          </w:p>
        </w:tc>
      </w:tr>
      <w:tr>
        <w:trPr>
          <w:trHeight w:val="257"/>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57"/>
        </w:trPr>
        <w:tc>
          <w:tcPr>
            <w:tcW w:w="1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22"/>
            <w:shd w:val="clear" w:color="auto" w:fill="CCEEFF"/>
          </w:tcPr>
          <w:p>
            <w:pPr>
              <w:ind w:left="100"/>
              <w:spacing w:after="0"/>
              <w:rPr>
                <w:sz w:val="20"/>
                <w:szCs w:val="20"/>
                <w:color w:val="auto"/>
              </w:rPr>
            </w:pPr>
            <w:r>
              <w:rPr>
                <w:rFonts w:ascii="Arial" w:cs="Arial" w:eastAsia="Arial" w:hAnsi="Arial"/>
                <w:sz w:val="18"/>
                <w:szCs w:val="18"/>
                <w:color w:val="auto"/>
              </w:rPr>
              <w:t>Consolidated Financial Statements</w:t>
            </w:r>
          </w:p>
        </w:tc>
        <w:tc>
          <w:tcPr>
            <w:tcW w:w="720" w:type="dxa"/>
            <w:vAlign w:val="bottom"/>
            <w:shd w:val="clear" w:color="auto" w:fill="CCEEFF"/>
          </w:tcPr>
          <w:p>
            <w:pPr>
              <w:spacing w:after="0"/>
              <w:rPr>
                <w:sz w:val="22"/>
                <w:szCs w:val="22"/>
                <w:color w:val="auto"/>
              </w:rPr>
            </w:pPr>
          </w:p>
        </w:tc>
      </w:tr>
      <w:tr>
        <w:trPr>
          <w:trHeight w:val="256"/>
        </w:trPr>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7"/>
        </w:trPr>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60" w:type="dxa"/>
            <w:vAlign w:val="bottom"/>
            <w:gridSpan w:val="22"/>
            <w:shd w:val="clear" w:color="auto" w:fill="CCEEFF"/>
          </w:tcPr>
          <w:p>
            <w:pPr>
              <w:ind w:left="10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Consolidated Balance Sheets as of September 30, 2021 (unaudited) and December 31, 2020</w:t>
              </w:r>
            </w:hyperlink>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r>
      <w:tr>
        <w:trPr>
          <w:trHeight w:val="257"/>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1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3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37"/>
        </w:trPr>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60" w:type="dxa"/>
            <w:vAlign w:val="bottom"/>
            <w:gridSpan w:val="22"/>
            <w:shd w:val="clear" w:color="auto" w:fill="CCEEFF"/>
          </w:tcPr>
          <w:p>
            <w:pPr>
              <w:ind w:left="100"/>
              <w:spacing w:after="0" w:line="202" w:lineRule="exact"/>
              <w:rPr>
                <w:rFonts w:ascii="Arial" w:cs="Arial" w:eastAsia="Arial" w:hAnsi="Arial"/>
                <w:sz w:val="18"/>
                <w:szCs w:val="18"/>
                <w:color w:val="0000FF"/>
                <w:w w:val="97"/>
              </w:rPr>
            </w:pPr>
            <w:hyperlink w:anchor="page6">
              <w:r>
                <w:rPr>
                  <w:rFonts w:ascii="Arial" w:cs="Arial" w:eastAsia="Arial" w:hAnsi="Arial"/>
                  <w:sz w:val="18"/>
                  <w:szCs w:val="18"/>
                  <w:color w:val="0000FF"/>
                  <w:w w:val="97"/>
                </w:rPr>
                <w:t>Consolidated Statements of Operations (unaudited) for the three and nine months ended September 30, 2021 and 2020</w:t>
              </w:r>
            </w:hyperlink>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r>
      <w:tr>
        <w:trPr>
          <w:trHeight w:val="256"/>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1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3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06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37"/>
        </w:trPr>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60" w:type="dxa"/>
            <w:vAlign w:val="bottom"/>
            <w:gridSpan w:val="22"/>
            <w:shd w:val="clear" w:color="auto" w:fill="CCEEFF"/>
          </w:tcPr>
          <w:p>
            <w:pPr>
              <w:ind w:left="100"/>
              <w:spacing w:after="0" w:line="202" w:lineRule="exact"/>
              <w:rPr>
                <w:rFonts w:ascii="Arial" w:cs="Arial" w:eastAsia="Arial" w:hAnsi="Arial"/>
                <w:sz w:val="18"/>
                <w:szCs w:val="18"/>
                <w:color w:val="0000FF"/>
                <w:w w:val="96"/>
              </w:rPr>
            </w:pPr>
            <w:hyperlink w:anchor="page7">
              <w:r>
                <w:rPr>
                  <w:rFonts w:ascii="Arial" w:cs="Arial" w:eastAsia="Arial" w:hAnsi="Arial"/>
                  <w:sz w:val="18"/>
                  <w:szCs w:val="18"/>
                  <w:color w:val="0000FF"/>
                  <w:w w:val="96"/>
                </w:rPr>
                <w:t>Consolidated Statements of Changes in Net Assets (unaudited) for the nine months ended September 30, 2021 and 2020</w:t>
              </w:r>
            </w:hyperlink>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r>
      <w:tr>
        <w:trPr>
          <w:trHeight w:val="257"/>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1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3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06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37"/>
        </w:trPr>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60" w:type="dxa"/>
            <w:vAlign w:val="bottom"/>
            <w:gridSpan w:val="22"/>
            <w:shd w:val="clear" w:color="auto" w:fill="CCEEFF"/>
          </w:tcPr>
          <w:p>
            <w:pPr>
              <w:ind w:left="10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Consolidated Statements of Cash Flows (unaudited) nine months ended September 30, 2021 and 2020</w:t>
              </w:r>
            </w:hyperlink>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r>
      <w:tr>
        <w:trPr>
          <w:trHeight w:val="257"/>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1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3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36"/>
        </w:trPr>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60" w:type="dxa"/>
            <w:vAlign w:val="bottom"/>
            <w:gridSpan w:val="22"/>
            <w:shd w:val="clear" w:color="auto" w:fill="CCEEFF"/>
          </w:tcPr>
          <w:p>
            <w:pPr>
              <w:ind w:left="10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Consolidated Schedules of Investments (unaudited) as of September 30, 2021 and December 31, 2020</w:t>
              </w:r>
            </w:hyperlink>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r>
      <w:tr>
        <w:trPr>
          <w:trHeight w:val="257"/>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1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3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37"/>
        </w:trPr>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60" w:type="dxa"/>
            <w:vAlign w:val="bottom"/>
            <w:gridSpan w:val="22"/>
            <w:shd w:val="clear" w:color="auto" w:fill="CCEEFF"/>
          </w:tcPr>
          <w:p>
            <w:pPr>
              <w:ind w:left="100"/>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Consolidated Financial Highlights (unaudited) for the nine months ended September 30, 2021 and 2020</w:t>
              </w:r>
            </w:hyperlink>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57"/>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1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3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36"/>
        </w:trPr>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60" w:type="dxa"/>
            <w:vAlign w:val="bottom"/>
            <w:gridSpan w:val="22"/>
            <w:shd w:val="clear" w:color="auto" w:fill="CCEEFF"/>
          </w:tcPr>
          <w:p>
            <w:pPr>
              <w:ind w:left="10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Notes to Consolidated Financial Statements (unaudited)</w:t>
              </w:r>
            </w:hyperlink>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57"/>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1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3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37"/>
        </w:trPr>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2.</w:t>
            </w:r>
          </w:p>
        </w:tc>
        <w:tc>
          <w:tcPr>
            <w:tcW w:w="9460" w:type="dxa"/>
            <w:vAlign w:val="bottom"/>
            <w:gridSpan w:val="22"/>
            <w:shd w:val="clear" w:color="auto" w:fill="CCEEFF"/>
          </w:tcPr>
          <w:p>
            <w:pPr>
              <w:ind w:left="100"/>
              <w:spacing w:after="0" w:line="202" w:lineRule="exact"/>
              <w:rPr>
                <w:rFonts w:ascii="Arial" w:cs="Arial" w:eastAsia="Arial" w:hAnsi="Arial"/>
                <w:sz w:val="18"/>
                <w:szCs w:val="18"/>
                <w:color w:val="0000FF"/>
              </w:rPr>
            </w:pPr>
            <w:hyperlink w:anchor="page80">
              <w:r>
                <w:rPr>
                  <w:rFonts w:ascii="Arial" w:cs="Arial" w:eastAsia="Arial" w:hAnsi="Arial"/>
                  <w:sz w:val="18"/>
                  <w:szCs w:val="18"/>
                  <w:color w:val="0000FF"/>
                </w:rPr>
                <w:t>Management’s Discussion and Analysis of Financial Condition and Results of Operations</w:t>
              </w:r>
            </w:hyperlink>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57"/>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1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3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36"/>
        </w:trPr>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3.</w:t>
            </w:r>
          </w:p>
        </w:tc>
        <w:tc>
          <w:tcPr>
            <w:tcW w:w="9460" w:type="dxa"/>
            <w:vAlign w:val="bottom"/>
            <w:gridSpan w:val="22"/>
            <w:shd w:val="clear" w:color="auto" w:fill="CCEEFF"/>
          </w:tcPr>
          <w:p>
            <w:pPr>
              <w:ind w:left="100"/>
              <w:spacing w:after="0" w:line="202" w:lineRule="exact"/>
              <w:rPr>
                <w:rFonts w:ascii="Arial" w:cs="Arial" w:eastAsia="Arial" w:hAnsi="Arial"/>
                <w:sz w:val="18"/>
                <w:szCs w:val="18"/>
                <w:color w:val="0000FF"/>
              </w:rPr>
            </w:pPr>
            <w:hyperlink w:anchor="page105">
              <w:r>
                <w:rPr>
                  <w:rFonts w:ascii="Arial" w:cs="Arial" w:eastAsia="Arial" w:hAnsi="Arial"/>
                  <w:sz w:val="18"/>
                  <w:szCs w:val="18"/>
                  <w:color w:val="0000FF"/>
                </w:rPr>
                <w:t>Quantitative and Qualitative Disclosures About Market Risk</w:t>
              </w:r>
            </w:hyperlink>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r>
      <w:tr>
        <w:trPr>
          <w:trHeight w:val="257"/>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1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3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36"/>
        </w:trPr>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4.</w:t>
            </w:r>
          </w:p>
        </w:tc>
        <w:tc>
          <w:tcPr>
            <w:tcW w:w="9460" w:type="dxa"/>
            <w:vAlign w:val="bottom"/>
            <w:gridSpan w:val="22"/>
            <w:shd w:val="clear" w:color="auto" w:fill="CCEEFF"/>
          </w:tcPr>
          <w:p>
            <w:pPr>
              <w:ind w:left="100"/>
              <w:spacing w:after="0" w:line="202" w:lineRule="exact"/>
              <w:rPr>
                <w:rFonts w:ascii="Arial" w:cs="Arial" w:eastAsia="Arial" w:hAnsi="Arial"/>
                <w:sz w:val="18"/>
                <w:szCs w:val="18"/>
                <w:color w:val="0000FF"/>
              </w:rPr>
            </w:pPr>
            <w:hyperlink w:anchor="page106">
              <w:r>
                <w:rPr>
                  <w:rFonts w:ascii="Arial" w:cs="Arial" w:eastAsia="Arial" w:hAnsi="Arial"/>
                  <w:sz w:val="18"/>
                  <w:szCs w:val="18"/>
                  <w:color w:val="0000FF"/>
                </w:rPr>
                <w:t>Changes in and Disagreements with Accountants on Accounting and Financial Disclosure</w:t>
              </w:r>
            </w:hyperlink>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r>
      <w:tr>
        <w:trPr>
          <w:trHeight w:val="257"/>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1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3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36"/>
        </w:trPr>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5.</w:t>
            </w:r>
          </w:p>
        </w:tc>
        <w:tc>
          <w:tcPr>
            <w:tcW w:w="9460" w:type="dxa"/>
            <w:vAlign w:val="bottom"/>
            <w:gridSpan w:val="22"/>
            <w:shd w:val="clear" w:color="auto" w:fill="CCEEFF"/>
          </w:tcPr>
          <w:p>
            <w:pPr>
              <w:ind w:left="100"/>
              <w:spacing w:after="0" w:line="202" w:lineRule="exact"/>
              <w:rPr>
                <w:rFonts w:ascii="Arial" w:cs="Arial" w:eastAsia="Arial" w:hAnsi="Arial"/>
                <w:sz w:val="18"/>
                <w:szCs w:val="18"/>
                <w:color w:val="0000FF"/>
              </w:rPr>
            </w:pPr>
            <w:hyperlink w:anchor="page106">
              <w:r>
                <w:rPr>
                  <w:rFonts w:ascii="Arial" w:cs="Arial" w:eastAsia="Arial" w:hAnsi="Arial"/>
                  <w:sz w:val="18"/>
                  <w:szCs w:val="18"/>
                  <w:color w:val="0000FF"/>
                </w:rPr>
                <w:t>Controls and Procedures</w:t>
              </w:r>
            </w:hyperlink>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r>
      <w:tr>
        <w:trPr>
          <w:trHeight w:val="257"/>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3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36"/>
        </w:trPr>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820" w:type="dxa"/>
            <w:vAlign w:val="bottom"/>
            <w:gridSpan w:val="14"/>
            <w:shd w:val="clear" w:color="auto" w:fill="CCEEFF"/>
          </w:tcPr>
          <w:p>
            <w:pPr>
              <w:jc w:val="center"/>
              <w:ind w:right="3560"/>
              <w:spacing w:after="0" w:line="202" w:lineRule="exact"/>
              <w:rPr>
                <w:rFonts w:ascii="Arial" w:cs="Arial" w:eastAsia="Arial" w:hAnsi="Arial"/>
                <w:sz w:val="18"/>
                <w:szCs w:val="18"/>
                <w:b w:val="1"/>
                <w:bCs w:val="1"/>
                <w:color w:val="0000FF"/>
                <w:w w:val="97"/>
              </w:rPr>
            </w:pPr>
            <w:hyperlink w:anchor="page107">
              <w:r>
                <w:rPr>
                  <w:rFonts w:ascii="Arial" w:cs="Arial" w:eastAsia="Arial" w:hAnsi="Arial"/>
                  <w:sz w:val="18"/>
                  <w:szCs w:val="18"/>
                  <w:b w:val="1"/>
                  <w:bCs w:val="1"/>
                  <w:color w:val="0000FF"/>
                  <w:w w:val="97"/>
                </w:rPr>
                <w:t>Part II. Other Information</w:t>
              </w:r>
            </w:hyperlink>
          </w:p>
        </w:tc>
        <w:tc>
          <w:tcPr>
            <w:tcW w:w="720" w:type="dxa"/>
            <w:vAlign w:val="bottom"/>
            <w:shd w:val="clear" w:color="auto" w:fill="CCEEFF"/>
          </w:tcPr>
          <w:p>
            <w:pPr>
              <w:spacing w:after="0"/>
              <w:rPr>
                <w:sz w:val="20"/>
                <w:szCs w:val="20"/>
                <w:color w:val="auto"/>
              </w:rPr>
            </w:pPr>
          </w:p>
        </w:tc>
      </w:tr>
      <w:tr>
        <w:trPr>
          <w:trHeight w:val="257"/>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3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37"/>
        </w:trPr>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9460" w:type="dxa"/>
            <w:vAlign w:val="bottom"/>
            <w:gridSpan w:val="22"/>
            <w:shd w:val="clear" w:color="auto" w:fill="CCEEFF"/>
          </w:tcPr>
          <w:p>
            <w:pPr>
              <w:ind w:left="100"/>
              <w:spacing w:after="0" w:line="202" w:lineRule="exact"/>
              <w:rPr>
                <w:rFonts w:ascii="Arial" w:cs="Arial" w:eastAsia="Arial" w:hAnsi="Arial"/>
                <w:sz w:val="18"/>
                <w:szCs w:val="18"/>
                <w:color w:val="0000FF"/>
              </w:rPr>
            </w:pPr>
            <w:hyperlink w:anchor="page107">
              <w:r>
                <w:rPr>
                  <w:rFonts w:ascii="Arial" w:cs="Arial" w:eastAsia="Arial" w:hAnsi="Arial"/>
                  <w:sz w:val="18"/>
                  <w:szCs w:val="18"/>
                  <w:color w:val="0000FF"/>
                </w:rPr>
                <w:t>Legal Proceedings</w:t>
              </w:r>
            </w:hyperlink>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r>
      <w:tr>
        <w:trPr>
          <w:trHeight w:val="256"/>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3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37"/>
        </w:trPr>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1A.</w:t>
            </w:r>
          </w:p>
        </w:tc>
        <w:tc>
          <w:tcPr>
            <w:tcW w:w="9460" w:type="dxa"/>
            <w:vAlign w:val="bottom"/>
            <w:gridSpan w:val="22"/>
            <w:shd w:val="clear" w:color="auto" w:fill="CCEEFF"/>
          </w:tcPr>
          <w:p>
            <w:pPr>
              <w:ind w:left="100"/>
              <w:spacing w:after="0" w:line="202" w:lineRule="exact"/>
              <w:rPr>
                <w:rFonts w:ascii="Arial" w:cs="Arial" w:eastAsia="Arial" w:hAnsi="Arial"/>
                <w:sz w:val="18"/>
                <w:szCs w:val="18"/>
                <w:color w:val="0000FF"/>
              </w:rPr>
            </w:pPr>
            <w:hyperlink w:anchor="page107">
              <w:r>
                <w:rPr>
                  <w:rFonts w:ascii="Arial" w:cs="Arial" w:eastAsia="Arial" w:hAnsi="Arial"/>
                  <w:sz w:val="18"/>
                  <w:szCs w:val="18"/>
                  <w:color w:val="0000FF"/>
                </w:rPr>
                <w:t>Risk Factors</w:t>
              </w:r>
            </w:hyperlink>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56"/>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3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37"/>
        </w:trPr>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2.</w:t>
            </w:r>
          </w:p>
        </w:tc>
        <w:tc>
          <w:tcPr>
            <w:tcW w:w="9460" w:type="dxa"/>
            <w:vAlign w:val="bottom"/>
            <w:gridSpan w:val="22"/>
            <w:shd w:val="clear" w:color="auto" w:fill="CCEEFF"/>
          </w:tcPr>
          <w:p>
            <w:pPr>
              <w:ind w:left="100"/>
              <w:spacing w:after="0" w:line="202" w:lineRule="exact"/>
              <w:rPr>
                <w:rFonts w:ascii="Arial" w:cs="Arial" w:eastAsia="Arial" w:hAnsi="Arial"/>
                <w:sz w:val="18"/>
                <w:szCs w:val="18"/>
                <w:color w:val="0000FF"/>
              </w:rPr>
            </w:pPr>
            <w:hyperlink w:anchor="page111">
              <w:r>
                <w:rPr>
                  <w:rFonts w:ascii="Arial" w:cs="Arial" w:eastAsia="Arial" w:hAnsi="Arial"/>
                  <w:sz w:val="18"/>
                  <w:szCs w:val="18"/>
                  <w:color w:val="0000FF"/>
                </w:rPr>
                <w:t>Unregistered Sales of Equity Securities and Use of Proceeds</w:t>
              </w:r>
            </w:hyperlink>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r>
      <w:tr>
        <w:trPr>
          <w:trHeight w:val="256"/>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1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3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37"/>
        </w:trPr>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3.</w:t>
            </w:r>
          </w:p>
        </w:tc>
        <w:tc>
          <w:tcPr>
            <w:tcW w:w="9460" w:type="dxa"/>
            <w:vAlign w:val="bottom"/>
            <w:gridSpan w:val="22"/>
            <w:shd w:val="clear" w:color="auto" w:fill="CCEEFF"/>
          </w:tcPr>
          <w:p>
            <w:pPr>
              <w:ind w:left="100"/>
              <w:spacing w:after="0" w:line="202" w:lineRule="exact"/>
              <w:rPr>
                <w:rFonts w:ascii="Arial" w:cs="Arial" w:eastAsia="Arial" w:hAnsi="Arial"/>
                <w:sz w:val="18"/>
                <w:szCs w:val="18"/>
                <w:color w:val="0000FF"/>
              </w:rPr>
            </w:pPr>
            <w:hyperlink w:anchor="page111">
              <w:r>
                <w:rPr>
                  <w:rFonts w:ascii="Arial" w:cs="Arial" w:eastAsia="Arial" w:hAnsi="Arial"/>
                  <w:sz w:val="18"/>
                  <w:szCs w:val="18"/>
                  <w:color w:val="0000FF"/>
                </w:rPr>
                <w:t>Defaults Upon Senior Securities</w:t>
              </w:r>
            </w:hyperlink>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r>
      <w:tr>
        <w:trPr>
          <w:trHeight w:val="256"/>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3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37"/>
        </w:trPr>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4.</w:t>
            </w:r>
          </w:p>
        </w:tc>
        <w:tc>
          <w:tcPr>
            <w:tcW w:w="9460" w:type="dxa"/>
            <w:vAlign w:val="bottom"/>
            <w:gridSpan w:val="22"/>
            <w:shd w:val="clear" w:color="auto" w:fill="CCEEFF"/>
          </w:tcPr>
          <w:p>
            <w:pPr>
              <w:ind w:left="100"/>
              <w:spacing w:after="0" w:line="202" w:lineRule="exact"/>
              <w:rPr>
                <w:rFonts w:ascii="Arial" w:cs="Arial" w:eastAsia="Arial" w:hAnsi="Arial"/>
                <w:sz w:val="18"/>
                <w:szCs w:val="18"/>
                <w:color w:val="0000FF"/>
              </w:rPr>
            </w:pPr>
            <w:hyperlink w:anchor="page111">
              <w:r>
                <w:rPr>
                  <w:rFonts w:ascii="Arial" w:cs="Arial" w:eastAsia="Arial" w:hAnsi="Arial"/>
                  <w:sz w:val="18"/>
                  <w:szCs w:val="18"/>
                  <w:color w:val="0000FF"/>
                </w:rPr>
                <w:t>Mine Safety Disclosures</w:t>
              </w:r>
            </w:hyperlink>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r>
      <w:tr>
        <w:trPr>
          <w:trHeight w:val="257"/>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3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36"/>
        </w:trPr>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5.</w:t>
            </w:r>
          </w:p>
        </w:tc>
        <w:tc>
          <w:tcPr>
            <w:tcW w:w="9460" w:type="dxa"/>
            <w:vAlign w:val="bottom"/>
            <w:gridSpan w:val="22"/>
            <w:shd w:val="clear" w:color="auto" w:fill="CCEEFF"/>
          </w:tcPr>
          <w:p>
            <w:pPr>
              <w:ind w:left="100"/>
              <w:spacing w:after="0" w:line="202" w:lineRule="exact"/>
              <w:rPr>
                <w:rFonts w:ascii="Arial" w:cs="Arial" w:eastAsia="Arial" w:hAnsi="Arial"/>
                <w:sz w:val="18"/>
                <w:szCs w:val="18"/>
                <w:color w:val="0000FF"/>
              </w:rPr>
            </w:pPr>
            <w:hyperlink w:anchor="page112">
              <w:r>
                <w:rPr>
                  <w:rFonts w:ascii="Arial" w:cs="Arial" w:eastAsia="Arial" w:hAnsi="Arial"/>
                  <w:sz w:val="18"/>
                  <w:szCs w:val="18"/>
                  <w:color w:val="0000FF"/>
                </w:rPr>
                <w:t>Other Information</w:t>
              </w:r>
            </w:hyperlink>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r>
      <w:tr>
        <w:trPr>
          <w:trHeight w:val="257"/>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3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36"/>
        </w:trPr>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6.</w:t>
            </w:r>
          </w:p>
        </w:tc>
        <w:tc>
          <w:tcPr>
            <w:tcW w:w="9460" w:type="dxa"/>
            <w:vAlign w:val="bottom"/>
            <w:gridSpan w:val="22"/>
            <w:shd w:val="clear" w:color="auto" w:fill="CCEEFF"/>
          </w:tcPr>
          <w:p>
            <w:pPr>
              <w:ind w:left="100"/>
              <w:spacing w:after="0" w:line="202" w:lineRule="exact"/>
              <w:rPr>
                <w:rFonts w:ascii="Arial" w:cs="Arial" w:eastAsia="Arial" w:hAnsi="Arial"/>
                <w:sz w:val="18"/>
                <w:szCs w:val="18"/>
                <w:color w:val="0000FF"/>
              </w:rPr>
            </w:pPr>
            <w:hyperlink w:anchor="page112">
              <w:r>
                <w:rPr>
                  <w:rFonts w:ascii="Arial" w:cs="Arial" w:eastAsia="Arial" w:hAnsi="Arial"/>
                  <w:sz w:val="18"/>
                  <w:szCs w:val="18"/>
                  <w:color w:val="0000FF"/>
                </w:rPr>
                <w:t>Exhibits</w:t>
              </w:r>
            </w:hyperlink>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r>
      <w:tr>
        <w:trPr>
          <w:trHeight w:val="257"/>
        </w:trPr>
        <w:tc>
          <w:tcPr>
            <w:tcW w:w="1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3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r>
      <w:tr>
        <w:trPr>
          <w:trHeight w:val="236"/>
        </w:trPr>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spacing w:after="0" w:line="202" w:lineRule="exact"/>
              <w:rPr>
                <w:rFonts w:ascii="Arial" w:cs="Arial" w:eastAsia="Arial" w:hAnsi="Arial"/>
                <w:sz w:val="18"/>
                <w:szCs w:val="18"/>
                <w:color w:val="0000FF"/>
                <w:w w:val="99"/>
              </w:rPr>
            </w:pPr>
            <w:hyperlink w:anchor="page114">
              <w:r>
                <w:rPr>
                  <w:rFonts w:ascii="Arial" w:cs="Arial" w:eastAsia="Arial" w:hAnsi="Arial"/>
                  <w:sz w:val="18"/>
                  <w:szCs w:val="18"/>
                  <w:color w:val="0000FF"/>
                  <w:w w:val="99"/>
                </w:rPr>
                <w:t>Signatures</w:t>
              </w:r>
            </w:hyperlink>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r>
      <w:tr>
        <w:trPr>
          <w:trHeight w:val="459"/>
        </w:trPr>
        <w:tc>
          <w:tcPr>
            <w:tcW w:w="180" w:type="dxa"/>
            <w:vAlign w:val="bottom"/>
            <w:tcBorders>
              <w:top w:val="single" w:sz="8" w:color="CCEE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800" w:type="dxa"/>
            <w:vAlign w:val="bottom"/>
            <w:tcBorders>
              <w:top w:val="single" w:sz="8" w:color="CCEEFF"/>
            </w:tcBorders>
            <w:gridSpan w:val="13"/>
          </w:tcPr>
          <w:p>
            <w:pPr>
              <w:ind w:left="452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NOTE ABOUT REFERENCES TO PORTMAN RIDGE FINANCE CORPORATION</w:t>
      </w:r>
    </w:p>
    <w:p>
      <w:pPr>
        <w:spacing w:after="0" w:line="135" w:lineRule="exact"/>
        <w:rPr>
          <w:sz w:val="20"/>
          <w:szCs w:val="20"/>
          <w:color w:val="auto"/>
        </w:rPr>
      </w:pPr>
    </w:p>
    <w:p>
      <w:pPr>
        <w:ind w:right="120" w:firstLine="374"/>
        <w:spacing w:after="0" w:line="296" w:lineRule="auto"/>
        <w:rPr>
          <w:sz w:val="20"/>
          <w:szCs w:val="20"/>
          <w:color w:val="auto"/>
        </w:rPr>
      </w:pPr>
      <w:r>
        <w:rPr>
          <w:rFonts w:ascii="Arial" w:cs="Arial" w:eastAsia="Arial" w:hAnsi="Arial"/>
          <w:sz w:val="17"/>
          <w:szCs w:val="17"/>
          <w:color w:val="auto"/>
        </w:rPr>
        <w:t>In this Quarterly Report on Form 10-Q, the “Company”, “Portman Ridge”, “we”, “us” and “our” refer to Portman Ridge Finance Corporation and its wholly-owned subsidiaries, Garrison Funding 2018-2 Ltd. (“GF CLO 2018-2”), Great Lakes KCAP Funding I LLC, Great Lakes Portman Ridge Funding, LLC, OHA Investment Sub, LLC, OHA Asset Holdings II, LP, Kohlberg Capital Funding I LLC, KCAP Senior Funding I, LLC KCAP Senior Funding I Holdings, LLC, Harvest Equity Holdings, LLC and HCAP ICC, LLC unless the context otherwise requires.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16" w:lineRule="exact"/>
        <w:rPr>
          <w:sz w:val="20"/>
          <w:szCs w:val="20"/>
          <w:color w:val="auto"/>
        </w:rPr>
      </w:pPr>
    </w:p>
    <w:p>
      <w:pPr>
        <w:ind w:firstLine="374"/>
        <w:spacing w:after="0" w:line="304" w:lineRule="auto"/>
        <w:rPr>
          <w:sz w:val="20"/>
          <w:szCs w:val="20"/>
          <w:color w:val="auto"/>
        </w:rPr>
      </w:pPr>
      <w:r>
        <w:rPr>
          <w:rFonts w:ascii="Arial" w:cs="Arial" w:eastAsia="Arial" w:hAnsi="Arial"/>
          <w:sz w:val="16"/>
          <w:szCs w:val="16"/>
          <w:color w:val="auto"/>
        </w:rPr>
        <w:t>The information contained in this item should be read in conjunction with our consolidated financial statements and notes thereto appearing elsewhere in this Quarterly Report and in conjunction with the financial statements and notes thereto in the Company’s Form 10-K for the year ended December 31, 2020,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Portman Ridge Finance Corporation,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“outlook,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future operating results;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business prospects and the prospects of our existing and prospective portfolio companies;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return or impact of current and future investments;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contractual arrangements and other relationships with third parties;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expected financings and investments;</w:t>
      </w:r>
    </w:p>
    <w:p>
      <w:pPr>
        <w:spacing w:after="0" w:line="198" w:lineRule="exact"/>
        <w:rPr>
          <w:sz w:val="20"/>
          <w:szCs w:val="20"/>
          <w:color w:val="auto"/>
        </w:rPr>
      </w:pPr>
    </w:p>
    <w:p>
      <w:pPr>
        <w:jc w:val="both"/>
        <w:ind w:left="700" w:right="500"/>
        <w:spacing w:after="0" w:line="279" w:lineRule="auto"/>
        <w:rPr>
          <w:sz w:val="20"/>
          <w:szCs w:val="20"/>
          <w:color w:val="auto"/>
        </w:rPr>
      </w:pPr>
      <w:r>
        <w:rPr>
          <w:rFonts w:ascii="Arial" w:cs="Arial" w:eastAsia="Arial" w:hAnsi="Arial"/>
          <w:sz w:val="18"/>
          <w:szCs w:val="18"/>
          <w:color w:val="auto"/>
        </w:rPr>
        <w:t>our ability to operate as a business development company (“BDC”) under the Investment Company Act of 1940 and a regulated investment company under Subchapter M of the Internal Revenue Code of 1986, including the impact of changes in laws or regulations governing our operations or the operations of our portfolio companies;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adequacy of our available liquidity, cash resources and working capital;</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timing of cash flows, if any, from the operations of our portfolio companies;</w:t>
      </w:r>
    </w:p>
    <w:p>
      <w:pPr>
        <w:spacing w:after="0" w:line="198" w:lineRule="exact"/>
        <w:rPr>
          <w:sz w:val="20"/>
          <w:szCs w:val="20"/>
          <w:color w:val="auto"/>
        </w:rPr>
      </w:pPr>
    </w:p>
    <w:p>
      <w:pPr>
        <w:ind w:left="700" w:right="520"/>
        <w:spacing w:after="0" w:line="293" w:lineRule="auto"/>
        <w:rPr>
          <w:sz w:val="20"/>
          <w:szCs w:val="20"/>
          <w:color w:val="auto"/>
        </w:rPr>
      </w:pPr>
      <w:r>
        <w:rPr>
          <w:rFonts w:ascii="Arial" w:cs="Arial" w:eastAsia="Arial" w:hAnsi="Arial"/>
          <w:sz w:val="18"/>
          <w:szCs w:val="18"/>
          <w:color w:val="auto"/>
        </w:rPr>
        <w:t>the ability of Sierra Crest Investment Management LLC (the “Adviser”) to locate suitable investments for us to monitor and administer our investments;</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ability of the Adviser to attract and retain highly talented professionals;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actual and potential conflicts of interest with the Adviser and its affiliates;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effect of legal, tax, and regulatory changes on us and our portfolio companies;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impact of a protracted decline in the liquidity of credit markets on our business;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impact of fluctuations in interest rates on our business;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ind w:left="700"/>
        <w:spacing w:after="0"/>
        <w:rPr>
          <w:sz w:val="20"/>
          <w:szCs w:val="20"/>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ability to recover unrealized losses;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market conditions and our ability to access additional capital;</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continued duration and effects of the COVID-19 pandemic on us and our portfolio companies;</w:t>
      </w:r>
    </w:p>
    <w:p>
      <w:pPr>
        <w:spacing w:after="0" w:line="212" w:lineRule="exact"/>
        <w:rPr>
          <w:sz w:val="20"/>
          <w:szCs w:val="20"/>
          <w:color w:val="auto"/>
        </w:rPr>
      </w:pPr>
    </w:p>
    <w:p>
      <w:pPr>
        <w:ind w:left="700"/>
        <w:spacing w:after="0" w:line="279" w:lineRule="auto"/>
        <w:rPr>
          <w:sz w:val="20"/>
          <w:szCs w:val="20"/>
          <w:color w:val="auto"/>
        </w:rPr>
      </w:pPr>
      <w:r>
        <w:rPr>
          <w:rFonts w:ascii="Arial" w:cs="Arial" w:eastAsia="Arial" w:hAnsi="Arial"/>
          <w:sz w:val="18"/>
          <w:szCs w:val="18"/>
          <w:color w:val="auto"/>
        </w:rPr>
        <w:t>an economic downturn, including as a result of the impact of the COVID-19 pandemic, could have a material adverse effect on our portfolio companies’ results of operations and financial condition, which could lead to a loss on some or all of our investments in such portfolio companies and have a material adverse effect on our results of operations and financial condition; and</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timing, form and amount of any dividend distributions.</w:t>
      </w:r>
    </w:p>
    <w:p>
      <w:pPr>
        <w:spacing w:after="0" w:line="198" w:lineRule="exact"/>
        <w:rPr>
          <w:sz w:val="20"/>
          <w:szCs w:val="20"/>
          <w:color w:val="auto"/>
        </w:rPr>
      </w:pPr>
    </w:p>
    <w:p>
      <w:pPr>
        <w:ind w:right="140" w:firstLine="374"/>
        <w:spacing w:after="0" w:line="299" w:lineRule="auto"/>
        <w:rPr>
          <w:sz w:val="20"/>
          <w:szCs w:val="20"/>
          <w:color w:val="auto"/>
        </w:rPr>
      </w:pPr>
      <w:r>
        <w:rPr>
          <w:rFonts w:ascii="Arial" w:cs="Arial" w:eastAsia="Arial" w:hAnsi="Arial"/>
          <w:sz w:val="16"/>
          <w:szCs w:val="16"/>
          <w:color w:val="auto"/>
        </w:rPr>
        <w:t>For a more detailed discussion of factors that could cause our actual results to differ from forward-looking statements contained in this Quarterly Report, please see the discussion in Part II, “Item 1A. Risk Factors” of this Quarterly Report, and in Part I, “Item 1A. Risk Factors” in our Annual Report on Form 10-K for the fiscal year ended December 31, 2020.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4"/>
              </w:rPr>
              <w:t>December 31,</w:t>
            </w:r>
          </w:p>
        </w:tc>
      </w:tr>
      <w:tr>
        <w:trPr>
          <w:trHeight w:val="223"/>
        </w:trPr>
        <w:tc>
          <w:tcPr>
            <w:tcW w:w="8040" w:type="dxa"/>
            <w:vAlign w:val="bottom"/>
          </w:tcPr>
          <w:p>
            <w:pPr>
              <w:spacing w:after="0"/>
              <w:rPr>
                <w:sz w:val="19"/>
                <w:szCs w:val="19"/>
                <w:color w:val="auto"/>
              </w:rPr>
            </w:pPr>
          </w:p>
        </w:tc>
        <w:tc>
          <w:tcPr>
            <w:tcW w:w="168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2"/>
              </w:rPr>
              <w:t>September 30, 2021</w:t>
            </w:r>
          </w:p>
        </w:tc>
        <w:tc>
          <w:tcPr>
            <w:tcW w:w="180" w:type="dxa"/>
            <w:vAlign w:val="bottom"/>
          </w:tcPr>
          <w:p>
            <w:pPr>
              <w:spacing w:after="0"/>
              <w:rPr>
                <w:sz w:val="19"/>
                <w:szCs w:val="19"/>
                <w:color w:val="auto"/>
              </w:rPr>
            </w:pPr>
          </w:p>
        </w:tc>
        <w:tc>
          <w:tcPr>
            <w:tcW w:w="1240" w:type="dxa"/>
            <w:vAlign w:val="bottom"/>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20"/>
        </w:trPr>
        <w:tc>
          <w:tcPr>
            <w:tcW w:w="80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10"/>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66"/>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50"/>
        </w:trPr>
        <w:tc>
          <w:tcPr>
            <w:tcW w:w="804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 securities (amortized cost: 2021 - $450,601,744; 2020 - $392,932,411)</w:t>
            </w: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455,079,876</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404,860,855</w:t>
            </w:r>
          </w:p>
        </w:tc>
        <w:tc>
          <w:tcPr>
            <w:tcW w:w="100" w:type="dxa"/>
            <w:vAlign w:val="bottom"/>
            <w:shd w:val="clear" w:color="auto" w:fill="CFF0FC"/>
          </w:tcPr>
          <w:p>
            <w:pPr>
              <w:spacing w:after="0"/>
              <w:rPr>
                <w:sz w:val="22"/>
                <w:szCs w:val="22"/>
                <w:color w:val="auto"/>
              </w:rPr>
            </w:pPr>
          </w:p>
        </w:tc>
      </w:tr>
      <w:tr>
        <w:trPr>
          <w:trHeight w:val="250"/>
        </w:trPr>
        <w:tc>
          <w:tcPr>
            <w:tcW w:w="8040" w:type="dxa"/>
            <w:vAlign w:val="bottom"/>
          </w:tcPr>
          <w:p>
            <w:pPr>
              <w:ind w:left="20"/>
              <w:spacing w:after="0"/>
              <w:rPr>
                <w:sz w:val="20"/>
                <w:szCs w:val="20"/>
                <w:color w:val="auto"/>
              </w:rPr>
            </w:pPr>
            <w:r>
              <w:rPr>
                <w:rFonts w:ascii="Arial" w:cs="Arial" w:eastAsia="Arial" w:hAnsi="Arial"/>
                <w:sz w:val="18"/>
                <w:szCs w:val="18"/>
                <w:color w:val="auto"/>
                <w:w w:val="94"/>
              </w:rPr>
              <w:t>CLO Fund Securities managed by non-affiliates (amortized cost: 2021 - $33,964,238; 2020 - $45,727,813)</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17,173,634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19,582,555</w:t>
            </w:r>
          </w:p>
        </w:tc>
        <w:tc>
          <w:tcPr>
            <w:tcW w:w="100" w:type="dxa"/>
            <w:vAlign w:val="bottom"/>
          </w:tcPr>
          <w:p>
            <w:pPr>
              <w:spacing w:after="0"/>
              <w:rPr>
                <w:sz w:val="21"/>
                <w:szCs w:val="21"/>
                <w:color w:val="auto"/>
              </w:rPr>
            </w:pPr>
          </w:p>
        </w:tc>
      </w:tr>
      <w:tr>
        <w:trPr>
          <w:trHeight w:val="26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securities (cost: 2021 - $29,041,687; 2020 - $24,593,639)</w:t>
            </w: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22,298,759</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13,944,876</w:t>
            </w:r>
          </w:p>
        </w:tc>
        <w:tc>
          <w:tcPr>
            <w:tcW w:w="100" w:type="dxa"/>
            <w:vAlign w:val="bottom"/>
            <w:shd w:val="clear" w:color="auto" w:fill="CFF0FC"/>
          </w:tcPr>
          <w:p>
            <w:pPr>
              <w:spacing w:after="0"/>
              <w:rPr>
                <w:sz w:val="22"/>
                <w:szCs w:val="22"/>
                <w:color w:val="auto"/>
              </w:rPr>
            </w:pPr>
          </w:p>
        </w:tc>
      </w:tr>
      <w:tr>
        <w:trPr>
          <w:trHeight w:val="250"/>
        </w:trPr>
        <w:tc>
          <w:tcPr>
            <w:tcW w:w="8040" w:type="dxa"/>
            <w:vAlign w:val="bottom"/>
          </w:tcPr>
          <w:p>
            <w:pPr>
              <w:ind w:left="20"/>
              <w:spacing w:after="0"/>
              <w:rPr>
                <w:sz w:val="20"/>
                <w:szCs w:val="20"/>
                <w:color w:val="auto"/>
              </w:rPr>
            </w:pPr>
            <w:r>
              <w:rPr>
                <w:rFonts w:ascii="Arial" w:cs="Arial" w:eastAsia="Arial" w:hAnsi="Arial"/>
                <w:sz w:val="18"/>
                <w:szCs w:val="18"/>
                <w:color w:val="auto"/>
              </w:rPr>
              <w:t>Asset Manager Affiliates (cost: 2021 - $17,791,230; 2020 - $17,791,230)</w:t>
            </w:r>
          </w:p>
        </w:tc>
        <w:tc>
          <w:tcPr>
            <w:tcW w:w="20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Joint Ventures (cost: 2021 - $70,558,377; 2020 - $54,932,458)</w:t>
            </w:r>
          </w:p>
        </w:tc>
        <w:tc>
          <w:tcPr>
            <w:tcW w:w="20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67,629,114</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49,349,163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8040" w:type="dxa"/>
            <w:vAlign w:val="bottom"/>
          </w:tcPr>
          <w:p>
            <w:pPr>
              <w:ind w:left="20"/>
              <w:spacing w:after="0"/>
              <w:rPr>
                <w:sz w:val="20"/>
                <w:szCs w:val="20"/>
                <w:color w:val="auto"/>
              </w:rPr>
            </w:pPr>
            <w:r>
              <w:rPr>
                <w:rFonts w:ascii="Arial" w:cs="Arial" w:eastAsia="Arial" w:hAnsi="Arial"/>
                <w:sz w:val="18"/>
                <w:szCs w:val="18"/>
                <w:color w:val="auto"/>
                <w:w w:val="96"/>
              </w:rPr>
              <w:t>Total Investments at Fair Value, excluding derivatives (cost: 2021 - $601,957,277; 2020 - $535,977,551)</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562,181,383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487,737,449</w:t>
            </w:r>
          </w:p>
        </w:tc>
        <w:tc>
          <w:tcPr>
            <w:tcW w:w="100" w:type="dxa"/>
            <w:vAlign w:val="bottom"/>
          </w:tcPr>
          <w:p>
            <w:pPr>
              <w:spacing w:after="0"/>
              <w:rPr>
                <w:sz w:val="21"/>
                <w:szCs w:val="21"/>
                <w:color w:val="auto"/>
              </w:rPr>
            </w:pPr>
          </w:p>
        </w:tc>
      </w:tr>
      <w:tr>
        <w:trPr>
          <w:trHeight w:val="26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28,539,989</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6,990,008</w:t>
            </w:r>
          </w:p>
        </w:tc>
        <w:tc>
          <w:tcPr>
            <w:tcW w:w="100" w:type="dxa"/>
            <w:vAlign w:val="bottom"/>
            <w:shd w:val="clear" w:color="auto" w:fill="CFF0FC"/>
          </w:tcPr>
          <w:p>
            <w:pPr>
              <w:spacing w:after="0"/>
              <w:rPr>
                <w:sz w:val="22"/>
                <w:szCs w:val="22"/>
                <w:color w:val="auto"/>
              </w:rPr>
            </w:pPr>
          </w:p>
        </w:tc>
      </w:tr>
      <w:tr>
        <w:trPr>
          <w:trHeight w:val="250"/>
        </w:trPr>
        <w:tc>
          <w:tcPr>
            <w:tcW w:w="80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21,050,857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75,913,411</w:t>
            </w:r>
          </w:p>
        </w:tc>
        <w:tc>
          <w:tcPr>
            <w:tcW w:w="100" w:type="dxa"/>
            <w:vAlign w:val="bottom"/>
          </w:tcPr>
          <w:p>
            <w:pPr>
              <w:spacing w:after="0"/>
              <w:rPr>
                <w:sz w:val="21"/>
                <w:szCs w:val="21"/>
                <w:color w:val="auto"/>
              </w:rPr>
            </w:pPr>
          </w:p>
        </w:tc>
      </w:tr>
      <w:tr>
        <w:trPr>
          <w:trHeight w:val="26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4,228,748</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2,972,546</w:t>
            </w:r>
          </w:p>
        </w:tc>
        <w:tc>
          <w:tcPr>
            <w:tcW w:w="100" w:type="dxa"/>
            <w:vAlign w:val="bottom"/>
            <w:shd w:val="clear" w:color="auto" w:fill="CFF0FC"/>
          </w:tcPr>
          <w:p>
            <w:pPr>
              <w:spacing w:after="0"/>
              <w:rPr>
                <w:sz w:val="22"/>
                <w:szCs w:val="22"/>
                <w:color w:val="auto"/>
              </w:rPr>
            </w:pPr>
          </w:p>
        </w:tc>
      </w:tr>
      <w:tr>
        <w:trPr>
          <w:trHeight w:val="250"/>
        </w:trPr>
        <w:tc>
          <w:tcPr>
            <w:tcW w:w="8040" w:type="dxa"/>
            <w:vAlign w:val="bottom"/>
          </w:tcPr>
          <w:p>
            <w:pPr>
              <w:ind w:left="20"/>
              <w:spacing w:after="0"/>
              <w:rPr>
                <w:sz w:val="20"/>
                <w:szCs w:val="20"/>
                <w:color w:val="auto"/>
              </w:rPr>
            </w:pPr>
            <w:r>
              <w:rPr>
                <w:rFonts w:ascii="Arial" w:cs="Arial" w:eastAsia="Arial" w:hAnsi="Arial"/>
                <w:sz w:val="18"/>
                <w:szCs w:val="18"/>
                <w:color w:val="auto"/>
              </w:rPr>
              <w:t>Receivable for unsettled trades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7,070,394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25,107,598</w:t>
            </w:r>
          </w:p>
        </w:tc>
        <w:tc>
          <w:tcPr>
            <w:tcW w:w="100" w:type="dxa"/>
            <w:vAlign w:val="bottom"/>
          </w:tcPr>
          <w:p>
            <w:pPr>
              <w:spacing w:after="0"/>
              <w:rPr>
                <w:sz w:val="21"/>
                <w:szCs w:val="21"/>
                <w:color w:val="auto"/>
              </w:rPr>
            </w:pPr>
          </w:p>
        </w:tc>
      </w:tr>
      <w:tr>
        <w:trPr>
          <w:trHeight w:val="26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from affiliates</w:t>
            </w: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464,342</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357,168</w:t>
            </w:r>
          </w:p>
        </w:tc>
        <w:tc>
          <w:tcPr>
            <w:tcW w:w="100" w:type="dxa"/>
            <w:vAlign w:val="bottom"/>
            <w:shd w:val="clear" w:color="auto" w:fill="CFF0FC"/>
          </w:tcPr>
          <w:p>
            <w:pPr>
              <w:spacing w:after="0"/>
              <w:rPr>
                <w:sz w:val="22"/>
                <w:szCs w:val="22"/>
                <w:color w:val="auto"/>
              </w:rPr>
            </w:pPr>
          </w:p>
        </w:tc>
      </w:tr>
      <w:tr>
        <w:trPr>
          <w:trHeight w:val="250"/>
        </w:trPr>
        <w:tc>
          <w:tcPr>
            <w:tcW w:w="80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3,568,698</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1,100,241</w:t>
            </w:r>
          </w:p>
        </w:tc>
        <w:tc>
          <w:tcPr>
            <w:tcW w:w="100" w:type="dxa"/>
            <w:vAlign w:val="bottom"/>
          </w:tcPr>
          <w:p>
            <w:pPr>
              <w:spacing w:after="0"/>
              <w:rPr>
                <w:sz w:val="21"/>
                <w:szCs w:val="21"/>
                <w:color w:val="auto"/>
              </w:rPr>
            </w:pPr>
          </w:p>
        </w:tc>
      </w:tr>
      <w:tr>
        <w:trPr>
          <w:trHeight w:val="290"/>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627,104,411</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600,178,421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6.125% Notes Due 2022 (net of offering costs of: 2020 - $1,058,351)</w:t>
            </w: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75,667,624</w:t>
            </w:r>
          </w:p>
        </w:tc>
        <w:tc>
          <w:tcPr>
            <w:tcW w:w="100" w:type="dxa"/>
            <w:vAlign w:val="bottom"/>
            <w:shd w:val="clear" w:color="auto" w:fill="CFF0FC"/>
          </w:tcPr>
          <w:p>
            <w:pPr>
              <w:spacing w:after="0"/>
              <w:rPr>
                <w:sz w:val="22"/>
                <w:szCs w:val="22"/>
                <w:color w:val="auto"/>
              </w:rPr>
            </w:pPr>
          </w:p>
        </w:tc>
      </w:tr>
      <w:tr>
        <w:trPr>
          <w:trHeight w:val="250"/>
        </w:trPr>
        <w:tc>
          <w:tcPr>
            <w:tcW w:w="8040" w:type="dxa"/>
            <w:vAlign w:val="bottom"/>
          </w:tcPr>
          <w:p>
            <w:pPr>
              <w:ind w:left="20"/>
              <w:spacing w:after="0"/>
              <w:rPr>
                <w:sz w:val="20"/>
                <w:szCs w:val="20"/>
                <w:color w:val="auto"/>
              </w:rPr>
            </w:pPr>
            <w:r>
              <w:rPr>
                <w:rFonts w:ascii="Arial" w:cs="Arial" w:eastAsia="Arial" w:hAnsi="Arial"/>
                <w:sz w:val="18"/>
                <w:szCs w:val="18"/>
                <w:color w:val="auto"/>
              </w:rPr>
              <w:t>2018-2 Secured Notes (net of discount of: 2021 - $1,446,983; 2020 - $2,444,512)</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162,415,715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249,418,186</w:t>
            </w:r>
          </w:p>
        </w:tc>
        <w:tc>
          <w:tcPr>
            <w:tcW w:w="100" w:type="dxa"/>
            <w:vAlign w:val="bottom"/>
          </w:tcPr>
          <w:p>
            <w:pPr>
              <w:spacing w:after="0"/>
              <w:rPr>
                <w:sz w:val="21"/>
                <w:szCs w:val="21"/>
                <w:color w:val="auto"/>
              </w:rPr>
            </w:pPr>
          </w:p>
        </w:tc>
      </w:tr>
      <w:tr>
        <w:trPr>
          <w:trHeight w:val="249"/>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4.875% Notes Due 2026 (net of discount of: 2021 - $2,266,656; 2020 - $0, net of offering costs of: 2021 -</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$948,071; 2020 - $0)</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104,785,273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8040" w:type="dxa"/>
            <w:vAlign w:val="bottom"/>
          </w:tcPr>
          <w:p>
            <w:pPr>
              <w:ind w:left="20"/>
              <w:spacing w:after="0"/>
              <w:rPr>
                <w:sz w:val="20"/>
                <w:szCs w:val="20"/>
                <w:color w:val="auto"/>
              </w:rPr>
            </w:pPr>
            <w:r>
              <w:rPr>
                <w:rFonts w:ascii="Arial" w:cs="Arial" w:eastAsia="Arial" w:hAnsi="Arial"/>
                <w:sz w:val="18"/>
                <w:szCs w:val="18"/>
                <w:color w:val="auto"/>
              </w:rPr>
              <w:t>Great Lakes Portman Ridge Funding LLC Revolving Credit Facility (net of offering costs of: 2021 -</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$823,375; 2020 - $1,097,815)</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68,247,523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48,223,083</w:t>
            </w:r>
          </w:p>
        </w:tc>
        <w:tc>
          <w:tcPr>
            <w:tcW w:w="100" w:type="dxa"/>
            <w:vAlign w:val="bottom"/>
          </w:tcPr>
          <w:p>
            <w:pPr>
              <w:spacing w:after="0"/>
              <w:rPr>
                <w:sz w:val="20"/>
                <w:szCs w:val="20"/>
                <w:color w:val="auto"/>
              </w:rPr>
            </w:pPr>
          </w:p>
        </w:tc>
      </w:tr>
      <w:tr>
        <w:trPr>
          <w:trHeight w:val="26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liabilities (cost: 2021 - $30,609; 2020 - $30,609)</w:t>
            </w: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1,982,091</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1,108,618</w:t>
            </w:r>
          </w:p>
        </w:tc>
        <w:tc>
          <w:tcPr>
            <w:tcW w:w="100" w:type="dxa"/>
            <w:vAlign w:val="bottom"/>
            <w:shd w:val="clear" w:color="auto" w:fill="CFF0FC"/>
          </w:tcPr>
          <w:p>
            <w:pPr>
              <w:spacing w:after="0"/>
              <w:rPr>
                <w:sz w:val="22"/>
                <w:szCs w:val="22"/>
                <w:color w:val="auto"/>
              </w:rPr>
            </w:pPr>
          </w:p>
        </w:tc>
      </w:tr>
      <w:tr>
        <w:trPr>
          <w:trHeight w:val="250"/>
        </w:trPr>
        <w:tc>
          <w:tcPr>
            <w:tcW w:w="8040" w:type="dxa"/>
            <w:vAlign w:val="bottom"/>
          </w:tcPr>
          <w:p>
            <w:pPr>
              <w:ind w:left="20"/>
              <w:spacing w:after="0"/>
              <w:rPr>
                <w:sz w:val="20"/>
                <w:szCs w:val="20"/>
                <w:color w:val="auto"/>
              </w:rPr>
            </w:pPr>
            <w:r>
              <w:rPr>
                <w:rFonts w:ascii="Arial" w:cs="Arial" w:eastAsia="Arial" w:hAnsi="Arial"/>
                <w:sz w:val="18"/>
                <w:szCs w:val="18"/>
                <w:color w:val="auto"/>
              </w:rPr>
              <w:t>Payable for unsettled trades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4,903,384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3,961,666</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1,788,908</w:t>
            </w:r>
          </w:p>
        </w:tc>
        <w:tc>
          <w:tcPr>
            <w:tcW w:w="100" w:type="dxa"/>
            <w:vAlign w:val="bottom"/>
            <w:shd w:val="clear" w:color="auto" w:fill="CFF0FC"/>
          </w:tcPr>
          <w:p>
            <w:pPr>
              <w:spacing w:after="0"/>
              <w:rPr>
                <w:sz w:val="22"/>
                <w:szCs w:val="22"/>
                <w:color w:val="auto"/>
              </w:rPr>
            </w:pPr>
          </w:p>
        </w:tc>
      </w:tr>
      <w:tr>
        <w:trPr>
          <w:trHeight w:val="250"/>
        </w:trPr>
        <w:tc>
          <w:tcPr>
            <w:tcW w:w="804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3,345,558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1,089,531</w:t>
            </w:r>
          </w:p>
        </w:tc>
        <w:tc>
          <w:tcPr>
            <w:tcW w:w="100" w:type="dxa"/>
            <w:vAlign w:val="bottom"/>
          </w:tcPr>
          <w:p>
            <w:pPr>
              <w:spacing w:after="0"/>
              <w:rPr>
                <w:sz w:val="21"/>
                <w:szCs w:val="21"/>
                <w:color w:val="auto"/>
              </w:rPr>
            </w:pPr>
          </w:p>
        </w:tc>
      </w:tr>
      <w:tr>
        <w:trPr>
          <w:trHeight w:val="26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to affiliates</w:t>
            </w: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760,112</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1,374,739</w:t>
            </w:r>
          </w:p>
        </w:tc>
        <w:tc>
          <w:tcPr>
            <w:tcW w:w="100" w:type="dxa"/>
            <w:vAlign w:val="bottom"/>
            <w:shd w:val="clear" w:color="auto" w:fill="CFF0FC"/>
          </w:tcPr>
          <w:p>
            <w:pPr>
              <w:spacing w:after="0"/>
              <w:rPr>
                <w:sz w:val="22"/>
                <w:szCs w:val="22"/>
                <w:color w:val="auto"/>
              </w:rPr>
            </w:pPr>
          </w:p>
        </w:tc>
      </w:tr>
      <w:tr>
        <w:trPr>
          <w:trHeight w:val="250"/>
        </w:trPr>
        <w:tc>
          <w:tcPr>
            <w:tcW w:w="8040" w:type="dxa"/>
            <w:vAlign w:val="bottom"/>
          </w:tcPr>
          <w:p>
            <w:pPr>
              <w:ind w:left="20"/>
              <w:spacing w:after="0"/>
              <w:rPr>
                <w:sz w:val="20"/>
                <w:szCs w:val="20"/>
                <w:color w:val="auto"/>
              </w:rPr>
            </w:pPr>
            <w:r>
              <w:rPr>
                <w:rFonts w:ascii="Arial" w:cs="Arial" w:eastAsia="Arial" w:hAnsi="Arial"/>
                <w:sz w:val="18"/>
                <w:szCs w:val="18"/>
                <w:color w:val="auto"/>
              </w:rPr>
              <w:t>Management and incentive fees payable</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5,654,814</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5,243,869</w:t>
            </w:r>
          </w:p>
        </w:tc>
        <w:tc>
          <w:tcPr>
            <w:tcW w:w="100" w:type="dxa"/>
            <w:vAlign w:val="bottom"/>
          </w:tcPr>
          <w:p>
            <w:pPr>
              <w:spacing w:after="0"/>
              <w:rPr>
                <w:sz w:val="21"/>
                <w:szCs w:val="21"/>
                <w:color w:val="auto"/>
              </w:rPr>
            </w:pPr>
          </w:p>
        </w:tc>
      </w:tr>
      <w:tr>
        <w:trPr>
          <w:trHeight w:val="257"/>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356,056,136</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383,914,558</w:t>
            </w:r>
          </w:p>
        </w:tc>
        <w:tc>
          <w:tcPr>
            <w:tcW w:w="100" w:type="dxa"/>
            <w:vAlign w:val="bottom"/>
            <w:shd w:val="clear" w:color="auto" w:fill="CFF0FC"/>
          </w:tcPr>
          <w:p>
            <w:pPr>
              <w:spacing w:after="0"/>
              <w:rPr>
                <w:sz w:val="22"/>
                <w:szCs w:val="22"/>
                <w:color w:val="auto"/>
              </w:rPr>
            </w:pPr>
          </w:p>
        </w:tc>
      </w:tr>
      <w:tr>
        <w:trPr>
          <w:trHeight w:val="25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8)</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8040" w:type="dxa"/>
            <w:vAlign w:val="bottom"/>
          </w:tcPr>
          <w:p>
            <w:pPr>
              <w:ind w:left="20"/>
              <w:spacing w:after="0"/>
              <w:rPr>
                <w:sz w:val="20"/>
                <w:szCs w:val="20"/>
                <w:color w:val="auto"/>
              </w:rPr>
            </w:pPr>
            <w:r>
              <w:rPr>
                <w:rFonts w:ascii="Arial" w:cs="Arial" w:eastAsia="Arial" w:hAnsi="Arial"/>
                <w:sz w:val="18"/>
                <w:szCs w:val="18"/>
                <w:color w:val="auto"/>
                <w:w w:val="94"/>
              </w:rPr>
              <w:t>Common stock, par value $0.01 per share, 20,000,000 common shares authorized; 9,291,578 issued, and</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w w:val="90"/>
              </w:rPr>
              <w:t>9,123,275 outstanding at September 30, 2021, and 7,609,349 issued, and 7,516,423 outstanding at December</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91,233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75,164</w:t>
            </w:r>
          </w:p>
        </w:tc>
        <w:tc>
          <w:tcPr>
            <w:tcW w:w="100" w:type="dxa"/>
            <w:vAlign w:val="bottom"/>
          </w:tcPr>
          <w:p>
            <w:pPr>
              <w:spacing w:after="0"/>
              <w:rPr>
                <w:sz w:val="20"/>
                <w:szCs w:val="20"/>
                <w:color w:val="auto"/>
              </w:rPr>
            </w:pPr>
          </w:p>
        </w:tc>
      </w:tr>
      <w:tr>
        <w:trPr>
          <w:trHeight w:val="26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 in excess of par value</w:t>
            </w: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680,451,474</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639,136,026</w:t>
            </w:r>
          </w:p>
        </w:tc>
        <w:tc>
          <w:tcPr>
            <w:tcW w:w="100" w:type="dxa"/>
            <w:vAlign w:val="bottom"/>
            <w:shd w:val="clear" w:color="auto" w:fill="CFF0FC"/>
          </w:tcPr>
          <w:p>
            <w:pPr>
              <w:spacing w:after="0"/>
              <w:rPr>
                <w:sz w:val="22"/>
                <w:szCs w:val="22"/>
                <w:color w:val="auto"/>
              </w:rPr>
            </w:pPr>
          </w:p>
        </w:tc>
      </w:tr>
      <w:tr>
        <w:trPr>
          <w:trHeight w:val="250"/>
        </w:trPr>
        <w:tc>
          <w:tcPr>
            <w:tcW w:w="8040" w:type="dxa"/>
            <w:vAlign w:val="bottom"/>
          </w:tcPr>
          <w:p>
            <w:pPr>
              <w:ind w:left="20"/>
              <w:spacing w:after="0"/>
              <w:rPr>
                <w:sz w:val="20"/>
                <w:szCs w:val="20"/>
                <w:color w:val="auto"/>
              </w:rPr>
            </w:pPr>
            <w:r>
              <w:rPr>
                <w:rFonts w:ascii="Arial" w:cs="Arial" w:eastAsia="Arial" w:hAnsi="Arial"/>
                <w:sz w:val="18"/>
                <w:szCs w:val="18"/>
                <w:color w:val="auto"/>
              </w:rPr>
              <w:t>Total distributable (loss) earnings</w:t>
            </w:r>
          </w:p>
        </w:tc>
        <w:tc>
          <w:tcPr>
            <w:tcW w:w="2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(409,494,432 )</w:t>
            </w:r>
          </w:p>
        </w:tc>
        <w:tc>
          <w:tcPr>
            <w:tcW w:w="18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(422,947,327 )</w:t>
            </w:r>
          </w:p>
        </w:tc>
      </w:tr>
      <w:tr>
        <w:trPr>
          <w:trHeight w:val="250"/>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271,048,275</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216,263,863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80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627,104,411</w:t>
            </w:r>
          </w:p>
        </w:tc>
        <w:tc>
          <w:tcPr>
            <w:tcW w:w="2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600,178,421</w:t>
            </w:r>
          </w:p>
        </w:tc>
        <w:tc>
          <w:tcPr>
            <w:tcW w:w="100" w:type="dxa"/>
            <w:vAlign w:val="bottom"/>
          </w:tcPr>
          <w:p>
            <w:pPr>
              <w:spacing w:after="0"/>
              <w:rPr>
                <w:sz w:val="21"/>
                <w:szCs w:val="21"/>
                <w:color w:val="auto"/>
              </w:rPr>
            </w:pPr>
          </w:p>
        </w:tc>
      </w:tr>
      <w:tr>
        <w:trPr>
          <w:trHeight w:val="20"/>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8040" w:type="dxa"/>
            <w:vAlign w:val="bottom"/>
            <w:tcBorders>
              <w:bottom w:val="single" w:sz="8" w:color="CFF0FC"/>
            </w:tcBorders>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NET ASSET VALUE PER COMMON SHARE </w:t>
            </w:r>
            <w:r>
              <w:rPr>
                <w:rFonts w:ascii="Arial" w:cs="Arial" w:eastAsia="Arial" w:hAnsi="Arial"/>
                <w:sz w:val="24"/>
                <w:szCs w:val="24"/>
                <w:color w:val="auto"/>
                <w:vertAlign w:val="superscript"/>
              </w:rPr>
              <w:t>(1)</w:t>
            </w:r>
          </w:p>
        </w:tc>
        <w:tc>
          <w:tcPr>
            <w:tcW w:w="2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-5405755</wp:posOffset>
            </wp:positionV>
            <wp:extent cx="15430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-5405755</wp:posOffset>
            </wp:positionV>
            <wp:extent cx="5969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-4088130</wp:posOffset>
            </wp:positionV>
            <wp:extent cx="1543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-4070985</wp:posOffset>
            </wp:positionV>
            <wp:extent cx="1543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-4088130</wp:posOffset>
            </wp:positionV>
            <wp:extent cx="59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-4070985</wp:posOffset>
            </wp:positionV>
            <wp:extent cx="596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-382270</wp:posOffset>
            </wp:positionV>
            <wp:extent cx="15430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-382270</wp:posOffset>
            </wp:positionV>
            <wp:extent cx="5969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1543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1543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ind w:left="380" w:right="360" w:hanging="372"/>
        <w:spacing w:after="0" w:line="280" w:lineRule="auto"/>
        <w:tabs>
          <w:tab w:leader="none" w:pos="33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Company completed a Reverse Stock Split of 10 to 1 effective August 26, 2021, the common shares and net asset value per common share have been adjusted retroactively to reflect the split for all periods presented.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6"/>
          <w:szCs w:val="16"/>
          <w:b w:val="1"/>
          <w:bCs w:val="1"/>
          <w:color w:val="auto"/>
        </w:rPr>
        <w:t>PORTMAN RIDGE FINANCE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2"/>
              </w:rPr>
              <w:t>For the Three Months Ended</w:t>
            </w:r>
          </w:p>
        </w:tc>
        <w:tc>
          <w:tcPr>
            <w:tcW w:w="160" w:type="dxa"/>
            <w:vAlign w:val="bottom"/>
          </w:tcPr>
          <w:p>
            <w:pPr>
              <w:spacing w:after="0"/>
              <w:rPr>
                <w:sz w:val="19"/>
                <w:szCs w:val="19"/>
                <w:color w:val="auto"/>
              </w:rPr>
            </w:pPr>
          </w:p>
        </w:tc>
        <w:tc>
          <w:tcPr>
            <w:tcW w:w="254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3"/>
              </w:rPr>
              <w:t>For the Nine Months Ended</w:t>
            </w:r>
          </w:p>
        </w:tc>
        <w:tc>
          <w:tcPr>
            <w:tcW w:w="0" w:type="dxa"/>
            <w:vAlign w:val="bottom"/>
          </w:tcPr>
          <w:p>
            <w:pPr>
              <w:spacing w:after="0"/>
              <w:rPr>
                <w:sz w:val="1"/>
                <w:szCs w:val="1"/>
                <w:color w:val="auto"/>
              </w:rPr>
            </w:pPr>
          </w:p>
        </w:tc>
      </w:tr>
      <w:tr>
        <w:trPr>
          <w:trHeight w:val="24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5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Investment income:</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200"/>
              <w:spacing w:after="0"/>
              <w:rPr>
                <w:sz w:val="20"/>
                <w:szCs w:val="20"/>
                <w:color w:val="auto"/>
              </w:rPr>
            </w:pPr>
            <w:r>
              <w:rPr>
                <w:rFonts w:ascii="Arial" w:cs="Arial" w:eastAsia="Arial" w:hAnsi="Arial"/>
                <w:sz w:val="18"/>
                <w:szCs w:val="18"/>
                <w:color w:val="auto"/>
              </w:rPr>
              <w:t>Interest from investments in debt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17,391,146</w:t>
            </w:r>
          </w:p>
        </w:tc>
        <w:tc>
          <w:tcPr>
            <w:tcW w:w="3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4,517,268</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48,736,532</w:t>
            </w:r>
          </w:p>
        </w:tc>
        <w:tc>
          <w:tcPr>
            <w:tcW w:w="2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13,910,567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Payment-in-kind investment income</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1,296,496</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434,446</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3,172,910</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1,125,343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200"/>
              <w:spacing w:after="0"/>
              <w:rPr>
                <w:sz w:val="20"/>
                <w:szCs w:val="20"/>
                <w:color w:val="auto"/>
              </w:rPr>
            </w:pPr>
            <w:r>
              <w:rPr>
                <w:rFonts w:ascii="Arial" w:cs="Arial" w:eastAsia="Arial" w:hAnsi="Arial"/>
                <w:sz w:val="18"/>
                <w:szCs w:val="18"/>
                <w:color w:val="auto"/>
              </w:rPr>
              <w:t>Interest from cash and time deposits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 income on CLO Fund Securities managed by affiliates</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587,239</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2,493,600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200"/>
              <w:spacing w:after="0"/>
              <w:rPr>
                <w:sz w:val="20"/>
                <w:szCs w:val="20"/>
                <w:color w:val="auto"/>
              </w:rPr>
            </w:pPr>
            <w:r>
              <w:rPr>
                <w:rFonts w:ascii="Arial" w:cs="Arial" w:eastAsia="Arial" w:hAnsi="Arial"/>
                <w:sz w:val="18"/>
                <w:szCs w:val="18"/>
                <w:color w:val="auto"/>
                <w:w w:val="96"/>
              </w:rPr>
              <w:t>Investment income on CLO Fund Securities managed by non-affiliates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748,449</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42,341</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2,211,092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247,302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 income - Joint Ventures</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2,442,703</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2,182,466</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7,012,167</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4,760,485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Capital structuring service fees</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1,032,346</w:t>
            </w:r>
          </w:p>
        </w:tc>
        <w:tc>
          <w:tcPr>
            <w:tcW w:w="3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23,602</w:t>
            </w:r>
          </w:p>
        </w:tc>
        <w:tc>
          <w:tcPr>
            <w:tcW w:w="2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1,628,155</w:t>
            </w:r>
          </w:p>
        </w:tc>
        <w:tc>
          <w:tcPr>
            <w:tcW w:w="2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302,887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Total investment income</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22,911,140</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7,787,362</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62,760,856</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22,855,463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Management fees</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2,064,733</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1,043,645</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5,771,636</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3,063,719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200"/>
              <w:spacing w:after="0"/>
              <w:rPr>
                <w:sz w:val="20"/>
                <w:szCs w:val="20"/>
                <w:color w:val="auto"/>
              </w:rPr>
            </w:pPr>
            <w:r>
              <w:rPr>
                <w:rFonts w:ascii="Arial" w:cs="Arial" w:eastAsia="Arial" w:hAnsi="Arial"/>
                <w:sz w:val="18"/>
                <w:szCs w:val="18"/>
                <w:color w:val="auto"/>
              </w:rPr>
              <w:t>Performance-based incentive fees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1,939,170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571,846</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6,332,646</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1,128,726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and amortization of debt issuance costs</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3,408,445</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2,239,911</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10,315,528</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6,984,852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200"/>
              <w:spacing w:after="0"/>
              <w:rPr>
                <w:sz w:val="20"/>
                <w:szCs w:val="20"/>
                <w:color w:val="auto"/>
              </w:rPr>
            </w:pPr>
            <w:r>
              <w:rPr>
                <w:rFonts w:ascii="Arial" w:cs="Arial" w:eastAsia="Arial" w:hAnsi="Arial"/>
                <w:sz w:val="18"/>
                <w:szCs w:val="18"/>
                <w:color w:val="auto"/>
              </w:rPr>
              <w:t>Professional fees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490,284</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439,503</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2,680,458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1,810,450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198,011</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177,154</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574,973</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478,058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200"/>
              <w:spacing w:after="0"/>
              <w:rPr>
                <w:sz w:val="20"/>
                <w:szCs w:val="20"/>
                <w:color w:val="auto"/>
              </w:rPr>
            </w:pPr>
            <w:r>
              <w:rPr>
                <w:rFonts w:ascii="Arial" w:cs="Arial" w:eastAsia="Arial" w:hAnsi="Arial"/>
                <w:sz w:val="18"/>
                <w:szCs w:val="18"/>
                <w:color w:val="auto"/>
              </w:rPr>
              <w:t>Administrative services expense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760,112</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470,435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2,091,769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1,361,700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332,534</w:t>
            </w:r>
          </w:p>
        </w:tc>
        <w:tc>
          <w:tcPr>
            <w:tcW w:w="300" w:type="dxa"/>
            <w:vAlign w:val="bottom"/>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147,818</w:t>
            </w:r>
          </w:p>
        </w:tc>
        <w:tc>
          <w:tcPr>
            <w:tcW w:w="260" w:type="dxa"/>
            <w:vAlign w:val="bottom"/>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1,352,737</w:t>
            </w:r>
          </w:p>
        </w:tc>
        <w:tc>
          <w:tcPr>
            <w:tcW w:w="260" w:type="dxa"/>
            <w:vAlign w:val="bottom"/>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522,091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300"/>
              <w:spacing w:after="0"/>
              <w:rPr>
                <w:sz w:val="20"/>
                <w:szCs w:val="20"/>
                <w:color w:val="auto"/>
              </w:rPr>
            </w:pPr>
            <w:r>
              <w:rPr>
                <w:rFonts w:ascii="Arial" w:cs="Arial" w:eastAsia="Arial" w:hAnsi="Arial"/>
                <w:sz w:val="18"/>
                <w:szCs w:val="18"/>
                <w:color w:val="auto"/>
              </w:rPr>
              <w:t>Total expenses</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9,193,289</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5,090,312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29,119,747</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15,349,596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Management and performance-based incentive fees waived</w:t>
            </w: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(556,880 )</w:t>
            </w:r>
          </w:p>
        </w:tc>
        <w:tc>
          <w:tcPr>
            <w:tcW w:w="0" w:type="dxa"/>
            <w:vAlign w:val="bottom"/>
          </w:tcPr>
          <w:p>
            <w:pPr>
              <w:spacing w:after="0"/>
              <w:rPr>
                <w:sz w:val="1"/>
                <w:szCs w:val="1"/>
                <w:color w:val="auto"/>
              </w:rPr>
            </w:pPr>
          </w:p>
        </w:tc>
      </w:tr>
      <w:tr>
        <w:trPr>
          <w:trHeight w:val="250"/>
        </w:trPr>
        <w:tc>
          <w:tcPr>
            <w:tcW w:w="5620" w:type="dxa"/>
            <w:vAlign w:val="bottom"/>
          </w:tcPr>
          <w:p>
            <w:pPr>
              <w:ind w:left="300"/>
              <w:spacing w:after="0"/>
              <w:rPr>
                <w:sz w:val="20"/>
                <w:szCs w:val="20"/>
                <w:color w:val="auto"/>
              </w:rPr>
            </w:pPr>
            <w:r>
              <w:rPr>
                <w:rFonts w:ascii="Arial" w:cs="Arial" w:eastAsia="Arial" w:hAnsi="Arial"/>
                <w:sz w:val="18"/>
                <w:szCs w:val="18"/>
                <w:color w:val="auto"/>
              </w:rPr>
              <w:t>Net Expenses</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9,193,289</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5,090,312</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29,119,747</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14,792,716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Investment Income</w:t>
            </w: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13,717,851</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2,697,050</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33,641,109</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8,062,747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Realized And Unrealized Gains (Losses) On Investments: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realized (losses) gains from investment transactions</w:t>
            </w:r>
          </w:p>
        </w:tc>
        <w:tc>
          <w:tcPr>
            <w:tcW w:w="1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(3,931,280 )</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(1,890,090 )</w:t>
            </w:r>
          </w:p>
        </w:tc>
        <w:tc>
          <w:tcPr>
            <w:tcW w:w="1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8"/>
              </w:rPr>
              <w:t>(11,372,803 )</w:t>
            </w:r>
          </w:p>
        </w:tc>
        <w:tc>
          <w:tcPr>
            <w:tcW w:w="2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(3,819,851 )</w:t>
            </w:r>
          </w:p>
        </w:tc>
        <w:tc>
          <w:tcPr>
            <w:tcW w:w="0" w:type="dxa"/>
            <w:vAlign w:val="bottom"/>
          </w:tcPr>
          <w:p>
            <w:pPr>
              <w:spacing w:after="0"/>
              <w:rPr>
                <w:sz w:val="1"/>
                <w:szCs w:val="1"/>
                <w:color w:val="auto"/>
              </w:rPr>
            </w:pPr>
          </w:p>
        </w:tc>
      </w:tr>
      <w:tr>
        <w:trPr>
          <w:trHeight w:val="250"/>
        </w:trPr>
        <w:tc>
          <w:tcPr>
            <w:tcW w:w="5620" w:type="dxa"/>
            <w:vAlign w:val="bottom"/>
          </w:tcPr>
          <w:p>
            <w:pPr>
              <w:ind w:left="200"/>
              <w:spacing w:after="0"/>
              <w:rPr>
                <w:sz w:val="20"/>
                <w:szCs w:val="20"/>
                <w:color w:val="auto"/>
              </w:rPr>
            </w:pPr>
            <w:r>
              <w:rPr>
                <w:rFonts w:ascii="Arial" w:cs="Arial" w:eastAsia="Arial" w:hAnsi="Arial"/>
                <w:sz w:val="18"/>
                <w:szCs w:val="18"/>
                <w:color w:val="auto"/>
              </w:rPr>
              <w:t>Net change in unrealized appreciation (depreciation) on:</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Debt securities</w:t>
            </w:r>
          </w:p>
        </w:tc>
        <w:tc>
          <w:tcPr>
            <w:tcW w:w="1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(4,447,878 )</w:t>
            </w: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4,553,027</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(7,448,405 )</w:t>
            </w:r>
          </w:p>
        </w:tc>
        <w:tc>
          <w:tcPr>
            <w:tcW w:w="2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(3,945,277 )</w:t>
            </w:r>
          </w:p>
        </w:tc>
        <w:tc>
          <w:tcPr>
            <w:tcW w:w="0" w:type="dxa"/>
            <w:vAlign w:val="bottom"/>
          </w:tcPr>
          <w:p>
            <w:pPr>
              <w:spacing w:after="0"/>
              <w:rPr>
                <w:sz w:val="1"/>
                <w:szCs w:val="1"/>
                <w:color w:val="auto"/>
              </w:rPr>
            </w:pPr>
          </w:p>
        </w:tc>
      </w:tr>
      <w:tr>
        <w:trPr>
          <w:trHeight w:val="250"/>
        </w:trPr>
        <w:tc>
          <w:tcPr>
            <w:tcW w:w="5620" w:type="dxa"/>
            <w:vAlign w:val="bottom"/>
          </w:tcPr>
          <w:p>
            <w:pPr>
              <w:ind w:left="38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1,215,013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337,258</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3,905,834</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411,276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CLO Fund Securities managed by affiliates</w:t>
            </w:r>
          </w:p>
        </w:tc>
        <w:tc>
          <w:tcPr>
            <w:tcW w:w="1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1,573,272</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5"/>
              </w:rPr>
              <w:t>(12,168,189 )</w:t>
            </w:r>
          </w:p>
        </w:tc>
        <w:tc>
          <w:tcPr>
            <w:tcW w:w="0" w:type="dxa"/>
            <w:vAlign w:val="bottom"/>
          </w:tcPr>
          <w:p>
            <w:pPr>
              <w:spacing w:after="0"/>
              <w:rPr>
                <w:sz w:val="1"/>
                <w:szCs w:val="1"/>
                <w:color w:val="auto"/>
              </w:rPr>
            </w:pPr>
          </w:p>
        </w:tc>
      </w:tr>
      <w:tr>
        <w:trPr>
          <w:trHeight w:val="250"/>
        </w:trPr>
        <w:tc>
          <w:tcPr>
            <w:tcW w:w="5620" w:type="dxa"/>
            <w:vAlign w:val="bottom"/>
          </w:tcPr>
          <w:p>
            <w:pPr>
              <w:ind w:left="380"/>
              <w:spacing w:after="0"/>
              <w:rPr>
                <w:sz w:val="20"/>
                <w:szCs w:val="20"/>
                <w:color w:val="auto"/>
              </w:rPr>
            </w:pPr>
            <w:r>
              <w:rPr>
                <w:rFonts w:ascii="Arial" w:cs="Arial" w:eastAsia="Arial" w:hAnsi="Arial"/>
                <w:sz w:val="18"/>
                <w:szCs w:val="18"/>
                <w:color w:val="auto"/>
              </w:rPr>
              <w:t>CLO Fund Securities managed by non-affiliates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706,935</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363,430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9,354,655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(491,863 )</w:t>
            </w:r>
          </w:p>
        </w:tc>
        <w:tc>
          <w:tcPr>
            <w:tcW w:w="0" w:type="dxa"/>
            <w:vAlign w:val="bottom"/>
          </w:tcPr>
          <w:p>
            <w:pPr>
              <w:spacing w:after="0"/>
              <w:rPr>
                <w:sz w:val="1"/>
                <w:szCs w:val="1"/>
                <w:color w:val="auto"/>
              </w:rPr>
            </w:pPr>
          </w:p>
        </w:tc>
      </w:tr>
      <w:tr>
        <w:trPr>
          <w:trHeight w:val="263"/>
        </w:trPr>
        <w:tc>
          <w:tcPr>
            <w:tcW w:w="5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Joint Venture Investments</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2,063,261</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1,146,355</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2,654,032</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(4,654,363 )</w:t>
            </w:r>
          </w:p>
        </w:tc>
        <w:tc>
          <w:tcPr>
            <w:tcW w:w="0" w:type="dxa"/>
            <w:vAlign w:val="bottom"/>
          </w:tcPr>
          <w:p>
            <w:pPr>
              <w:spacing w:after="0"/>
              <w:rPr>
                <w:sz w:val="1"/>
                <w:szCs w:val="1"/>
                <w:color w:val="auto"/>
              </w:rPr>
            </w:pPr>
          </w:p>
        </w:tc>
      </w:tr>
      <w:tr>
        <w:trPr>
          <w:trHeight w:val="250"/>
        </w:trPr>
        <w:tc>
          <w:tcPr>
            <w:tcW w:w="5620" w:type="dxa"/>
            <w:vAlign w:val="bottom"/>
          </w:tcPr>
          <w:p>
            <w:pPr>
              <w:ind w:left="380"/>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(179,416 )</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(461,629 )</w:t>
            </w:r>
          </w:p>
        </w:tc>
        <w:tc>
          <w:tcPr>
            <w:tcW w:w="1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(873,473 )</w:t>
            </w:r>
          </w:p>
        </w:tc>
        <w:tc>
          <w:tcPr>
            <w:tcW w:w="2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(999,612 )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net change in unrealized appreciation (depreciation)</w:t>
            </w: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(642,085 )</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7,511,713</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7,592,643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5"/>
              </w:rPr>
              <w:t>(21,848,028 )</w:t>
            </w: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Pr>
          <w:p>
            <w:pPr>
              <w:ind w:left="200"/>
              <w:spacing w:after="0"/>
              <w:rPr>
                <w:sz w:val="20"/>
                <w:szCs w:val="20"/>
                <w:color w:val="auto"/>
              </w:rPr>
            </w:pPr>
            <w:r>
              <w:rPr>
                <w:rFonts w:ascii="Arial" w:cs="Arial" w:eastAsia="Arial" w:hAnsi="Arial"/>
                <w:sz w:val="18"/>
                <w:szCs w:val="18"/>
                <w:color w:val="auto"/>
                <w:w w:val="95"/>
              </w:rPr>
              <w:t>Net realized and unrealized appreciation (depreciation) on investments</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(4,573,365 )</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5,621,623</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(3,780,160 )</w:t>
            </w:r>
          </w:p>
        </w:tc>
        <w:tc>
          <w:tcPr>
            <w:tcW w:w="2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(25,667,879 )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Realized (losses) gains on extinguishments of Debt</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(1,834,963 )</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Net Increase (Decrease) In Stockholders’ Equity Resulting From</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9,144,486</w:t>
            </w:r>
          </w:p>
        </w:tc>
        <w:tc>
          <w:tcPr>
            <w:tcW w:w="300" w:type="dxa"/>
            <w:vAlign w:val="bottom"/>
          </w:tcPr>
          <w:p>
            <w:pPr>
              <w:spacing w:after="0"/>
              <w:rPr>
                <w:sz w:val="20"/>
                <w:szCs w:val="20"/>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8,318,673</w:t>
            </w:r>
          </w:p>
        </w:tc>
        <w:tc>
          <w:tcPr>
            <w:tcW w:w="260" w:type="dxa"/>
            <w:vAlign w:val="bottom"/>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28,025,986</w:t>
            </w:r>
          </w:p>
        </w:tc>
        <w:tc>
          <w:tcPr>
            <w:tcW w:w="260" w:type="dxa"/>
            <w:vAlign w:val="bottom"/>
          </w:tcPr>
          <w:p>
            <w:pPr>
              <w:spacing w:after="0"/>
              <w:rPr>
                <w:sz w:val="20"/>
                <w:szCs w:val="20"/>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5"/>
              </w:rPr>
              <w:t>(17,450,561 )</w:t>
            </w:r>
          </w:p>
        </w:tc>
        <w:tc>
          <w:tcPr>
            <w:tcW w:w="0" w:type="dxa"/>
            <w:vAlign w:val="bottom"/>
          </w:tcPr>
          <w:p>
            <w:pPr>
              <w:spacing w:after="0"/>
              <w:rPr>
                <w:sz w:val="1"/>
                <w:szCs w:val="1"/>
                <w:color w:val="auto"/>
              </w:rPr>
            </w:pPr>
          </w:p>
        </w:tc>
      </w:tr>
      <w:tr>
        <w:trPr>
          <w:trHeight w:val="207"/>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Operations</w:t>
            </w:r>
          </w:p>
        </w:tc>
        <w:tc>
          <w:tcPr>
            <w:tcW w:w="1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62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Net Increase (Decrease) In Stockholders' Equity Resulting from</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5620" w:type="dxa"/>
            <w:vAlign w:val="bottom"/>
            <w:shd w:val="clear" w:color="auto" w:fill="CFF0FC"/>
          </w:tcPr>
          <w:p>
            <w:pPr>
              <w:ind w:left="200"/>
              <w:spacing w:after="0" w:line="266" w:lineRule="exact"/>
              <w:rPr>
                <w:sz w:val="20"/>
                <w:szCs w:val="20"/>
                <w:color w:val="auto"/>
              </w:rPr>
            </w:pPr>
            <w:r>
              <w:rPr>
                <w:rFonts w:ascii="Arial" w:cs="Arial" w:eastAsia="Arial" w:hAnsi="Arial"/>
                <w:sz w:val="18"/>
                <w:szCs w:val="18"/>
                <w:color w:val="auto"/>
              </w:rPr>
              <w:t xml:space="preserve">Operations per Common Share </w:t>
            </w:r>
            <w:r>
              <w:rPr>
                <w:rFonts w:ascii="Arial" w:cs="Arial" w:eastAsia="Arial" w:hAnsi="Arial"/>
                <w:sz w:val="24"/>
                <w:szCs w:val="24"/>
                <w:color w:val="auto"/>
                <w:vertAlign w:val="superscript"/>
              </w:rPr>
              <w:t>(1)</w:t>
            </w:r>
            <w:r>
              <w:rPr>
                <w:rFonts w:ascii="Arial" w:cs="Arial" w:eastAsia="Arial" w:hAnsi="Arial"/>
                <w:sz w:val="18"/>
                <w:szCs w:val="18"/>
                <w:color w:val="auto"/>
              </w:rPr>
              <w:t>:</w:t>
            </w:r>
          </w:p>
        </w:tc>
        <w:tc>
          <w:tcPr>
            <w:tcW w:w="14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02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(3.91 )</w:t>
            </w:r>
          </w:p>
        </w:tc>
        <w:tc>
          <w:tcPr>
            <w:tcW w:w="0" w:type="dxa"/>
            <w:vAlign w:val="bottom"/>
          </w:tcPr>
          <w:p>
            <w:pPr>
              <w:spacing w:after="0"/>
              <w:rPr>
                <w:sz w:val="1"/>
                <w:szCs w:val="1"/>
                <w:color w:val="auto"/>
              </w:rPr>
            </w:pPr>
          </w:p>
        </w:tc>
      </w:tr>
      <w:tr>
        <w:trPr>
          <w:trHeight w:val="263"/>
        </w:trPr>
        <w:tc>
          <w:tcPr>
            <w:tcW w:w="5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(3.91 )</w:t>
            </w:r>
          </w:p>
        </w:tc>
        <w:tc>
          <w:tcPr>
            <w:tcW w:w="0" w:type="dxa"/>
            <w:vAlign w:val="bottom"/>
          </w:tcPr>
          <w:p>
            <w:pPr>
              <w:spacing w:after="0"/>
              <w:rPr>
                <w:sz w:val="1"/>
                <w:szCs w:val="1"/>
                <w:color w:val="auto"/>
              </w:rPr>
            </w:pPr>
          </w:p>
        </w:tc>
      </w:tr>
      <w:tr>
        <w:trPr>
          <w:trHeight w:val="256"/>
        </w:trPr>
        <w:tc>
          <w:tcPr>
            <w:tcW w:w="5620" w:type="dxa"/>
            <w:vAlign w:val="bottom"/>
          </w:tcPr>
          <w:p>
            <w:pPr>
              <w:ind w:left="200"/>
              <w:spacing w:after="0" w:line="257" w:lineRule="exact"/>
              <w:rPr>
                <w:sz w:val="20"/>
                <w:szCs w:val="20"/>
                <w:color w:val="auto"/>
              </w:rPr>
            </w:pPr>
            <w:r>
              <w:rPr>
                <w:rFonts w:ascii="Arial" w:cs="Arial" w:eastAsia="Arial" w:hAnsi="Arial"/>
                <w:sz w:val="18"/>
                <w:szCs w:val="18"/>
                <w:color w:val="auto"/>
              </w:rPr>
              <w:t xml:space="preserve">Net Investment Income Per Common Share </w:t>
            </w:r>
            <w:r>
              <w:rPr>
                <w:rFonts w:ascii="Arial" w:cs="Arial" w:eastAsia="Arial" w:hAnsi="Arial"/>
                <w:sz w:val="24"/>
                <w:szCs w:val="24"/>
                <w:color w:val="auto"/>
                <w:vertAlign w:val="superscript"/>
              </w:rPr>
              <w:t>(1)</w:t>
            </w: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0.61</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FF0FC"/>
          </w:tcPr>
          <w:p>
            <w:pPr>
              <w:ind w:left="200"/>
              <w:spacing w:after="0" w:line="263" w:lineRule="exact"/>
              <w:rPr>
                <w:sz w:val="20"/>
                <w:szCs w:val="20"/>
                <w:color w:val="auto"/>
              </w:rPr>
            </w:pPr>
            <w:r>
              <w:rPr>
                <w:rFonts w:ascii="Arial" w:cs="Arial" w:eastAsia="Arial" w:hAnsi="Arial"/>
                <w:sz w:val="18"/>
                <w:szCs w:val="18"/>
                <w:color w:val="auto"/>
                <w:w w:val="98"/>
              </w:rPr>
              <w:t xml:space="preserve">Weighted Average Shares of Common Stock Outstanding—Basic </w:t>
            </w:r>
            <w:r>
              <w:rPr>
                <w:rFonts w:ascii="Arial" w:cs="Arial" w:eastAsia="Arial" w:hAnsi="Arial"/>
                <w:sz w:val="24"/>
                <w:szCs w:val="24"/>
                <w:color w:val="auto"/>
                <w:w w:val="98"/>
                <w:vertAlign w:val="superscript"/>
              </w:rPr>
              <w:t>(1)</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9,131,456</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4,441,778</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8,213,661</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4,461,650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5620" w:type="dxa"/>
            <w:vAlign w:val="bottom"/>
          </w:tcPr>
          <w:p>
            <w:pPr>
              <w:ind w:left="200"/>
              <w:spacing w:after="0" w:line="260" w:lineRule="exact"/>
              <w:rPr>
                <w:sz w:val="20"/>
                <w:szCs w:val="20"/>
                <w:color w:val="auto"/>
              </w:rPr>
            </w:pPr>
            <w:r>
              <w:rPr>
                <w:rFonts w:ascii="Arial" w:cs="Arial" w:eastAsia="Arial" w:hAnsi="Arial"/>
                <w:sz w:val="18"/>
                <w:szCs w:val="18"/>
                <w:color w:val="auto"/>
                <w:w w:val="96"/>
              </w:rPr>
              <w:t xml:space="preserve">Weighted Average Shares of Common Stock Outstanding—Diluted </w:t>
            </w:r>
            <w:r>
              <w:rPr>
                <w:rFonts w:ascii="Arial" w:cs="Arial" w:eastAsia="Arial" w:hAnsi="Arial"/>
                <w:sz w:val="24"/>
                <w:szCs w:val="24"/>
                <w:color w:val="auto"/>
                <w:w w:val="96"/>
                <w:vertAlign w:val="superscript"/>
              </w:rPr>
              <w:t>(1)</w:t>
            </w: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9,131,456</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4,441,778</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8,213,661</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4,461,650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-5899785</wp:posOffset>
            </wp:positionV>
            <wp:extent cx="18859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-5899785</wp:posOffset>
            </wp:positionV>
            <wp:extent cx="16256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-5899785</wp:posOffset>
            </wp:positionV>
            <wp:extent cx="17145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-5899785</wp:posOffset>
            </wp:positionV>
            <wp:extent cx="5969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4304030</wp:posOffset>
            </wp:positionH>
            <wp:positionV relativeFrom="paragraph">
              <wp:posOffset>-4438015</wp:posOffset>
            </wp:positionV>
            <wp:extent cx="213995"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3995" cy="196850"/>
                    </a:xfrm>
                    <a:prstGeom prst="rect">
                      <a:avLst/>
                    </a:prstGeom>
                    <a:noFill/>
                  </pic:spPr>
                </pic:pic>
              </a:graphicData>
            </a:graphic>
          </wp:anchor>
        </w:drawing>
        <w:drawing>
          <wp:anchor simplePos="0" relativeHeight="251657728" behindDoc="1" locked="0" layoutInCell="0" allowOverlap="1">
            <wp:simplePos x="0" y="0"/>
            <wp:positionH relativeFrom="column">
              <wp:posOffset>5247005</wp:posOffset>
            </wp:positionH>
            <wp:positionV relativeFrom="paragraph">
              <wp:posOffset>-4438015</wp:posOffset>
            </wp:positionV>
            <wp:extent cx="187960"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7960" cy="196850"/>
                    </a:xfrm>
                    <a:prstGeom prst="rect">
                      <a:avLst/>
                    </a:prstGeom>
                    <a:noFill/>
                  </pic:spPr>
                </pic:pic>
              </a:graphicData>
            </a:graphic>
          </wp:anchor>
        </w:drawing>
        <w:drawing>
          <wp:anchor simplePos="0" relativeHeight="251657728" behindDoc="1" locked="0" layoutInCell="0" allowOverlap="1">
            <wp:simplePos x="0" y="0"/>
            <wp:positionH relativeFrom="column">
              <wp:posOffset>6155690</wp:posOffset>
            </wp:positionH>
            <wp:positionV relativeFrom="paragraph">
              <wp:posOffset>-4438015</wp:posOffset>
            </wp:positionV>
            <wp:extent cx="196850"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-4438015</wp:posOffset>
            </wp:positionV>
            <wp:extent cx="85090" cy="196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090" cy="19685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-3754120</wp:posOffset>
            </wp:positionV>
            <wp:extent cx="18859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-3754120</wp:posOffset>
            </wp:positionV>
            <wp:extent cx="16256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-3754120</wp:posOffset>
            </wp:positionV>
            <wp:extent cx="17145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-3754120</wp:posOffset>
            </wp:positionV>
            <wp:extent cx="5969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-2108200</wp:posOffset>
            </wp:positionV>
            <wp:extent cx="18859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-2108200</wp:posOffset>
            </wp:positionV>
            <wp:extent cx="16256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-2108200</wp:posOffset>
            </wp:positionV>
            <wp:extent cx="17145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-2108200</wp:posOffset>
            </wp:positionV>
            <wp:extent cx="5969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-1765300</wp:posOffset>
            </wp:positionV>
            <wp:extent cx="18859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-1765300</wp:posOffset>
            </wp:positionV>
            <wp:extent cx="16256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-1765300</wp:posOffset>
            </wp:positionV>
            <wp:extent cx="17145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-1765300</wp:posOffset>
            </wp:positionV>
            <wp:extent cx="5969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ind w:left="380" w:right="120" w:hanging="372"/>
        <w:spacing w:after="0" w:line="275" w:lineRule="auto"/>
        <w:tabs>
          <w:tab w:leader="none" w:pos="33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 completed a Reverse Stock Split of 10 to 1 effective August 26, 2021, the weighted average shares outstanding and per share values have been adjusted retroactively to reflect the split for all periods presented.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1"/>
        </w:trPr>
        <w:tc>
          <w:tcPr>
            <w:tcW w:w="7560" w:type="dxa"/>
            <w:vAlign w:val="bottom"/>
          </w:tcPr>
          <w:p>
            <w:pPr>
              <w:jc w:val="center"/>
              <w:ind w:left="3610"/>
              <w:spacing w:after="0"/>
              <w:rPr>
                <w:sz w:val="20"/>
                <w:szCs w:val="20"/>
                <w:color w:val="auto"/>
              </w:rPr>
            </w:pPr>
            <w:r>
              <w:rPr>
                <w:rFonts w:ascii="Arial" w:cs="Arial" w:eastAsia="Arial" w:hAnsi="Arial"/>
                <w:sz w:val="18"/>
                <w:szCs w:val="18"/>
                <w:b w:val="1"/>
                <w:bCs w:val="1"/>
                <w:color w:val="auto"/>
              </w:rPr>
              <w:t>PORTMAN RIDGE FINANCE CORPORATION</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8"/>
        </w:trPr>
        <w:tc>
          <w:tcPr>
            <w:tcW w:w="9400" w:type="dxa"/>
            <w:vAlign w:val="bottom"/>
            <w:gridSpan w:val="3"/>
          </w:tcPr>
          <w:p>
            <w:pPr>
              <w:jc w:val="center"/>
              <w:ind w:left="1750"/>
              <w:spacing w:after="0" w:line="239" w:lineRule="exact"/>
              <w:rPr>
                <w:sz w:val="20"/>
                <w:szCs w:val="20"/>
                <w:color w:val="auto"/>
              </w:rPr>
            </w:pPr>
            <w:r>
              <w:rPr>
                <w:rFonts w:ascii="Arial" w:cs="Arial" w:eastAsia="Arial" w:hAnsi="Arial"/>
                <w:sz w:val="18"/>
                <w:szCs w:val="18"/>
                <w:b w:val="1"/>
                <w:bCs w:val="1"/>
                <w:color w:val="auto"/>
                <w:w w:val="97"/>
              </w:rPr>
              <w:t>CONSOLIDATED STATEMENTS OF CHANGES IN NET ASSETS</w:t>
            </w:r>
            <w:r>
              <w:rPr>
                <w:rFonts w:ascii="Arial" w:cs="Arial" w:eastAsia="Arial" w:hAnsi="Arial"/>
                <w:sz w:val="24"/>
                <w:szCs w:val="24"/>
                <w:b w:val="1"/>
                <w:bCs w:val="1"/>
                <w:color w:val="auto"/>
                <w:w w:val="97"/>
                <w:vertAlign w:val="superscript"/>
              </w:rPr>
              <w:t>(1)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4"/>
        </w:trPr>
        <w:tc>
          <w:tcPr>
            <w:tcW w:w="7560" w:type="dxa"/>
            <w:vAlign w:val="bottom"/>
          </w:tcPr>
          <w:p>
            <w:pPr>
              <w:jc w:val="center"/>
              <w:ind w:left="361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0"/>
        </w:trPr>
        <w:tc>
          <w:tcPr>
            <w:tcW w:w="75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1"/>
              </w:rPr>
              <w:t>For the Nine Months Ended September 30,</w:t>
            </w:r>
          </w:p>
        </w:tc>
      </w:tr>
      <w:tr>
        <w:trPr>
          <w:trHeight w:val="250"/>
        </w:trPr>
        <w:tc>
          <w:tcPr>
            <w:tcW w:w="75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5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Operations:</w:t>
            </w:r>
          </w:p>
        </w:tc>
        <w:tc>
          <w:tcPr>
            <w:tcW w:w="120" w:type="dxa"/>
            <w:vAlign w:val="bottom"/>
            <w:shd w:val="clear" w:color="auto" w:fill="CFF0FC"/>
          </w:tcPr>
          <w:p>
            <w:pPr>
              <w:spacing w:after="0"/>
              <w:rPr>
                <w:sz w:val="22"/>
                <w:szCs w:val="22"/>
                <w:color w:val="auto"/>
              </w:rPr>
            </w:pPr>
          </w:p>
        </w:tc>
        <w:tc>
          <w:tcPr>
            <w:tcW w:w="17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33,641,109</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8,062,747</w:t>
            </w:r>
          </w:p>
        </w:tc>
      </w:tr>
      <w:tr>
        <w:trPr>
          <w:trHeight w:val="26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realized gains (losses) from investment transactions</w:t>
            </w:r>
          </w:p>
        </w:tc>
        <w:tc>
          <w:tcPr>
            <w:tcW w:w="120" w:type="dxa"/>
            <w:vAlign w:val="bottom"/>
            <w:shd w:val="clear" w:color="auto" w:fill="CFF0FC"/>
          </w:tcPr>
          <w:p>
            <w:pPr>
              <w:spacing w:after="0"/>
              <w:rPr>
                <w:sz w:val="22"/>
                <w:szCs w:val="22"/>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(11,372,803 )</w:t>
            </w: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(3,819,851 )</w:t>
            </w: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Realized (losses) gains from extinguishments of debt</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(1,834,963 )</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154,571</w:t>
            </w:r>
          </w:p>
        </w:tc>
      </w:tr>
      <w:tr>
        <w:trPr>
          <w:trHeight w:val="257"/>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120" w:type="dxa"/>
            <w:vAlign w:val="bottom"/>
            <w:tcBorders>
              <w:bottom w:val="single" w:sz="8" w:color="auto"/>
            </w:tcBorders>
            <w:shd w:val="clear" w:color="auto" w:fill="CFF0FC"/>
          </w:tcPr>
          <w:p>
            <w:pPr>
              <w:spacing w:after="0"/>
              <w:rPr>
                <w:sz w:val="22"/>
                <w:szCs w:val="22"/>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7,592,643</w:t>
            </w:r>
          </w:p>
        </w:tc>
        <w:tc>
          <w:tcPr>
            <w:tcW w:w="2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(21,848,028 )</w:t>
            </w:r>
          </w:p>
        </w:tc>
      </w:tr>
      <w:tr>
        <w:trPr>
          <w:trHeight w:val="250"/>
        </w:trPr>
        <w:tc>
          <w:tcPr>
            <w:tcW w:w="7560" w:type="dxa"/>
            <w:vAlign w:val="bottom"/>
          </w:tcPr>
          <w:p>
            <w:pPr>
              <w:ind w:left="200"/>
              <w:spacing w:after="0"/>
              <w:rPr>
                <w:sz w:val="20"/>
                <w:szCs w:val="20"/>
                <w:color w:val="auto"/>
              </w:rPr>
            </w:pPr>
            <w:r>
              <w:rPr>
                <w:rFonts w:ascii="Arial" w:cs="Arial" w:eastAsia="Arial" w:hAnsi="Arial"/>
                <w:sz w:val="18"/>
                <w:szCs w:val="18"/>
                <w:color w:val="auto"/>
              </w:rPr>
              <w:t>Net increase (decrease) in stockholders’ equity resulting from operations</w:t>
            </w:r>
          </w:p>
        </w:tc>
        <w:tc>
          <w:tcPr>
            <w:tcW w:w="1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28,025,986</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(17,450,561 )</w:t>
            </w:r>
          </w:p>
        </w:tc>
      </w:tr>
      <w:tr>
        <w:trPr>
          <w:trHeight w:val="257"/>
        </w:trPr>
        <w:tc>
          <w:tcPr>
            <w:tcW w:w="75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7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Stockholder distributions:</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(14,573,092 )</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(8,043,278 )</w:t>
            </w:r>
          </w:p>
        </w:tc>
      </w:tr>
      <w:tr>
        <w:trPr>
          <w:trHeight w:val="263"/>
        </w:trPr>
        <w:tc>
          <w:tcPr>
            <w:tcW w:w="75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7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Capital share transactions:</w:t>
            </w: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for:</w:t>
            </w:r>
          </w:p>
        </w:tc>
        <w:tc>
          <w:tcPr>
            <w:tcW w:w="120" w:type="dxa"/>
            <w:vAlign w:val="bottom"/>
            <w:shd w:val="clear" w:color="auto" w:fill="CFF0FC"/>
          </w:tcPr>
          <w:p>
            <w:pPr>
              <w:spacing w:after="0"/>
              <w:rPr>
                <w:sz w:val="22"/>
                <w:szCs w:val="22"/>
                <w:color w:val="auto"/>
              </w:rPr>
            </w:pPr>
          </w:p>
        </w:tc>
        <w:tc>
          <w:tcPr>
            <w:tcW w:w="17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Dividend reinvestment plan</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443,778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104,238</w:t>
            </w:r>
          </w:p>
        </w:tc>
      </w:tr>
      <w:tr>
        <w:trPr>
          <w:trHeight w:val="26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repurchases</w:t>
            </w:r>
          </w:p>
        </w:tc>
        <w:tc>
          <w:tcPr>
            <w:tcW w:w="120" w:type="dxa"/>
            <w:vAlign w:val="bottom"/>
            <w:shd w:val="clear" w:color="auto" w:fill="CFF0FC"/>
          </w:tcPr>
          <w:p>
            <w:pPr>
              <w:spacing w:after="0"/>
              <w:rPr>
                <w:sz w:val="22"/>
                <w:szCs w:val="22"/>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(1,826,545 )</w:t>
            </w: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(862,871 )</w:t>
            </w: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Private placement</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4,019,598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HCAP purchase (net of offering expenses)</w:t>
            </w:r>
          </w:p>
        </w:tc>
        <w:tc>
          <w:tcPr>
            <w:tcW w:w="120" w:type="dxa"/>
            <w:vAlign w:val="bottom"/>
            <w:tcBorders>
              <w:bottom w:val="single" w:sz="8" w:color="auto"/>
            </w:tcBorders>
            <w:shd w:val="clear" w:color="auto" w:fill="CFF0FC"/>
          </w:tcPr>
          <w:p>
            <w:pPr>
              <w:spacing w:after="0"/>
              <w:rPr>
                <w:sz w:val="22"/>
                <w:szCs w:val="22"/>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38,694,688</w:t>
            </w:r>
          </w:p>
        </w:tc>
        <w:tc>
          <w:tcPr>
            <w:tcW w:w="2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60" w:type="dxa"/>
            <w:vAlign w:val="bottom"/>
          </w:tcPr>
          <w:p>
            <w:pPr>
              <w:ind w:left="200"/>
              <w:spacing w:after="0"/>
              <w:rPr>
                <w:sz w:val="20"/>
                <w:szCs w:val="20"/>
                <w:color w:val="auto"/>
              </w:rPr>
            </w:pPr>
            <w:r>
              <w:rPr>
                <w:rFonts w:ascii="Arial" w:cs="Arial" w:eastAsia="Arial" w:hAnsi="Arial"/>
                <w:sz w:val="18"/>
                <w:szCs w:val="18"/>
                <w:color w:val="auto"/>
              </w:rPr>
              <w:t>Net increase in net assets resulting from capital share transactions</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41,331,519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(758,633 )</w:t>
            </w:r>
          </w:p>
        </w:tc>
      </w:tr>
      <w:tr>
        <w:trPr>
          <w:trHeight w:val="263"/>
        </w:trPr>
        <w:tc>
          <w:tcPr>
            <w:tcW w:w="75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7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Net assets at beginning of period</w:t>
            </w:r>
          </w:p>
        </w:tc>
        <w:tc>
          <w:tcPr>
            <w:tcW w:w="1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216,263,863</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152,198,570</w:t>
            </w:r>
          </w:p>
        </w:tc>
      </w:tr>
      <w:tr>
        <w:trPr>
          <w:trHeight w:val="290"/>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assets at end of period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271,048,276</w:t>
            </w: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125,946,098</w:t>
            </w:r>
          </w:p>
        </w:tc>
      </w:tr>
      <w:tr>
        <w:trPr>
          <w:trHeight w:val="243"/>
        </w:trPr>
        <w:tc>
          <w:tcPr>
            <w:tcW w:w="75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Net asset value per common share </w:t>
            </w:r>
            <w:r>
              <w:rPr>
                <w:rFonts w:ascii="Arial" w:cs="Arial" w:eastAsia="Arial" w:hAnsi="Arial"/>
                <w:sz w:val="24"/>
                <w:szCs w:val="24"/>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29.71</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28.51</w:t>
            </w:r>
          </w:p>
        </w:tc>
      </w:tr>
      <w:tr>
        <w:trPr>
          <w:trHeight w:val="256"/>
        </w:trPr>
        <w:tc>
          <w:tcPr>
            <w:tcW w:w="756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 xml:space="preserve">Common shares outstanding at end of period </w:t>
            </w:r>
            <w:r>
              <w:rPr>
                <w:rFonts w:ascii="Arial" w:cs="Arial" w:eastAsia="Arial" w:hAnsi="Arial"/>
                <w:sz w:val="24"/>
                <w:szCs w:val="24"/>
                <w:color w:val="auto"/>
                <w:vertAlign w:val="superscript"/>
              </w:rPr>
              <w:t>(2)</w:t>
            </w:r>
          </w:p>
        </w:tc>
        <w:tc>
          <w:tcPr>
            <w:tcW w:w="12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9,123,275</w:t>
            </w: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4,416,906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-2662555</wp:posOffset>
            </wp:positionV>
            <wp:extent cx="12001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-350520</wp:posOffset>
            </wp:positionV>
            <wp:extent cx="120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-333375</wp:posOffset>
            </wp:positionV>
            <wp:extent cx="120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Refer to note 9 "Stockholders' Equity" for additional information on changes in components of Stockholders' Equity</w:t>
      </w:r>
    </w:p>
    <w:p>
      <w:pPr>
        <w:spacing w:after="0" w:line="22" w:lineRule="exact"/>
        <w:rPr>
          <w:rFonts w:ascii="Arial" w:cs="Arial" w:eastAsia="Arial" w:hAnsi="Arial"/>
          <w:sz w:val="16"/>
          <w:szCs w:val="16"/>
          <w:color w:val="auto"/>
        </w:rPr>
      </w:pPr>
    </w:p>
    <w:p>
      <w:pPr>
        <w:ind w:left="380" w:right="360" w:hanging="372"/>
        <w:spacing w:after="0" w:line="288" w:lineRule="auto"/>
        <w:tabs>
          <w:tab w:leader="none" w:pos="33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completed a Reverse Stock Split of 10 to 1 effective August 26, 2021, the common shares and net asset value per common share have been adjusted retroactively to reflect the split for all periods presented.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40" w:type="dxa"/>
            <w:vAlign w:val="bottom"/>
          </w:tcPr>
          <w:p>
            <w:pPr>
              <w:spacing w:after="0"/>
              <w:rPr>
                <w:sz w:val="15"/>
                <w:szCs w:val="15"/>
                <w:color w:val="auto"/>
              </w:rPr>
            </w:pPr>
          </w:p>
        </w:tc>
        <w:tc>
          <w:tcPr>
            <w:tcW w:w="3600" w:type="dxa"/>
            <w:vAlign w:val="bottom"/>
            <w:tcBorders>
              <w:bottom w:val="single" w:sz="8" w:color="auto"/>
            </w:tcBorders>
            <w:gridSpan w:val="5"/>
          </w:tcPr>
          <w:p>
            <w:pPr>
              <w:jc w:val="right"/>
              <w:ind w:right="617"/>
              <w:spacing w:after="0"/>
              <w:rPr>
                <w:sz w:val="20"/>
                <w:szCs w:val="20"/>
                <w:color w:val="auto"/>
              </w:rPr>
            </w:pPr>
            <w:r>
              <w:rPr>
                <w:rFonts w:ascii="Arial" w:cs="Arial" w:eastAsia="Arial" w:hAnsi="Arial"/>
                <w:sz w:val="13"/>
                <w:szCs w:val="13"/>
                <w:b w:val="1"/>
                <w:bCs w:val="1"/>
                <w:color w:val="auto"/>
              </w:rPr>
              <w:t>For the Nine Months Ended September 30,</w:t>
            </w:r>
          </w:p>
        </w:tc>
      </w:tr>
      <w:tr>
        <w:trPr>
          <w:trHeight w:val="183"/>
        </w:trPr>
        <w:tc>
          <w:tcPr>
            <w:tcW w:w="76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97"/>
              <w:spacing w:after="0"/>
              <w:rPr>
                <w:sz w:val="20"/>
                <w:szCs w:val="20"/>
                <w:color w:val="auto"/>
              </w:rPr>
            </w:pPr>
            <w:r>
              <w:rPr>
                <w:rFonts w:ascii="Arial" w:cs="Arial" w:eastAsia="Arial" w:hAnsi="Arial"/>
                <w:sz w:val="13"/>
                <w:szCs w:val="13"/>
                <w:b w:val="1"/>
                <w:bCs w:val="1"/>
                <w:color w:val="auto"/>
              </w:rPr>
              <w:t>2020</w:t>
            </w: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OPERATING ACTIVITIES:</w:t>
            </w:r>
          </w:p>
        </w:tc>
        <w:tc>
          <w:tcPr>
            <w:tcW w:w="9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1"/>
        </w:trPr>
        <w:tc>
          <w:tcPr>
            <w:tcW w:w="7640" w:type="dxa"/>
            <w:vAlign w:val="bottom"/>
          </w:tcPr>
          <w:p>
            <w:pPr>
              <w:ind w:left="160"/>
              <w:spacing w:after="0"/>
              <w:rPr>
                <w:sz w:val="20"/>
                <w:szCs w:val="20"/>
                <w:color w:val="auto"/>
              </w:rPr>
            </w:pPr>
            <w:r>
              <w:rPr>
                <w:rFonts w:ascii="Arial" w:cs="Arial" w:eastAsia="Arial" w:hAnsi="Arial"/>
                <w:sz w:val="13"/>
                <w:szCs w:val="13"/>
                <w:color w:val="auto"/>
              </w:rPr>
              <w:t>Net increase (decrease) in stockholders' equity resulting from operations</w:t>
            </w:r>
          </w:p>
        </w:tc>
        <w:tc>
          <w:tcPr>
            <w:tcW w:w="960" w:type="dxa"/>
            <w:vAlign w:val="bottom"/>
          </w:tcPr>
          <w:p>
            <w:pPr>
              <w:jc w:val="right"/>
              <w:ind w:right="81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28,025,986</w:t>
            </w:r>
          </w:p>
        </w:tc>
        <w:tc>
          <w:tcPr>
            <w:tcW w:w="560" w:type="dxa"/>
            <w:vAlign w:val="bottom"/>
            <w:gridSpan w:val="2"/>
          </w:tcPr>
          <w:p>
            <w:pPr>
              <w:jc w:val="right"/>
              <w:ind w:right="237"/>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(17,450,561 )</w:t>
            </w:r>
          </w:p>
        </w:tc>
      </w:tr>
      <w:tr>
        <w:trPr>
          <w:trHeight w:val="181"/>
        </w:trPr>
        <w:tc>
          <w:tcPr>
            <w:tcW w:w="7640" w:type="dxa"/>
            <w:vAlign w:val="bottom"/>
            <w:shd w:val="clear" w:color="auto" w:fill="CFF0FC"/>
          </w:tcPr>
          <w:p>
            <w:pPr>
              <w:ind w:left="160"/>
              <w:spacing w:after="0"/>
              <w:rPr>
                <w:sz w:val="20"/>
                <w:szCs w:val="20"/>
                <w:color w:val="auto"/>
              </w:rPr>
            </w:pPr>
            <w:r>
              <w:rPr>
                <w:rFonts w:ascii="Arial" w:cs="Arial" w:eastAsia="Arial" w:hAnsi="Arial"/>
                <w:sz w:val="13"/>
                <w:szCs w:val="13"/>
                <w:color w:val="auto"/>
                <w:w w:val="97"/>
              </w:rPr>
              <w:t>Adjustments to reconcile net increase (decrease) in stockholders' equity resulting from operations to net cash (used in) provided by in</w:t>
            </w:r>
          </w:p>
        </w:tc>
        <w:tc>
          <w:tcPr>
            <w:tcW w:w="9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78"/>
        </w:trPr>
        <w:tc>
          <w:tcPr>
            <w:tcW w:w="7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operations:</w:t>
            </w:r>
          </w:p>
        </w:tc>
        <w:tc>
          <w:tcPr>
            <w:tcW w:w="9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1"/>
        </w:trPr>
        <w:tc>
          <w:tcPr>
            <w:tcW w:w="7640" w:type="dxa"/>
            <w:vAlign w:val="bottom"/>
          </w:tcPr>
          <w:p>
            <w:pPr>
              <w:ind w:left="300"/>
              <w:spacing w:after="0"/>
              <w:rPr>
                <w:sz w:val="20"/>
                <w:szCs w:val="20"/>
                <w:color w:val="auto"/>
              </w:rPr>
            </w:pPr>
            <w:r>
              <w:rPr>
                <w:rFonts w:ascii="Arial" w:cs="Arial" w:eastAsia="Arial" w:hAnsi="Arial"/>
                <w:sz w:val="13"/>
                <w:szCs w:val="13"/>
                <w:color w:val="auto"/>
              </w:rPr>
              <w:t>Net realized (gains) losses on investment transactions</w:t>
            </w:r>
          </w:p>
        </w:tc>
        <w:tc>
          <w:tcPr>
            <w:tcW w:w="96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11,372,803</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3,819,851</w:t>
            </w:r>
          </w:p>
        </w:tc>
      </w:tr>
      <w:tr>
        <w:trPr>
          <w:trHeight w:val="197"/>
        </w:trPr>
        <w:tc>
          <w:tcPr>
            <w:tcW w:w="76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Net change in unrealized (depreciation) appreciation from investments</w:t>
            </w: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(7,592,643 )</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21,848,028</w:t>
            </w:r>
          </w:p>
        </w:tc>
      </w:tr>
      <w:tr>
        <w:trPr>
          <w:trHeight w:val="181"/>
        </w:trPr>
        <w:tc>
          <w:tcPr>
            <w:tcW w:w="7640" w:type="dxa"/>
            <w:vAlign w:val="bottom"/>
          </w:tcPr>
          <w:p>
            <w:pPr>
              <w:ind w:left="300"/>
              <w:spacing w:after="0"/>
              <w:rPr>
                <w:sz w:val="20"/>
                <w:szCs w:val="20"/>
                <w:color w:val="auto"/>
              </w:rPr>
            </w:pPr>
            <w:r>
              <w:rPr>
                <w:rFonts w:ascii="Arial" w:cs="Arial" w:eastAsia="Arial" w:hAnsi="Arial"/>
                <w:sz w:val="13"/>
                <w:szCs w:val="13"/>
                <w:color w:val="auto"/>
              </w:rPr>
              <w:t>Purchases of investments</w:t>
            </w:r>
          </w:p>
        </w:tc>
        <w:tc>
          <w:tcPr>
            <w:tcW w:w="9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w w:val="87"/>
              </w:rPr>
              <w:t>(215,215,715 )</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(107,085,081 )</w:t>
            </w:r>
          </w:p>
        </w:tc>
      </w:tr>
      <w:tr>
        <w:trPr>
          <w:trHeight w:val="197"/>
        </w:trPr>
        <w:tc>
          <w:tcPr>
            <w:tcW w:w="76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Proceeds from sales and redemptions of investments</w:t>
            </w: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91"/>
              </w:rPr>
              <w:t>219,759,649</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75,298,827</w:t>
            </w:r>
          </w:p>
        </w:tc>
      </w:tr>
      <w:tr>
        <w:trPr>
          <w:trHeight w:val="181"/>
        </w:trPr>
        <w:tc>
          <w:tcPr>
            <w:tcW w:w="7640" w:type="dxa"/>
            <w:vAlign w:val="bottom"/>
          </w:tcPr>
          <w:p>
            <w:pPr>
              <w:ind w:left="300"/>
              <w:spacing w:after="0"/>
              <w:rPr>
                <w:sz w:val="20"/>
                <w:szCs w:val="20"/>
                <w:color w:val="auto"/>
              </w:rPr>
            </w:pPr>
            <w:r>
              <w:rPr>
                <w:rFonts w:ascii="Arial" w:cs="Arial" w:eastAsia="Arial" w:hAnsi="Arial"/>
                <w:sz w:val="13"/>
                <w:szCs w:val="13"/>
                <w:color w:val="auto"/>
              </w:rPr>
              <w:t>Net accretion of investments</w:t>
            </w:r>
          </w:p>
        </w:tc>
        <w:tc>
          <w:tcPr>
            <w:tcW w:w="9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w w:val="95"/>
              </w:rPr>
              <w:t>(25,672,805 )</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(4,683,861 )</w:t>
            </w:r>
          </w:p>
        </w:tc>
      </w:tr>
      <w:tr>
        <w:trPr>
          <w:trHeight w:val="197"/>
        </w:trPr>
        <w:tc>
          <w:tcPr>
            <w:tcW w:w="76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Amortization of debt issuance costs</w:t>
            </w: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728,593</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705,256</w:t>
            </w:r>
          </w:p>
        </w:tc>
      </w:tr>
      <w:tr>
        <w:trPr>
          <w:trHeight w:val="181"/>
        </w:trPr>
        <w:tc>
          <w:tcPr>
            <w:tcW w:w="7640" w:type="dxa"/>
            <w:vAlign w:val="bottom"/>
          </w:tcPr>
          <w:p>
            <w:pPr>
              <w:ind w:left="300"/>
              <w:spacing w:after="0"/>
              <w:rPr>
                <w:sz w:val="20"/>
                <w:szCs w:val="20"/>
                <w:color w:val="auto"/>
              </w:rPr>
            </w:pPr>
            <w:r>
              <w:rPr>
                <w:rFonts w:ascii="Arial" w:cs="Arial" w:eastAsia="Arial" w:hAnsi="Arial"/>
                <w:sz w:val="13"/>
                <w:szCs w:val="13"/>
                <w:color w:val="auto"/>
              </w:rPr>
              <w:t>Realized gains on extinguishments of debt</w:t>
            </w:r>
          </w:p>
        </w:tc>
        <w:tc>
          <w:tcPr>
            <w:tcW w:w="96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1,834,963</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(154,571 )</w:t>
            </w:r>
          </w:p>
        </w:tc>
      </w:tr>
      <w:tr>
        <w:trPr>
          <w:trHeight w:val="197"/>
        </w:trPr>
        <w:tc>
          <w:tcPr>
            <w:tcW w:w="76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Net payment-in-kind interest income</w:t>
            </w: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(2,430,410 )</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(380,093 )</w:t>
            </w:r>
          </w:p>
        </w:tc>
      </w:tr>
      <w:tr>
        <w:trPr>
          <w:trHeight w:val="181"/>
        </w:trPr>
        <w:tc>
          <w:tcPr>
            <w:tcW w:w="7640" w:type="dxa"/>
            <w:vAlign w:val="bottom"/>
          </w:tcPr>
          <w:p>
            <w:pPr>
              <w:ind w:left="300"/>
              <w:spacing w:after="0"/>
              <w:rPr>
                <w:sz w:val="20"/>
                <w:szCs w:val="20"/>
                <w:color w:val="auto"/>
              </w:rPr>
            </w:pPr>
            <w:r>
              <w:rPr>
                <w:rFonts w:ascii="Arial" w:cs="Arial" w:eastAsia="Arial" w:hAnsi="Arial"/>
                <w:sz w:val="13"/>
                <w:szCs w:val="13"/>
                <w:color w:val="auto"/>
              </w:rPr>
              <w:t>Cash consideration net of cash acquired from mergers</w:t>
            </w:r>
          </w:p>
        </w:tc>
        <w:tc>
          <w:tcPr>
            <w:tcW w:w="96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13,581,062</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97"/>
        </w:trPr>
        <w:tc>
          <w:tcPr>
            <w:tcW w:w="7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(Increase) decrease in operating assets:</w:t>
            </w: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181"/>
        </w:trPr>
        <w:tc>
          <w:tcPr>
            <w:tcW w:w="7640" w:type="dxa"/>
            <w:vAlign w:val="bottom"/>
          </w:tcPr>
          <w:p>
            <w:pPr>
              <w:ind w:left="300"/>
              <w:spacing w:after="0"/>
              <w:rPr>
                <w:sz w:val="20"/>
                <w:szCs w:val="20"/>
                <w:color w:val="auto"/>
              </w:rPr>
            </w:pPr>
            <w:r>
              <w:rPr>
                <w:rFonts w:ascii="Arial" w:cs="Arial" w:eastAsia="Arial" w:hAnsi="Arial"/>
                <w:sz w:val="13"/>
                <w:szCs w:val="13"/>
                <w:color w:val="auto"/>
              </w:rPr>
              <w:t>Receivable for unsettled trades</w:t>
            </w:r>
          </w:p>
        </w:tc>
        <w:tc>
          <w:tcPr>
            <w:tcW w:w="96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18,037,204</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22,572,899</w:t>
            </w:r>
          </w:p>
        </w:tc>
      </w:tr>
      <w:tr>
        <w:trPr>
          <w:trHeight w:val="197"/>
        </w:trPr>
        <w:tc>
          <w:tcPr>
            <w:tcW w:w="76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Interest and dividends receivable</w:t>
            </w: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(1,256,202 )</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(559,702 )</w:t>
            </w:r>
          </w:p>
        </w:tc>
      </w:tr>
      <w:tr>
        <w:trPr>
          <w:trHeight w:val="181"/>
        </w:trPr>
        <w:tc>
          <w:tcPr>
            <w:tcW w:w="7640" w:type="dxa"/>
            <w:vAlign w:val="bottom"/>
          </w:tcPr>
          <w:p>
            <w:pPr>
              <w:ind w:left="300"/>
              <w:spacing w:after="0"/>
              <w:rPr>
                <w:sz w:val="20"/>
                <w:szCs w:val="20"/>
                <w:color w:val="auto"/>
              </w:rPr>
            </w:pPr>
            <w:r>
              <w:rPr>
                <w:rFonts w:ascii="Arial" w:cs="Arial" w:eastAsia="Arial" w:hAnsi="Arial"/>
                <w:sz w:val="13"/>
                <w:szCs w:val="13"/>
                <w:color w:val="auto"/>
              </w:rPr>
              <w:t>Due from affiliates</w:t>
            </w:r>
          </w:p>
        </w:tc>
        <w:tc>
          <w:tcPr>
            <w:tcW w:w="9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(107,174 )</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285,756</w:t>
            </w:r>
          </w:p>
        </w:tc>
      </w:tr>
      <w:tr>
        <w:trPr>
          <w:trHeight w:val="197"/>
        </w:trPr>
        <w:tc>
          <w:tcPr>
            <w:tcW w:w="76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Other assets</w:t>
            </w: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(2,416,671 )</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(396,544 )</w:t>
            </w:r>
          </w:p>
        </w:tc>
      </w:tr>
      <w:tr>
        <w:trPr>
          <w:trHeight w:val="181"/>
        </w:trPr>
        <w:tc>
          <w:tcPr>
            <w:tcW w:w="7640" w:type="dxa"/>
            <w:vAlign w:val="bottom"/>
          </w:tcPr>
          <w:p>
            <w:pPr>
              <w:ind w:left="160"/>
              <w:spacing w:after="0"/>
              <w:rPr>
                <w:sz w:val="20"/>
                <w:szCs w:val="20"/>
                <w:color w:val="auto"/>
              </w:rPr>
            </w:pPr>
            <w:r>
              <w:rPr>
                <w:rFonts w:ascii="Arial" w:cs="Arial" w:eastAsia="Arial" w:hAnsi="Arial"/>
                <w:sz w:val="13"/>
                <w:szCs w:val="13"/>
                <w:color w:val="auto"/>
              </w:rPr>
              <w:t>Increase (decrease) in operating liabilities:</w:t>
            </w: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97"/>
        </w:trPr>
        <w:tc>
          <w:tcPr>
            <w:tcW w:w="76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Payable for unsettled trades</w:t>
            </w: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4,903,384</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r>
      <w:tr>
        <w:trPr>
          <w:trHeight w:val="181"/>
        </w:trPr>
        <w:tc>
          <w:tcPr>
            <w:tcW w:w="7640" w:type="dxa"/>
            <w:vAlign w:val="bottom"/>
          </w:tcPr>
          <w:p>
            <w:pPr>
              <w:ind w:left="300"/>
              <w:spacing w:after="0"/>
              <w:rPr>
                <w:sz w:val="20"/>
                <w:szCs w:val="20"/>
                <w:color w:val="auto"/>
              </w:rPr>
            </w:pPr>
            <w:r>
              <w:rPr>
                <w:rFonts w:ascii="Arial" w:cs="Arial" w:eastAsia="Arial" w:hAnsi="Arial"/>
                <w:sz w:val="13"/>
                <w:szCs w:val="13"/>
                <w:color w:val="auto"/>
              </w:rPr>
              <w:t>Accrued interest payable</w:t>
            </w:r>
          </w:p>
        </w:tc>
        <w:tc>
          <w:tcPr>
            <w:tcW w:w="96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2,256,027</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615,784</w:t>
            </w:r>
          </w:p>
        </w:tc>
      </w:tr>
      <w:tr>
        <w:trPr>
          <w:trHeight w:val="197"/>
        </w:trPr>
        <w:tc>
          <w:tcPr>
            <w:tcW w:w="76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Management and incentive fees payable</w:t>
            </w: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410,945</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538,512</w:t>
            </w:r>
          </w:p>
        </w:tc>
      </w:tr>
      <w:tr>
        <w:trPr>
          <w:trHeight w:val="181"/>
        </w:trPr>
        <w:tc>
          <w:tcPr>
            <w:tcW w:w="7640" w:type="dxa"/>
            <w:vAlign w:val="bottom"/>
          </w:tcPr>
          <w:p>
            <w:pPr>
              <w:ind w:left="300"/>
              <w:spacing w:after="0"/>
              <w:rPr>
                <w:sz w:val="20"/>
                <w:szCs w:val="20"/>
                <w:color w:val="auto"/>
              </w:rPr>
            </w:pPr>
            <w:r>
              <w:rPr>
                <w:rFonts w:ascii="Arial" w:cs="Arial" w:eastAsia="Arial" w:hAnsi="Arial"/>
                <w:sz w:val="13"/>
                <w:szCs w:val="13"/>
                <w:color w:val="auto"/>
              </w:rPr>
              <w:t>Due to affiliates</w:t>
            </w:r>
          </w:p>
        </w:tc>
        <w:tc>
          <w:tcPr>
            <w:tcW w:w="9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(614,627 )</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(115,533 )</w:t>
            </w:r>
          </w:p>
        </w:tc>
      </w:tr>
      <w:tr>
        <w:trPr>
          <w:trHeight w:val="190"/>
        </w:trPr>
        <w:tc>
          <w:tcPr>
            <w:tcW w:w="76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3"/>
                <w:szCs w:val="13"/>
                <w:color w:val="auto"/>
              </w:rPr>
              <w:t>Accounts payable and accrued expenses</w:t>
            </w:r>
          </w:p>
        </w:tc>
        <w:tc>
          <w:tcPr>
            <w:tcW w:w="96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2,172,758</w:t>
            </w:r>
          </w:p>
        </w:tc>
        <w:tc>
          <w:tcPr>
            <w:tcW w:w="18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187,857</w:t>
            </w:r>
          </w:p>
        </w:tc>
      </w:tr>
      <w:tr>
        <w:trPr>
          <w:trHeight w:val="183"/>
        </w:trPr>
        <w:tc>
          <w:tcPr>
            <w:tcW w:w="7640" w:type="dxa"/>
            <w:vAlign w:val="bottom"/>
          </w:tcPr>
          <w:p>
            <w:pPr>
              <w:ind w:left="460"/>
              <w:spacing w:after="0"/>
              <w:rPr>
                <w:sz w:val="20"/>
                <w:szCs w:val="20"/>
                <w:color w:val="auto"/>
              </w:rPr>
            </w:pPr>
            <w:r>
              <w:rPr>
                <w:rFonts w:ascii="Arial" w:cs="Arial" w:eastAsia="Arial" w:hAnsi="Arial"/>
                <w:sz w:val="13"/>
                <w:szCs w:val="13"/>
                <w:color w:val="auto"/>
              </w:rPr>
              <w:t>Net cash used in operating activities</w:t>
            </w:r>
          </w:p>
        </w:tc>
        <w:tc>
          <w:tcPr>
            <w:tcW w:w="9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47,777,127</w:t>
            </w: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(4,953,176 )</w:t>
            </w: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FINANCING ACTIVITIES:</w:t>
            </w:r>
          </w:p>
        </w:tc>
        <w:tc>
          <w:tcPr>
            <w:tcW w:w="9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1"/>
        </w:trPr>
        <w:tc>
          <w:tcPr>
            <w:tcW w:w="7640" w:type="dxa"/>
            <w:vAlign w:val="bottom"/>
          </w:tcPr>
          <w:p>
            <w:pPr>
              <w:ind w:left="300"/>
              <w:spacing w:after="0"/>
              <w:rPr>
                <w:sz w:val="20"/>
                <w:szCs w:val="20"/>
                <w:color w:val="auto"/>
              </w:rPr>
            </w:pPr>
            <w:r>
              <w:rPr>
                <w:rFonts w:ascii="Arial" w:cs="Arial" w:eastAsia="Arial" w:hAnsi="Arial"/>
                <w:sz w:val="13"/>
                <w:szCs w:val="13"/>
                <w:color w:val="auto"/>
              </w:rPr>
              <w:t>Debt issuance costs</w:t>
            </w:r>
          </w:p>
        </w:tc>
        <w:tc>
          <w:tcPr>
            <w:tcW w:w="9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(997,464 )</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(1,342 )</w:t>
            </w:r>
          </w:p>
        </w:tc>
      </w:tr>
      <w:tr>
        <w:trPr>
          <w:trHeight w:val="197"/>
        </w:trPr>
        <w:tc>
          <w:tcPr>
            <w:tcW w:w="76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Private placement</w:t>
            </w: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4,019,598</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r>
      <w:tr>
        <w:trPr>
          <w:trHeight w:val="181"/>
        </w:trPr>
        <w:tc>
          <w:tcPr>
            <w:tcW w:w="7640" w:type="dxa"/>
            <w:vAlign w:val="bottom"/>
          </w:tcPr>
          <w:p>
            <w:pPr>
              <w:ind w:left="300"/>
              <w:spacing w:after="0"/>
              <w:rPr>
                <w:sz w:val="20"/>
                <w:szCs w:val="20"/>
                <w:color w:val="auto"/>
              </w:rPr>
            </w:pPr>
            <w:r>
              <w:rPr>
                <w:rFonts w:ascii="Arial" w:cs="Arial" w:eastAsia="Arial" w:hAnsi="Arial"/>
                <w:sz w:val="13"/>
                <w:szCs w:val="13"/>
                <w:color w:val="auto"/>
              </w:rPr>
              <w:t>Stock repurchase program</w:t>
            </w:r>
          </w:p>
        </w:tc>
        <w:tc>
          <w:tcPr>
            <w:tcW w:w="9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(1,826,545 )</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(862,871 )</w:t>
            </w:r>
          </w:p>
        </w:tc>
      </w:tr>
      <w:tr>
        <w:trPr>
          <w:trHeight w:val="197"/>
        </w:trPr>
        <w:tc>
          <w:tcPr>
            <w:tcW w:w="76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Distributions to stockholders</w:t>
            </w: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(14,129,314 )</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(7,939,040 )</w:t>
            </w:r>
          </w:p>
        </w:tc>
      </w:tr>
      <w:tr>
        <w:trPr>
          <w:trHeight w:val="181"/>
        </w:trPr>
        <w:tc>
          <w:tcPr>
            <w:tcW w:w="7640" w:type="dxa"/>
            <w:vAlign w:val="bottom"/>
          </w:tcPr>
          <w:p>
            <w:pPr>
              <w:ind w:left="300"/>
              <w:spacing w:after="0"/>
              <w:rPr>
                <w:sz w:val="20"/>
                <w:szCs w:val="20"/>
                <w:color w:val="auto"/>
              </w:rPr>
            </w:pPr>
            <w:r>
              <w:rPr>
                <w:rFonts w:ascii="Arial" w:cs="Arial" w:eastAsia="Arial" w:hAnsi="Arial"/>
                <w:sz w:val="13"/>
                <w:szCs w:val="13"/>
                <w:color w:val="auto"/>
              </w:rPr>
              <w:t>Repurchase of 6.125% Notes Due 2022</w:t>
            </w:r>
          </w:p>
        </w:tc>
        <w:tc>
          <w:tcPr>
            <w:tcW w:w="9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w w:val="95"/>
              </w:rPr>
              <w:t>(76,725,975 )</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(513,383 )</w:t>
            </w:r>
          </w:p>
        </w:tc>
      </w:tr>
      <w:tr>
        <w:trPr>
          <w:trHeight w:val="197"/>
        </w:trPr>
        <w:tc>
          <w:tcPr>
            <w:tcW w:w="76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Repayment of 2018-2 Secured Notes</w:t>
            </w: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(88,000,000 )</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r>
      <w:tr>
        <w:trPr>
          <w:trHeight w:val="181"/>
        </w:trPr>
        <w:tc>
          <w:tcPr>
            <w:tcW w:w="7640" w:type="dxa"/>
            <w:vAlign w:val="bottom"/>
          </w:tcPr>
          <w:p>
            <w:pPr>
              <w:ind w:left="300"/>
              <w:spacing w:after="0"/>
              <w:rPr>
                <w:sz w:val="20"/>
                <w:szCs w:val="20"/>
                <w:color w:val="auto"/>
              </w:rPr>
            </w:pPr>
            <w:r>
              <w:rPr>
                <w:rFonts w:ascii="Arial" w:cs="Arial" w:eastAsia="Arial" w:hAnsi="Arial"/>
                <w:sz w:val="13"/>
                <w:szCs w:val="13"/>
                <w:color w:val="auto"/>
              </w:rPr>
              <w:t>Repayment of 6.125% Notes from HCAP acquisition</w:t>
            </w:r>
          </w:p>
        </w:tc>
        <w:tc>
          <w:tcPr>
            <w:tcW w:w="9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w w:val="95"/>
              </w:rPr>
              <w:t>(28,750,000 )</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97"/>
        </w:trPr>
        <w:tc>
          <w:tcPr>
            <w:tcW w:w="76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Issuance of 4.875% Notes Due 2026</w:t>
            </w: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91"/>
              </w:rPr>
              <w:t>105,570,000</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r>
      <w:tr>
        <w:trPr>
          <w:trHeight w:val="181"/>
        </w:trPr>
        <w:tc>
          <w:tcPr>
            <w:tcW w:w="7640" w:type="dxa"/>
            <w:vAlign w:val="bottom"/>
          </w:tcPr>
          <w:p>
            <w:pPr>
              <w:ind w:left="300"/>
              <w:spacing w:after="0"/>
              <w:rPr>
                <w:sz w:val="20"/>
                <w:szCs w:val="20"/>
                <w:color w:val="auto"/>
              </w:rPr>
            </w:pPr>
            <w:r>
              <w:rPr>
                <w:rFonts w:ascii="Arial" w:cs="Arial" w:eastAsia="Arial" w:hAnsi="Arial"/>
                <w:sz w:val="13"/>
                <w:szCs w:val="13"/>
                <w:color w:val="auto"/>
              </w:rPr>
              <w:t>Borrowings from Revolving Credit Facilities</w:t>
            </w:r>
          </w:p>
        </w:tc>
        <w:tc>
          <w:tcPr>
            <w:tcW w:w="96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19,750,000</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47,250,000</w:t>
            </w:r>
          </w:p>
        </w:tc>
      </w:tr>
      <w:tr>
        <w:trPr>
          <w:trHeight w:val="190"/>
        </w:trPr>
        <w:tc>
          <w:tcPr>
            <w:tcW w:w="76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3"/>
                <w:szCs w:val="13"/>
                <w:color w:val="auto"/>
              </w:rPr>
              <w:t>Repayment of Revolving Credit Facilities</w:t>
            </w:r>
          </w:p>
        </w:tc>
        <w:tc>
          <w:tcPr>
            <w:tcW w:w="96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(32,500,000 )</w:t>
            </w:r>
          </w:p>
        </w:tc>
      </w:tr>
      <w:tr>
        <w:trPr>
          <w:trHeight w:val="183"/>
        </w:trPr>
        <w:tc>
          <w:tcPr>
            <w:tcW w:w="7640" w:type="dxa"/>
            <w:vAlign w:val="bottom"/>
          </w:tcPr>
          <w:p>
            <w:pPr>
              <w:ind w:left="460"/>
              <w:spacing w:after="0"/>
              <w:rPr>
                <w:sz w:val="20"/>
                <w:szCs w:val="20"/>
                <w:color w:val="auto"/>
              </w:rPr>
            </w:pPr>
            <w:r>
              <w:rPr>
                <w:rFonts w:ascii="Arial" w:cs="Arial" w:eastAsia="Arial" w:hAnsi="Arial"/>
                <w:sz w:val="13"/>
                <w:szCs w:val="13"/>
                <w:color w:val="auto"/>
              </w:rPr>
              <w:t>Net cash provided by financing activities</w:t>
            </w:r>
          </w:p>
        </w:tc>
        <w:tc>
          <w:tcPr>
            <w:tcW w:w="9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(81,089,700 )</w:t>
            </w: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5,433,364</w:t>
            </w:r>
          </w:p>
        </w:tc>
      </w:tr>
      <w:tr>
        <w:trPr>
          <w:trHeight w:val="189"/>
        </w:trPr>
        <w:tc>
          <w:tcPr>
            <w:tcW w:w="7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CHANGE IN CASH AND RESTRICTED CASH</w:t>
            </w:r>
          </w:p>
        </w:tc>
        <w:tc>
          <w:tcPr>
            <w:tcW w:w="9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(33,312,573 )</w:t>
            </w:r>
          </w:p>
        </w:tc>
        <w:tc>
          <w:tcPr>
            <w:tcW w:w="1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480,189</w:t>
            </w:r>
          </w:p>
        </w:tc>
      </w:tr>
      <w:tr>
        <w:trPr>
          <w:trHeight w:val="183"/>
        </w:trPr>
        <w:tc>
          <w:tcPr>
            <w:tcW w:w="7640" w:type="dxa"/>
            <w:vAlign w:val="bottom"/>
          </w:tcPr>
          <w:p>
            <w:pPr>
              <w:ind w:left="20"/>
              <w:spacing w:after="0"/>
              <w:rPr>
                <w:sz w:val="20"/>
                <w:szCs w:val="20"/>
                <w:color w:val="auto"/>
              </w:rPr>
            </w:pPr>
            <w:r>
              <w:rPr>
                <w:rFonts w:ascii="Arial" w:cs="Arial" w:eastAsia="Arial" w:hAnsi="Arial"/>
                <w:sz w:val="13"/>
                <w:szCs w:val="13"/>
                <w:color w:val="auto"/>
              </w:rPr>
              <w:t>CASH AND RESTRICTED CASH, BEGINNING OF PERIOD</w:t>
            </w:r>
          </w:p>
        </w:tc>
        <w:tc>
          <w:tcPr>
            <w:tcW w:w="9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82,903,419</w:t>
            </w: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5,104,355</w:t>
            </w:r>
          </w:p>
        </w:tc>
      </w:tr>
      <w:tr>
        <w:trPr>
          <w:trHeight w:val="223"/>
        </w:trPr>
        <w:tc>
          <w:tcPr>
            <w:tcW w:w="7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AND RESTRICTED CASH, END OF PERIOD</w:t>
            </w:r>
          </w:p>
        </w:tc>
        <w:tc>
          <w:tcPr>
            <w:tcW w:w="960" w:type="dxa"/>
            <w:vAlign w:val="bottom"/>
            <w:shd w:val="clear" w:color="auto" w:fill="CFF0FC"/>
          </w:tcPr>
          <w:p>
            <w:pPr>
              <w:jc w:val="right"/>
              <w:ind w:right="8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49,590,846</w:t>
            </w:r>
          </w:p>
        </w:tc>
        <w:tc>
          <w:tcPr>
            <w:tcW w:w="56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5,584,544</w:t>
            </w:r>
          </w:p>
        </w:tc>
      </w:tr>
      <w:tr>
        <w:trPr>
          <w:trHeight w:val="168"/>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Amounts per balance sheet:</w:t>
            </w:r>
          </w:p>
        </w:tc>
        <w:tc>
          <w:tcPr>
            <w:tcW w:w="9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197"/>
        </w:trPr>
        <w:tc>
          <w:tcPr>
            <w:tcW w:w="76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Cash and cash equivalents</w:t>
            </w:r>
          </w:p>
        </w:tc>
        <w:tc>
          <w:tcPr>
            <w:tcW w:w="960" w:type="dxa"/>
            <w:vAlign w:val="bottom"/>
            <w:shd w:val="clear" w:color="auto" w:fill="CFF0FC"/>
          </w:tcPr>
          <w:p>
            <w:pPr>
              <w:jc w:val="right"/>
              <w:ind w:right="8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28,539,989</w:t>
            </w:r>
          </w:p>
        </w:tc>
        <w:tc>
          <w:tcPr>
            <w:tcW w:w="56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677,438</w:t>
            </w:r>
          </w:p>
        </w:tc>
      </w:tr>
      <w:tr>
        <w:trPr>
          <w:trHeight w:val="183"/>
        </w:trPr>
        <w:tc>
          <w:tcPr>
            <w:tcW w:w="7640" w:type="dxa"/>
            <w:vAlign w:val="bottom"/>
          </w:tcPr>
          <w:p>
            <w:pPr>
              <w:ind w:left="300"/>
              <w:spacing w:after="0"/>
              <w:rPr>
                <w:sz w:val="20"/>
                <w:szCs w:val="20"/>
                <w:color w:val="auto"/>
              </w:rPr>
            </w:pPr>
            <w:r>
              <w:rPr>
                <w:rFonts w:ascii="Arial" w:cs="Arial" w:eastAsia="Arial" w:hAnsi="Arial"/>
                <w:sz w:val="13"/>
                <w:szCs w:val="13"/>
                <w:color w:val="auto"/>
              </w:rPr>
              <w:t>Restricted cash</w:t>
            </w:r>
          </w:p>
        </w:tc>
        <w:tc>
          <w:tcPr>
            <w:tcW w:w="9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21,050,857</w:t>
            </w: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4,907,105</w:t>
            </w:r>
          </w:p>
        </w:tc>
      </w:tr>
      <w:tr>
        <w:trPr>
          <w:trHeight w:val="223"/>
        </w:trPr>
        <w:tc>
          <w:tcPr>
            <w:tcW w:w="76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Total Cash and Restricted cash</w:t>
            </w:r>
          </w:p>
        </w:tc>
        <w:tc>
          <w:tcPr>
            <w:tcW w:w="960" w:type="dxa"/>
            <w:vAlign w:val="bottom"/>
            <w:shd w:val="clear" w:color="auto" w:fill="CFF0FC"/>
          </w:tcPr>
          <w:p>
            <w:pPr>
              <w:jc w:val="right"/>
              <w:ind w:right="8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49,590,846</w:t>
            </w:r>
          </w:p>
        </w:tc>
        <w:tc>
          <w:tcPr>
            <w:tcW w:w="56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5,584,543</w:t>
            </w:r>
          </w:p>
        </w:tc>
      </w:tr>
      <w:tr>
        <w:trPr>
          <w:trHeight w:val="168"/>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Supplemental Information:</w:t>
            </w:r>
          </w:p>
        </w:tc>
        <w:tc>
          <w:tcPr>
            <w:tcW w:w="9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197"/>
        </w:trPr>
        <w:tc>
          <w:tcPr>
            <w:tcW w:w="76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Interest paid during the period</w:t>
            </w:r>
          </w:p>
        </w:tc>
        <w:tc>
          <w:tcPr>
            <w:tcW w:w="960" w:type="dxa"/>
            <w:vAlign w:val="bottom"/>
            <w:shd w:val="clear" w:color="auto" w:fill="CFF0FC"/>
          </w:tcPr>
          <w:p>
            <w:pPr>
              <w:jc w:val="right"/>
              <w:ind w:right="8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7,330,908</w:t>
            </w:r>
          </w:p>
        </w:tc>
        <w:tc>
          <w:tcPr>
            <w:tcW w:w="56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5,663,812</w:t>
            </w:r>
          </w:p>
        </w:tc>
      </w:tr>
      <w:tr>
        <w:trPr>
          <w:trHeight w:val="181"/>
        </w:trPr>
        <w:tc>
          <w:tcPr>
            <w:tcW w:w="7640" w:type="dxa"/>
            <w:vAlign w:val="bottom"/>
          </w:tcPr>
          <w:p>
            <w:pPr>
              <w:ind w:left="300"/>
              <w:spacing w:after="0"/>
              <w:rPr>
                <w:sz w:val="20"/>
                <w:szCs w:val="20"/>
                <w:color w:val="auto"/>
              </w:rPr>
            </w:pPr>
            <w:r>
              <w:rPr>
                <w:rFonts w:ascii="Arial" w:cs="Arial" w:eastAsia="Arial" w:hAnsi="Arial"/>
                <w:sz w:val="13"/>
                <w:szCs w:val="13"/>
                <w:color w:val="auto"/>
              </w:rPr>
              <w:t>Dividends paid during the period under the dividend reinvestment plan</w:t>
            </w:r>
          </w:p>
        </w:tc>
        <w:tc>
          <w:tcPr>
            <w:tcW w:w="960" w:type="dxa"/>
            <w:vAlign w:val="bottom"/>
          </w:tcPr>
          <w:p>
            <w:pPr>
              <w:jc w:val="right"/>
              <w:ind w:right="81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443,778</w:t>
            </w:r>
          </w:p>
        </w:tc>
        <w:tc>
          <w:tcPr>
            <w:tcW w:w="560" w:type="dxa"/>
            <w:vAlign w:val="bottom"/>
            <w:gridSpan w:val="2"/>
          </w:tcPr>
          <w:p>
            <w:pPr>
              <w:jc w:val="right"/>
              <w:ind w:right="23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104,238</w:t>
            </w:r>
          </w:p>
        </w:tc>
      </w:tr>
      <w:tr>
        <w:trPr>
          <w:trHeight w:val="197"/>
        </w:trPr>
        <w:tc>
          <w:tcPr>
            <w:tcW w:w="7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Supplemental non-cash information:</w:t>
            </w: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181"/>
        </w:trPr>
        <w:tc>
          <w:tcPr>
            <w:tcW w:w="7640" w:type="dxa"/>
            <w:vAlign w:val="bottom"/>
          </w:tcPr>
          <w:p>
            <w:pPr>
              <w:ind w:left="160"/>
              <w:spacing w:after="0"/>
              <w:rPr>
                <w:sz w:val="20"/>
                <w:szCs w:val="20"/>
                <w:color w:val="auto"/>
              </w:rPr>
            </w:pPr>
            <w:r>
              <w:rPr>
                <w:rFonts w:ascii="Arial" w:cs="Arial" w:eastAsia="Arial" w:hAnsi="Arial"/>
                <w:sz w:val="13"/>
                <w:szCs w:val="13"/>
                <w:color w:val="auto"/>
              </w:rPr>
              <w:t>Acquisitions:</w:t>
            </w: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97"/>
        </w:trPr>
        <w:tc>
          <w:tcPr>
            <w:tcW w:w="76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Non-cash assets acquired</w:t>
            </w: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181"/>
        </w:trPr>
        <w:tc>
          <w:tcPr>
            <w:tcW w:w="7640" w:type="dxa"/>
            <w:vAlign w:val="bottom"/>
          </w:tcPr>
          <w:p>
            <w:pPr>
              <w:ind w:left="300"/>
              <w:spacing w:after="0"/>
              <w:rPr>
                <w:sz w:val="20"/>
                <w:szCs w:val="20"/>
                <w:color w:val="auto"/>
              </w:rPr>
            </w:pPr>
            <w:r>
              <w:rPr>
                <w:rFonts w:ascii="Arial" w:cs="Arial" w:eastAsia="Arial" w:hAnsi="Arial"/>
                <w:sz w:val="13"/>
                <w:szCs w:val="13"/>
                <w:color w:val="auto"/>
              </w:rPr>
              <w:t>Investments, at cost</w:t>
            </w:r>
          </w:p>
        </w:tc>
        <w:tc>
          <w:tcPr>
            <w:tcW w:w="960" w:type="dxa"/>
            <w:vAlign w:val="bottom"/>
          </w:tcPr>
          <w:p>
            <w:pPr>
              <w:jc w:val="right"/>
              <w:ind w:right="81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53,811,838</w:t>
            </w:r>
          </w:p>
        </w:tc>
        <w:tc>
          <w:tcPr>
            <w:tcW w:w="560" w:type="dxa"/>
            <w:vAlign w:val="bottom"/>
            <w:gridSpan w:val="2"/>
          </w:tcPr>
          <w:p>
            <w:pPr>
              <w:jc w:val="right"/>
              <w:ind w:right="23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97"/>
        </w:trPr>
        <w:tc>
          <w:tcPr>
            <w:tcW w:w="76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Interest receivable</w:t>
            </w: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431,454</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r>
      <w:tr>
        <w:trPr>
          <w:trHeight w:val="183"/>
        </w:trPr>
        <w:tc>
          <w:tcPr>
            <w:tcW w:w="7640" w:type="dxa"/>
            <w:vAlign w:val="bottom"/>
          </w:tcPr>
          <w:p>
            <w:pPr>
              <w:ind w:left="300"/>
              <w:spacing w:after="0"/>
              <w:rPr>
                <w:sz w:val="20"/>
                <w:szCs w:val="20"/>
                <w:color w:val="auto"/>
              </w:rPr>
            </w:pPr>
            <w:r>
              <w:rPr>
                <w:rFonts w:ascii="Arial" w:cs="Arial" w:eastAsia="Arial" w:hAnsi="Arial"/>
                <w:sz w:val="13"/>
                <w:szCs w:val="13"/>
                <w:color w:val="auto"/>
              </w:rPr>
              <w:t>Other assets</w:t>
            </w:r>
          </w:p>
        </w:tc>
        <w:tc>
          <w:tcPr>
            <w:tcW w:w="9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2,664,932</w:t>
            </w: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r>
      <w:tr>
        <w:trPr>
          <w:trHeight w:val="183"/>
        </w:trPr>
        <w:tc>
          <w:tcPr>
            <w:tcW w:w="76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Total non-cash assets purchased</w:t>
            </w:r>
          </w:p>
        </w:tc>
        <w:tc>
          <w:tcPr>
            <w:tcW w:w="960" w:type="dxa"/>
            <w:vAlign w:val="bottom"/>
            <w:shd w:val="clear" w:color="auto" w:fill="CFF0FC"/>
          </w:tcPr>
          <w:p>
            <w:pPr>
              <w:jc w:val="right"/>
              <w:ind w:right="8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56,908,224</w:t>
            </w:r>
          </w:p>
        </w:tc>
        <w:tc>
          <w:tcPr>
            <w:tcW w:w="56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r>
      <w:tr>
        <w:trPr>
          <w:trHeight w:val="181"/>
        </w:trPr>
        <w:tc>
          <w:tcPr>
            <w:tcW w:w="7640" w:type="dxa"/>
            <w:vAlign w:val="bottom"/>
            <w:tcBorders>
              <w:top w:val="single" w:sz="8" w:color="CFF0FC"/>
            </w:tcBorders>
          </w:tcPr>
          <w:p>
            <w:pPr>
              <w:ind w:left="240"/>
              <w:spacing w:after="0"/>
              <w:rPr>
                <w:sz w:val="20"/>
                <w:szCs w:val="20"/>
                <w:color w:val="auto"/>
              </w:rPr>
            </w:pPr>
            <w:r>
              <w:rPr>
                <w:rFonts w:ascii="Arial" w:cs="Arial" w:eastAsia="Arial" w:hAnsi="Arial"/>
                <w:sz w:val="13"/>
                <w:szCs w:val="13"/>
                <w:color w:val="auto"/>
              </w:rPr>
              <w:t>Liabilities assumed</w:t>
            </w:r>
          </w:p>
        </w:tc>
        <w:tc>
          <w:tcPr>
            <w:tcW w:w="9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197"/>
        </w:trPr>
        <w:tc>
          <w:tcPr>
            <w:tcW w:w="76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Debt</w:t>
            </w:r>
          </w:p>
        </w:tc>
        <w:tc>
          <w:tcPr>
            <w:tcW w:w="960" w:type="dxa"/>
            <w:vAlign w:val="bottom"/>
            <w:shd w:val="clear" w:color="auto" w:fill="CFF0FC"/>
          </w:tcPr>
          <w:p>
            <w:pPr>
              <w:jc w:val="right"/>
              <w:ind w:right="8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28,750,000</w:t>
            </w:r>
          </w:p>
        </w:tc>
        <w:tc>
          <w:tcPr>
            <w:tcW w:w="56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r>
      <w:tr>
        <w:trPr>
          <w:trHeight w:val="183"/>
        </w:trPr>
        <w:tc>
          <w:tcPr>
            <w:tcW w:w="7640" w:type="dxa"/>
            <w:vAlign w:val="bottom"/>
          </w:tcPr>
          <w:p>
            <w:pPr>
              <w:ind w:left="300"/>
              <w:spacing w:after="0"/>
              <w:rPr>
                <w:sz w:val="20"/>
                <w:szCs w:val="20"/>
                <w:color w:val="auto"/>
              </w:rPr>
            </w:pPr>
            <w:r>
              <w:rPr>
                <w:rFonts w:ascii="Arial" w:cs="Arial" w:eastAsia="Arial" w:hAnsi="Arial"/>
                <w:sz w:val="13"/>
                <w:szCs w:val="13"/>
                <w:color w:val="auto"/>
              </w:rPr>
              <w:t>Accounts payable and accrued expenses</w:t>
            </w:r>
          </w:p>
        </w:tc>
        <w:tc>
          <w:tcPr>
            <w:tcW w:w="9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1,644,600</w:t>
            </w: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r>
      <w:tr>
        <w:trPr>
          <w:trHeight w:val="183"/>
        </w:trPr>
        <w:tc>
          <w:tcPr>
            <w:tcW w:w="76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3"/>
                <w:szCs w:val="13"/>
                <w:color w:val="auto"/>
              </w:rPr>
              <w:t>Total liabilities assumed</w:t>
            </w:r>
          </w:p>
        </w:tc>
        <w:tc>
          <w:tcPr>
            <w:tcW w:w="960" w:type="dxa"/>
            <w:vAlign w:val="bottom"/>
            <w:tcBorders>
              <w:bottom w:val="single" w:sz="8" w:color="auto"/>
            </w:tcBorders>
            <w:shd w:val="clear" w:color="auto" w:fill="CFF0FC"/>
          </w:tcPr>
          <w:p>
            <w:pPr>
              <w:jc w:val="right"/>
              <w:ind w:right="81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30,394,600</w:t>
            </w:r>
          </w:p>
        </w:tc>
        <w:tc>
          <w:tcPr>
            <w:tcW w:w="18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w:t>
            </w:r>
          </w:p>
        </w:tc>
      </w:tr>
      <w:tr>
        <w:trPr>
          <w:trHeight w:val="181"/>
        </w:trPr>
        <w:tc>
          <w:tcPr>
            <w:tcW w:w="7640" w:type="dxa"/>
            <w:vAlign w:val="bottom"/>
          </w:tcPr>
          <w:p>
            <w:pPr>
              <w:ind w:left="240"/>
              <w:spacing w:after="0"/>
              <w:rPr>
                <w:sz w:val="20"/>
                <w:szCs w:val="20"/>
                <w:color w:val="auto"/>
              </w:rPr>
            </w:pPr>
            <w:r>
              <w:rPr>
                <w:rFonts w:ascii="Arial" w:cs="Arial" w:eastAsia="Arial" w:hAnsi="Arial"/>
                <w:sz w:val="13"/>
                <w:szCs w:val="13"/>
                <w:color w:val="auto"/>
              </w:rPr>
              <w:t>Issuance of common stock</w:t>
            </w:r>
          </w:p>
        </w:tc>
        <w:tc>
          <w:tcPr>
            <w:tcW w:w="96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37,063,461</w:t>
            </w:r>
          </w:p>
        </w:tc>
        <w:tc>
          <w:tcPr>
            <w:tcW w:w="560" w:type="dxa"/>
            <w:vAlign w:val="bottom"/>
            <w:gridSpan w:val="2"/>
          </w:tcPr>
          <w:p>
            <w:pPr>
              <w:jc w:val="right"/>
              <w:ind w:right="23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97"/>
        </w:trPr>
        <w:tc>
          <w:tcPr>
            <w:tcW w:w="76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Deemed capital contribution from affiliates</w:t>
            </w:r>
          </w:p>
        </w:tc>
        <w:tc>
          <w:tcPr>
            <w:tcW w:w="960" w:type="dxa"/>
            <w:vAlign w:val="bottom"/>
            <w:shd w:val="clear" w:color="auto" w:fill="CFF0FC"/>
          </w:tcPr>
          <w:p>
            <w:pPr>
              <w:jc w:val="right"/>
              <w:ind w:right="8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2,150,000</w:t>
            </w:r>
          </w:p>
        </w:tc>
        <w:tc>
          <w:tcPr>
            <w:tcW w:w="56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r>
      <w:tr>
        <w:trPr>
          <w:trHeight w:val="173"/>
        </w:trPr>
        <w:tc>
          <w:tcPr>
            <w:tcW w:w="7640" w:type="dxa"/>
            <w:vAlign w:val="bottom"/>
          </w:tcPr>
          <w:p>
            <w:pPr>
              <w:ind w:left="240"/>
              <w:spacing w:after="0"/>
              <w:rPr>
                <w:sz w:val="20"/>
                <w:szCs w:val="20"/>
                <w:color w:val="auto"/>
              </w:rPr>
            </w:pPr>
            <w:r>
              <w:rPr>
                <w:rFonts w:ascii="Arial" w:cs="Arial" w:eastAsia="Arial" w:hAnsi="Arial"/>
                <w:sz w:val="13"/>
                <w:szCs w:val="13"/>
                <w:color w:val="auto"/>
              </w:rPr>
              <w:t>Transaction costs</w:t>
            </w:r>
          </w:p>
        </w:tc>
        <w:tc>
          <w:tcPr>
            <w:tcW w:w="96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881,226</w:t>
            </w:r>
          </w:p>
        </w:tc>
        <w:tc>
          <w:tcPr>
            <w:tcW w:w="560" w:type="dxa"/>
            <w:vAlign w:val="bottom"/>
            <w:gridSpan w:val="2"/>
          </w:tcPr>
          <w:p>
            <w:pPr>
              <w:jc w:val="right"/>
              <w:ind w:right="237"/>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7"/>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-4563745</wp:posOffset>
            </wp:positionV>
            <wp:extent cx="11112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-3106420</wp:posOffset>
            </wp:positionV>
            <wp:extent cx="11112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-2603500</wp:posOffset>
            </wp:positionV>
            <wp:extent cx="111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-2586355</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-2089150</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-2072005</wp:posOffset>
            </wp:positionV>
            <wp:extent cx="1111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-852170</wp:posOffset>
            </wp:positionV>
            <wp:extent cx="11112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-354965</wp:posOffset>
            </wp:positionV>
            <wp:extent cx="11112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Principal Business</w:t>
      </w:r>
    </w:p>
    <w:p>
      <w:pPr>
        <w:ind w:left="2540"/>
        <w:spacing w:after="0" w:line="193" w:lineRule="auto"/>
        <w:rPr>
          <w:sz w:val="20"/>
          <w:szCs w:val="20"/>
          <w:color w:val="auto"/>
        </w:rPr>
      </w:pPr>
      <w:r>
        <w:rPr>
          <w:rFonts w:ascii="Arial" w:cs="Arial" w:eastAsia="Arial" w:hAnsi="Arial"/>
          <w:sz w:val="7"/>
          <w:szCs w:val="7"/>
          <w:color w:val="auto"/>
        </w:rPr>
        <w:t>(8)(14)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5944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1A Smart Start LLC</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Consumer goods: Non-durable</w:t>
      </w:r>
    </w:p>
    <w:p>
      <w:pPr>
        <w:spacing w:after="0" w:line="309" w:lineRule="exact"/>
        <w:rPr>
          <w:sz w:val="20"/>
          <w:szCs w:val="20"/>
          <w:color w:val="auto"/>
        </w:rPr>
      </w:pPr>
    </w:p>
    <w:p>
      <w:pPr>
        <w:ind w:left="2540"/>
        <w:spacing w:after="0"/>
        <w:rPr>
          <w:sz w:val="20"/>
          <w:szCs w:val="20"/>
          <w:color w:val="auto"/>
        </w:rPr>
      </w:pPr>
      <w:r>
        <w:rPr>
          <w:rFonts w:ascii="Arial" w:cs="Arial" w:eastAsia="Arial" w:hAnsi="Arial"/>
          <w:sz w:val="8"/>
          <w:szCs w:val="8"/>
          <w:color w:val="auto"/>
        </w:rPr>
        <w:t>(8)(13)(14)(23)</w:t>
      </w:r>
    </w:p>
    <w:p>
      <w:pPr>
        <w:ind w:left="20"/>
        <w:spacing w:after="0"/>
        <w:rPr>
          <w:sz w:val="20"/>
          <w:szCs w:val="20"/>
          <w:color w:val="auto"/>
        </w:rPr>
      </w:pPr>
      <w:r>
        <w:rPr>
          <w:rFonts w:ascii="Arial" w:cs="Arial" w:eastAsia="Arial" w:hAnsi="Arial"/>
          <w:sz w:val="13"/>
          <w:szCs w:val="13"/>
          <w:color w:val="auto"/>
        </w:rPr>
        <w:t>Accordion Partners LLC</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Finance</w:t>
      </w:r>
    </w:p>
    <w:p>
      <w:pPr>
        <w:spacing w:after="0" w:line="147" w:lineRule="exact"/>
        <w:rPr>
          <w:sz w:val="20"/>
          <w:szCs w:val="20"/>
          <w:color w:val="auto"/>
        </w:rPr>
      </w:pPr>
    </w:p>
    <w:p>
      <w:pPr>
        <w:ind w:left="2540"/>
        <w:spacing w:after="0"/>
        <w:rPr>
          <w:sz w:val="20"/>
          <w:szCs w:val="20"/>
          <w:color w:val="auto"/>
        </w:rPr>
      </w:pPr>
      <w:r>
        <w:rPr>
          <w:rFonts w:ascii="Arial" w:cs="Arial" w:eastAsia="Arial" w:hAnsi="Arial"/>
          <w:sz w:val="8"/>
          <w:szCs w:val="8"/>
          <w:color w:val="auto"/>
        </w:rPr>
        <w:t>(8)(13)(23)</w:t>
      </w:r>
    </w:p>
    <w:p>
      <w:pPr>
        <w:ind w:left="20"/>
        <w:spacing w:after="0"/>
        <w:rPr>
          <w:sz w:val="20"/>
          <w:szCs w:val="20"/>
          <w:color w:val="auto"/>
        </w:rPr>
      </w:pPr>
      <w:r>
        <w:rPr>
          <w:rFonts w:ascii="Arial" w:cs="Arial" w:eastAsia="Arial" w:hAnsi="Arial"/>
          <w:sz w:val="13"/>
          <w:szCs w:val="13"/>
          <w:color w:val="auto"/>
        </w:rPr>
        <w:t>Accordion Partners LLC</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Finance</w:t>
      </w:r>
    </w:p>
    <w:p>
      <w:pPr>
        <w:spacing w:after="0" w:line="147" w:lineRule="exact"/>
        <w:rPr>
          <w:sz w:val="20"/>
          <w:szCs w:val="20"/>
          <w:color w:val="auto"/>
        </w:rPr>
      </w:pPr>
    </w:p>
    <w:p>
      <w:pPr>
        <w:ind w:left="2540"/>
        <w:spacing w:after="0"/>
        <w:rPr>
          <w:sz w:val="20"/>
          <w:szCs w:val="20"/>
          <w:color w:val="auto"/>
        </w:rPr>
      </w:pPr>
      <w:r>
        <w:rPr>
          <w:rFonts w:ascii="Arial" w:cs="Arial" w:eastAsia="Arial" w:hAnsi="Arial"/>
          <w:sz w:val="8"/>
          <w:szCs w:val="8"/>
          <w:color w:val="auto"/>
        </w:rPr>
        <w:t>(8)(13)(14)</w:t>
      </w:r>
    </w:p>
    <w:p>
      <w:pPr>
        <w:ind w:left="20"/>
        <w:spacing w:after="0"/>
        <w:rPr>
          <w:sz w:val="20"/>
          <w:szCs w:val="20"/>
          <w:color w:val="auto"/>
        </w:rPr>
      </w:pPr>
      <w:r>
        <w:rPr>
          <w:rFonts w:ascii="Arial" w:cs="Arial" w:eastAsia="Arial" w:hAnsi="Arial"/>
          <w:sz w:val="13"/>
          <w:szCs w:val="13"/>
          <w:color w:val="auto"/>
        </w:rPr>
        <w:t>Accordion Partners LLC</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Finance</w:t>
      </w:r>
    </w:p>
    <w:p>
      <w:pPr>
        <w:spacing w:after="0" w:line="309" w:lineRule="exact"/>
        <w:rPr>
          <w:sz w:val="20"/>
          <w:szCs w:val="20"/>
          <w:color w:val="auto"/>
        </w:rPr>
      </w:pPr>
    </w:p>
    <w:p>
      <w:pPr>
        <w:ind w:left="2540"/>
        <w:spacing w:after="0"/>
        <w:rPr>
          <w:sz w:val="20"/>
          <w:szCs w:val="20"/>
          <w:color w:val="auto"/>
        </w:rPr>
      </w:pPr>
      <w:r>
        <w:rPr>
          <w:rFonts w:ascii="Arial" w:cs="Arial" w:eastAsia="Arial" w:hAnsi="Arial"/>
          <w:sz w:val="8"/>
          <w:szCs w:val="8"/>
          <w:color w:val="auto"/>
        </w:rPr>
        <w:t>(8)(13)(14)(21)</w:t>
      </w:r>
    </w:p>
    <w:p>
      <w:pPr>
        <w:ind w:left="20"/>
        <w:spacing w:after="0"/>
        <w:rPr>
          <w:sz w:val="20"/>
          <w:szCs w:val="20"/>
          <w:color w:val="auto"/>
        </w:rPr>
      </w:pPr>
      <w:r>
        <w:rPr>
          <w:rFonts w:ascii="Arial" w:cs="Arial" w:eastAsia="Arial" w:hAnsi="Arial"/>
          <w:sz w:val="13"/>
          <w:szCs w:val="13"/>
          <w:color w:val="auto"/>
        </w:rPr>
        <w:t>Advantage Capital Holdings LLC</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Banking, Finance, Insurance &amp; Real Estate</w:t>
      </w:r>
    </w:p>
    <w:p>
      <w:pPr>
        <w:spacing w:after="0" w:line="147" w:lineRule="exact"/>
        <w:rPr>
          <w:sz w:val="20"/>
          <w:szCs w:val="20"/>
          <w:color w:val="auto"/>
        </w:rPr>
      </w:pPr>
    </w:p>
    <w:p>
      <w:pPr>
        <w:ind w:left="2540"/>
        <w:spacing w:after="0"/>
        <w:rPr>
          <w:sz w:val="20"/>
          <w:szCs w:val="20"/>
          <w:color w:val="auto"/>
        </w:rPr>
      </w:pPr>
      <w:r>
        <w:rPr>
          <w:rFonts w:ascii="Arial" w:cs="Arial" w:eastAsia="Arial" w:hAnsi="Arial"/>
          <w:sz w:val="8"/>
          <w:szCs w:val="8"/>
          <w:color w:val="auto"/>
        </w:rPr>
        <w:t>(8)(13)(14)(21)</w:t>
      </w:r>
    </w:p>
    <w:p>
      <w:pPr>
        <w:ind w:left="20"/>
        <w:spacing w:after="0"/>
        <w:rPr>
          <w:sz w:val="20"/>
          <w:szCs w:val="20"/>
          <w:color w:val="auto"/>
        </w:rPr>
      </w:pPr>
      <w:r>
        <w:rPr>
          <w:rFonts w:ascii="Arial" w:cs="Arial" w:eastAsia="Arial" w:hAnsi="Arial"/>
          <w:sz w:val="13"/>
          <w:szCs w:val="13"/>
          <w:color w:val="auto"/>
        </w:rPr>
        <w:t>Advantage Capital Holdings LLC</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Banking, Finance, Insurance &amp; Real Estate</w:t>
      </w:r>
    </w:p>
    <w:p>
      <w:pPr>
        <w:spacing w:after="0" w:line="147" w:lineRule="exact"/>
        <w:rPr>
          <w:sz w:val="20"/>
          <w:szCs w:val="20"/>
          <w:color w:val="auto"/>
        </w:rPr>
      </w:pPr>
    </w:p>
    <w:p>
      <w:pPr>
        <w:ind w:left="2540"/>
        <w:spacing w:after="0"/>
        <w:rPr>
          <w:sz w:val="20"/>
          <w:szCs w:val="20"/>
          <w:color w:val="auto"/>
        </w:rPr>
      </w:pPr>
      <w:r>
        <w:rPr>
          <w:rFonts w:ascii="Arial" w:cs="Arial" w:eastAsia="Arial" w:hAnsi="Arial"/>
          <w:sz w:val="8"/>
          <w:szCs w:val="8"/>
          <w:color w:val="auto"/>
        </w:rPr>
        <w:t>(8)(13)(14)</w:t>
      </w:r>
    </w:p>
    <w:p>
      <w:pPr>
        <w:ind w:left="20"/>
        <w:spacing w:after="0"/>
        <w:rPr>
          <w:sz w:val="20"/>
          <w:szCs w:val="20"/>
          <w:color w:val="auto"/>
        </w:rPr>
      </w:pPr>
      <w:r>
        <w:rPr>
          <w:rFonts w:ascii="Arial" w:cs="Arial" w:eastAsia="Arial" w:hAnsi="Arial"/>
          <w:sz w:val="13"/>
          <w:szCs w:val="13"/>
          <w:color w:val="auto"/>
        </w:rPr>
        <w:t>AIS Holdco, LLC</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Banking, Finance, Insurance &amp; Real Estate</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8"/>
          <w:szCs w:val="8"/>
          <w:color w:val="auto"/>
        </w:rPr>
        <w:t>(8)(13)(14)(21)(23)</w:t>
      </w:r>
    </w:p>
    <w:p>
      <w:pPr>
        <w:ind w:left="20"/>
        <w:spacing w:after="0"/>
        <w:rPr>
          <w:sz w:val="20"/>
          <w:szCs w:val="20"/>
          <w:color w:val="auto"/>
        </w:rPr>
      </w:pPr>
      <w:r>
        <w:rPr>
          <w:rFonts w:ascii="Arial" w:cs="Arial" w:eastAsia="Arial" w:hAnsi="Arial"/>
          <w:sz w:val="13"/>
          <w:szCs w:val="13"/>
          <w:color w:val="auto"/>
        </w:rPr>
        <w:t>AMCP Pet Holdings, Inc.</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Beverage, Food and Tobacco</w:t>
      </w:r>
    </w:p>
    <w:p>
      <w:pPr>
        <w:spacing w:after="0" w:line="147" w:lineRule="exact"/>
        <w:rPr>
          <w:sz w:val="20"/>
          <w:szCs w:val="20"/>
          <w:color w:val="auto"/>
        </w:rPr>
      </w:pPr>
    </w:p>
    <w:p>
      <w:pPr>
        <w:ind w:left="2540"/>
        <w:spacing w:after="0"/>
        <w:rPr>
          <w:sz w:val="20"/>
          <w:szCs w:val="20"/>
          <w:color w:val="auto"/>
        </w:rPr>
      </w:pPr>
      <w:r>
        <w:rPr>
          <w:rFonts w:ascii="Arial" w:cs="Arial" w:eastAsia="Arial" w:hAnsi="Arial"/>
          <w:sz w:val="8"/>
          <w:szCs w:val="8"/>
          <w:color w:val="auto"/>
        </w:rPr>
        <w:t>(8)(13)(21)(23)</w:t>
      </w:r>
    </w:p>
    <w:p>
      <w:pPr>
        <w:ind w:left="20"/>
        <w:spacing w:after="0"/>
        <w:rPr>
          <w:sz w:val="20"/>
          <w:szCs w:val="20"/>
          <w:color w:val="auto"/>
        </w:rPr>
      </w:pPr>
      <w:r>
        <w:rPr>
          <w:rFonts w:ascii="Arial" w:cs="Arial" w:eastAsia="Arial" w:hAnsi="Arial"/>
          <w:sz w:val="13"/>
          <w:szCs w:val="13"/>
          <w:color w:val="auto"/>
        </w:rPr>
        <w:t>AMCP Pet Holdings, Inc.</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Beverage, Food and Tobacco</w:t>
      </w:r>
    </w:p>
    <w:p>
      <w:pPr>
        <w:spacing w:after="0" w:line="309" w:lineRule="exact"/>
        <w:rPr>
          <w:sz w:val="20"/>
          <w:szCs w:val="20"/>
          <w:color w:val="auto"/>
        </w:rPr>
      </w:pPr>
    </w:p>
    <w:p>
      <w:pPr>
        <w:ind w:left="2540"/>
        <w:spacing w:after="0"/>
        <w:rPr>
          <w:sz w:val="20"/>
          <w:szCs w:val="20"/>
          <w:color w:val="auto"/>
        </w:rPr>
      </w:pPr>
      <w:r>
        <w:rPr>
          <w:rFonts w:ascii="Arial" w:cs="Arial" w:eastAsia="Arial" w:hAnsi="Arial"/>
          <w:sz w:val="8"/>
          <w:szCs w:val="8"/>
          <w:color w:val="auto"/>
        </w:rPr>
        <w:t>(8)(13)(14)(21)</w:t>
      </w:r>
    </w:p>
    <w:p>
      <w:pPr>
        <w:ind w:left="20"/>
        <w:spacing w:after="0"/>
        <w:rPr>
          <w:sz w:val="20"/>
          <w:szCs w:val="20"/>
          <w:color w:val="auto"/>
        </w:rPr>
      </w:pPr>
      <w:r>
        <w:rPr>
          <w:rFonts w:ascii="Arial" w:cs="Arial" w:eastAsia="Arial" w:hAnsi="Arial"/>
          <w:sz w:val="13"/>
          <w:szCs w:val="13"/>
          <w:color w:val="auto"/>
        </w:rPr>
        <w:t>AMCP Pet Holdings, Inc.</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Beverage, Food and Tobacco</w:t>
      </w:r>
    </w:p>
    <w:p>
      <w:pPr>
        <w:spacing w:after="0" w:line="309" w:lineRule="exact"/>
        <w:rPr>
          <w:sz w:val="20"/>
          <w:szCs w:val="20"/>
          <w:color w:val="auto"/>
        </w:rPr>
      </w:pPr>
    </w:p>
    <w:p>
      <w:pPr>
        <w:ind w:left="2540"/>
        <w:spacing w:after="0"/>
        <w:rPr>
          <w:sz w:val="20"/>
          <w:szCs w:val="20"/>
          <w:color w:val="auto"/>
        </w:rPr>
      </w:pPr>
      <w:r>
        <w:rPr>
          <w:rFonts w:ascii="Arial" w:cs="Arial" w:eastAsia="Arial" w:hAnsi="Arial"/>
          <w:sz w:val="8"/>
          <w:szCs w:val="8"/>
          <w:color w:val="auto"/>
        </w:rPr>
        <w:t>(8)(13)(14)(23)</w:t>
      </w:r>
    </w:p>
    <w:p>
      <w:pPr>
        <w:ind w:left="20"/>
        <w:spacing w:after="0"/>
        <w:rPr>
          <w:sz w:val="20"/>
          <w:szCs w:val="20"/>
          <w:color w:val="auto"/>
        </w:rPr>
      </w:pPr>
      <w:r>
        <w:rPr>
          <w:rFonts w:ascii="Arial" w:cs="Arial" w:eastAsia="Arial" w:hAnsi="Arial"/>
          <w:sz w:val="13"/>
          <w:szCs w:val="13"/>
          <w:color w:val="auto"/>
        </w:rPr>
        <w:t>Analogic Corporation</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Electronics</w:t>
      </w:r>
    </w:p>
    <w:p>
      <w:pPr>
        <w:spacing w:after="0" w:line="147" w:lineRule="exact"/>
        <w:rPr>
          <w:sz w:val="20"/>
          <w:szCs w:val="20"/>
          <w:color w:val="auto"/>
        </w:rPr>
      </w:pPr>
    </w:p>
    <w:p>
      <w:pPr>
        <w:ind w:left="2540"/>
        <w:spacing w:after="0"/>
        <w:rPr>
          <w:sz w:val="20"/>
          <w:szCs w:val="20"/>
          <w:color w:val="auto"/>
        </w:rPr>
      </w:pPr>
      <w:r>
        <w:rPr>
          <w:rFonts w:ascii="Arial" w:cs="Arial" w:eastAsia="Arial" w:hAnsi="Arial"/>
          <w:sz w:val="8"/>
          <w:szCs w:val="8"/>
          <w:color w:val="auto"/>
        </w:rPr>
        <w:t>(8)(13)(14)</w:t>
      </w:r>
    </w:p>
    <w:p>
      <w:pPr>
        <w:ind w:left="20"/>
        <w:spacing w:after="0"/>
        <w:rPr>
          <w:sz w:val="20"/>
          <w:szCs w:val="20"/>
          <w:color w:val="auto"/>
        </w:rPr>
      </w:pPr>
      <w:r>
        <w:rPr>
          <w:rFonts w:ascii="Arial" w:cs="Arial" w:eastAsia="Arial" w:hAnsi="Arial"/>
          <w:sz w:val="13"/>
          <w:szCs w:val="13"/>
          <w:color w:val="auto"/>
        </w:rPr>
        <w:t>Analogic Corporation</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Electronics</w:t>
      </w:r>
    </w:p>
    <w:p>
      <w:pPr>
        <w:spacing w:after="0" w:line="309" w:lineRule="exact"/>
        <w:rPr>
          <w:sz w:val="20"/>
          <w:szCs w:val="20"/>
          <w:color w:val="auto"/>
        </w:rPr>
      </w:pPr>
    </w:p>
    <w:p>
      <w:pPr>
        <w:ind w:left="2540"/>
        <w:spacing w:after="0"/>
        <w:rPr>
          <w:sz w:val="20"/>
          <w:szCs w:val="20"/>
          <w:color w:val="auto"/>
        </w:rPr>
      </w:pPr>
      <w:r>
        <w:rPr>
          <w:rFonts w:ascii="Arial" w:cs="Arial" w:eastAsia="Arial" w:hAnsi="Arial"/>
          <w:sz w:val="8"/>
          <w:szCs w:val="8"/>
          <w:color w:val="auto"/>
        </w:rPr>
        <w:t>(8)(13)(14)</w:t>
      </w:r>
    </w:p>
    <w:p>
      <w:pPr>
        <w:ind w:left="20"/>
        <w:spacing w:after="0"/>
        <w:rPr>
          <w:sz w:val="20"/>
          <w:szCs w:val="20"/>
          <w:color w:val="auto"/>
        </w:rPr>
      </w:pPr>
      <w:r>
        <w:rPr>
          <w:rFonts w:ascii="Arial" w:cs="Arial" w:eastAsia="Arial" w:hAnsi="Arial"/>
          <w:sz w:val="13"/>
          <w:szCs w:val="13"/>
          <w:color w:val="auto"/>
        </w:rPr>
        <w:t>Ancile Solutions, Inc.</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High Tech Industries</w:t>
      </w:r>
    </w:p>
    <w:p>
      <w:pPr>
        <w:spacing w:after="0" w:line="309" w:lineRule="exact"/>
        <w:rPr>
          <w:sz w:val="20"/>
          <w:szCs w:val="20"/>
          <w:color w:val="auto"/>
        </w:rPr>
      </w:pPr>
    </w:p>
    <w:p>
      <w:pPr>
        <w:ind w:left="2540"/>
        <w:spacing w:after="0"/>
        <w:rPr>
          <w:sz w:val="20"/>
          <w:szCs w:val="20"/>
          <w:color w:val="auto"/>
        </w:rPr>
      </w:pPr>
      <w:r>
        <w:rPr>
          <w:rFonts w:ascii="Arial" w:cs="Arial" w:eastAsia="Arial" w:hAnsi="Arial"/>
          <w:sz w:val="8"/>
          <w:szCs w:val="8"/>
          <w:color w:val="auto"/>
        </w:rPr>
        <w:t>(8)(13)(14)</w:t>
      </w:r>
    </w:p>
    <w:p>
      <w:pPr>
        <w:ind w:left="180" w:right="1180" w:hanging="157"/>
        <w:spacing w:after="0" w:line="411" w:lineRule="auto"/>
        <w:rPr>
          <w:sz w:val="20"/>
          <w:szCs w:val="20"/>
          <w:color w:val="auto"/>
        </w:rPr>
      </w:pPr>
      <w:r>
        <w:rPr>
          <w:rFonts w:ascii="Arial" w:cs="Arial" w:eastAsia="Arial" w:hAnsi="Arial"/>
          <w:sz w:val="10"/>
          <w:szCs w:val="10"/>
          <w:color w:val="auto"/>
        </w:rPr>
        <w:t>Anthem Sports &amp; Entertainment Inc. Media: Broadcasting &amp; Subscription</w:t>
      </w:r>
    </w:p>
    <w:p>
      <w:pPr>
        <w:spacing w:after="0" w:line="216" w:lineRule="exact"/>
        <w:rPr>
          <w:sz w:val="20"/>
          <w:szCs w:val="20"/>
          <w:color w:val="auto"/>
        </w:rPr>
      </w:pPr>
    </w:p>
    <w:p>
      <w:pPr>
        <w:ind w:left="2540"/>
        <w:spacing w:after="0"/>
        <w:rPr>
          <w:sz w:val="20"/>
          <w:szCs w:val="20"/>
          <w:color w:val="auto"/>
        </w:rPr>
      </w:pPr>
      <w:r>
        <w:rPr>
          <w:rFonts w:ascii="Arial" w:cs="Arial" w:eastAsia="Arial" w:hAnsi="Arial"/>
          <w:sz w:val="8"/>
          <w:szCs w:val="8"/>
          <w:color w:val="auto"/>
        </w:rPr>
        <w:t>(8)(13)(21)(23)</w:t>
      </w:r>
    </w:p>
    <w:p>
      <w:pPr>
        <w:ind w:left="180" w:right="1180" w:hanging="157"/>
        <w:spacing w:after="0" w:line="411" w:lineRule="auto"/>
        <w:rPr>
          <w:sz w:val="20"/>
          <w:szCs w:val="20"/>
          <w:color w:val="auto"/>
        </w:rPr>
      </w:pPr>
      <w:r>
        <w:rPr>
          <w:rFonts w:ascii="Arial" w:cs="Arial" w:eastAsia="Arial" w:hAnsi="Arial"/>
          <w:sz w:val="10"/>
          <w:szCs w:val="10"/>
          <w:color w:val="auto"/>
        </w:rPr>
        <w:t>Anthem Sports &amp; Entertainment Inc. Media: Broadcasting &amp; Subscription</w:t>
      </w:r>
    </w:p>
    <w:p>
      <w:pPr>
        <w:spacing w:after="0" w:line="216" w:lineRule="exact"/>
        <w:rPr>
          <w:sz w:val="20"/>
          <w:szCs w:val="20"/>
          <w:color w:val="auto"/>
        </w:rPr>
      </w:pPr>
    </w:p>
    <w:p>
      <w:pPr>
        <w:ind w:left="2540"/>
        <w:spacing w:after="0"/>
        <w:rPr>
          <w:sz w:val="20"/>
          <w:szCs w:val="20"/>
          <w:color w:val="auto"/>
        </w:rPr>
      </w:pPr>
      <w:r>
        <w:rPr>
          <w:rFonts w:ascii="Arial" w:cs="Arial" w:eastAsia="Arial" w:hAnsi="Arial"/>
          <w:sz w:val="8"/>
          <w:szCs w:val="8"/>
          <w:color w:val="auto"/>
        </w:rPr>
        <w:t>(8)(13)(14)(21)</w:t>
      </w:r>
    </w:p>
    <w:p>
      <w:pPr>
        <w:ind w:left="180" w:right="1180" w:hanging="157"/>
        <w:spacing w:after="0" w:line="411" w:lineRule="auto"/>
        <w:rPr>
          <w:sz w:val="20"/>
          <w:szCs w:val="20"/>
          <w:color w:val="auto"/>
        </w:rPr>
      </w:pPr>
      <w:r>
        <w:rPr>
          <w:rFonts w:ascii="Arial" w:cs="Arial" w:eastAsia="Arial" w:hAnsi="Arial"/>
          <w:sz w:val="10"/>
          <w:szCs w:val="10"/>
          <w:color w:val="auto"/>
        </w:rPr>
        <w:t>Anthem Sports &amp; Entertainment Inc. Media: Broadcasting &amp; Subscription</w:t>
      </w:r>
    </w:p>
    <w:p>
      <w:pPr>
        <w:spacing w:after="0" w:line="230" w:lineRule="exact"/>
        <w:rPr>
          <w:sz w:val="20"/>
          <w:szCs w:val="20"/>
          <w:color w:val="auto"/>
        </w:rPr>
      </w:pPr>
    </w:p>
    <w:p>
      <w:pPr>
        <w:ind w:left="2540"/>
        <w:spacing w:after="0"/>
        <w:rPr>
          <w:sz w:val="20"/>
          <w:szCs w:val="20"/>
          <w:color w:val="auto"/>
        </w:rPr>
      </w:pPr>
      <w:r>
        <w:rPr>
          <w:rFonts w:ascii="Arial" w:cs="Arial" w:eastAsia="Arial" w:hAnsi="Arial"/>
          <w:sz w:val="8"/>
          <w:szCs w:val="8"/>
          <w:color w:val="auto"/>
        </w:rPr>
        <w:t>(8)(14)</w:t>
      </w:r>
    </w:p>
    <w:p>
      <w:pPr>
        <w:ind w:left="20"/>
        <w:spacing w:after="0"/>
        <w:rPr>
          <w:sz w:val="20"/>
          <w:szCs w:val="20"/>
          <w:color w:val="auto"/>
        </w:rPr>
      </w:pPr>
      <w:r>
        <w:rPr>
          <w:rFonts w:ascii="Arial" w:cs="Arial" w:eastAsia="Arial" w:hAnsi="Arial"/>
          <w:sz w:val="13"/>
          <w:szCs w:val="13"/>
          <w:color w:val="auto"/>
        </w:rPr>
        <w:t>AP Core Holdings II, LLC</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Media: Diversified &amp; Production</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As of September 30, 2021</w:t>
      </w:r>
    </w:p>
    <w:p>
      <w:pPr>
        <w:spacing w:after="0" w:line="23"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9"/>
              </w:rPr>
              <w:t>Initial</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1"/>
        </w:trPr>
        <w:tc>
          <w:tcPr>
            <w:tcW w:w="300" w:type="dxa"/>
            <w:vAlign w:val="bottom"/>
          </w:tcPr>
          <w:p>
            <w:pPr>
              <w:spacing w:after="0"/>
              <w:rPr>
                <w:sz w:val="13"/>
                <w:szCs w:val="13"/>
                <w:color w:val="auto"/>
              </w:rPr>
            </w:pPr>
          </w:p>
        </w:tc>
        <w:tc>
          <w:tcPr>
            <w:tcW w:w="2740" w:type="dxa"/>
            <w:vAlign w:val="bottom"/>
          </w:tcPr>
          <w:p>
            <w:pPr>
              <w:ind w:left="920"/>
              <w:spacing w:after="0"/>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3"/>
                <w:szCs w:val="13"/>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7"/>
              </w:rPr>
              <w:t>Acquisition</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297"/>
              <w:spacing w:after="0"/>
              <w:rPr>
                <w:sz w:val="20"/>
                <w:szCs w:val="20"/>
                <w:color w:val="auto"/>
              </w:rPr>
            </w:pPr>
            <w:r>
              <w:rPr>
                <w:rFonts w:ascii="Arial" w:cs="Arial" w:eastAsia="Arial" w:hAnsi="Arial"/>
                <w:sz w:val="13"/>
                <w:szCs w:val="13"/>
                <w:b w:val="1"/>
                <w:bCs w:val="1"/>
                <w:color w:val="auto"/>
              </w:rPr>
              <w:t>Amortized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1"/>
        </w:trPr>
        <w:tc>
          <w:tcPr>
            <w:tcW w:w="300" w:type="dxa"/>
            <w:vAlign w:val="bottom"/>
          </w:tcPr>
          <w:p>
            <w:pPr>
              <w:spacing w:after="0"/>
              <w:rPr>
                <w:sz w:val="16"/>
                <w:szCs w:val="16"/>
                <w:color w:val="auto"/>
              </w:rPr>
            </w:pPr>
          </w:p>
        </w:tc>
        <w:tc>
          <w:tcPr>
            <w:tcW w:w="2740" w:type="dxa"/>
            <w:vAlign w:val="bottom"/>
          </w:tcPr>
          <w:p>
            <w:pPr>
              <w:ind w:left="5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40" w:type="dxa"/>
            <w:vAlign w:val="bottom"/>
          </w:tcPr>
          <w:p>
            <w:pPr>
              <w:spacing w:after="0"/>
              <w:rPr>
                <w:sz w:val="16"/>
                <w:szCs w:val="16"/>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2"/>
              </w:rPr>
              <w:t>Date</w:t>
            </w:r>
          </w:p>
        </w:tc>
        <w:tc>
          <w:tcPr>
            <w:tcW w:w="840" w:type="dxa"/>
            <w:vAlign w:val="bottom"/>
          </w:tcPr>
          <w:p>
            <w:pPr>
              <w:jc w:val="right"/>
              <w:ind w:right="217"/>
              <w:spacing w:after="0"/>
              <w:rPr>
                <w:sz w:val="20"/>
                <w:szCs w:val="20"/>
                <w:color w:val="auto"/>
              </w:rPr>
            </w:pPr>
            <w:r>
              <w:rPr>
                <w:rFonts w:ascii="Arial" w:cs="Arial" w:eastAsia="Arial" w:hAnsi="Arial"/>
                <w:sz w:val="13"/>
                <w:szCs w:val="13"/>
                <w:b w:val="1"/>
                <w:bCs w:val="1"/>
                <w:color w:val="auto"/>
                <w:w w:val="98"/>
              </w:rPr>
              <w:t>Principal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457"/>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217"/>
              <w:spacing w:after="0"/>
              <w:rPr>
                <w:sz w:val="20"/>
                <w:szCs w:val="20"/>
                <w:color w:val="auto"/>
              </w:rPr>
            </w:pPr>
            <w:r>
              <w:rPr>
                <w:rFonts w:ascii="Arial" w:cs="Arial" w:eastAsia="Arial" w:hAnsi="Arial"/>
                <w:sz w:val="13"/>
                <w:szCs w:val="13"/>
                <w:b w:val="1"/>
                <w:bCs w:val="1"/>
                <w:color w:val="auto"/>
                <w:w w:val="96"/>
              </w:rPr>
              <w:t>Fair Value</w:t>
            </w:r>
            <w:r>
              <w:rPr>
                <w:rFonts w:ascii="Arial" w:cs="Arial" w:eastAsia="Arial" w:hAnsi="Arial"/>
                <w:sz w:val="16"/>
                <w:szCs w:val="16"/>
                <w:b w:val="1"/>
                <w:bCs w:val="1"/>
                <w:color w:val="auto"/>
                <w:w w:val="96"/>
                <w:vertAlign w:val="superscript"/>
              </w:rPr>
              <w:t>2</w:t>
            </w:r>
          </w:p>
        </w:tc>
      </w:tr>
      <w:tr>
        <w:trPr>
          <w:trHeight w:val="167"/>
        </w:trPr>
        <w:tc>
          <w:tcPr>
            <w:tcW w:w="304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5.8%</w:t>
            </w:r>
          </w:p>
        </w:tc>
        <w:tc>
          <w:tcPr>
            <w:tcW w:w="2740" w:type="dxa"/>
            <w:vAlign w:val="bottom"/>
          </w:tcPr>
          <w:p>
            <w:pPr>
              <w:ind w:left="20"/>
              <w:spacing w:after="0"/>
              <w:rPr>
                <w:sz w:val="20"/>
                <w:szCs w:val="20"/>
                <w:color w:val="auto"/>
              </w:rPr>
            </w:pPr>
            <w:r>
              <w:rPr>
                <w:rFonts w:ascii="Arial" w:cs="Arial" w:eastAsia="Arial" w:hAnsi="Arial"/>
                <w:sz w:val="13"/>
                <w:szCs w:val="13"/>
                <w:color w:val="auto"/>
                <w:w w:val="93"/>
              </w:rPr>
              <w:t>Cash, 6 Month Libor (1.00%) + 4.75%;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1.00%, Due 8/27</w:t>
            </w:r>
          </w:p>
        </w:tc>
        <w:tc>
          <w:tcPr>
            <w:tcW w:w="1140" w:type="dxa"/>
            <w:vAlign w:val="bottom"/>
            <w:gridSpan w:val="4"/>
          </w:tcPr>
          <w:p>
            <w:pPr>
              <w:jc w:val="right"/>
              <w:ind w:right="80"/>
              <w:spacing w:after="0"/>
              <w:rPr>
                <w:sz w:val="20"/>
                <w:szCs w:val="20"/>
                <w:color w:val="auto"/>
              </w:rPr>
            </w:pPr>
            <w:r>
              <w:rPr>
                <w:rFonts w:ascii="Arial" w:cs="Arial" w:eastAsia="Arial" w:hAnsi="Arial"/>
                <w:sz w:val="13"/>
                <w:szCs w:val="13"/>
                <w:color w:val="auto"/>
              </w:rPr>
              <w:t>10/28/2020  $</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2,079,053</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1,852,203</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2,085,974</w:t>
            </w:r>
          </w:p>
        </w:tc>
      </w:tr>
      <w:tr>
        <w:trPr>
          <w:trHeight w:val="378"/>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Senior Secured Loan — Delayed Draw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1.0%</w:t>
            </w:r>
          </w:p>
        </w:tc>
        <w:tc>
          <w:tcPr>
            <w:tcW w:w="2740" w:type="dxa"/>
            <w:vAlign w:val="bottom"/>
          </w:tcPr>
          <w:p>
            <w:pPr>
              <w:ind w:left="20"/>
              <w:spacing w:after="0"/>
              <w:rPr>
                <w:sz w:val="20"/>
                <w:szCs w:val="20"/>
                <w:color w:val="auto"/>
              </w:rPr>
            </w:pPr>
            <w:r>
              <w:rPr>
                <w:rFonts w:ascii="Arial" w:cs="Arial" w:eastAsia="Arial" w:hAnsi="Arial"/>
                <w:sz w:val="13"/>
                <w:szCs w:val="13"/>
                <w:color w:val="auto"/>
              </w:rPr>
              <w:t>Cash, Due 9/27</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9/24/2021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(21,000 )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(21,000 )</w:t>
            </w:r>
          </w:p>
        </w:tc>
      </w:tr>
      <w:tr>
        <w:trPr>
          <w:trHeight w:val="378"/>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Senior Secured Loan — Revolver</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0.5%</w:t>
            </w:r>
          </w:p>
        </w:tc>
        <w:tc>
          <w:tcPr>
            <w:tcW w:w="2740" w:type="dxa"/>
            <w:vAlign w:val="bottom"/>
          </w:tcPr>
          <w:p>
            <w:pPr>
              <w:ind w:left="20"/>
              <w:spacing w:after="0"/>
              <w:rPr>
                <w:sz w:val="20"/>
                <w:szCs w:val="20"/>
                <w:color w:val="auto"/>
              </w:rPr>
            </w:pPr>
            <w:r>
              <w:rPr>
                <w:rFonts w:ascii="Arial" w:cs="Arial" w:eastAsia="Arial" w:hAnsi="Arial"/>
                <w:sz w:val="13"/>
                <w:szCs w:val="13"/>
                <w:color w:val="auto"/>
              </w:rPr>
              <w:t>Cash, Due 9/27</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9/24/2021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(75,000 )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(75,000 )</w:t>
            </w:r>
          </w:p>
        </w:tc>
      </w:tr>
      <w:tr>
        <w:trPr>
          <w:trHeight w:val="378"/>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6.5%</w:t>
            </w:r>
          </w:p>
        </w:tc>
        <w:tc>
          <w:tcPr>
            <w:tcW w:w="2740" w:type="dxa"/>
            <w:vAlign w:val="bottom"/>
          </w:tcPr>
          <w:p>
            <w:pPr>
              <w:ind w:left="20"/>
              <w:spacing w:after="0"/>
              <w:rPr>
                <w:sz w:val="20"/>
                <w:szCs w:val="20"/>
                <w:color w:val="auto"/>
              </w:rPr>
            </w:pPr>
            <w:r>
              <w:rPr>
                <w:rFonts w:ascii="Arial" w:cs="Arial" w:eastAsia="Arial" w:hAnsi="Arial"/>
                <w:sz w:val="13"/>
                <w:szCs w:val="13"/>
                <w:color w:val="auto"/>
                <w:w w:val="93"/>
              </w:rPr>
              <w:t>Cash, 3 Month Libor (1.00%) + 5.50%;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1.00%, Due 9/27</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9/24/2021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11,200,000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11,032,537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11,032,000</w:t>
            </w:r>
          </w:p>
        </w:tc>
      </w:tr>
      <w:tr>
        <w:trPr>
          <w:trHeight w:val="378"/>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Senior Secured Loan — Delayed Draw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5.0%</w:t>
            </w:r>
          </w:p>
        </w:tc>
        <w:tc>
          <w:tcPr>
            <w:tcW w:w="2740" w:type="dxa"/>
            <w:vAlign w:val="bottom"/>
          </w:tcPr>
          <w:p>
            <w:pPr>
              <w:ind w:left="20"/>
              <w:spacing w:after="0"/>
              <w:rPr>
                <w:sz w:val="20"/>
                <w:szCs w:val="20"/>
                <w:color w:val="auto"/>
              </w:rPr>
            </w:pPr>
            <w:r>
              <w:rPr>
                <w:rFonts w:ascii="Arial" w:cs="Arial" w:eastAsia="Arial" w:hAnsi="Arial"/>
                <w:sz w:val="13"/>
                <w:szCs w:val="13"/>
                <w:color w:val="auto"/>
              </w:rPr>
              <w:t>Cash, 8.0% PIK, Due 1/25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2/14/2020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2,968,560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2,968,560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2,968,560</w:t>
            </w:r>
          </w:p>
        </w:tc>
      </w:tr>
      <w:tr>
        <w:trPr>
          <w:trHeight w:val="378"/>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5.0%</w:t>
            </w:r>
          </w:p>
        </w:tc>
        <w:tc>
          <w:tcPr>
            <w:tcW w:w="2740" w:type="dxa"/>
            <w:vAlign w:val="bottom"/>
          </w:tcPr>
          <w:p>
            <w:pPr>
              <w:ind w:left="20"/>
              <w:spacing w:after="0"/>
              <w:rPr>
                <w:sz w:val="20"/>
                <w:szCs w:val="20"/>
                <w:color w:val="auto"/>
              </w:rPr>
            </w:pPr>
            <w:r>
              <w:rPr>
                <w:rFonts w:ascii="Arial" w:cs="Arial" w:eastAsia="Arial" w:hAnsi="Arial"/>
                <w:sz w:val="13"/>
                <w:szCs w:val="13"/>
                <w:color w:val="auto"/>
              </w:rPr>
              <w:t>Cash, 8.0% PIK, Due 1/25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2/14/2020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2,622,599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2,622,599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2,622,599</w:t>
            </w:r>
          </w:p>
        </w:tc>
      </w:tr>
      <w:tr>
        <w:trPr>
          <w:trHeight w:val="378"/>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 A</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5.1%</w:t>
            </w:r>
          </w:p>
        </w:tc>
        <w:tc>
          <w:tcPr>
            <w:tcW w:w="2740" w:type="dxa"/>
            <w:vAlign w:val="bottom"/>
          </w:tcPr>
          <w:p>
            <w:pPr>
              <w:ind w:left="20"/>
              <w:spacing w:after="0"/>
              <w:rPr>
                <w:sz w:val="20"/>
                <w:szCs w:val="20"/>
                <w:color w:val="auto"/>
              </w:rPr>
            </w:pPr>
            <w:r>
              <w:rPr>
                <w:rFonts w:ascii="Arial" w:cs="Arial" w:eastAsia="Arial" w:hAnsi="Arial"/>
                <w:sz w:val="13"/>
                <w:szCs w:val="13"/>
                <w:color w:val="auto"/>
                <w:w w:val="97"/>
              </w:rPr>
              <w:t>Cash, 3 Month Libor (0.13%) + 5.00%, Due 8/25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2,511,300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2,094,296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2,446,760</w:t>
            </w:r>
          </w:p>
        </w:tc>
      </w:tr>
      <w:tr>
        <w:trPr>
          <w:trHeight w:val="378"/>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Senior Secured Loan — Delayed Draw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1.0%</w:t>
            </w:r>
          </w:p>
        </w:tc>
        <w:tc>
          <w:tcPr>
            <w:tcW w:w="2740" w:type="dxa"/>
            <w:vAlign w:val="bottom"/>
          </w:tcPr>
          <w:p>
            <w:pPr>
              <w:ind w:left="20"/>
              <w:spacing w:after="0"/>
              <w:rPr>
                <w:sz w:val="20"/>
                <w:szCs w:val="20"/>
                <w:color w:val="auto"/>
              </w:rPr>
            </w:pPr>
            <w:r>
              <w:rPr>
                <w:rFonts w:ascii="Arial" w:cs="Arial" w:eastAsia="Arial" w:hAnsi="Arial"/>
                <w:sz w:val="13"/>
                <w:szCs w:val="13"/>
                <w:color w:val="auto"/>
              </w:rPr>
              <w:t>Cash, Due 10/26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12/9/2020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(17,275 )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378"/>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Senior Secured Loan — Revolving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7.3%</w:t>
            </w:r>
          </w:p>
        </w:tc>
        <w:tc>
          <w:tcPr>
            <w:tcW w:w="2740" w:type="dxa"/>
            <w:vAlign w:val="bottom"/>
          </w:tcPr>
          <w:p>
            <w:pPr>
              <w:ind w:left="20"/>
              <w:spacing w:after="0"/>
              <w:rPr>
                <w:sz w:val="20"/>
                <w:szCs w:val="20"/>
                <w:color w:val="auto"/>
              </w:rPr>
            </w:pPr>
            <w:r>
              <w:rPr>
                <w:rFonts w:ascii="Arial" w:cs="Arial" w:eastAsia="Arial" w:hAnsi="Arial"/>
                <w:sz w:val="13"/>
                <w:szCs w:val="13"/>
                <w:color w:val="auto"/>
                <w:w w:val="93"/>
              </w:rPr>
              <w:t>Cash, 3 Month Libor (1.00%) + 6.25%;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1.00%, Due 10/26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12/9/2020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475,000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457,619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475,000</w:t>
            </w:r>
          </w:p>
        </w:tc>
      </w:tr>
      <w:tr>
        <w:trPr>
          <w:trHeight w:val="378"/>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7.3%</w:t>
            </w:r>
          </w:p>
        </w:tc>
        <w:tc>
          <w:tcPr>
            <w:tcW w:w="2740" w:type="dxa"/>
            <w:vAlign w:val="bottom"/>
          </w:tcPr>
          <w:p>
            <w:pPr>
              <w:ind w:left="20"/>
              <w:spacing w:after="0"/>
              <w:rPr>
                <w:sz w:val="20"/>
                <w:szCs w:val="20"/>
                <w:color w:val="auto"/>
              </w:rPr>
            </w:pPr>
            <w:r>
              <w:rPr>
                <w:rFonts w:ascii="Arial" w:cs="Arial" w:eastAsia="Arial" w:hAnsi="Arial"/>
                <w:sz w:val="13"/>
                <w:szCs w:val="13"/>
                <w:color w:val="auto"/>
                <w:w w:val="93"/>
              </w:rPr>
              <w:t>Cash, 6 Month Libor (1.00%) + 6.25%;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1.00%, Due 10/26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12/9/2020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4,962,500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4,876,779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4,962,500</w:t>
            </w:r>
          </w:p>
        </w:tc>
      </w:tr>
      <w:tr>
        <w:trPr>
          <w:trHeight w:val="378"/>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Senior Secured Loan — Revolver</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0.5%</w:t>
            </w:r>
          </w:p>
        </w:tc>
        <w:tc>
          <w:tcPr>
            <w:tcW w:w="2740" w:type="dxa"/>
            <w:vAlign w:val="bottom"/>
          </w:tcPr>
          <w:p>
            <w:pPr>
              <w:ind w:left="20"/>
              <w:spacing w:after="0"/>
              <w:rPr>
                <w:sz w:val="20"/>
                <w:szCs w:val="20"/>
                <w:color w:val="auto"/>
              </w:rPr>
            </w:pPr>
            <w:r>
              <w:rPr>
                <w:rFonts w:ascii="Arial" w:cs="Arial" w:eastAsia="Arial" w:hAnsi="Arial"/>
                <w:sz w:val="13"/>
                <w:szCs w:val="13"/>
                <w:color w:val="auto"/>
              </w:rPr>
              <w:t>Cash, Due 6/23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(7,098 )</w:t>
            </w:r>
          </w:p>
        </w:tc>
      </w:tr>
      <w:tr>
        <w:trPr>
          <w:trHeight w:val="378"/>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 A</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6.3%</w:t>
            </w:r>
          </w:p>
        </w:tc>
        <w:tc>
          <w:tcPr>
            <w:tcW w:w="2740" w:type="dxa"/>
            <w:vAlign w:val="bottom"/>
          </w:tcPr>
          <w:p>
            <w:pPr>
              <w:ind w:left="20"/>
              <w:spacing w:after="0"/>
              <w:rPr>
                <w:sz w:val="20"/>
                <w:szCs w:val="20"/>
                <w:color w:val="auto"/>
              </w:rPr>
            </w:pPr>
            <w:r>
              <w:rPr>
                <w:rFonts w:ascii="Arial" w:cs="Arial" w:eastAsia="Arial" w:hAnsi="Arial"/>
                <w:sz w:val="13"/>
                <w:szCs w:val="13"/>
                <w:color w:val="auto"/>
                <w:w w:val="93"/>
              </w:rPr>
              <w:t>Cash, 1 Month Libor (1.00%) + 5.25%;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1.00%, Due 6/24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3,528,873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3,176,599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3,405,009</w:t>
            </w:r>
          </w:p>
        </w:tc>
      </w:tr>
      <w:tr>
        <w:trPr>
          <w:trHeight w:val="378"/>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8.0%</w:t>
            </w:r>
          </w:p>
        </w:tc>
        <w:tc>
          <w:tcPr>
            <w:tcW w:w="2740" w:type="dxa"/>
            <w:vAlign w:val="bottom"/>
          </w:tcPr>
          <w:p>
            <w:pPr>
              <w:ind w:left="20"/>
              <w:spacing w:after="0"/>
              <w:rPr>
                <w:sz w:val="20"/>
                <w:szCs w:val="20"/>
                <w:color w:val="auto"/>
              </w:rPr>
            </w:pPr>
            <w:r>
              <w:rPr>
                <w:rFonts w:ascii="Arial" w:cs="Arial" w:eastAsia="Arial" w:hAnsi="Arial"/>
                <w:sz w:val="13"/>
                <w:szCs w:val="13"/>
                <w:color w:val="auto"/>
                <w:w w:val="95"/>
              </w:rPr>
              <w:t>Cash, 3.0% PIK, 3 Month Libor (1.00%) + 7.00%;</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Libor Floor 1.00%, Due 6/26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6/11/2021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7,011,083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6,815,187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6,835,806</w:t>
            </w:r>
          </w:p>
        </w:tc>
      </w:tr>
      <w:tr>
        <w:trPr>
          <w:trHeight w:val="378"/>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40" w:type="dxa"/>
            <w:vAlign w:val="bottom"/>
            <w:gridSpan w:val="2"/>
          </w:tcPr>
          <w:p>
            <w:pPr>
              <w:ind w:left="20"/>
              <w:spacing w:after="0"/>
              <w:rPr>
                <w:sz w:val="20"/>
                <w:szCs w:val="20"/>
                <w:color w:val="auto"/>
              </w:rPr>
            </w:pPr>
            <w:r>
              <w:rPr>
                <w:rFonts w:ascii="Arial" w:cs="Arial" w:eastAsia="Arial" w:hAnsi="Arial"/>
                <w:sz w:val="13"/>
                <w:szCs w:val="13"/>
                <w:color w:val="auto"/>
                <w:w w:val="91"/>
              </w:rPr>
              <w:t>10.5% Cash, 3 Month Libor (1.00%) + 9.50%;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1.00%, Due 9/24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3/31/2021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812,912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724,261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786,737</w:t>
            </w:r>
          </w:p>
        </w:tc>
      </w:tr>
      <w:tr>
        <w:trPr>
          <w:trHeight w:val="378"/>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Senior Secured Loan — Revolving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40" w:type="dxa"/>
            <w:vAlign w:val="bottom"/>
            <w:gridSpan w:val="2"/>
          </w:tcPr>
          <w:p>
            <w:pPr>
              <w:ind w:left="20"/>
              <w:spacing w:after="0"/>
              <w:rPr>
                <w:sz w:val="20"/>
                <w:szCs w:val="20"/>
                <w:color w:val="auto"/>
              </w:rPr>
            </w:pPr>
            <w:r>
              <w:rPr>
                <w:rFonts w:ascii="Arial" w:cs="Arial" w:eastAsia="Arial" w:hAnsi="Arial"/>
                <w:sz w:val="13"/>
                <w:szCs w:val="13"/>
                <w:color w:val="auto"/>
                <w:w w:val="91"/>
              </w:rPr>
              <w:t>10.5% Cash, 3 Month Libor (1.00%) + 9.50%;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1.00%, Due 9/24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9/9/2019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208,333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183,812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173,450</w:t>
            </w:r>
          </w:p>
        </w:tc>
      </w:tr>
      <w:tr>
        <w:trPr>
          <w:trHeight w:val="378"/>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40" w:type="dxa"/>
            <w:vAlign w:val="bottom"/>
            <w:gridSpan w:val="2"/>
          </w:tcPr>
          <w:p>
            <w:pPr>
              <w:ind w:left="20"/>
              <w:spacing w:after="0"/>
              <w:rPr>
                <w:sz w:val="20"/>
                <w:szCs w:val="20"/>
                <w:color w:val="auto"/>
              </w:rPr>
            </w:pPr>
            <w:r>
              <w:rPr>
                <w:rFonts w:ascii="Arial" w:cs="Arial" w:eastAsia="Arial" w:hAnsi="Arial"/>
                <w:sz w:val="13"/>
                <w:szCs w:val="13"/>
                <w:color w:val="auto"/>
                <w:w w:val="91"/>
              </w:rPr>
              <w:t>10.5% Cash, 3 Month Libor (1.00%) + 9.50%;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1.00%, Due 9/24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9/9/2019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3,112,292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3,044,915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3,012,077</w:t>
            </w:r>
          </w:p>
        </w:tc>
      </w:tr>
      <w:tr>
        <w:trPr>
          <w:trHeight w:val="391"/>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6.3%</w:t>
            </w:r>
          </w:p>
        </w:tc>
        <w:tc>
          <w:tcPr>
            <w:tcW w:w="2740" w:type="dxa"/>
            <w:vAlign w:val="bottom"/>
          </w:tcPr>
          <w:p>
            <w:pPr>
              <w:ind w:left="20"/>
              <w:spacing w:after="0"/>
              <w:rPr>
                <w:sz w:val="20"/>
                <w:szCs w:val="20"/>
                <w:color w:val="auto"/>
              </w:rPr>
            </w:pPr>
            <w:r>
              <w:rPr>
                <w:rFonts w:ascii="Arial" w:cs="Arial" w:eastAsia="Arial" w:hAnsi="Arial"/>
                <w:sz w:val="13"/>
                <w:szCs w:val="13"/>
                <w:color w:val="auto"/>
                <w:w w:val="93"/>
              </w:rPr>
              <w:t>Cash, 1 Month Libor (0.75%) + 5.50%;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40" w:type="dxa"/>
            <w:vAlign w:val="bottom"/>
            <w:gridSpan w:val="2"/>
          </w:tcPr>
          <w:p>
            <w:pPr>
              <w:ind w:left="20"/>
              <w:spacing w:after="0"/>
              <w:rPr>
                <w:sz w:val="20"/>
                <w:szCs w:val="20"/>
                <w:color w:val="auto"/>
              </w:rPr>
            </w:pPr>
            <w:r>
              <w:rPr>
                <w:rFonts w:ascii="Arial" w:cs="Arial" w:eastAsia="Arial" w:hAnsi="Arial"/>
                <w:sz w:val="13"/>
                <w:szCs w:val="13"/>
                <w:color w:val="auto"/>
              </w:rPr>
              <w:t>0.75%, Due 7/27</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7/21/2021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4,000,000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3,940,477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4,023,340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-6735445</wp:posOffset>
            </wp:positionV>
            <wp:extent cx="7132320" cy="3257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-6289675</wp:posOffset>
            </wp:positionV>
            <wp:extent cx="7132320" cy="222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-5946775</wp:posOffset>
            </wp:positionV>
            <wp:extent cx="7132320"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-5603875</wp:posOffset>
            </wp:positionV>
            <wp:extent cx="7132320" cy="325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-5158105</wp:posOffset>
            </wp:positionV>
            <wp:extent cx="7132320" cy="2228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-4815205</wp:posOffset>
            </wp:positionV>
            <wp:extent cx="7132320"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-4472305</wp:posOffset>
            </wp:positionV>
            <wp:extent cx="7132320" cy="222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-4129405</wp:posOffset>
            </wp:positionV>
            <wp:extent cx="7132320" cy="222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-3786505</wp:posOffset>
            </wp:positionV>
            <wp:extent cx="7132320" cy="3257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-3340735</wp:posOffset>
            </wp:positionV>
            <wp:extent cx="7132320" cy="3257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-2894965</wp:posOffset>
            </wp:positionV>
            <wp:extent cx="7132320" cy="22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-2552065</wp:posOffset>
            </wp:positionV>
            <wp:extent cx="7132320" cy="325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-2106295</wp:posOffset>
            </wp:positionV>
            <wp:extent cx="7132320" cy="3257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-1660525</wp:posOffset>
            </wp:positionV>
            <wp:extent cx="7132320" cy="3257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-1214755</wp:posOffset>
            </wp:positionV>
            <wp:extent cx="7132320" cy="3257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-768985</wp:posOffset>
            </wp:positionV>
            <wp:extent cx="7132320" cy="3257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-314960</wp:posOffset>
            </wp:positionV>
            <wp:extent cx="7132320" cy="3257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200" w:space="360"/>
            <w:col w:w="7680"/>
          </w:cols>
          <w:pgMar w:left="320" w:top="364" w:right="339" w:bottom="1440" w:gutter="0" w:footer="0" w:header="0"/>
        </w:sectPr>
      </w:pPr>
    </w:p>
    <w:bookmarkStart w:id="9" w:name="page10"/>
    <w:bookmarkEnd w:id="9"/>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6370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AP Core Holdings II,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Media: Diversified &amp; Production</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Appfire Technologies,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High Tech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Athos Merger Sub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Back Porch International,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High Tech Industries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BJ Services,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Energy: Oil &amp; Gas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BMC Acquisition,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Bristol Hospice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Bristol Hospice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C.P. Converters,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Chemicals, Plastics &amp; Rubber</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C.P. Converters,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Chemicals, Plastics &amp; Rubber</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Carestream Health,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Centric Brands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Machinery (Non-Agrclt/Constr/Electr)</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Centric Brands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Machinery (Non-Agrclt/Constr/Electr)</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Child Development Schools,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Consumer</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Circustrix Holdings,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Circustrix Holdings,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Circustrix Holdings,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Coastal Screen and Rail,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Construction &amp; Building</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Confluence Technologies,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(8)(13)(14)(23)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(8)(13)(24)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7"/>
          <w:szCs w:val="7"/>
          <w:color w:val="auto"/>
        </w:rPr>
        <w:t>(8)(13)(14)(21)(23)</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8"/>
          <w:szCs w:val="8"/>
          <w:color w:val="auto"/>
        </w:rPr>
        <w:t>(8)(13)(14)(21)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8"/>
          <w:szCs w:val="8"/>
          <w:color w:val="auto"/>
        </w:rPr>
        <w:t>(8)(13)(14)(20)</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(8)(13)(14)(23)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(8)(13)(24)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1"/>
        </w:trPr>
        <w:tc>
          <w:tcPr>
            <w:tcW w:w="300" w:type="dxa"/>
            <w:vAlign w:val="bottom"/>
          </w:tcPr>
          <w:p>
            <w:pPr>
              <w:spacing w:after="0"/>
              <w:rPr>
                <w:sz w:val="13"/>
                <w:szCs w:val="13"/>
                <w:color w:val="auto"/>
              </w:rPr>
            </w:pPr>
          </w:p>
        </w:tc>
        <w:tc>
          <w:tcPr>
            <w:tcW w:w="2740" w:type="dxa"/>
            <w:vAlign w:val="bottom"/>
          </w:tcPr>
          <w:p>
            <w:pPr>
              <w:ind w:left="920"/>
              <w:spacing w:after="0"/>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277"/>
              <w:spacing w:after="0"/>
              <w:rPr>
                <w:sz w:val="20"/>
                <w:szCs w:val="20"/>
                <w:color w:val="auto"/>
              </w:rPr>
            </w:pPr>
            <w:r>
              <w:rPr>
                <w:rFonts w:ascii="Arial" w:cs="Arial" w:eastAsia="Arial" w:hAnsi="Arial"/>
                <w:sz w:val="13"/>
                <w:szCs w:val="13"/>
                <w:b w:val="1"/>
                <w:bCs w:val="1"/>
                <w:color w:val="auto"/>
              </w:rPr>
              <w:t>Amortized</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1"/>
        </w:trPr>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4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Principal</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2</w:t>
            </w:r>
          </w:p>
        </w:tc>
      </w:tr>
      <w:tr>
        <w:trPr>
          <w:trHeight w:val="167"/>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6.3%</w:t>
            </w:r>
          </w:p>
        </w:tc>
        <w:tc>
          <w:tcPr>
            <w:tcW w:w="2740" w:type="dxa"/>
            <w:vAlign w:val="bottom"/>
          </w:tcPr>
          <w:p>
            <w:pPr>
              <w:spacing w:after="0"/>
              <w:rPr>
                <w:sz w:val="20"/>
                <w:szCs w:val="20"/>
                <w:color w:val="auto"/>
              </w:rPr>
            </w:pPr>
            <w:r>
              <w:rPr>
                <w:rFonts w:ascii="Arial" w:cs="Arial" w:eastAsia="Arial" w:hAnsi="Arial"/>
                <w:sz w:val="13"/>
                <w:szCs w:val="13"/>
                <w:color w:val="auto"/>
                <w:w w:val="94"/>
              </w:rPr>
              <w:t>Cash, 1 Month Libor (0.75%) + 5.50%;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0.75%, Due 7/27</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7/21/2021</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4,000,000</w:t>
            </w:r>
          </w:p>
        </w:tc>
        <w:tc>
          <w:tcPr>
            <w:tcW w:w="1320" w:type="dxa"/>
            <w:vAlign w:val="bottom"/>
            <w:gridSpan w:val="2"/>
          </w:tcPr>
          <w:p>
            <w:pPr>
              <w:jc w:val="right"/>
              <w:ind w:right="17"/>
              <w:spacing w:after="0"/>
              <w:rPr>
                <w:sz w:val="20"/>
                <w:szCs w:val="20"/>
                <w:color w:val="auto"/>
              </w:rPr>
            </w:pPr>
            <w:r>
              <w:rPr>
                <w:rFonts w:ascii="Arial" w:cs="Arial" w:eastAsia="Arial" w:hAnsi="Arial"/>
                <w:sz w:val="13"/>
                <w:szCs w:val="13"/>
                <w:color w:val="auto"/>
              </w:rPr>
              <w:t>3,940,589</w:t>
            </w:r>
          </w:p>
        </w:tc>
        <w:tc>
          <w:tcPr>
            <w:tcW w:w="1200" w:type="dxa"/>
            <w:vAlign w:val="bottom"/>
            <w:gridSpan w:val="2"/>
          </w:tcPr>
          <w:p>
            <w:pPr>
              <w:jc w:val="right"/>
              <w:ind w:right="17"/>
              <w:spacing w:after="0"/>
              <w:rPr>
                <w:sz w:val="20"/>
                <w:szCs w:val="20"/>
                <w:color w:val="auto"/>
              </w:rPr>
            </w:pPr>
            <w:r>
              <w:rPr>
                <w:rFonts w:ascii="Arial" w:cs="Arial" w:eastAsia="Arial" w:hAnsi="Arial"/>
                <w:sz w:val="13"/>
                <w:szCs w:val="13"/>
                <w:color w:val="auto"/>
              </w:rPr>
              <w:t>3,940,000</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Delayed Draw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0.1%</w:t>
            </w:r>
          </w:p>
        </w:tc>
        <w:tc>
          <w:tcPr>
            <w:tcW w:w="2740" w:type="dxa"/>
            <w:vAlign w:val="bottom"/>
          </w:tcPr>
          <w:p>
            <w:pPr>
              <w:spacing w:after="0"/>
              <w:rPr>
                <w:sz w:val="20"/>
                <w:szCs w:val="20"/>
                <w:color w:val="auto"/>
              </w:rPr>
            </w:pPr>
            <w:r>
              <w:rPr>
                <w:rFonts w:ascii="Arial" w:cs="Arial" w:eastAsia="Arial" w:hAnsi="Arial"/>
                <w:sz w:val="13"/>
                <w:szCs w:val="13"/>
                <w:color w:val="auto"/>
              </w:rPr>
              <w:t>Cash, Due 3/27</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7/7/2021</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(43,131 )</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(45,000 )</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5.1%</w:t>
            </w:r>
          </w:p>
        </w:tc>
        <w:tc>
          <w:tcPr>
            <w:tcW w:w="2740" w:type="dxa"/>
            <w:vAlign w:val="bottom"/>
          </w:tcPr>
          <w:p>
            <w:pPr>
              <w:spacing w:after="0"/>
              <w:rPr>
                <w:sz w:val="20"/>
                <w:szCs w:val="20"/>
                <w:color w:val="auto"/>
              </w:rPr>
            </w:pPr>
            <w:r>
              <w:rPr>
                <w:rFonts w:ascii="Arial" w:cs="Arial" w:eastAsia="Arial" w:hAnsi="Arial"/>
                <w:sz w:val="13"/>
                <w:szCs w:val="13"/>
                <w:color w:val="auto"/>
                <w:w w:val="97"/>
              </w:rPr>
              <w:t>Cash, 1 Month Libor (0.08%) + 5.00%, Due 7/26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1,319,019</w:t>
            </w:r>
          </w:p>
        </w:tc>
        <w:tc>
          <w:tcPr>
            <w:tcW w:w="1320" w:type="dxa"/>
            <w:vAlign w:val="bottom"/>
            <w:gridSpan w:val="2"/>
          </w:tcPr>
          <w:p>
            <w:pPr>
              <w:jc w:val="right"/>
              <w:ind w:right="17"/>
              <w:spacing w:after="0"/>
              <w:rPr>
                <w:sz w:val="20"/>
                <w:szCs w:val="20"/>
                <w:color w:val="auto"/>
              </w:rPr>
            </w:pPr>
            <w:r>
              <w:rPr>
                <w:rFonts w:ascii="Arial" w:cs="Arial" w:eastAsia="Arial" w:hAnsi="Arial"/>
                <w:sz w:val="13"/>
                <w:szCs w:val="13"/>
                <w:color w:val="auto"/>
              </w:rPr>
              <w:t>1,158,907</w:t>
            </w:r>
          </w:p>
        </w:tc>
        <w:tc>
          <w:tcPr>
            <w:tcW w:w="1200" w:type="dxa"/>
            <w:vAlign w:val="bottom"/>
            <w:gridSpan w:val="2"/>
          </w:tcPr>
          <w:p>
            <w:pPr>
              <w:jc w:val="right"/>
              <w:ind w:right="17"/>
              <w:spacing w:after="0"/>
              <w:rPr>
                <w:sz w:val="20"/>
                <w:szCs w:val="20"/>
                <w:color w:val="auto"/>
              </w:rPr>
            </w:pPr>
            <w:r>
              <w:rPr>
                <w:rFonts w:ascii="Arial" w:cs="Arial" w:eastAsia="Arial" w:hAnsi="Arial"/>
                <w:sz w:val="13"/>
                <w:szCs w:val="13"/>
                <w:color w:val="auto"/>
              </w:rPr>
              <w:t>1,319,019</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w w:val="91"/>
              </w:rPr>
              <w:t>12.5% Cash, 1.0% PIK, 1 Month Libor (2.25%) + 10.25%;</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Libor Floor 2.25%, Due 3/24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6/9/2021</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5,593,090</w:t>
            </w:r>
          </w:p>
        </w:tc>
        <w:tc>
          <w:tcPr>
            <w:tcW w:w="1320" w:type="dxa"/>
            <w:vAlign w:val="bottom"/>
            <w:gridSpan w:val="2"/>
          </w:tcPr>
          <w:p>
            <w:pPr>
              <w:jc w:val="right"/>
              <w:ind w:right="17"/>
              <w:spacing w:after="0"/>
              <w:rPr>
                <w:sz w:val="20"/>
                <w:szCs w:val="20"/>
                <w:color w:val="auto"/>
              </w:rPr>
            </w:pPr>
            <w:r>
              <w:rPr>
                <w:rFonts w:ascii="Arial" w:cs="Arial" w:eastAsia="Arial" w:hAnsi="Arial"/>
                <w:sz w:val="13"/>
                <w:szCs w:val="13"/>
                <w:color w:val="auto"/>
              </w:rPr>
              <w:t>5,225,707</w:t>
            </w:r>
          </w:p>
        </w:tc>
        <w:tc>
          <w:tcPr>
            <w:tcW w:w="1200" w:type="dxa"/>
            <w:vAlign w:val="bottom"/>
            <w:gridSpan w:val="2"/>
          </w:tcPr>
          <w:p>
            <w:pPr>
              <w:jc w:val="right"/>
              <w:ind w:right="17"/>
              <w:spacing w:after="0"/>
              <w:rPr>
                <w:sz w:val="20"/>
                <w:szCs w:val="20"/>
                <w:color w:val="auto"/>
              </w:rPr>
            </w:pPr>
            <w:r>
              <w:rPr>
                <w:rFonts w:ascii="Arial" w:cs="Arial" w:eastAsia="Arial" w:hAnsi="Arial"/>
                <w:sz w:val="13"/>
                <w:szCs w:val="13"/>
                <w:color w:val="auto"/>
              </w:rPr>
              <w:t>5,593,090</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First Out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8.5%</w:t>
            </w:r>
          </w:p>
        </w:tc>
        <w:tc>
          <w:tcPr>
            <w:tcW w:w="2740" w:type="dxa"/>
            <w:vAlign w:val="bottom"/>
          </w:tcPr>
          <w:p>
            <w:pPr>
              <w:spacing w:after="0"/>
              <w:rPr>
                <w:sz w:val="20"/>
                <w:szCs w:val="20"/>
                <w:color w:val="auto"/>
              </w:rPr>
            </w:pPr>
            <w:r>
              <w:rPr>
                <w:rFonts w:ascii="Arial" w:cs="Arial" w:eastAsia="Arial" w:hAnsi="Arial"/>
                <w:sz w:val="13"/>
                <w:szCs w:val="13"/>
                <w:color w:val="auto"/>
                <w:w w:val="94"/>
              </w:rPr>
              <w:t>Cash, 1 Month Libor (1.50%) + 7.00%;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1.50%, Due 1/23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1,384,155</w:t>
            </w:r>
          </w:p>
        </w:tc>
        <w:tc>
          <w:tcPr>
            <w:tcW w:w="1320" w:type="dxa"/>
            <w:vAlign w:val="bottom"/>
            <w:gridSpan w:val="2"/>
          </w:tcPr>
          <w:p>
            <w:pPr>
              <w:jc w:val="right"/>
              <w:ind w:right="17"/>
              <w:spacing w:after="0"/>
              <w:rPr>
                <w:sz w:val="20"/>
                <w:szCs w:val="20"/>
                <w:color w:val="auto"/>
              </w:rPr>
            </w:pPr>
            <w:r>
              <w:rPr>
                <w:rFonts w:ascii="Arial" w:cs="Arial" w:eastAsia="Arial" w:hAnsi="Arial"/>
                <w:sz w:val="13"/>
                <w:szCs w:val="13"/>
                <w:color w:val="auto"/>
              </w:rPr>
              <w:t>1,369,016</w:t>
            </w:r>
          </w:p>
        </w:tc>
        <w:tc>
          <w:tcPr>
            <w:tcW w:w="1200" w:type="dxa"/>
            <w:vAlign w:val="bottom"/>
            <w:gridSpan w:val="2"/>
          </w:tcPr>
          <w:p>
            <w:pPr>
              <w:jc w:val="right"/>
              <w:ind w:right="17"/>
              <w:spacing w:after="0"/>
              <w:rPr>
                <w:sz w:val="20"/>
                <w:szCs w:val="20"/>
                <w:color w:val="auto"/>
              </w:rPr>
            </w:pPr>
            <w:r>
              <w:rPr>
                <w:rFonts w:ascii="Arial" w:cs="Arial" w:eastAsia="Arial" w:hAnsi="Arial"/>
                <w:sz w:val="13"/>
                <w:szCs w:val="13"/>
                <w:color w:val="auto"/>
              </w:rPr>
              <w:t>1,384,155</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Initial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6.3%</w:t>
            </w:r>
          </w:p>
        </w:tc>
        <w:tc>
          <w:tcPr>
            <w:tcW w:w="2740" w:type="dxa"/>
            <w:vAlign w:val="bottom"/>
          </w:tcPr>
          <w:p>
            <w:pPr>
              <w:spacing w:after="0"/>
              <w:rPr>
                <w:sz w:val="20"/>
                <w:szCs w:val="20"/>
                <w:color w:val="auto"/>
              </w:rPr>
            </w:pPr>
            <w:r>
              <w:rPr>
                <w:rFonts w:ascii="Arial" w:cs="Arial" w:eastAsia="Arial" w:hAnsi="Arial"/>
                <w:sz w:val="13"/>
                <w:szCs w:val="13"/>
                <w:color w:val="auto"/>
                <w:w w:val="94"/>
              </w:rPr>
              <w:t>Cash, 3 Month Libor (1.00%) + 5.25%;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1.00%, Due 12/24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1/2/2018</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2,691,522</w:t>
            </w:r>
          </w:p>
        </w:tc>
        <w:tc>
          <w:tcPr>
            <w:tcW w:w="1320" w:type="dxa"/>
            <w:vAlign w:val="bottom"/>
            <w:gridSpan w:val="2"/>
          </w:tcPr>
          <w:p>
            <w:pPr>
              <w:jc w:val="right"/>
              <w:ind w:right="17"/>
              <w:spacing w:after="0"/>
              <w:rPr>
                <w:sz w:val="20"/>
                <w:szCs w:val="20"/>
                <w:color w:val="auto"/>
              </w:rPr>
            </w:pPr>
            <w:r>
              <w:rPr>
                <w:rFonts w:ascii="Arial" w:cs="Arial" w:eastAsia="Arial" w:hAnsi="Arial"/>
                <w:sz w:val="13"/>
                <w:szCs w:val="13"/>
                <w:color w:val="auto"/>
              </w:rPr>
              <w:t>2,690,784</w:t>
            </w:r>
          </w:p>
        </w:tc>
        <w:tc>
          <w:tcPr>
            <w:tcW w:w="1200" w:type="dxa"/>
            <w:vAlign w:val="bottom"/>
            <w:gridSpan w:val="2"/>
          </w:tcPr>
          <w:p>
            <w:pPr>
              <w:jc w:val="right"/>
              <w:ind w:right="17"/>
              <w:spacing w:after="0"/>
              <w:rPr>
                <w:sz w:val="20"/>
                <w:szCs w:val="20"/>
                <w:color w:val="auto"/>
              </w:rPr>
            </w:pPr>
            <w:r>
              <w:rPr>
                <w:rFonts w:ascii="Arial" w:cs="Arial" w:eastAsia="Arial" w:hAnsi="Arial"/>
                <w:sz w:val="13"/>
                <w:szCs w:val="13"/>
                <w:color w:val="auto"/>
              </w:rPr>
              <w:t>2,684,793</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Delayed Draw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1.0%</w:t>
            </w:r>
          </w:p>
        </w:tc>
        <w:tc>
          <w:tcPr>
            <w:tcW w:w="2740" w:type="dxa"/>
            <w:vAlign w:val="bottom"/>
          </w:tcPr>
          <w:p>
            <w:pPr>
              <w:spacing w:after="0"/>
              <w:rPr>
                <w:sz w:val="20"/>
                <w:szCs w:val="20"/>
                <w:color w:val="auto"/>
              </w:rPr>
            </w:pPr>
            <w:r>
              <w:rPr>
                <w:rFonts w:ascii="Arial" w:cs="Arial" w:eastAsia="Arial" w:hAnsi="Arial"/>
                <w:sz w:val="13"/>
                <w:szCs w:val="13"/>
                <w:color w:val="auto"/>
              </w:rPr>
              <w:t>Cash, Due 12/26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12/22/2020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(7,158 )</w:t>
            </w:r>
          </w:p>
        </w:tc>
        <w:tc>
          <w:tcPr>
            <w:tcW w:w="120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Unitranche</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6.3%</w:t>
            </w:r>
          </w:p>
        </w:tc>
        <w:tc>
          <w:tcPr>
            <w:tcW w:w="2740" w:type="dxa"/>
            <w:vAlign w:val="bottom"/>
          </w:tcPr>
          <w:p>
            <w:pPr>
              <w:spacing w:after="0"/>
              <w:rPr>
                <w:sz w:val="20"/>
                <w:szCs w:val="20"/>
                <w:color w:val="auto"/>
              </w:rPr>
            </w:pPr>
            <w:r>
              <w:rPr>
                <w:rFonts w:ascii="Arial" w:cs="Arial" w:eastAsia="Arial" w:hAnsi="Arial"/>
                <w:sz w:val="13"/>
                <w:szCs w:val="13"/>
                <w:color w:val="auto"/>
                <w:w w:val="94"/>
              </w:rPr>
              <w:t>Cash, 1 Month Libor (1.00%) + 5.25%;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1.00%, Due 12/26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12/22/2020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2,161,747</w:t>
            </w:r>
          </w:p>
        </w:tc>
        <w:tc>
          <w:tcPr>
            <w:tcW w:w="1320" w:type="dxa"/>
            <w:vAlign w:val="bottom"/>
            <w:gridSpan w:val="2"/>
          </w:tcPr>
          <w:p>
            <w:pPr>
              <w:jc w:val="right"/>
              <w:ind w:right="17"/>
              <w:spacing w:after="0"/>
              <w:rPr>
                <w:sz w:val="20"/>
                <w:szCs w:val="20"/>
                <w:color w:val="auto"/>
              </w:rPr>
            </w:pPr>
            <w:r>
              <w:rPr>
                <w:rFonts w:ascii="Arial" w:cs="Arial" w:eastAsia="Arial" w:hAnsi="Arial"/>
                <w:sz w:val="13"/>
                <w:szCs w:val="13"/>
                <w:color w:val="auto"/>
              </w:rPr>
              <w:t>2,124,095</w:t>
            </w:r>
          </w:p>
        </w:tc>
        <w:tc>
          <w:tcPr>
            <w:tcW w:w="1200" w:type="dxa"/>
            <w:vAlign w:val="bottom"/>
            <w:gridSpan w:val="2"/>
          </w:tcPr>
          <w:p>
            <w:pPr>
              <w:jc w:val="right"/>
              <w:ind w:right="17"/>
              <w:spacing w:after="0"/>
              <w:rPr>
                <w:sz w:val="20"/>
                <w:szCs w:val="20"/>
                <w:color w:val="auto"/>
              </w:rPr>
            </w:pPr>
            <w:r>
              <w:rPr>
                <w:rFonts w:ascii="Arial" w:cs="Arial" w:eastAsia="Arial" w:hAnsi="Arial"/>
                <w:sz w:val="13"/>
                <w:szCs w:val="13"/>
                <w:color w:val="auto"/>
              </w:rPr>
              <w:t>2,161,747</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7.0%</w:t>
            </w:r>
          </w:p>
        </w:tc>
        <w:tc>
          <w:tcPr>
            <w:tcW w:w="2740" w:type="dxa"/>
            <w:vAlign w:val="bottom"/>
          </w:tcPr>
          <w:p>
            <w:pPr>
              <w:spacing w:after="0"/>
              <w:rPr>
                <w:sz w:val="20"/>
                <w:szCs w:val="20"/>
                <w:color w:val="auto"/>
              </w:rPr>
            </w:pPr>
            <w:r>
              <w:rPr>
                <w:rFonts w:ascii="Arial" w:cs="Arial" w:eastAsia="Arial" w:hAnsi="Arial"/>
                <w:sz w:val="13"/>
                <w:szCs w:val="13"/>
                <w:color w:val="auto"/>
                <w:w w:val="94"/>
              </w:rPr>
              <w:t>Cash, 3 Month Libor (1.00%) + 6.00%;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1.00%, Due 6/23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7/29/2021</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1,120,738</w:t>
            </w:r>
          </w:p>
        </w:tc>
        <w:tc>
          <w:tcPr>
            <w:tcW w:w="1320" w:type="dxa"/>
            <w:vAlign w:val="bottom"/>
            <w:gridSpan w:val="2"/>
          </w:tcPr>
          <w:p>
            <w:pPr>
              <w:jc w:val="right"/>
              <w:ind w:right="17"/>
              <w:spacing w:after="0"/>
              <w:rPr>
                <w:sz w:val="20"/>
                <w:szCs w:val="20"/>
                <w:color w:val="auto"/>
              </w:rPr>
            </w:pPr>
            <w:r>
              <w:rPr>
                <w:rFonts w:ascii="Arial" w:cs="Arial" w:eastAsia="Arial" w:hAnsi="Arial"/>
                <w:sz w:val="13"/>
                <w:szCs w:val="13"/>
                <w:color w:val="auto"/>
              </w:rPr>
              <w:t>1,104,985</w:t>
            </w:r>
          </w:p>
        </w:tc>
        <w:tc>
          <w:tcPr>
            <w:tcW w:w="1200" w:type="dxa"/>
            <w:vAlign w:val="bottom"/>
            <w:gridSpan w:val="2"/>
          </w:tcPr>
          <w:p>
            <w:pPr>
              <w:jc w:val="right"/>
              <w:ind w:right="17"/>
              <w:spacing w:after="0"/>
              <w:rPr>
                <w:sz w:val="20"/>
                <w:szCs w:val="20"/>
                <w:color w:val="auto"/>
              </w:rPr>
            </w:pPr>
            <w:r>
              <w:rPr>
                <w:rFonts w:ascii="Arial" w:cs="Arial" w:eastAsia="Arial" w:hAnsi="Arial"/>
                <w:sz w:val="13"/>
                <w:szCs w:val="13"/>
                <w:color w:val="auto"/>
              </w:rPr>
              <w:t>1,103,927</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w w:val="91"/>
              </w:rPr>
              <w:t>Senior Secured Loan — Seventh Amendment Acquisition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6"/>
              </w:rPr>
              <w:t>Loan</w:t>
            </w: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7.5%</w:t>
            </w:r>
          </w:p>
        </w:tc>
        <w:tc>
          <w:tcPr>
            <w:tcW w:w="2740" w:type="dxa"/>
            <w:vAlign w:val="bottom"/>
          </w:tcPr>
          <w:p>
            <w:pPr>
              <w:spacing w:after="0"/>
              <w:rPr>
                <w:sz w:val="20"/>
                <w:szCs w:val="20"/>
                <w:color w:val="auto"/>
              </w:rPr>
            </w:pPr>
            <w:r>
              <w:rPr>
                <w:rFonts w:ascii="Arial" w:cs="Arial" w:eastAsia="Arial" w:hAnsi="Arial"/>
                <w:sz w:val="13"/>
                <w:szCs w:val="13"/>
                <w:color w:val="auto"/>
                <w:w w:val="94"/>
              </w:rPr>
              <w:t>Cash, 3 Month Libor (1.00%) + 6.50%;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1.00%, Due 6/23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6/26/2020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2,906,250</w:t>
            </w:r>
          </w:p>
        </w:tc>
        <w:tc>
          <w:tcPr>
            <w:tcW w:w="1320" w:type="dxa"/>
            <w:vAlign w:val="bottom"/>
            <w:gridSpan w:val="2"/>
          </w:tcPr>
          <w:p>
            <w:pPr>
              <w:jc w:val="right"/>
              <w:ind w:right="17"/>
              <w:spacing w:after="0"/>
              <w:rPr>
                <w:sz w:val="20"/>
                <w:szCs w:val="20"/>
                <w:color w:val="auto"/>
              </w:rPr>
            </w:pPr>
            <w:r>
              <w:rPr>
                <w:rFonts w:ascii="Arial" w:cs="Arial" w:eastAsia="Arial" w:hAnsi="Arial"/>
                <w:sz w:val="13"/>
                <w:szCs w:val="13"/>
                <w:color w:val="auto"/>
              </w:rPr>
              <w:t>2,864,474</w:t>
            </w:r>
          </w:p>
        </w:tc>
        <w:tc>
          <w:tcPr>
            <w:tcW w:w="1200" w:type="dxa"/>
            <w:vAlign w:val="bottom"/>
            <w:gridSpan w:val="2"/>
          </w:tcPr>
          <w:p>
            <w:pPr>
              <w:jc w:val="right"/>
              <w:ind w:right="17"/>
              <w:spacing w:after="0"/>
              <w:rPr>
                <w:sz w:val="20"/>
                <w:szCs w:val="20"/>
                <w:color w:val="auto"/>
              </w:rPr>
            </w:pPr>
            <w:r>
              <w:rPr>
                <w:rFonts w:ascii="Arial" w:cs="Arial" w:eastAsia="Arial" w:hAnsi="Arial"/>
                <w:sz w:val="13"/>
                <w:szCs w:val="13"/>
                <w:color w:val="auto"/>
              </w:rPr>
              <w:t>2,906,250</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w w:val="87"/>
              </w:rPr>
              <w:t>Junior Secured Loan — 2023 Extended Term Loan (Second</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6"/>
              </w:rPr>
              <w:t>Lien)</w:t>
            </w: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5.5%</w:t>
            </w:r>
          </w:p>
        </w:tc>
        <w:tc>
          <w:tcPr>
            <w:tcW w:w="2740" w:type="dxa"/>
            <w:vAlign w:val="bottom"/>
          </w:tcPr>
          <w:p>
            <w:pPr>
              <w:spacing w:after="0"/>
              <w:rPr>
                <w:sz w:val="20"/>
                <w:szCs w:val="20"/>
                <w:color w:val="auto"/>
              </w:rPr>
            </w:pPr>
            <w:r>
              <w:rPr>
                <w:rFonts w:ascii="Arial" w:cs="Arial" w:eastAsia="Arial" w:hAnsi="Arial"/>
                <w:sz w:val="13"/>
                <w:szCs w:val="13"/>
                <w:color w:val="auto"/>
                <w:w w:val="96"/>
              </w:rPr>
              <w:t>Cash, 8.0% PIK, 6 Month Libor (1.00%) + 4.50%;</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Libor Floor 1.00%, Due 8/23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5/8/2020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1,730,386</w:t>
            </w:r>
          </w:p>
        </w:tc>
        <w:tc>
          <w:tcPr>
            <w:tcW w:w="1320" w:type="dxa"/>
            <w:vAlign w:val="bottom"/>
            <w:gridSpan w:val="2"/>
          </w:tcPr>
          <w:p>
            <w:pPr>
              <w:jc w:val="right"/>
              <w:ind w:right="17"/>
              <w:spacing w:after="0"/>
              <w:rPr>
                <w:sz w:val="20"/>
                <w:szCs w:val="20"/>
                <w:color w:val="auto"/>
              </w:rPr>
            </w:pPr>
            <w:r>
              <w:rPr>
                <w:rFonts w:ascii="Arial" w:cs="Arial" w:eastAsia="Arial" w:hAnsi="Arial"/>
                <w:sz w:val="13"/>
                <w:szCs w:val="13"/>
                <w:color w:val="auto"/>
              </w:rPr>
              <w:t>1,605,794</w:t>
            </w:r>
          </w:p>
        </w:tc>
        <w:tc>
          <w:tcPr>
            <w:tcW w:w="1200" w:type="dxa"/>
            <w:vAlign w:val="bottom"/>
            <w:gridSpan w:val="2"/>
          </w:tcPr>
          <w:p>
            <w:pPr>
              <w:jc w:val="right"/>
              <w:ind w:right="17"/>
              <w:spacing w:after="0"/>
              <w:rPr>
                <w:sz w:val="20"/>
                <w:szCs w:val="20"/>
                <w:color w:val="auto"/>
              </w:rPr>
            </w:pPr>
            <w:r>
              <w:rPr>
                <w:rFonts w:ascii="Arial" w:cs="Arial" w:eastAsia="Arial" w:hAnsi="Arial"/>
                <w:sz w:val="13"/>
                <w:szCs w:val="13"/>
                <w:color w:val="auto"/>
              </w:rPr>
              <w:t>1,702,994</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10.0% PIK, Due 10/25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8,617,896</w:t>
            </w:r>
          </w:p>
        </w:tc>
        <w:tc>
          <w:tcPr>
            <w:tcW w:w="1320" w:type="dxa"/>
            <w:vAlign w:val="bottom"/>
            <w:gridSpan w:val="2"/>
          </w:tcPr>
          <w:p>
            <w:pPr>
              <w:jc w:val="right"/>
              <w:ind w:right="17"/>
              <w:spacing w:after="0"/>
              <w:rPr>
                <w:sz w:val="20"/>
                <w:szCs w:val="20"/>
                <w:color w:val="auto"/>
              </w:rPr>
            </w:pPr>
            <w:r>
              <w:rPr>
                <w:rFonts w:ascii="Arial" w:cs="Arial" w:eastAsia="Arial" w:hAnsi="Arial"/>
                <w:sz w:val="13"/>
                <w:szCs w:val="13"/>
                <w:color w:val="auto"/>
              </w:rPr>
              <w:t>7,173,780</w:t>
            </w:r>
          </w:p>
        </w:tc>
        <w:tc>
          <w:tcPr>
            <w:tcW w:w="1200" w:type="dxa"/>
            <w:vAlign w:val="bottom"/>
            <w:gridSpan w:val="2"/>
          </w:tcPr>
          <w:p>
            <w:pPr>
              <w:jc w:val="right"/>
              <w:ind w:right="17"/>
              <w:spacing w:after="0"/>
              <w:rPr>
                <w:sz w:val="20"/>
                <w:szCs w:val="20"/>
                <w:color w:val="auto"/>
              </w:rPr>
            </w:pPr>
            <w:r>
              <w:rPr>
                <w:rFonts w:ascii="Arial" w:cs="Arial" w:eastAsia="Arial" w:hAnsi="Arial"/>
                <w:sz w:val="13"/>
                <w:szCs w:val="13"/>
                <w:color w:val="auto"/>
              </w:rPr>
              <w:t>7,950,009</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Revolver</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6.5%</w:t>
            </w:r>
          </w:p>
        </w:tc>
        <w:tc>
          <w:tcPr>
            <w:tcW w:w="2740" w:type="dxa"/>
            <w:vAlign w:val="bottom"/>
          </w:tcPr>
          <w:p>
            <w:pPr>
              <w:spacing w:after="0"/>
              <w:rPr>
                <w:sz w:val="20"/>
                <w:szCs w:val="20"/>
                <w:color w:val="auto"/>
              </w:rPr>
            </w:pPr>
            <w:r>
              <w:rPr>
                <w:rFonts w:ascii="Arial" w:cs="Arial" w:eastAsia="Arial" w:hAnsi="Arial"/>
                <w:sz w:val="13"/>
                <w:szCs w:val="13"/>
                <w:color w:val="auto"/>
                <w:w w:val="94"/>
              </w:rPr>
              <w:t>Cash, 3 Month Libor (1.00%) + 5.50%;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1.00%, Due 10/24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761,825</w:t>
            </w:r>
          </w:p>
        </w:tc>
        <w:tc>
          <w:tcPr>
            <w:tcW w:w="1320" w:type="dxa"/>
            <w:vAlign w:val="bottom"/>
            <w:gridSpan w:val="2"/>
          </w:tcPr>
          <w:p>
            <w:pPr>
              <w:jc w:val="right"/>
              <w:ind w:right="17"/>
              <w:spacing w:after="0"/>
              <w:rPr>
                <w:sz w:val="20"/>
                <w:szCs w:val="20"/>
                <w:color w:val="auto"/>
              </w:rPr>
            </w:pPr>
            <w:r>
              <w:rPr>
                <w:rFonts w:ascii="Arial" w:cs="Arial" w:eastAsia="Arial" w:hAnsi="Arial"/>
                <w:sz w:val="13"/>
                <w:szCs w:val="13"/>
                <w:color w:val="auto"/>
              </w:rPr>
              <w:t>706,344</w:t>
            </w:r>
          </w:p>
        </w:tc>
        <w:tc>
          <w:tcPr>
            <w:tcW w:w="1200" w:type="dxa"/>
            <w:vAlign w:val="bottom"/>
            <w:gridSpan w:val="2"/>
          </w:tcPr>
          <w:p>
            <w:pPr>
              <w:jc w:val="right"/>
              <w:ind w:right="17"/>
              <w:spacing w:after="0"/>
              <w:rPr>
                <w:sz w:val="20"/>
                <w:szCs w:val="20"/>
                <w:color w:val="auto"/>
              </w:rPr>
            </w:pPr>
            <w:r>
              <w:rPr>
                <w:rFonts w:ascii="Arial" w:cs="Arial" w:eastAsia="Arial" w:hAnsi="Arial"/>
                <w:sz w:val="13"/>
                <w:szCs w:val="13"/>
                <w:color w:val="auto"/>
              </w:rPr>
              <w:t>761,825</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5.3%</w:t>
            </w:r>
          </w:p>
        </w:tc>
        <w:tc>
          <w:tcPr>
            <w:tcW w:w="2740" w:type="dxa"/>
            <w:vAlign w:val="bottom"/>
          </w:tcPr>
          <w:p>
            <w:pPr>
              <w:spacing w:after="0"/>
              <w:rPr>
                <w:sz w:val="20"/>
                <w:szCs w:val="20"/>
                <w:color w:val="auto"/>
              </w:rPr>
            </w:pPr>
            <w:r>
              <w:rPr>
                <w:rFonts w:ascii="Arial" w:cs="Arial" w:eastAsia="Arial" w:hAnsi="Arial"/>
                <w:sz w:val="13"/>
                <w:szCs w:val="13"/>
                <w:color w:val="auto"/>
                <w:w w:val="94"/>
              </w:rPr>
              <w:t>Cash, 3 Month Libor (1.00%) + 4.25%;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1.00%, Due 5/23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6/6/2018</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3,840,200</w:t>
            </w:r>
          </w:p>
        </w:tc>
        <w:tc>
          <w:tcPr>
            <w:tcW w:w="1320" w:type="dxa"/>
            <w:vAlign w:val="bottom"/>
            <w:gridSpan w:val="2"/>
          </w:tcPr>
          <w:p>
            <w:pPr>
              <w:jc w:val="right"/>
              <w:ind w:right="17"/>
              <w:spacing w:after="0"/>
              <w:rPr>
                <w:sz w:val="20"/>
                <w:szCs w:val="20"/>
                <w:color w:val="auto"/>
              </w:rPr>
            </w:pPr>
            <w:r>
              <w:rPr>
                <w:rFonts w:ascii="Arial" w:cs="Arial" w:eastAsia="Arial" w:hAnsi="Arial"/>
                <w:sz w:val="13"/>
                <w:szCs w:val="13"/>
                <w:color w:val="auto"/>
              </w:rPr>
              <w:t>3,837,036</w:t>
            </w:r>
          </w:p>
        </w:tc>
        <w:tc>
          <w:tcPr>
            <w:tcW w:w="1200" w:type="dxa"/>
            <w:vAlign w:val="bottom"/>
            <w:gridSpan w:val="2"/>
          </w:tcPr>
          <w:p>
            <w:pPr>
              <w:jc w:val="right"/>
              <w:ind w:right="17"/>
              <w:spacing w:after="0"/>
              <w:rPr>
                <w:sz w:val="20"/>
                <w:szCs w:val="20"/>
                <w:color w:val="auto"/>
              </w:rPr>
            </w:pPr>
            <w:r>
              <w:rPr>
                <w:rFonts w:ascii="Arial" w:cs="Arial" w:eastAsia="Arial" w:hAnsi="Arial"/>
                <w:sz w:val="13"/>
                <w:szCs w:val="13"/>
                <w:color w:val="auto"/>
              </w:rPr>
              <w:t>3,840,200</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6.5%</w:t>
            </w:r>
          </w:p>
        </w:tc>
        <w:tc>
          <w:tcPr>
            <w:tcW w:w="2740" w:type="dxa"/>
            <w:vAlign w:val="bottom"/>
          </w:tcPr>
          <w:p>
            <w:pPr>
              <w:spacing w:after="0"/>
              <w:rPr>
                <w:sz w:val="20"/>
                <w:szCs w:val="20"/>
                <w:color w:val="auto"/>
              </w:rPr>
            </w:pPr>
            <w:r>
              <w:rPr>
                <w:rFonts w:ascii="Arial" w:cs="Arial" w:eastAsia="Arial" w:hAnsi="Arial"/>
                <w:sz w:val="13"/>
                <w:szCs w:val="13"/>
                <w:color w:val="auto"/>
                <w:w w:val="96"/>
              </w:rPr>
              <w:t>Cash, 2.5% PIK, 1 Month Libor (1.00%) + 5.50%;</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Libor Floor 1.00%, Due 7/23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1/29/2021</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579,154</w:t>
            </w:r>
          </w:p>
        </w:tc>
        <w:tc>
          <w:tcPr>
            <w:tcW w:w="1320" w:type="dxa"/>
            <w:vAlign w:val="bottom"/>
            <w:gridSpan w:val="2"/>
          </w:tcPr>
          <w:p>
            <w:pPr>
              <w:jc w:val="right"/>
              <w:ind w:right="17"/>
              <w:spacing w:after="0"/>
              <w:rPr>
                <w:sz w:val="20"/>
                <w:szCs w:val="20"/>
                <w:color w:val="auto"/>
              </w:rPr>
            </w:pPr>
            <w:r>
              <w:rPr>
                <w:rFonts w:ascii="Arial" w:cs="Arial" w:eastAsia="Arial" w:hAnsi="Arial"/>
                <w:sz w:val="13"/>
                <w:szCs w:val="13"/>
                <w:color w:val="auto"/>
              </w:rPr>
              <w:t>579,154</w:t>
            </w:r>
          </w:p>
        </w:tc>
        <w:tc>
          <w:tcPr>
            <w:tcW w:w="1200" w:type="dxa"/>
            <w:vAlign w:val="bottom"/>
            <w:gridSpan w:val="2"/>
          </w:tcPr>
          <w:p>
            <w:pPr>
              <w:jc w:val="right"/>
              <w:ind w:right="17"/>
              <w:spacing w:after="0"/>
              <w:rPr>
                <w:sz w:val="20"/>
                <w:szCs w:val="20"/>
                <w:color w:val="auto"/>
              </w:rPr>
            </w:pPr>
            <w:r>
              <w:rPr>
                <w:rFonts w:ascii="Arial" w:cs="Arial" w:eastAsia="Arial" w:hAnsi="Arial"/>
                <w:sz w:val="13"/>
                <w:szCs w:val="13"/>
                <w:color w:val="auto"/>
              </w:rPr>
              <w:t>579,154</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Delayed Draw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9.0%</w:t>
            </w:r>
          </w:p>
        </w:tc>
        <w:tc>
          <w:tcPr>
            <w:tcW w:w="2740" w:type="dxa"/>
            <w:vAlign w:val="bottom"/>
          </w:tcPr>
          <w:p>
            <w:pPr>
              <w:spacing w:after="0"/>
              <w:rPr>
                <w:sz w:val="20"/>
                <w:szCs w:val="20"/>
                <w:color w:val="auto"/>
              </w:rPr>
            </w:pPr>
            <w:r>
              <w:rPr>
                <w:rFonts w:ascii="Arial" w:cs="Arial" w:eastAsia="Arial" w:hAnsi="Arial"/>
                <w:sz w:val="13"/>
                <w:szCs w:val="13"/>
                <w:color w:val="auto"/>
                <w:w w:val="94"/>
              </w:rPr>
              <w:t>Cash, 1 Month Libor (1.00%) + 8.00%;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1.00%, Due 7/23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1/11/2021</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575,128</w:t>
            </w:r>
          </w:p>
        </w:tc>
        <w:tc>
          <w:tcPr>
            <w:tcW w:w="1320" w:type="dxa"/>
            <w:vAlign w:val="bottom"/>
            <w:gridSpan w:val="2"/>
          </w:tcPr>
          <w:p>
            <w:pPr>
              <w:jc w:val="right"/>
              <w:ind w:right="17"/>
              <w:spacing w:after="0"/>
              <w:rPr>
                <w:sz w:val="20"/>
                <w:szCs w:val="20"/>
                <w:color w:val="auto"/>
              </w:rPr>
            </w:pPr>
            <w:r>
              <w:rPr>
                <w:rFonts w:ascii="Arial" w:cs="Arial" w:eastAsia="Arial" w:hAnsi="Arial"/>
                <w:sz w:val="13"/>
                <w:szCs w:val="13"/>
                <w:color w:val="auto"/>
              </w:rPr>
              <w:t>575,128</w:t>
            </w:r>
          </w:p>
        </w:tc>
        <w:tc>
          <w:tcPr>
            <w:tcW w:w="1200" w:type="dxa"/>
            <w:vAlign w:val="bottom"/>
            <w:gridSpan w:val="2"/>
          </w:tcPr>
          <w:p>
            <w:pPr>
              <w:jc w:val="right"/>
              <w:ind w:right="17"/>
              <w:spacing w:after="0"/>
              <w:rPr>
                <w:sz w:val="20"/>
                <w:szCs w:val="20"/>
                <w:color w:val="auto"/>
              </w:rPr>
            </w:pPr>
            <w:r>
              <w:rPr>
                <w:rFonts w:ascii="Arial" w:cs="Arial" w:eastAsia="Arial" w:hAnsi="Arial"/>
                <w:sz w:val="13"/>
                <w:szCs w:val="13"/>
                <w:color w:val="auto"/>
              </w:rPr>
              <w:t>575,128</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 B</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6.5%</w:t>
            </w:r>
          </w:p>
        </w:tc>
        <w:tc>
          <w:tcPr>
            <w:tcW w:w="2740" w:type="dxa"/>
            <w:vAlign w:val="bottom"/>
          </w:tcPr>
          <w:p>
            <w:pPr>
              <w:spacing w:after="0"/>
              <w:rPr>
                <w:sz w:val="20"/>
                <w:szCs w:val="20"/>
                <w:color w:val="auto"/>
              </w:rPr>
            </w:pPr>
            <w:r>
              <w:rPr>
                <w:rFonts w:ascii="Arial" w:cs="Arial" w:eastAsia="Arial" w:hAnsi="Arial"/>
                <w:sz w:val="13"/>
                <w:szCs w:val="13"/>
                <w:color w:val="auto"/>
                <w:w w:val="96"/>
              </w:rPr>
              <w:t>Cash, 2.5% PIK, 1 Month Libor (1.00%) + 5.50%;</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Libor Floor 1.00%, Due 12/21</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6,610,307</w:t>
            </w:r>
          </w:p>
        </w:tc>
        <w:tc>
          <w:tcPr>
            <w:tcW w:w="1320" w:type="dxa"/>
            <w:vAlign w:val="bottom"/>
            <w:gridSpan w:val="2"/>
          </w:tcPr>
          <w:p>
            <w:pPr>
              <w:jc w:val="right"/>
              <w:ind w:right="17"/>
              <w:spacing w:after="0"/>
              <w:rPr>
                <w:sz w:val="20"/>
                <w:szCs w:val="20"/>
                <w:color w:val="auto"/>
              </w:rPr>
            </w:pPr>
            <w:r>
              <w:rPr>
                <w:rFonts w:ascii="Arial" w:cs="Arial" w:eastAsia="Arial" w:hAnsi="Arial"/>
                <w:sz w:val="13"/>
                <w:szCs w:val="13"/>
                <w:color w:val="auto"/>
              </w:rPr>
              <w:t>4,773,389</w:t>
            </w:r>
          </w:p>
        </w:tc>
        <w:tc>
          <w:tcPr>
            <w:tcW w:w="1200" w:type="dxa"/>
            <w:vAlign w:val="bottom"/>
            <w:gridSpan w:val="2"/>
          </w:tcPr>
          <w:p>
            <w:pPr>
              <w:jc w:val="right"/>
              <w:ind w:right="17"/>
              <w:spacing w:after="0"/>
              <w:rPr>
                <w:sz w:val="20"/>
                <w:szCs w:val="20"/>
                <w:color w:val="auto"/>
              </w:rPr>
            </w:pPr>
            <w:r>
              <w:rPr>
                <w:rFonts w:ascii="Arial" w:cs="Arial" w:eastAsia="Arial" w:hAnsi="Arial"/>
                <w:sz w:val="13"/>
                <w:szCs w:val="13"/>
                <w:color w:val="auto"/>
              </w:rPr>
              <w:t>5,677,593</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10.5% Cash, 1.5% PIK, Due 1/23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6/9/2021</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1,750,000</w:t>
            </w:r>
          </w:p>
        </w:tc>
        <w:tc>
          <w:tcPr>
            <w:tcW w:w="1320" w:type="dxa"/>
            <w:vAlign w:val="bottom"/>
            <w:gridSpan w:val="2"/>
          </w:tcPr>
          <w:p>
            <w:pPr>
              <w:jc w:val="right"/>
              <w:ind w:right="17"/>
              <w:spacing w:after="0"/>
              <w:rPr>
                <w:sz w:val="20"/>
                <w:szCs w:val="20"/>
                <w:color w:val="auto"/>
              </w:rPr>
            </w:pPr>
            <w:r>
              <w:rPr>
                <w:rFonts w:ascii="Arial" w:cs="Arial" w:eastAsia="Arial" w:hAnsi="Arial"/>
                <w:sz w:val="13"/>
                <w:szCs w:val="13"/>
                <w:color w:val="auto"/>
              </w:rPr>
              <w:t>1,646,662</w:t>
            </w:r>
          </w:p>
        </w:tc>
        <w:tc>
          <w:tcPr>
            <w:tcW w:w="1200" w:type="dxa"/>
            <w:vAlign w:val="bottom"/>
            <w:gridSpan w:val="2"/>
          </w:tcPr>
          <w:p>
            <w:pPr>
              <w:jc w:val="right"/>
              <w:ind w:right="17"/>
              <w:spacing w:after="0"/>
              <w:rPr>
                <w:sz w:val="20"/>
                <w:szCs w:val="20"/>
                <w:color w:val="auto"/>
              </w:rPr>
            </w:pPr>
            <w:r>
              <w:rPr>
                <w:rFonts w:ascii="Arial" w:cs="Arial" w:eastAsia="Arial" w:hAnsi="Arial"/>
                <w:sz w:val="13"/>
                <w:szCs w:val="13"/>
                <w:color w:val="auto"/>
              </w:rPr>
              <w:t>1,750,000</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Junior Secured Loan — Term Loan Second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7.0%</w:t>
            </w:r>
          </w:p>
        </w:tc>
        <w:tc>
          <w:tcPr>
            <w:tcW w:w="2740" w:type="dxa"/>
            <w:vAlign w:val="bottom"/>
          </w:tcPr>
          <w:p>
            <w:pPr>
              <w:spacing w:after="0"/>
              <w:rPr>
                <w:sz w:val="20"/>
                <w:szCs w:val="20"/>
                <w:color w:val="auto"/>
              </w:rPr>
            </w:pPr>
            <w:r>
              <w:rPr>
                <w:rFonts w:ascii="Arial" w:cs="Arial" w:eastAsia="Arial" w:hAnsi="Arial"/>
                <w:sz w:val="13"/>
                <w:szCs w:val="13"/>
                <w:color w:val="auto"/>
                <w:w w:val="94"/>
              </w:rPr>
              <w:t>Cash, 3 Month Libor (0.50%) + 6.50%;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0.50%, Due 7/29</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7/22/2021</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2,000,000</w:t>
            </w:r>
          </w:p>
        </w:tc>
        <w:tc>
          <w:tcPr>
            <w:tcW w:w="1320" w:type="dxa"/>
            <w:vAlign w:val="bottom"/>
            <w:gridSpan w:val="2"/>
          </w:tcPr>
          <w:p>
            <w:pPr>
              <w:jc w:val="right"/>
              <w:ind w:right="17"/>
              <w:spacing w:after="0"/>
              <w:rPr>
                <w:sz w:val="20"/>
                <w:szCs w:val="20"/>
                <w:color w:val="auto"/>
              </w:rPr>
            </w:pPr>
            <w:r>
              <w:rPr>
                <w:rFonts w:ascii="Arial" w:cs="Arial" w:eastAsia="Arial" w:hAnsi="Arial"/>
                <w:sz w:val="13"/>
                <w:szCs w:val="13"/>
                <w:color w:val="auto"/>
              </w:rPr>
              <w:t>1,980,385</w:t>
            </w:r>
          </w:p>
        </w:tc>
        <w:tc>
          <w:tcPr>
            <w:tcW w:w="1200" w:type="dxa"/>
            <w:vAlign w:val="bottom"/>
            <w:gridSpan w:val="2"/>
          </w:tcPr>
          <w:p>
            <w:pPr>
              <w:jc w:val="right"/>
              <w:ind w:right="17"/>
              <w:spacing w:after="0"/>
              <w:rPr>
                <w:sz w:val="20"/>
                <w:szCs w:val="20"/>
                <w:color w:val="auto"/>
              </w:rPr>
            </w:pPr>
            <w:r>
              <w:rPr>
                <w:rFonts w:ascii="Arial" w:cs="Arial" w:eastAsia="Arial" w:hAnsi="Arial"/>
                <w:sz w:val="13"/>
                <w:szCs w:val="13"/>
                <w:color w:val="auto"/>
              </w:rPr>
              <w:t>1,980,000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-8030210</wp:posOffset>
            </wp:positionV>
            <wp:extent cx="7132320" cy="3257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-7584440</wp:posOffset>
            </wp:positionV>
            <wp:extent cx="7132320" cy="222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-7241540</wp:posOffset>
            </wp:positionV>
            <wp:extent cx="7132320" cy="222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-6898640</wp:posOffset>
            </wp:positionV>
            <wp:extent cx="7132320" cy="3257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-6452870</wp:posOffset>
            </wp:positionV>
            <wp:extent cx="7132320" cy="3257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-6007100</wp:posOffset>
            </wp:positionV>
            <wp:extent cx="7132320" cy="3257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-5561330</wp:posOffset>
            </wp:positionV>
            <wp:extent cx="7132320" cy="222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-5218430</wp:posOffset>
            </wp:positionV>
            <wp:extent cx="7132320" cy="3257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-4772660</wp:posOffset>
            </wp:positionV>
            <wp:extent cx="7132320" cy="3257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-4326890</wp:posOffset>
            </wp:positionV>
            <wp:extent cx="7132320" cy="4286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-3778250</wp:posOffset>
            </wp:positionV>
            <wp:extent cx="7132320" cy="4286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-3229610</wp:posOffset>
            </wp:positionV>
            <wp:extent cx="7132320" cy="2228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-2886710</wp:posOffset>
            </wp:positionV>
            <wp:extent cx="7132320" cy="3257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-2440940</wp:posOffset>
            </wp:positionV>
            <wp:extent cx="7132320" cy="3257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-1995170</wp:posOffset>
            </wp:positionV>
            <wp:extent cx="7132320" cy="3257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-1549400</wp:posOffset>
            </wp:positionV>
            <wp:extent cx="7132320" cy="3257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-1103630</wp:posOffset>
            </wp:positionV>
            <wp:extent cx="7132320" cy="3257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-657860</wp:posOffset>
            </wp:positionV>
            <wp:extent cx="7132320" cy="2228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-314960</wp:posOffset>
            </wp:positionV>
            <wp:extent cx="7132320" cy="3257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2340" w:space="240"/>
            <w:col w:w="660" w:space="480"/>
            <w:col w:w="7500"/>
          </w:cols>
          <w:pgMar w:left="340" w:top="378" w:right="339" w:bottom="1440" w:gutter="0" w:footer="0" w:header="0"/>
        </w:sectPr>
      </w:pPr>
    </w:p>
    <w:bookmarkStart w:id="10" w:name="page11"/>
    <w:bookmarkEnd w:id="10"/>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671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Convergeone Holdings Corp.</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Electronics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Datalink,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Datalink,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DCert Buyer,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High Tech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Deliver Buyer,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Capital Equipment</w:t>
      </w:r>
    </w:p>
    <w:p>
      <w:pPr>
        <w:spacing w:after="0" w:line="391" w:lineRule="exact"/>
        <w:rPr>
          <w:sz w:val="20"/>
          <w:szCs w:val="20"/>
          <w:color w:val="auto"/>
        </w:rPr>
      </w:pPr>
    </w:p>
    <w:p>
      <w:pPr>
        <w:spacing w:after="0"/>
        <w:rPr>
          <w:sz w:val="20"/>
          <w:szCs w:val="20"/>
          <w:color w:val="auto"/>
        </w:rPr>
      </w:pPr>
      <w:r>
        <w:rPr>
          <w:rFonts w:ascii="Arial" w:cs="Arial" w:eastAsia="Arial" w:hAnsi="Arial"/>
          <w:sz w:val="10"/>
          <w:szCs w:val="10"/>
          <w:color w:val="auto"/>
        </w:rPr>
        <w:t>Digitran Innovations B.V. (Pomeroy Solutions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Holding Company,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High Tech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Drilling Info Holdings,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High Tech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Drilling Info Holdings,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High Tech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Electronics for Imaging,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Electronics</w:t>
      </w: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ELO Touch Solutions,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High Tech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Energy Acquisition LP</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Electronics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Firstlight Holdco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Telecommunications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Geo Parent Corporation</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Media: Advertising, Printing &amp; Publishing</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Global Integrated Flooring Systems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Consumer goods: Durable</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Global Integrated Flooring Systems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Consumer goods: Durable</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Global Tel*Link Corporation</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Telecommunications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Grupo HIMA San Pablo,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Grupo HIMA San Pablo,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H.W. Lochner,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(8)(13)(23)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7"/>
          <w:szCs w:val="7"/>
          <w:color w:val="auto"/>
        </w:rPr>
        <w:t>(8)(13)(14)(21)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7"/>
          <w:szCs w:val="7"/>
          <w:color w:val="auto"/>
        </w:rPr>
        <w:t>(8)(13)(14)(21)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(14)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(8)(13)(23)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(5)(8)(13)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(5)(8)(13)(14)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2860" w:type="dxa"/>
            <w:vAlign w:val="bottom"/>
          </w:tcPr>
          <w:p>
            <w:pPr>
              <w:ind w:left="980"/>
              <w:spacing w:after="0"/>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297"/>
              <w:spacing w:after="0"/>
              <w:rPr>
                <w:sz w:val="20"/>
                <w:szCs w:val="20"/>
                <w:color w:val="auto"/>
              </w:rPr>
            </w:pPr>
            <w:r>
              <w:rPr>
                <w:rFonts w:ascii="Arial" w:cs="Arial" w:eastAsia="Arial" w:hAnsi="Arial"/>
                <w:sz w:val="13"/>
                <w:szCs w:val="13"/>
                <w:b w:val="1"/>
                <w:bCs w:val="1"/>
                <w:color w:val="auto"/>
              </w:rPr>
              <w:t>Amortized</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4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Principal</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167"/>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5.1%</w:t>
            </w:r>
          </w:p>
        </w:tc>
        <w:tc>
          <w:tcPr>
            <w:tcW w:w="2860" w:type="dxa"/>
            <w:vAlign w:val="bottom"/>
          </w:tcPr>
          <w:p>
            <w:pPr>
              <w:ind w:left="20"/>
              <w:spacing w:after="0"/>
              <w:rPr>
                <w:sz w:val="20"/>
                <w:szCs w:val="20"/>
                <w:color w:val="auto"/>
              </w:rPr>
            </w:pPr>
            <w:r>
              <w:rPr>
                <w:rFonts w:ascii="Arial" w:cs="Arial" w:eastAsia="Arial" w:hAnsi="Arial"/>
                <w:sz w:val="13"/>
                <w:szCs w:val="13"/>
                <w:color w:val="auto"/>
              </w:rPr>
              <w:t>Cash, 1 Month Libor (0.08%) + 5.00%, Due 1/26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2,151,476</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1,790,719</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2,145,054</w:t>
            </w:r>
          </w:p>
        </w:tc>
        <w:tc>
          <w:tcPr>
            <w:tcW w:w="0" w:type="dxa"/>
            <w:vAlign w:val="bottom"/>
          </w:tcPr>
          <w:p>
            <w:pPr>
              <w:spacing w:after="0"/>
              <w:rPr>
                <w:sz w:val="1"/>
                <w:szCs w:val="1"/>
                <w:color w:val="auto"/>
              </w:rPr>
            </w:pP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w w:val="96"/>
              </w:rPr>
              <w:t>Senior Secured Loan — Delayed Draw Term Loan (First</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9"/>
              </w:rPr>
              <w:t>Lien)</w:t>
            </w: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1.0%</w:t>
            </w:r>
          </w:p>
        </w:tc>
        <w:tc>
          <w:tcPr>
            <w:tcW w:w="2860" w:type="dxa"/>
            <w:vAlign w:val="bottom"/>
          </w:tcPr>
          <w:p>
            <w:pPr>
              <w:ind w:left="20"/>
              <w:spacing w:after="0"/>
              <w:rPr>
                <w:sz w:val="20"/>
                <w:szCs w:val="20"/>
                <w:color w:val="auto"/>
              </w:rPr>
            </w:pPr>
            <w:r>
              <w:rPr>
                <w:rFonts w:ascii="Arial" w:cs="Arial" w:eastAsia="Arial" w:hAnsi="Arial"/>
                <w:sz w:val="13"/>
                <w:szCs w:val="13"/>
                <w:color w:val="auto"/>
              </w:rPr>
              <w:t>Cash, Due 11/26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11/23/2020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(12,381 )</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7.3%</w:t>
            </w:r>
          </w:p>
        </w:tc>
        <w:tc>
          <w:tcPr>
            <w:tcW w:w="2860" w:type="dxa"/>
            <w:vAlign w:val="bottom"/>
          </w:tcPr>
          <w:p>
            <w:pPr>
              <w:ind w:left="20"/>
              <w:spacing w:after="0"/>
              <w:rPr>
                <w:sz w:val="20"/>
                <w:szCs w:val="20"/>
                <w:color w:val="auto"/>
              </w:rPr>
            </w:pPr>
            <w:r>
              <w:rPr>
                <w:rFonts w:ascii="Arial" w:cs="Arial" w:eastAsia="Arial" w:hAnsi="Arial"/>
                <w:sz w:val="13"/>
                <w:szCs w:val="13"/>
                <w:color w:val="auto"/>
                <w:w w:val="98"/>
              </w:rPr>
              <w:t>Cash, 1 Month Libor (1.00%) + 6.25%;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1.00%, Due 11/26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11/23/2020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2,863,438</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2,795,657</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2,863,438</w:t>
            </w:r>
          </w:p>
        </w:tc>
        <w:tc>
          <w:tcPr>
            <w:tcW w:w="0" w:type="dxa"/>
            <w:vAlign w:val="bottom"/>
          </w:tcPr>
          <w:p>
            <w:pPr>
              <w:spacing w:after="0"/>
              <w:rPr>
                <w:sz w:val="1"/>
                <w:szCs w:val="1"/>
                <w:color w:val="auto"/>
              </w:rPr>
            </w:pP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Junior Secured Loan — Term Loan (Second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7.1%</w:t>
            </w:r>
          </w:p>
        </w:tc>
        <w:tc>
          <w:tcPr>
            <w:tcW w:w="2860" w:type="dxa"/>
            <w:vAlign w:val="bottom"/>
          </w:tcPr>
          <w:p>
            <w:pPr>
              <w:ind w:left="20"/>
              <w:spacing w:after="0"/>
              <w:rPr>
                <w:sz w:val="20"/>
                <w:szCs w:val="20"/>
                <w:color w:val="auto"/>
              </w:rPr>
            </w:pPr>
            <w:r>
              <w:rPr>
                <w:rFonts w:ascii="Arial" w:cs="Arial" w:eastAsia="Arial" w:hAnsi="Arial"/>
                <w:sz w:val="13"/>
                <w:szCs w:val="13"/>
                <w:color w:val="auto"/>
              </w:rPr>
              <w:t>Cash, 1 Month Libor (0.08%) + 7.00%, Due 2/29</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3/16/2021</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5,400,000</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5,387,016</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5,445,900</w:t>
            </w:r>
          </w:p>
        </w:tc>
        <w:tc>
          <w:tcPr>
            <w:tcW w:w="0" w:type="dxa"/>
            <w:vAlign w:val="bottom"/>
          </w:tcPr>
          <w:p>
            <w:pPr>
              <w:spacing w:after="0"/>
              <w:rPr>
                <w:sz w:val="1"/>
                <w:szCs w:val="1"/>
                <w:color w:val="auto"/>
              </w:rPr>
            </w:pP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w w:val="91"/>
              </w:rPr>
              <w:t>Senior Secured Loan — Incremental Term Loan (First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7.3%</w:t>
            </w:r>
          </w:p>
        </w:tc>
        <w:tc>
          <w:tcPr>
            <w:tcW w:w="2860" w:type="dxa"/>
            <w:vAlign w:val="bottom"/>
          </w:tcPr>
          <w:p>
            <w:pPr>
              <w:ind w:left="20"/>
              <w:spacing w:after="0"/>
              <w:rPr>
                <w:sz w:val="20"/>
                <w:szCs w:val="20"/>
                <w:color w:val="auto"/>
              </w:rPr>
            </w:pPr>
            <w:r>
              <w:rPr>
                <w:rFonts w:ascii="Arial" w:cs="Arial" w:eastAsia="Arial" w:hAnsi="Arial"/>
                <w:sz w:val="13"/>
                <w:szCs w:val="13"/>
                <w:color w:val="auto"/>
                <w:w w:val="98"/>
              </w:rPr>
              <w:t>Cash, 3 Month Libor (1.00%) + 6.25%;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1.00%, Due 5/24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7/1/2020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4,731,902</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4,680,990</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4,731,902</w:t>
            </w:r>
          </w:p>
        </w:tc>
        <w:tc>
          <w:tcPr>
            <w:tcW w:w="0" w:type="dxa"/>
            <w:vAlign w:val="bottom"/>
          </w:tcPr>
          <w:p>
            <w:pPr>
              <w:spacing w:after="0"/>
              <w:rPr>
                <w:sz w:val="1"/>
                <w:szCs w:val="1"/>
                <w:color w:val="auto"/>
              </w:rPr>
            </w:pPr>
          </w:p>
        </w:tc>
      </w:tr>
      <w:tr>
        <w:trPr>
          <w:trHeight w:val="459"/>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EUR Term Loan A</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5.0%</w:t>
            </w:r>
          </w:p>
        </w:tc>
        <w:tc>
          <w:tcPr>
            <w:tcW w:w="2860" w:type="dxa"/>
            <w:vAlign w:val="bottom"/>
          </w:tcPr>
          <w:p>
            <w:pPr>
              <w:ind w:left="20"/>
              <w:spacing w:after="0"/>
              <w:rPr>
                <w:sz w:val="20"/>
                <w:szCs w:val="20"/>
                <w:color w:val="auto"/>
              </w:rPr>
            </w:pPr>
            <w:r>
              <w:rPr>
                <w:rFonts w:ascii="Arial" w:cs="Arial" w:eastAsia="Arial" w:hAnsi="Arial"/>
                <w:sz w:val="13"/>
                <w:szCs w:val="13"/>
                <w:color w:val="auto"/>
              </w:rPr>
              <w:t>PIK, Due 5/22</w:t>
            </w:r>
          </w:p>
        </w:tc>
        <w:tc>
          <w:tcPr>
            <w:tcW w:w="880" w:type="dxa"/>
            <w:vAlign w:val="bottom"/>
            <w:gridSpan w:val="2"/>
            <w:vMerge w:val="restart"/>
          </w:tcPr>
          <w:p>
            <w:pPr>
              <w:jc w:val="right"/>
              <w:spacing w:after="0"/>
              <w:rPr>
                <w:sz w:val="20"/>
                <w:szCs w:val="20"/>
                <w:color w:val="auto"/>
              </w:rPr>
            </w:pPr>
            <w:r>
              <w:rPr>
                <w:rFonts w:ascii="Arial" w:cs="Arial" w:eastAsia="Arial" w:hAnsi="Arial"/>
                <w:sz w:val="13"/>
                <w:szCs w:val="13"/>
                <w:color w:val="auto"/>
              </w:rPr>
              <w:t>5/11/2020</w:t>
            </w:r>
          </w:p>
        </w:tc>
        <w:tc>
          <w:tcPr>
            <w:tcW w:w="106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261,136</w:t>
            </w:r>
          </w:p>
        </w:tc>
        <w:tc>
          <w:tcPr>
            <w:tcW w:w="136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307,187</w:t>
            </w:r>
          </w:p>
        </w:tc>
        <w:tc>
          <w:tcPr>
            <w:tcW w:w="124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256,970</w:t>
            </w: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28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Initial Term Loan (First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4.3%</w:t>
            </w:r>
          </w:p>
        </w:tc>
        <w:tc>
          <w:tcPr>
            <w:tcW w:w="2860" w:type="dxa"/>
            <w:vAlign w:val="bottom"/>
          </w:tcPr>
          <w:p>
            <w:pPr>
              <w:ind w:left="20"/>
              <w:spacing w:after="0"/>
              <w:rPr>
                <w:sz w:val="20"/>
                <w:szCs w:val="20"/>
                <w:color w:val="auto"/>
              </w:rPr>
            </w:pPr>
            <w:r>
              <w:rPr>
                <w:rFonts w:ascii="Arial" w:cs="Arial" w:eastAsia="Arial" w:hAnsi="Arial"/>
                <w:sz w:val="13"/>
                <w:szCs w:val="13"/>
                <w:color w:val="auto"/>
              </w:rPr>
              <w:t>Cash, 1 Month Libor (0.08%) + 4.25%, Due 7/25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6/27/2019</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824,363</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824,363</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816,614</w:t>
            </w:r>
          </w:p>
        </w:tc>
        <w:tc>
          <w:tcPr>
            <w:tcW w:w="0" w:type="dxa"/>
            <w:vAlign w:val="bottom"/>
          </w:tcPr>
          <w:p>
            <w:pPr>
              <w:spacing w:after="0"/>
              <w:rPr>
                <w:sz w:val="1"/>
                <w:szCs w:val="1"/>
                <w:color w:val="auto"/>
              </w:rPr>
            </w:pP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2020 Term Loan (First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4.6%</w:t>
            </w:r>
          </w:p>
        </w:tc>
        <w:tc>
          <w:tcPr>
            <w:tcW w:w="2860" w:type="dxa"/>
            <w:vAlign w:val="bottom"/>
          </w:tcPr>
          <w:p>
            <w:pPr>
              <w:ind w:left="20"/>
              <w:spacing w:after="0"/>
              <w:rPr>
                <w:sz w:val="20"/>
                <w:szCs w:val="20"/>
                <w:color w:val="auto"/>
              </w:rPr>
            </w:pPr>
            <w:r>
              <w:rPr>
                <w:rFonts w:ascii="Arial" w:cs="Arial" w:eastAsia="Arial" w:hAnsi="Arial"/>
                <w:sz w:val="13"/>
                <w:szCs w:val="13"/>
                <w:color w:val="auto"/>
              </w:rPr>
              <w:t>Cash, 1 Month Libor (0.08%) + 4.50%, Due 7/25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2/14/2020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985,000</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981,546</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983,917</w:t>
            </w:r>
          </w:p>
        </w:tc>
        <w:tc>
          <w:tcPr>
            <w:tcW w:w="0" w:type="dxa"/>
            <w:vAlign w:val="bottom"/>
          </w:tcPr>
          <w:p>
            <w:pPr>
              <w:spacing w:after="0"/>
              <w:rPr>
                <w:sz w:val="1"/>
                <w:szCs w:val="1"/>
                <w:color w:val="auto"/>
              </w:rPr>
            </w:pP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5.1%</w:t>
            </w:r>
          </w:p>
        </w:tc>
        <w:tc>
          <w:tcPr>
            <w:tcW w:w="2860" w:type="dxa"/>
            <w:vAlign w:val="bottom"/>
          </w:tcPr>
          <w:p>
            <w:pPr>
              <w:ind w:left="20"/>
              <w:spacing w:after="0"/>
              <w:rPr>
                <w:sz w:val="20"/>
                <w:szCs w:val="20"/>
                <w:color w:val="auto"/>
              </w:rPr>
            </w:pPr>
            <w:r>
              <w:rPr>
                <w:rFonts w:ascii="Arial" w:cs="Arial" w:eastAsia="Arial" w:hAnsi="Arial"/>
                <w:sz w:val="13"/>
                <w:szCs w:val="13"/>
                <w:color w:val="auto"/>
              </w:rPr>
              <w:t>Cash, 1 Month Libor (0.08%) + 5.00%, Due 7/26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2,165,206</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1,699,195</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2,049,000</w:t>
            </w:r>
          </w:p>
        </w:tc>
        <w:tc>
          <w:tcPr>
            <w:tcW w:w="0" w:type="dxa"/>
            <w:vAlign w:val="bottom"/>
          </w:tcPr>
          <w:p>
            <w:pPr>
              <w:spacing w:after="0"/>
              <w:rPr>
                <w:sz w:val="1"/>
                <w:szCs w:val="1"/>
                <w:color w:val="auto"/>
              </w:rPr>
            </w:pPr>
          </w:p>
        </w:tc>
      </w:tr>
      <w:tr>
        <w:trPr>
          <w:trHeight w:val="472"/>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6.6%</w:t>
            </w:r>
          </w:p>
        </w:tc>
        <w:tc>
          <w:tcPr>
            <w:tcW w:w="2860" w:type="dxa"/>
            <w:vAlign w:val="bottom"/>
          </w:tcPr>
          <w:p>
            <w:pPr>
              <w:ind w:left="20"/>
              <w:spacing w:after="0"/>
              <w:rPr>
                <w:sz w:val="20"/>
                <w:szCs w:val="20"/>
                <w:color w:val="auto"/>
              </w:rPr>
            </w:pPr>
            <w:r>
              <w:rPr>
                <w:rFonts w:ascii="Arial" w:cs="Arial" w:eastAsia="Arial" w:hAnsi="Arial"/>
                <w:sz w:val="13"/>
                <w:szCs w:val="13"/>
                <w:color w:val="auto"/>
                <w:w w:val="98"/>
              </w:rPr>
              <w:t>Cash, 1 Month Libor (0.08%) + 6.50%, Due 12/25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2,483,213</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2,168,264</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2,491,495</w:t>
            </w:r>
          </w:p>
        </w:tc>
        <w:tc>
          <w:tcPr>
            <w:tcW w:w="0" w:type="dxa"/>
            <w:vAlign w:val="bottom"/>
          </w:tcPr>
          <w:p>
            <w:pPr>
              <w:spacing w:after="0"/>
              <w:rPr>
                <w:sz w:val="1"/>
                <w:szCs w:val="1"/>
                <w:color w:val="auto"/>
              </w:rPr>
            </w:pP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4.3%</w:t>
            </w:r>
          </w:p>
        </w:tc>
        <w:tc>
          <w:tcPr>
            <w:tcW w:w="2860" w:type="dxa"/>
            <w:vAlign w:val="bottom"/>
          </w:tcPr>
          <w:p>
            <w:pPr>
              <w:ind w:left="20"/>
              <w:spacing w:after="0"/>
              <w:rPr>
                <w:sz w:val="20"/>
                <w:szCs w:val="20"/>
                <w:color w:val="auto"/>
              </w:rPr>
            </w:pPr>
            <w:r>
              <w:rPr>
                <w:rFonts w:ascii="Arial" w:cs="Arial" w:eastAsia="Arial" w:hAnsi="Arial"/>
                <w:sz w:val="13"/>
                <w:szCs w:val="13"/>
                <w:color w:val="auto"/>
              </w:rPr>
              <w:t>Cash, 2 Month Libor (0.10%) + 4.25%, Due 6/25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4,784,289</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4,012,166</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4,756,636</w:t>
            </w:r>
          </w:p>
        </w:tc>
        <w:tc>
          <w:tcPr>
            <w:tcW w:w="0" w:type="dxa"/>
            <w:vAlign w:val="bottom"/>
          </w:tcPr>
          <w:p>
            <w:pPr>
              <w:spacing w:after="0"/>
              <w:rPr>
                <w:sz w:val="1"/>
                <w:szCs w:val="1"/>
                <w:color w:val="auto"/>
              </w:rPr>
            </w:pP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w w:val="97"/>
              </w:rPr>
              <w:t>Junior Secured Loan — Initial Term Loan (Second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7.6%</w:t>
            </w:r>
          </w:p>
        </w:tc>
        <w:tc>
          <w:tcPr>
            <w:tcW w:w="2860" w:type="dxa"/>
            <w:vAlign w:val="bottom"/>
          </w:tcPr>
          <w:p>
            <w:pPr>
              <w:ind w:left="20"/>
              <w:spacing w:after="0"/>
              <w:rPr>
                <w:sz w:val="20"/>
                <w:szCs w:val="20"/>
                <w:color w:val="auto"/>
              </w:rPr>
            </w:pPr>
            <w:r>
              <w:rPr>
                <w:rFonts w:ascii="Arial" w:cs="Arial" w:eastAsia="Arial" w:hAnsi="Arial"/>
                <w:sz w:val="13"/>
                <w:szCs w:val="13"/>
                <w:color w:val="auto"/>
              </w:rPr>
              <w:t>Cash, 1 Month Libor (0.08%) + 7.50%, Due 7/26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12/18/2019</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400,000</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367,113</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400,000</w:t>
            </w:r>
          </w:p>
        </w:tc>
        <w:tc>
          <w:tcPr>
            <w:tcW w:w="0" w:type="dxa"/>
            <w:vAlign w:val="bottom"/>
          </w:tcPr>
          <w:p>
            <w:pPr>
              <w:spacing w:after="0"/>
              <w:rPr>
                <w:sz w:val="1"/>
                <w:szCs w:val="1"/>
                <w:color w:val="auto"/>
              </w:rPr>
            </w:pP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5.3%</w:t>
            </w:r>
          </w:p>
        </w:tc>
        <w:tc>
          <w:tcPr>
            <w:tcW w:w="2860" w:type="dxa"/>
            <w:vAlign w:val="bottom"/>
          </w:tcPr>
          <w:p>
            <w:pPr>
              <w:ind w:left="20"/>
              <w:spacing w:after="0"/>
              <w:rPr>
                <w:sz w:val="20"/>
                <w:szCs w:val="20"/>
                <w:color w:val="auto"/>
              </w:rPr>
            </w:pPr>
            <w:r>
              <w:rPr>
                <w:rFonts w:ascii="Arial" w:cs="Arial" w:eastAsia="Arial" w:hAnsi="Arial"/>
                <w:sz w:val="13"/>
                <w:szCs w:val="13"/>
                <w:color w:val="auto"/>
                <w:w w:val="98"/>
              </w:rPr>
              <w:t>Cash, 1 Month Libor (0.08%) + 5.25%, Due 12/25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3,264,896</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2,877,635</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3,264,896</w:t>
            </w:r>
          </w:p>
        </w:tc>
        <w:tc>
          <w:tcPr>
            <w:tcW w:w="0" w:type="dxa"/>
            <w:vAlign w:val="bottom"/>
          </w:tcPr>
          <w:p>
            <w:pPr>
              <w:spacing w:after="0"/>
              <w:rPr>
                <w:sz w:val="1"/>
                <w:szCs w:val="1"/>
                <w:color w:val="auto"/>
              </w:rPr>
            </w:pP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Revolver</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0.8%</w:t>
            </w:r>
          </w:p>
        </w:tc>
        <w:tc>
          <w:tcPr>
            <w:tcW w:w="2860" w:type="dxa"/>
            <w:vAlign w:val="bottom"/>
          </w:tcPr>
          <w:p>
            <w:pPr>
              <w:ind w:left="20"/>
              <w:spacing w:after="0"/>
              <w:rPr>
                <w:sz w:val="20"/>
                <w:szCs w:val="20"/>
                <w:color w:val="auto"/>
              </w:rPr>
            </w:pPr>
            <w:r>
              <w:rPr>
                <w:rFonts w:ascii="Arial" w:cs="Arial" w:eastAsia="Arial" w:hAnsi="Arial"/>
                <w:sz w:val="13"/>
                <w:szCs w:val="13"/>
                <w:color w:val="auto"/>
              </w:rPr>
              <w:t>Cash, Due 2/23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(19,149 )</w:t>
            </w:r>
          </w:p>
        </w:tc>
        <w:tc>
          <w:tcPr>
            <w:tcW w:w="0" w:type="dxa"/>
            <w:vAlign w:val="bottom"/>
          </w:tcPr>
          <w:p>
            <w:pPr>
              <w:spacing w:after="0"/>
              <w:rPr>
                <w:sz w:val="1"/>
                <w:szCs w:val="1"/>
                <w:color w:val="auto"/>
              </w:rPr>
            </w:pP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9.5%</w:t>
            </w:r>
          </w:p>
        </w:tc>
        <w:tc>
          <w:tcPr>
            <w:tcW w:w="2860" w:type="dxa"/>
            <w:vAlign w:val="bottom"/>
          </w:tcPr>
          <w:p>
            <w:pPr>
              <w:ind w:left="20"/>
              <w:spacing w:after="0"/>
              <w:rPr>
                <w:sz w:val="20"/>
                <w:szCs w:val="20"/>
                <w:color w:val="auto"/>
              </w:rPr>
            </w:pPr>
            <w:r>
              <w:rPr>
                <w:rFonts w:ascii="Arial" w:cs="Arial" w:eastAsia="Arial" w:hAnsi="Arial"/>
                <w:sz w:val="13"/>
                <w:szCs w:val="13"/>
                <w:color w:val="auto"/>
                <w:w w:val="98"/>
              </w:rPr>
              <w:t>Cash, 3 Month Libor (1.25%) + 8.25%;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1.25%, Due 2/23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6,300,000</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4,835,288</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3,485,160</w:t>
            </w:r>
          </w:p>
        </w:tc>
        <w:tc>
          <w:tcPr>
            <w:tcW w:w="0" w:type="dxa"/>
            <w:vAlign w:val="bottom"/>
          </w:tcPr>
          <w:p>
            <w:pPr>
              <w:spacing w:after="0"/>
              <w:rPr>
                <w:sz w:val="1"/>
                <w:szCs w:val="1"/>
                <w:color w:val="auto"/>
              </w:rPr>
            </w:pP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Junior Secured Loan — Term Loan (Second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8.3%</w:t>
            </w:r>
          </w:p>
        </w:tc>
        <w:tc>
          <w:tcPr>
            <w:tcW w:w="2860" w:type="dxa"/>
            <w:vAlign w:val="bottom"/>
          </w:tcPr>
          <w:p>
            <w:pPr>
              <w:ind w:left="20"/>
              <w:spacing w:after="0"/>
              <w:rPr>
                <w:sz w:val="20"/>
                <w:szCs w:val="20"/>
                <w:color w:val="auto"/>
              </w:rPr>
            </w:pPr>
            <w:r>
              <w:rPr>
                <w:rFonts w:ascii="Arial" w:cs="Arial" w:eastAsia="Arial" w:hAnsi="Arial"/>
                <w:sz w:val="13"/>
                <w:szCs w:val="13"/>
                <w:color w:val="auto"/>
                <w:w w:val="98"/>
              </w:rPr>
              <w:t>Cash, 1 Month Libor (0.08%) + 8.25%, Due 11/26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5/21/2013</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1,500,000</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1,483,417</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1,406,250</w:t>
            </w:r>
          </w:p>
        </w:tc>
        <w:tc>
          <w:tcPr>
            <w:tcW w:w="0" w:type="dxa"/>
            <w:vAlign w:val="bottom"/>
          </w:tcPr>
          <w:p>
            <w:pPr>
              <w:spacing w:after="0"/>
              <w:rPr>
                <w:sz w:val="1"/>
                <w:szCs w:val="1"/>
                <w:color w:val="auto"/>
              </w:rPr>
            </w:pP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Junior Secured Loan — Term Loan (Second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13.8% Cash, Due 7/18</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1/30/2013</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7,191,667</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7,191,667</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48,903</w:t>
            </w:r>
          </w:p>
        </w:tc>
        <w:tc>
          <w:tcPr>
            <w:tcW w:w="0" w:type="dxa"/>
            <w:vAlign w:val="bottom"/>
          </w:tcPr>
          <w:p>
            <w:pPr>
              <w:spacing w:after="0"/>
              <w:rPr>
                <w:sz w:val="1"/>
                <w:szCs w:val="1"/>
                <w:color w:val="auto"/>
              </w:rPr>
            </w:pP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Term B Loan (First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w w:val="95"/>
              </w:rPr>
              <w:t>10.5% Cash, 3 Month Libor (1.50%) + 9.00%;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1.50%, Due 8/21</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1/30/2013</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2,702,232</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2,702,232</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1,357,872</w:t>
            </w:r>
          </w:p>
        </w:tc>
        <w:tc>
          <w:tcPr>
            <w:tcW w:w="0" w:type="dxa"/>
            <w:vAlign w:val="bottom"/>
          </w:tcPr>
          <w:p>
            <w:pPr>
              <w:spacing w:after="0"/>
              <w:rPr>
                <w:sz w:val="1"/>
                <w:szCs w:val="1"/>
                <w:color w:val="auto"/>
              </w:rPr>
            </w:pP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Revolver</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6.8%</w:t>
            </w:r>
          </w:p>
        </w:tc>
        <w:tc>
          <w:tcPr>
            <w:tcW w:w="2860" w:type="dxa"/>
            <w:vAlign w:val="bottom"/>
          </w:tcPr>
          <w:p>
            <w:pPr>
              <w:ind w:left="20"/>
              <w:spacing w:after="0"/>
              <w:rPr>
                <w:sz w:val="20"/>
                <w:szCs w:val="20"/>
                <w:color w:val="auto"/>
              </w:rPr>
            </w:pPr>
            <w:r>
              <w:rPr>
                <w:rFonts w:ascii="Arial" w:cs="Arial" w:eastAsia="Arial" w:hAnsi="Arial"/>
                <w:sz w:val="13"/>
                <w:szCs w:val="13"/>
                <w:color w:val="auto"/>
                <w:w w:val="98"/>
              </w:rPr>
              <w:t>Cash, 3 Month Libor (1.00%) + 5.75%;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1.00%, Due 7/27</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7/2/2021</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6,200,524</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6,047,170</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6,040,524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-7164070</wp:posOffset>
            </wp:positionV>
            <wp:extent cx="7132320" cy="222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-6821170</wp:posOffset>
            </wp:positionV>
            <wp:extent cx="7132320" cy="3257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-6375400</wp:posOffset>
            </wp:positionV>
            <wp:extent cx="7132320" cy="3257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-5929630</wp:posOffset>
            </wp:positionV>
            <wp:extent cx="7132320" cy="2228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-5586730</wp:posOffset>
            </wp:positionV>
            <wp:extent cx="7132320" cy="3257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-5140960</wp:posOffset>
            </wp:positionV>
            <wp:extent cx="7132320" cy="3257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-4695190</wp:posOffset>
            </wp:positionV>
            <wp:extent cx="7132320" cy="2228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-4352290</wp:posOffset>
            </wp:positionV>
            <wp:extent cx="7132320" cy="222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-4009390</wp:posOffset>
            </wp:positionV>
            <wp:extent cx="7132320" cy="222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-3606800</wp:posOffset>
            </wp:positionV>
            <wp:extent cx="7132320" cy="2228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-3263900</wp:posOffset>
            </wp:positionV>
            <wp:extent cx="7132320"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-2921000</wp:posOffset>
            </wp:positionV>
            <wp:extent cx="7132320" cy="222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-2578100</wp:posOffset>
            </wp:positionV>
            <wp:extent cx="7132320" cy="222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-2235200</wp:posOffset>
            </wp:positionV>
            <wp:extent cx="7132320" cy="2228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-1892300</wp:posOffset>
            </wp:positionV>
            <wp:extent cx="7132320" cy="3257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-1446530</wp:posOffset>
            </wp:positionV>
            <wp:extent cx="7132320" cy="222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-1103630</wp:posOffset>
            </wp:positionV>
            <wp:extent cx="7132320" cy="2228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-760730</wp:posOffset>
            </wp:positionV>
            <wp:extent cx="7132320" cy="3257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-314960</wp:posOffset>
            </wp:positionV>
            <wp:extent cx="7132320" cy="3257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2340" w:space="300"/>
            <w:col w:w="520" w:space="360"/>
            <w:col w:w="7700"/>
          </w:cols>
          <w:pgMar w:left="340" w:top="378" w:right="339" w:bottom="1440" w:gutter="0" w:footer="0" w:header="0"/>
        </w:sectPr>
      </w:pPr>
    </w:p>
    <w:bookmarkStart w:id="11" w:name="page12"/>
    <w:bookmarkEnd w:id="11"/>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6116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H.W. Lochner,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H-CA II,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358" w:lineRule="exact"/>
        <w:rPr>
          <w:sz w:val="20"/>
          <w:szCs w:val="20"/>
          <w:color w:val="auto"/>
        </w:rPr>
      </w:pPr>
    </w:p>
    <w:p>
      <w:pPr>
        <w:ind w:left="160" w:right="360" w:hanging="157"/>
        <w:spacing w:after="0" w:line="277" w:lineRule="auto"/>
        <w:rPr>
          <w:sz w:val="20"/>
          <w:szCs w:val="20"/>
          <w:color w:val="auto"/>
        </w:rPr>
      </w:pPr>
      <w:r>
        <w:rPr>
          <w:rFonts w:ascii="Arial" w:cs="Arial" w:eastAsia="Arial" w:hAnsi="Arial"/>
          <w:sz w:val="13"/>
          <w:szCs w:val="13"/>
          <w:color w:val="auto"/>
        </w:rPr>
        <w:t>HDC/HW Intermediate Holdings, LLC High Tech Industries</w:t>
      </w:r>
    </w:p>
    <w:p>
      <w:pPr>
        <w:spacing w:after="0" w:line="357" w:lineRule="exact"/>
        <w:rPr>
          <w:sz w:val="20"/>
          <w:szCs w:val="20"/>
          <w:color w:val="auto"/>
        </w:rPr>
      </w:pPr>
    </w:p>
    <w:p>
      <w:pPr>
        <w:ind w:left="160" w:right="360" w:hanging="157"/>
        <w:spacing w:after="0" w:line="277" w:lineRule="auto"/>
        <w:rPr>
          <w:sz w:val="20"/>
          <w:szCs w:val="20"/>
          <w:color w:val="auto"/>
        </w:rPr>
      </w:pPr>
      <w:r>
        <w:rPr>
          <w:rFonts w:ascii="Arial" w:cs="Arial" w:eastAsia="Arial" w:hAnsi="Arial"/>
          <w:sz w:val="13"/>
          <w:szCs w:val="13"/>
          <w:color w:val="auto"/>
        </w:rPr>
        <w:t>HDC/HW Intermediate Holdings, LLC High Tech Industries</w:t>
      </w: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auto"/>
        </w:rPr>
        <w:t>Helix Acquisition Holdings,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Metals &amp; Mining</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Hoffmaster Group,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Forest Products &amp; Paper</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Idera,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High Tech Industries</w:t>
      </w:r>
    </w:p>
    <w:p>
      <w:pPr>
        <w:spacing w:after="0" w:line="391" w:lineRule="exact"/>
        <w:rPr>
          <w:sz w:val="20"/>
          <w:szCs w:val="20"/>
          <w:color w:val="auto"/>
        </w:rPr>
      </w:pPr>
    </w:p>
    <w:p>
      <w:pPr>
        <w:jc w:val="right"/>
        <w:ind w:right="1160"/>
        <w:spacing w:after="0"/>
        <w:rPr>
          <w:sz w:val="20"/>
          <w:szCs w:val="20"/>
          <w:color w:val="auto"/>
        </w:rPr>
      </w:pPr>
      <w:r>
        <w:rPr>
          <w:rFonts w:ascii="Arial" w:cs="Arial" w:eastAsia="Arial" w:hAnsi="Arial"/>
          <w:sz w:val="10"/>
          <w:szCs w:val="10"/>
          <w:color w:val="auto"/>
        </w:rPr>
        <w:t>Infobase Holdings, Inc.</w:t>
      </w:r>
    </w:p>
    <w:p>
      <w:pPr>
        <w:spacing w:after="0" w:line="47" w:lineRule="exact"/>
        <w:rPr>
          <w:sz w:val="20"/>
          <w:szCs w:val="20"/>
          <w:color w:val="auto"/>
        </w:rPr>
      </w:pPr>
    </w:p>
    <w:p>
      <w:pPr>
        <w:jc w:val="right"/>
        <w:ind w:right="1120"/>
        <w:spacing w:after="0"/>
        <w:rPr>
          <w:sz w:val="20"/>
          <w:szCs w:val="20"/>
          <w:color w:val="auto"/>
        </w:rPr>
      </w:pPr>
      <w:r>
        <w:rPr>
          <w:rFonts w:ascii="Arial" w:cs="Arial" w:eastAsia="Arial" w:hAnsi="Arial"/>
          <w:sz w:val="13"/>
          <w:szCs w:val="13"/>
          <w:color w:val="auto"/>
        </w:rPr>
        <w:t>High Tech Industries</w:t>
      </w:r>
    </w:p>
    <w:p>
      <w:pPr>
        <w:spacing w:after="0" w:line="391" w:lineRule="exact"/>
        <w:rPr>
          <w:sz w:val="20"/>
          <w:szCs w:val="20"/>
          <w:color w:val="auto"/>
        </w:rPr>
      </w:pPr>
    </w:p>
    <w:p>
      <w:pPr>
        <w:jc w:val="right"/>
        <w:ind w:right="1160"/>
        <w:spacing w:after="0"/>
        <w:rPr>
          <w:sz w:val="20"/>
          <w:szCs w:val="20"/>
          <w:color w:val="auto"/>
        </w:rPr>
      </w:pPr>
      <w:r>
        <w:rPr>
          <w:rFonts w:ascii="Arial" w:cs="Arial" w:eastAsia="Arial" w:hAnsi="Arial"/>
          <w:sz w:val="10"/>
          <w:szCs w:val="10"/>
          <w:color w:val="auto"/>
        </w:rPr>
        <w:t>Infobase Holdings, Inc.</w:t>
      </w:r>
    </w:p>
    <w:p>
      <w:pPr>
        <w:spacing w:after="0" w:line="47" w:lineRule="exact"/>
        <w:rPr>
          <w:sz w:val="20"/>
          <w:szCs w:val="20"/>
          <w:color w:val="auto"/>
        </w:rPr>
      </w:pPr>
    </w:p>
    <w:p>
      <w:pPr>
        <w:jc w:val="right"/>
        <w:ind w:right="1120"/>
        <w:spacing w:after="0"/>
        <w:rPr>
          <w:sz w:val="20"/>
          <w:szCs w:val="20"/>
          <w:color w:val="auto"/>
        </w:rPr>
      </w:pPr>
      <w:r>
        <w:rPr>
          <w:rFonts w:ascii="Arial" w:cs="Arial" w:eastAsia="Arial" w:hAnsi="Arial"/>
          <w:sz w:val="13"/>
          <w:szCs w:val="13"/>
          <w:color w:val="auto"/>
        </w:rPr>
        <w:t>High Tech Industries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Intermedia Holdings,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High Tech Industries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Keeco,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Consumer goods: Durable</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Lifescan Global Corporation</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Location Services Holdings,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Lucky Bucks,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Hotel, Gaming &amp; Leisure</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Luminii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Construction &amp; Building</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Luminii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Construction &amp; Building</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Mag Ds Corp.</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Aerospace and Defense</w:t>
      </w:r>
    </w:p>
    <w:p>
      <w:pPr>
        <w:spacing w:after="0" w:line="391" w:lineRule="exact"/>
        <w:rPr>
          <w:sz w:val="20"/>
          <w:szCs w:val="20"/>
          <w:color w:val="auto"/>
        </w:rPr>
      </w:pPr>
    </w:p>
    <w:p>
      <w:pPr>
        <w:ind w:left="160" w:hanging="157"/>
        <w:spacing w:after="0" w:line="432" w:lineRule="auto"/>
        <w:rPr>
          <w:sz w:val="20"/>
          <w:szCs w:val="20"/>
          <w:color w:val="auto"/>
        </w:rPr>
      </w:pPr>
      <w:r>
        <w:rPr>
          <w:rFonts w:ascii="Arial" w:cs="Arial" w:eastAsia="Arial" w:hAnsi="Arial"/>
          <w:sz w:val="10"/>
          <w:szCs w:val="10"/>
          <w:color w:val="auto"/>
        </w:rPr>
        <w:t>Marble Point Credit Management LLC Banking, Finance, Insurance &amp; Real Estate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7"/>
          <w:szCs w:val="7"/>
          <w:color w:val="auto"/>
        </w:rPr>
        <w:t>(8)(13)(14)(21)(23)</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(8)(13)(14)(23)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(8)(13)(14)(21)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(13)(23)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51"/>
        </w:trPr>
        <w:tc>
          <w:tcPr>
            <w:tcW w:w="280" w:type="dxa"/>
            <w:vAlign w:val="bottom"/>
          </w:tcPr>
          <w:p>
            <w:pPr>
              <w:spacing w:after="0"/>
              <w:rPr>
                <w:sz w:val="13"/>
                <w:szCs w:val="13"/>
                <w:color w:val="auto"/>
              </w:rPr>
            </w:pPr>
          </w:p>
        </w:tc>
        <w:tc>
          <w:tcPr>
            <w:tcW w:w="2760" w:type="dxa"/>
            <w:vAlign w:val="bottom"/>
          </w:tcPr>
          <w:p>
            <w:pPr>
              <w:ind w:left="940"/>
              <w:spacing w:after="0"/>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277"/>
              <w:spacing w:after="0"/>
              <w:rPr>
                <w:sz w:val="20"/>
                <w:szCs w:val="20"/>
                <w:color w:val="auto"/>
              </w:rPr>
            </w:pPr>
            <w:r>
              <w:rPr>
                <w:rFonts w:ascii="Arial" w:cs="Arial" w:eastAsia="Arial" w:hAnsi="Arial"/>
                <w:sz w:val="13"/>
                <w:szCs w:val="13"/>
                <w:b w:val="1"/>
                <w:bCs w:val="1"/>
                <w:color w:val="auto"/>
              </w:rPr>
              <w:t>Amortized</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1"/>
        </w:trPr>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4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Principal</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2</w:t>
            </w:r>
          </w:p>
        </w:tc>
      </w:tr>
      <w:tr>
        <w:trPr>
          <w:trHeight w:val="167"/>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6.8%</w:t>
            </w:r>
          </w:p>
        </w:tc>
        <w:tc>
          <w:tcPr>
            <w:tcW w:w="2760" w:type="dxa"/>
            <w:vAlign w:val="bottom"/>
          </w:tcPr>
          <w:p>
            <w:pPr>
              <w:ind w:left="20"/>
              <w:spacing w:after="0"/>
              <w:rPr>
                <w:sz w:val="20"/>
                <w:szCs w:val="20"/>
                <w:color w:val="auto"/>
              </w:rPr>
            </w:pPr>
            <w:r>
              <w:rPr>
                <w:rFonts w:ascii="Arial" w:cs="Arial" w:eastAsia="Arial" w:hAnsi="Arial"/>
                <w:sz w:val="13"/>
                <w:szCs w:val="13"/>
                <w:color w:val="auto"/>
                <w:w w:val="94"/>
              </w:rPr>
              <w:t>Cash, 3 Month Libor (1.00%) + 5.75%;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1.00%, Due 7/27</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7/2/2021</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15,000,000</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color w:val="auto"/>
              </w:rPr>
              <w:t>14,712,460</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14,700,000</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19.0% Cash, Due 2/24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2/16/2021</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2,000,000</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color w:val="auto"/>
              </w:rPr>
              <w:t>2,000,000</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2,000,000</w:t>
            </w:r>
          </w:p>
        </w:tc>
      </w:tr>
      <w:tr>
        <w:trPr>
          <w:trHeight w:val="473"/>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Revolver</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8.5%</w:t>
            </w:r>
          </w:p>
        </w:tc>
        <w:tc>
          <w:tcPr>
            <w:tcW w:w="2760" w:type="dxa"/>
            <w:vAlign w:val="bottom"/>
          </w:tcPr>
          <w:p>
            <w:pPr>
              <w:ind w:left="20"/>
              <w:spacing w:after="0"/>
              <w:rPr>
                <w:sz w:val="20"/>
                <w:szCs w:val="20"/>
                <w:color w:val="auto"/>
              </w:rPr>
            </w:pPr>
            <w:r>
              <w:rPr>
                <w:rFonts w:ascii="Arial" w:cs="Arial" w:eastAsia="Arial" w:hAnsi="Arial"/>
                <w:sz w:val="13"/>
                <w:szCs w:val="13"/>
                <w:color w:val="auto"/>
                <w:w w:val="94"/>
              </w:rPr>
              <w:t>Cash, 3 Month Libor (1.00%) + 7.50%;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1.00%, Due 12/23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669,722</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color w:val="auto"/>
              </w:rPr>
              <w:t>588,967</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593,977</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 A</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8.5%</w:t>
            </w:r>
          </w:p>
        </w:tc>
        <w:tc>
          <w:tcPr>
            <w:tcW w:w="2760" w:type="dxa"/>
            <w:vAlign w:val="bottom"/>
          </w:tcPr>
          <w:p>
            <w:pPr>
              <w:ind w:left="20"/>
              <w:spacing w:after="0"/>
              <w:rPr>
                <w:sz w:val="20"/>
                <w:szCs w:val="20"/>
                <w:color w:val="auto"/>
              </w:rPr>
            </w:pPr>
            <w:r>
              <w:rPr>
                <w:rFonts w:ascii="Arial" w:cs="Arial" w:eastAsia="Arial" w:hAnsi="Arial"/>
                <w:sz w:val="13"/>
                <w:szCs w:val="13"/>
                <w:color w:val="auto"/>
                <w:w w:val="94"/>
              </w:rPr>
              <w:t>Cash, 3 Month Libor (1.00%) + 7.50%;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1.00%, Due 12/23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6,546,535</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color w:val="auto"/>
              </w:rPr>
              <w:t>5,757,168</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5,806,122</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w w:val="93"/>
              </w:rPr>
              <w:t>Junior Secured Loan — Initial Term Loan (Second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8.1%</w:t>
            </w:r>
          </w:p>
        </w:tc>
        <w:tc>
          <w:tcPr>
            <w:tcW w:w="2760" w:type="dxa"/>
            <w:vAlign w:val="bottom"/>
          </w:tcPr>
          <w:p>
            <w:pPr>
              <w:ind w:left="20"/>
              <w:spacing w:after="0"/>
              <w:rPr>
                <w:sz w:val="20"/>
                <w:szCs w:val="20"/>
                <w:color w:val="auto"/>
              </w:rPr>
            </w:pPr>
            <w:r>
              <w:rPr>
                <w:rFonts w:ascii="Arial" w:cs="Arial" w:eastAsia="Arial" w:hAnsi="Arial"/>
                <w:sz w:val="13"/>
                <w:szCs w:val="13"/>
                <w:color w:val="auto"/>
                <w:w w:val="97"/>
              </w:rPr>
              <w:t>Cash, 3 Month Libor (0.13%) + 8.00%, Due 9/25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12/18/2019</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1,400,000</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color w:val="auto"/>
              </w:rPr>
              <w:t>1,247,689</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1,360,191</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w w:val="93"/>
              </w:rPr>
              <w:t>Junior Secured Loan — Initial Term Loan (Second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w w:val="92"/>
              </w:rPr>
              <w:t>10.5% Cash, 3 Month Libor (1.00%) + 9.50%;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1.00%, Due 11/24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5/6/2014</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1,600,000</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color w:val="auto"/>
              </w:rPr>
              <w:t>1,581,127</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1,358,240</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Junior Secured Loan — Term Loan (Second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7.5%</w:t>
            </w:r>
          </w:p>
        </w:tc>
        <w:tc>
          <w:tcPr>
            <w:tcW w:w="2760" w:type="dxa"/>
            <w:vAlign w:val="bottom"/>
          </w:tcPr>
          <w:p>
            <w:pPr>
              <w:ind w:left="20"/>
              <w:spacing w:after="0"/>
              <w:rPr>
                <w:sz w:val="20"/>
                <w:szCs w:val="20"/>
                <w:color w:val="auto"/>
              </w:rPr>
            </w:pPr>
            <w:r>
              <w:rPr>
                <w:rFonts w:ascii="Arial" w:cs="Arial" w:eastAsia="Arial" w:hAnsi="Arial"/>
                <w:sz w:val="13"/>
                <w:szCs w:val="13"/>
                <w:color w:val="auto"/>
                <w:w w:val="94"/>
              </w:rPr>
              <w:t>Cash, 6 Month Libor (0.75%) + 6.75%;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0.75%, Due 2/29</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4/29/2021</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6,000,000</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color w:val="auto"/>
              </w:rPr>
              <w:t>5,942,874</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6,048,600</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5.5%</w:t>
            </w:r>
          </w:p>
        </w:tc>
        <w:tc>
          <w:tcPr>
            <w:tcW w:w="2760" w:type="dxa"/>
            <w:vAlign w:val="bottom"/>
          </w:tcPr>
          <w:p>
            <w:pPr>
              <w:ind w:left="20"/>
              <w:spacing w:after="0"/>
              <w:rPr>
                <w:sz w:val="20"/>
                <w:szCs w:val="20"/>
                <w:color w:val="auto"/>
              </w:rPr>
            </w:pPr>
            <w:r>
              <w:rPr>
                <w:rFonts w:ascii="Arial" w:cs="Arial" w:eastAsia="Arial" w:hAnsi="Arial"/>
                <w:sz w:val="13"/>
                <w:szCs w:val="13"/>
                <w:color w:val="auto"/>
                <w:w w:val="94"/>
              </w:rPr>
              <w:t>Cash, 3 Month Libor (1.00%) + 4.50%;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1.00%, Due 12/22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12/13/2017</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1,812,500</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color w:val="auto"/>
              </w:rPr>
              <w:t>1,807,555</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1,812,500</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Term Loan (add on)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5.5%</w:t>
            </w:r>
          </w:p>
        </w:tc>
        <w:tc>
          <w:tcPr>
            <w:tcW w:w="2760" w:type="dxa"/>
            <w:vAlign w:val="bottom"/>
          </w:tcPr>
          <w:p>
            <w:pPr>
              <w:ind w:left="20"/>
              <w:spacing w:after="0"/>
              <w:rPr>
                <w:sz w:val="20"/>
                <w:szCs w:val="20"/>
                <w:color w:val="auto"/>
              </w:rPr>
            </w:pPr>
            <w:r>
              <w:rPr>
                <w:rFonts w:ascii="Arial" w:cs="Arial" w:eastAsia="Arial" w:hAnsi="Arial"/>
                <w:sz w:val="13"/>
                <w:szCs w:val="13"/>
                <w:color w:val="auto"/>
                <w:w w:val="94"/>
              </w:rPr>
              <w:t>Cash, 3 Month Libor (1.00%) + 4.50%;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1.00%, Due 12/22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12/13/2017</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1,921,615</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color w:val="auto"/>
              </w:rPr>
              <w:t>1,916,372</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1,921,615</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 B</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7.0%</w:t>
            </w:r>
          </w:p>
        </w:tc>
        <w:tc>
          <w:tcPr>
            <w:tcW w:w="2760" w:type="dxa"/>
            <w:vAlign w:val="bottom"/>
          </w:tcPr>
          <w:p>
            <w:pPr>
              <w:ind w:left="20"/>
              <w:spacing w:after="0"/>
              <w:rPr>
                <w:sz w:val="20"/>
                <w:szCs w:val="20"/>
                <w:color w:val="auto"/>
              </w:rPr>
            </w:pPr>
            <w:r>
              <w:rPr>
                <w:rFonts w:ascii="Arial" w:cs="Arial" w:eastAsia="Arial" w:hAnsi="Arial"/>
                <w:sz w:val="13"/>
                <w:szCs w:val="13"/>
                <w:color w:val="auto"/>
                <w:w w:val="94"/>
              </w:rPr>
              <w:t>Cash, 1 Month Libor (1.00%) + 6.00%;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1.00%, Due 7/25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2,674,810</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color w:val="auto"/>
              </w:rPr>
              <w:t>2,387,684</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2,676,482</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 A</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9.5%</w:t>
            </w:r>
          </w:p>
        </w:tc>
        <w:tc>
          <w:tcPr>
            <w:tcW w:w="2760" w:type="dxa"/>
            <w:vAlign w:val="bottom"/>
          </w:tcPr>
          <w:p>
            <w:pPr>
              <w:ind w:left="20"/>
              <w:spacing w:after="0"/>
              <w:rPr>
                <w:sz w:val="20"/>
                <w:szCs w:val="20"/>
                <w:color w:val="auto"/>
              </w:rPr>
            </w:pPr>
            <w:r>
              <w:rPr>
                <w:rFonts w:ascii="Arial" w:cs="Arial" w:eastAsia="Arial" w:hAnsi="Arial"/>
                <w:sz w:val="13"/>
                <w:szCs w:val="13"/>
                <w:color w:val="auto"/>
                <w:w w:val="96"/>
              </w:rPr>
              <w:t>Cash, 0.8% PIK, 1 Month Libor (1.75%) + 7.75%;</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Libor Floor 1.75%, Due 3/24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5,442,260</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color w:val="auto"/>
              </w:rPr>
              <w:t>4,560,968</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5,261,033</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 A</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6.2%</w:t>
            </w:r>
          </w:p>
        </w:tc>
        <w:tc>
          <w:tcPr>
            <w:tcW w:w="2760" w:type="dxa"/>
            <w:vAlign w:val="bottom"/>
          </w:tcPr>
          <w:p>
            <w:pPr>
              <w:ind w:left="20"/>
              <w:spacing w:after="0"/>
              <w:rPr>
                <w:sz w:val="20"/>
                <w:szCs w:val="20"/>
                <w:color w:val="auto"/>
              </w:rPr>
            </w:pPr>
            <w:r>
              <w:rPr>
                <w:rFonts w:ascii="Arial" w:cs="Arial" w:eastAsia="Arial" w:hAnsi="Arial"/>
                <w:sz w:val="13"/>
                <w:szCs w:val="13"/>
                <w:color w:val="auto"/>
                <w:w w:val="95"/>
              </w:rPr>
              <w:t>Cash, 3 Month Libor (0.15%) + 6.00%, Due 10/24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3,036,157</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color w:val="auto"/>
              </w:rPr>
              <w:t>2,615,697</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3,014,964</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Revolving Credit</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7.8%</w:t>
            </w:r>
          </w:p>
        </w:tc>
        <w:tc>
          <w:tcPr>
            <w:tcW w:w="2760" w:type="dxa"/>
            <w:vAlign w:val="bottom"/>
          </w:tcPr>
          <w:p>
            <w:pPr>
              <w:ind w:left="20"/>
              <w:spacing w:after="0"/>
              <w:rPr>
                <w:sz w:val="20"/>
                <w:szCs w:val="20"/>
                <w:color w:val="auto"/>
              </w:rPr>
            </w:pPr>
            <w:r>
              <w:rPr>
                <w:rFonts w:ascii="Arial" w:cs="Arial" w:eastAsia="Arial" w:hAnsi="Arial"/>
                <w:sz w:val="13"/>
                <w:szCs w:val="13"/>
                <w:color w:val="auto"/>
                <w:w w:val="94"/>
              </w:rPr>
              <w:t>Cash, 1 Month Libor (1.00%) + 6.75%;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1.00%, Due 10/21</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11/7/2019</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2,291,667</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color w:val="auto"/>
              </w:rPr>
              <w:t>2,290,205</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2,287,167</w:t>
            </w:r>
          </w:p>
        </w:tc>
      </w:tr>
      <w:tr>
        <w:trPr>
          <w:trHeight w:val="473"/>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6.3%</w:t>
            </w:r>
          </w:p>
        </w:tc>
        <w:tc>
          <w:tcPr>
            <w:tcW w:w="2760" w:type="dxa"/>
            <w:vAlign w:val="bottom"/>
          </w:tcPr>
          <w:p>
            <w:pPr>
              <w:ind w:left="20"/>
              <w:spacing w:after="0"/>
              <w:rPr>
                <w:sz w:val="20"/>
                <w:szCs w:val="20"/>
                <w:color w:val="auto"/>
              </w:rPr>
            </w:pPr>
            <w:r>
              <w:rPr>
                <w:rFonts w:ascii="Arial" w:cs="Arial" w:eastAsia="Arial" w:hAnsi="Arial"/>
                <w:sz w:val="13"/>
                <w:szCs w:val="13"/>
                <w:color w:val="auto"/>
                <w:w w:val="94"/>
              </w:rPr>
              <w:t>Cash, 6 Month Libor (0.75%) + 5.50%;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0.75%, Due 7/27</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7/20/2021</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10,000,000</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color w:val="auto"/>
              </w:rPr>
              <w:t>9,804,159</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9,800,000</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Revolver</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7.3%</w:t>
            </w:r>
          </w:p>
        </w:tc>
        <w:tc>
          <w:tcPr>
            <w:tcW w:w="2760" w:type="dxa"/>
            <w:vAlign w:val="bottom"/>
          </w:tcPr>
          <w:p>
            <w:pPr>
              <w:ind w:left="20"/>
              <w:spacing w:after="0"/>
              <w:rPr>
                <w:sz w:val="20"/>
                <w:szCs w:val="20"/>
                <w:color w:val="auto"/>
              </w:rPr>
            </w:pPr>
            <w:r>
              <w:rPr>
                <w:rFonts w:ascii="Arial" w:cs="Arial" w:eastAsia="Arial" w:hAnsi="Arial"/>
                <w:sz w:val="13"/>
                <w:szCs w:val="13"/>
                <w:color w:val="auto"/>
                <w:w w:val="94"/>
              </w:rPr>
              <w:t>Cash, 1 Month Libor (1.00%) + 6.25%;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1.00%, Due 4/23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343,473</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color w:val="auto"/>
              </w:rPr>
              <w:t>314,418</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339,145</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 B</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7.3%</w:t>
            </w:r>
          </w:p>
        </w:tc>
        <w:tc>
          <w:tcPr>
            <w:tcW w:w="2760" w:type="dxa"/>
            <w:vAlign w:val="bottom"/>
          </w:tcPr>
          <w:p>
            <w:pPr>
              <w:ind w:left="20"/>
              <w:spacing w:after="0"/>
              <w:rPr>
                <w:sz w:val="20"/>
                <w:szCs w:val="20"/>
                <w:color w:val="auto"/>
              </w:rPr>
            </w:pPr>
            <w:r>
              <w:rPr>
                <w:rFonts w:ascii="Arial" w:cs="Arial" w:eastAsia="Arial" w:hAnsi="Arial"/>
                <w:sz w:val="13"/>
                <w:szCs w:val="13"/>
                <w:color w:val="auto"/>
                <w:w w:val="94"/>
              </w:rPr>
              <w:t>Cash, 1 Month Libor (1.00%) + 6.25%;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1.00%, Due 4/23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7,080,442</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color w:val="auto"/>
              </w:rPr>
              <w:t>6,481,519</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7,020,966</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6.5%</w:t>
            </w:r>
          </w:p>
        </w:tc>
        <w:tc>
          <w:tcPr>
            <w:tcW w:w="2760" w:type="dxa"/>
            <w:vAlign w:val="bottom"/>
          </w:tcPr>
          <w:p>
            <w:pPr>
              <w:ind w:left="20"/>
              <w:spacing w:after="0"/>
              <w:rPr>
                <w:sz w:val="20"/>
                <w:szCs w:val="20"/>
                <w:color w:val="auto"/>
              </w:rPr>
            </w:pPr>
            <w:r>
              <w:rPr>
                <w:rFonts w:ascii="Arial" w:cs="Arial" w:eastAsia="Arial" w:hAnsi="Arial"/>
                <w:sz w:val="13"/>
                <w:szCs w:val="13"/>
                <w:color w:val="auto"/>
                <w:w w:val="94"/>
              </w:rPr>
              <w:t>Cash, 3 Month Libor (1.00%) + 5.50%;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3"/>
                <w:szCs w:val="13"/>
                <w:color w:val="auto"/>
              </w:rPr>
              <w:t>1.00%, Due 4/27</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3,891,201</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color w:val="auto"/>
              </w:rPr>
              <w:t>3,322,235</w:t>
            </w:r>
          </w:p>
        </w:tc>
        <w:tc>
          <w:tcPr>
            <w:tcW w:w="1220" w:type="dxa"/>
            <w:vAlign w:val="bottom"/>
            <w:gridSpan w:val="2"/>
          </w:tcPr>
          <w:p>
            <w:pPr>
              <w:jc w:val="right"/>
              <w:ind w:right="17"/>
              <w:spacing w:after="0"/>
              <w:rPr>
                <w:sz w:val="20"/>
                <w:szCs w:val="20"/>
                <w:color w:val="auto"/>
              </w:rPr>
            </w:pPr>
            <w:r>
              <w:rPr>
                <w:rFonts w:ascii="Arial" w:cs="Arial" w:eastAsia="Arial" w:hAnsi="Arial"/>
                <w:sz w:val="13"/>
                <w:szCs w:val="13"/>
                <w:color w:val="auto"/>
              </w:rPr>
              <w:t>3,700,532</w:t>
            </w:r>
          </w:p>
        </w:tc>
      </w:tr>
      <w:tr>
        <w:trPr>
          <w:trHeight w:val="378"/>
        </w:trPr>
        <w:tc>
          <w:tcPr>
            <w:tcW w:w="3040" w:type="dxa"/>
            <w:vAlign w:val="bottom"/>
            <w:gridSpan w:val="2"/>
          </w:tcPr>
          <w:p>
            <w:pPr>
              <w:spacing w:after="0"/>
              <w:rPr>
                <w:sz w:val="20"/>
                <w:szCs w:val="20"/>
                <w:color w:val="auto"/>
              </w:rPr>
            </w:pPr>
            <w:r>
              <w:rPr>
                <w:rFonts w:ascii="Arial" w:cs="Arial" w:eastAsia="Arial" w:hAnsi="Arial"/>
                <w:sz w:val="13"/>
                <w:szCs w:val="13"/>
                <w:color w:val="auto"/>
              </w:rPr>
              <w:t>Senior Secured Loan — Revolver</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0.5%</w:t>
            </w:r>
          </w:p>
        </w:tc>
        <w:tc>
          <w:tcPr>
            <w:tcW w:w="2760" w:type="dxa"/>
            <w:vAlign w:val="bottom"/>
          </w:tcPr>
          <w:p>
            <w:pPr>
              <w:ind w:left="20"/>
              <w:spacing w:after="0"/>
              <w:rPr>
                <w:sz w:val="20"/>
                <w:szCs w:val="20"/>
                <w:color w:val="auto"/>
              </w:rPr>
            </w:pPr>
            <w:r>
              <w:rPr>
                <w:rFonts w:ascii="Arial" w:cs="Arial" w:eastAsia="Arial" w:hAnsi="Arial"/>
                <w:sz w:val="13"/>
                <w:szCs w:val="13"/>
                <w:color w:val="auto"/>
              </w:rPr>
              <w:t>Cash, Due 8/28</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8/11/2021</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(25,000 )</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(25,000 )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-7601585</wp:posOffset>
            </wp:positionV>
            <wp:extent cx="7132320" cy="3257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-7155815</wp:posOffset>
            </wp:positionV>
            <wp:extent cx="7132320" cy="222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-6752590</wp:posOffset>
            </wp:positionV>
            <wp:extent cx="7132320" cy="3257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-6306820</wp:posOffset>
            </wp:positionV>
            <wp:extent cx="7132320" cy="3257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-5861050</wp:posOffset>
            </wp:positionV>
            <wp:extent cx="7132320" cy="2228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-5518150</wp:posOffset>
            </wp:positionV>
            <wp:extent cx="7132320" cy="3257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-5072380</wp:posOffset>
            </wp:positionV>
            <wp:extent cx="7132320" cy="3257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-4627245</wp:posOffset>
            </wp:positionV>
            <wp:extent cx="7132320" cy="3257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-4180840</wp:posOffset>
            </wp:positionV>
            <wp:extent cx="7132320" cy="3257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-3735070</wp:posOffset>
            </wp:positionV>
            <wp:extent cx="7132320" cy="3257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-3289300</wp:posOffset>
            </wp:positionV>
            <wp:extent cx="7132320" cy="3257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-2843530</wp:posOffset>
            </wp:positionV>
            <wp:extent cx="7132320" cy="2228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-2500630</wp:posOffset>
            </wp:positionV>
            <wp:extent cx="7132320" cy="3257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-1995170</wp:posOffset>
            </wp:positionV>
            <wp:extent cx="7132320" cy="3257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-1549400</wp:posOffset>
            </wp:positionV>
            <wp:extent cx="7132320" cy="3257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-1103630</wp:posOffset>
            </wp:positionV>
            <wp:extent cx="7132320" cy="3257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-657860</wp:posOffset>
            </wp:positionV>
            <wp:extent cx="7132320" cy="3257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-212090</wp:posOffset>
            </wp:positionV>
            <wp:extent cx="7132320" cy="2228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2340" w:space="200"/>
            <w:col w:w="660" w:space="480"/>
            <w:col w:w="7540"/>
          </w:cols>
          <w:pgMar w:left="340" w:top="378" w:right="339" w:bottom="1440" w:gutter="0" w:footer="0" w:header="0"/>
        </w:sectPr>
      </w:pPr>
    </w:p>
    <w:bookmarkStart w:id="12" w:name="page13"/>
    <w:bookmarkEnd w:id="12"/>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6630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35" w:lineRule="exact"/>
        <w:rPr>
          <w:sz w:val="20"/>
          <w:szCs w:val="20"/>
          <w:color w:val="auto"/>
        </w:rPr>
      </w:pPr>
    </w:p>
    <w:p>
      <w:pPr>
        <w:ind w:left="160" w:hanging="157"/>
        <w:spacing w:after="0" w:line="432" w:lineRule="auto"/>
        <w:rPr>
          <w:sz w:val="20"/>
          <w:szCs w:val="20"/>
          <w:color w:val="auto"/>
        </w:rPr>
      </w:pPr>
      <w:r>
        <w:rPr>
          <w:rFonts w:ascii="Arial" w:cs="Arial" w:eastAsia="Arial" w:hAnsi="Arial"/>
          <w:sz w:val="10"/>
          <w:szCs w:val="10"/>
          <w:color w:val="auto"/>
        </w:rPr>
        <w:t>Marble Point Credit Management LLC Banking, Finance, Insurance &amp; Real Estate</w:t>
      </w:r>
    </w:p>
    <w:p>
      <w:pPr>
        <w:spacing w:after="0" w:line="288" w:lineRule="exact"/>
        <w:rPr>
          <w:sz w:val="20"/>
          <w:szCs w:val="20"/>
          <w:color w:val="auto"/>
        </w:rPr>
      </w:pPr>
    </w:p>
    <w:p>
      <w:pPr>
        <w:ind w:left="160" w:right="240" w:hanging="157"/>
        <w:spacing w:after="0" w:line="320" w:lineRule="auto"/>
        <w:rPr>
          <w:sz w:val="20"/>
          <w:szCs w:val="20"/>
          <w:color w:val="auto"/>
        </w:rPr>
      </w:pPr>
      <w:r>
        <w:rPr>
          <w:rFonts w:ascii="Arial" w:cs="Arial" w:eastAsia="Arial" w:hAnsi="Arial"/>
          <w:sz w:val="12"/>
          <w:szCs w:val="12"/>
          <w:color w:val="auto"/>
        </w:rPr>
        <w:t>Maxor National Pharmacy Services, LLC Healthcare &amp; Pharmaceuticals</w:t>
      </w:r>
    </w:p>
    <w:p>
      <w:pPr>
        <w:spacing w:after="0" w:line="334" w:lineRule="exact"/>
        <w:rPr>
          <w:sz w:val="20"/>
          <w:szCs w:val="20"/>
          <w:color w:val="auto"/>
        </w:rPr>
      </w:pPr>
    </w:p>
    <w:p>
      <w:pPr>
        <w:ind w:left="160" w:right="240" w:hanging="157"/>
        <w:spacing w:after="0" w:line="320" w:lineRule="auto"/>
        <w:rPr>
          <w:sz w:val="20"/>
          <w:szCs w:val="20"/>
          <w:color w:val="auto"/>
        </w:rPr>
      </w:pPr>
      <w:r>
        <w:rPr>
          <w:rFonts w:ascii="Arial" w:cs="Arial" w:eastAsia="Arial" w:hAnsi="Arial"/>
          <w:sz w:val="12"/>
          <w:szCs w:val="12"/>
          <w:color w:val="auto"/>
        </w:rPr>
        <w:t>Maxor National Pharmacy Services, LLC Healthcare &amp; Pharmaceuticals</w:t>
      </w:r>
    </w:p>
    <w:p>
      <w:pPr>
        <w:spacing w:after="0" w:line="172" w:lineRule="exact"/>
        <w:rPr>
          <w:sz w:val="20"/>
          <w:szCs w:val="20"/>
          <w:color w:val="auto"/>
        </w:rPr>
      </w:pPr>
    </w:p>
    <w:p>
      <w:pPr>
        <w:jc w:val="right"/>
        <w:ind w:right="1220"/>
        <w:spacing w:after="0"/>
        <w:rPr>
          <w:sz w:val="20"/>
          <w:szCs w:val="20"/>
          <w:color w:val="auto"/>
        </w:rPr>
      </w:pPr>
      <w:r>
        <w:rPr>
          <w:rFonts w:ascii="Arial" w:cs="Arial" w:eastAsia="Arial" w:hAnsi="Arial"/>
          <w:sz w:val="12"/>
          <w:szCs w:val="12"/>
          <w:color w:val="auto"/>
        </w:rPr>
        <w:t>Ministry Brands, LLC</w:t>
      </w:r>
    </w:p>
    <w:p>
      <w:pPr>
        <w:spacing w:after="0" w:line="24" w:lineRule="exact"/>
        <w:rPr>
          <w:sz w:val="20"/>
          <w:szCs w:val="20"/>
          <w:color w:val="auto"/>
        </w:rPr>
      </w:pPr>
    </w:p>
    <w:p>
      <w:pPr>
        <w:jc w:val="right"/>
        <w:ind w:right="1240"/>
        <w:spacing w:after="0"/>
        <w:rPr>
          <w:sz w:val="20"/>
          <w:szCs w:val="20"/>
          <w:color w:val="auto"/>
        </w:rPr>
      </w:pPr>
      <w:r>
        <w:rPr>
          <w:rFonts w:ascii="Arial" w:cs="Arial" w:eastAsia="Arial" w:hAnsi="Arial"/>
          <w:sz w:val="13"/>
          <w:szCs w:val="13"/>
          <w:color w:val="auto"/>
        </w:rPr>
        <w:t>Services: Business</w:t>
      </w:r>
    </w:p>
    <w:p>
      <w:pPr>
        <w:spacing w:after="0" w:line="200" w:lineRule="exact"/>
        <w:rPr>
          <w:sz w:val="20"/>
          <w:szCs w:val="20"/>
          <w:color w:val="auto"/>
        </w:rPr>
      </w:pPr>
    </w:p>
    <w:p>
      <w:pPr>
        <w:spacing w:after="0" w:line="353" w:lineRule="exact"/>
        <w:rPr>
          <w:sz w:val="20"/>
          <w:szCs w:val="20"/>
          <w:color w:val="auto"/>
        </w:rPr>
      </w:pPr>
    </w:p>
    <w:p>
      <w:pPr>
        <w:jc w:val="right"/>
        <w:ind w:right="640"/>
        <w:spacing w:after="0" w:line="320" w:lineRule="auto"/>
        <w:rPr>
          <w:sz w:val="20"/>
          <w:szCs w:val="20"/>
          <w:color w:val="auto"/>
        </w:rPr>
      </w:pPr>
      <w:r>
        <w:rPr>
          <w:rFonts w:ascii="Arial" w:cs="Arial" w:eastAsia="Arial" w:hAnsi="Arial"/>
          <w:sz w:val="12"/>
          <w:szCs w:val="12"/>
          <w:color w:val="auto"/>
        </w:rPr>
        <w:t>Mother's Market &amp; Kitchen, Inc. Healthcare &amp; Pharmaceuticals</w:t>
      </w: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color w:val="auto"/>
        </w:rPr>
        <w:t>MSM Acquisitions,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MSM Acquisitions,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Nasco Healthcare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Consumer goods: Non-durable</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Navex Topco,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Electronics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Naviga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Naviga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Naviga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Naviga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Naviga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Northeast Metal Works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Metals &amp; Mining</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One Stop Mailing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Transportation: Consumer</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Orbit Purchaser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Orbit Purchaser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Orbit Purchaser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auto"/>
        </w:rPr>
        <w:t>Phoenix Guarantor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8"/>
          <w:szCs w:val="8"/>
          <w:color w:val="auto"/>
        </w:rPr>
        <w:t>(13)(14)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7"/>
          <w:szCs w:val="7"/>
          <w:color w:val="auto"/>
        </w:rPr>
        <w:t>(8)(13)(14)(23)</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7"/>
          <w:szCs w:val="7"/>
          <w:color w:val="auto"/>
        </w:rPr>
        <w:t>(8)(13)(14)(21)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7"/>
          <w:szCs w:val="7"/>
          <w:color w:val="auto"/>
        </w:rPr>
        <w:t>(8)(14)(18)(21)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7"/>
          <w:szCs w:val="7"/>
          <w:color w:val="auto"/>
        </w:rPr>
        <w:t>(8)(13)(14)(23)</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(8)(13)(18)</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51"/>
        </w:trPr>
        <w:tc>
          <w:tcPr>
            <w:tcW w:w="280" w:type="dxa"/>
            <w:vAlign w:val="bottom"/>
          </w:tcPr>
          <w:p>
            <w:pPr>
              <w:spacing w:after="0"/>
              <w:rPr>
                <w:sz w:val="13"/>
                <w:szCs w:val="13"/>
                <w:color w:val="auto"/>
              </w:rPr>
            </w:pPr>
          </w:p>
        </w:tc>
        <w:tc>
          <w:tcPr>
            <w:tcW w:w="2880" w:type="dxa"/>
            <w:vAlign w:val="bottom"/>
          </w:tcPr>
          <w:p>
            <w:pPr>
              <w:ind w:left="1000"/>
              <w:spacing w:after="0"/>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297"/>
              <w:spacing w:after="0"/>
              <w:rPr>
                <w:sz w:val="20"/>
                <w:szCs w:val="20"/>
                <w:color w:val="auto"/>
              </w:rPr>
            </w:pPr>
            <w:r>
              <w:rPr>
                <w:rFonts w:ascii="Arial" w:cs="Arial" w:eastAsia="Arial" w:hAnsi="Arial"/>
                <w:sz w:val="13"/>
                <w:szCs w:val="13"/>
                <w:b w:val="1"/>
                <w:bCs w:val="1"/>
                <w:color w:val="auto"/>
              </w:rPr>
              <w:t>Amortized</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1"/>
        </w:trPr>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4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Principal</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2</w:t>
            </w:r>
          </w:p>
        </w:tc>
      </w:tr>
      <w:tr>
        <w:trPr>
          <w:trHeight w:val="167"/>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7.0%</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+ 6.00%;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8/28</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8/11/2021</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5,875,625</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5,717,268</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5,714,045</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6.5%</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+ 5.50%;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11/23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8,098,134</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7,328,791</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8,098,134</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Revolver</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0.5%</w:t>
            </w:r>
          </w:p>
        </w:tc>
        <w:tc>
          <w:tcPr>
            <w:tcW w:w="2880" w:type="dxa"/>
            <w:vAlign w:val="bottom"/>
          </w:tcPr>
          <w:p>
            <w:pPr>
              <w:ind w:left="20"/>
              <w:spacing w:after="0"/>
              <w:rPr>
                <w:sz w:val="20"/>
                <w:szCs w:val="20"/>
                <w:color w:val="auto"/>
              </w:rPr>
            </w:pPr>
            <w:r>
              <w:rPr>
                <w:rFonts w:ascii="Arial" w:cs="Arial" w:eastAsia="Arial" w:hAnsi="Arial"/>
                <w:sz w:val="13"/>
                <w:szCs w:val="13"/>
                <w:color w:val="auto"/>
              </w:rPr>
              <w:t>Cash, Due 11/22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w w:val="93"/>
              </w:rPr>
              <w:t>Junior Secured Loan — April 2018 Incremental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(Second Lien)</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9.0%</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1 Month Libor (1.00%) + 8.00%;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6/23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12/18/2019</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6,000,000</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5,692,827</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5,895,000</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6.5%</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+ 5.50%;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7/23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6,537,592</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5,949,051</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6,537,592</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w w:val="97"/>
              </w:rPr>
              <w:t>Senior Secured Loan — Delayed Draw Term Loan (First</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9"/>
              </w:rPr>
              <w:t>Lien)</w:t>
            </w:r>
          </w:p>
        </w:tc>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7.0%</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+ 6.00%;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6/22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12/31/2020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2,922,750</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2,926,243</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2,920,120</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7.0%</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+ 6.00%;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12/26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12/31/2020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7,005,971</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6,929,459</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6,999,665</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6.5%</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+ 5.50%;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6/23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5/22/2020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4,276,086</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3,811,036</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4,198,261</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w w:val="97"/>
              </w:rPr>
              <w:t>Junior Secured Loan — Initial Term Loan (Second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7.1%</w:t>
            </w:r>
          </w:p>
        </w:tc>
        <w:tc>
          <w:tcPr>
            <w:tcW w:w="2880" w:type="dxa"/>
            <w:vAlign w:val="bottom"/>
          </w:tcPr>
          <w:p>
            <w:pPr>
              <w:ind w:left="20"/>
              <w:spacing w:after="0"/>
              <w:rPr>
                <w:sz w:val="20"/>
                <w:szCs w:val="20"/>
                <w:color w:val="auto"/>
              </w:rPr>
            </w:pPr>
            <w:r>
              <w:rPr>
                <w:rFonts w:ascii="Arial" w:cs="Arial" w:eastAsia="Arial" w:hAnsi="Arial"/>
                <w:sz w:val="13"/>
                <w:szCs w:val="13"/>
                <w:color w:val="auto"/>
              </w:rPr>
              <w:t>Cash, 1 Month Libor (0.09%) + 7.00%, Due 9/26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12/4/2018</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7,700,000</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7,285,597</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7,552,430</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Delayed Draw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8.0%</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+ 7.00%;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12/22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458,407</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420,971</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450,385</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Delayed Draw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8.0%</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+ 7.00%;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12/22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3/1/2021</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757,552</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751,116</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744,295</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Revolver</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8.0%</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+ 7.00%;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12/22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383,812</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327,841</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371,818</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8.0%</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+ 7.00%;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12/22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5,012,532</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4,603,954</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4,924,813</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8.0%</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+ 7.00%;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12/22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3/1/2021</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713,686</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701,560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701,196</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8.0%</w:t>
            </w:r>
          </w:p>
        </w:tc>
        <w:tc>
          <w:tcPr>
            <w:tcW w:w="2880" w:type="dxa"/>
            <w:vAlign w:val="bottom"/>
          </w:tcPr>
          <w:p>
            <w:pPr>
              <w:ind w:left="20"/>
              <w:spacing w:after="0"/>
              <w:rPr>
                <w:sz w:val="20"/>
                <w:szCs w:val="20"/>
                <w:color w:val="auto"/>
              </w:rPr>
            </w:pPr>
            <w:r>
              <w:rPr>
                <w:rFonts w:ascii="Arial" w:cs="Arial" w:eastAsia="Arial" w:hAnsi="Arial"/>
                <w:sz w:val="13"/>
                <w:szCs w:val="13"/>
                <w:color w:val="auto"/>
              </w:rPr>
              <w:t>Cash, 2.0% PIK, Due 12/21</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6/9/2021</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14,002,644</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11,882,240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12,322,327</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7.3%</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1 Month Libor (1.00%) + 6.25%;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4/27</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5/7/2021</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7,957,143</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7,808,033</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7,848,130</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w w:val="94"/>
              </w:rPr>
              <w:t>Senior Secured Loan — Incremental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5.5%</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+ 4.50%;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10/24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1,528,115</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1,368,698</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1,528,115</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5.5%</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+ 4.50%;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10/24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2,528,621</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2,260,683</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2,528,621</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Delayed Draw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5.5%</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+ 4.50%;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10/24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739,410</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662,273</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739,410</w:t>
            </w:r>
          </w:p>
        </w:tc>
      </w:tr>
      <w:tr>
        <w:trPr>
          <w:trHeight w:val="473"/>
        </w:trPr>
        <w:tc>
          <w:tcPr>
            <w:tcW w:w="3160" w:type="dxa"/>
            <w:vAlign w:val="bottom"/>
            <w:gridSpan w:val="2"/>
          </w:tcPr>
          <w:p>
            <w:pPr>
              <w:spacing w:after="0"/>
              <w:rPr>
                <w:sz w:val="20"/>
                <w:szCs w:val="20"/>
                <w:color w:val="auto"/>
              </w:rPr>
            </w:pPr>
            <w:r>
              <w:rPr>
                <w:rFonts w:ascii="Arial" w:cs="Arial" w:eastAsia="Arial" w:hAnsi="Arial"/>
                <w:sz w:val="13"/>
                <w:szCs w:val="13"/>
                <w:color w:val="auto"/>
              </w:rPr>
              <w:t>Junior Secured Loan — Term Loan Second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9.5%</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1 Month Libor (1.00%) + 8.50%;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3/27</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12/18/2019</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1,200,000</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1,112,322</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1,200,000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-8741410</wp:posOffset>
            </wp:positionV>
            <wp:extent cx="7132320" cy="3257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-8295640</wp:posOffset>
            </wp:positionV>
            <wp:extent cx="7132320" cy="3257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-7849870</wp:posOffset>
            </wp:positionV>
            <wp:extent cx="7132320" cy="2228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-7506970</wp:posOffset>
            </wp:positionV>
            <wp:extent cx="7132320" cy="4286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-6958330</wp:posOffset>
            </wp:positionV>
            <wp:extent cx="7132320" cy="3257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-6512560</wp:posOffset>
            </wp:positionV>
            <wp:extent cx="7132320" cy="4286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-5963920</wp:posOffset>
            </wp:positionV>
            <wp:extent cx="7132320" cy="3257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-5518150</wp:posOffset>
            </wp:positionV>
            <wp:extent cx="7132320" cy="3257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-5072380</wp:posOffset>
            </wp:positionV>
            <wp:extent cx="7132320" cy="2228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-4729480</wp:posOffset>
            </wp:positionV>
            <wp:extent cx="7132320" cy="3257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-4283710</wp:posOffset>
            </wp:positionV>
            <wp:extent cx="7132320" cy="3257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-3837940</wp:posOffset>
            </wp:positionV>
            <wp:extent cx="7132320" cy="3257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-3392170</wp:posOffset>
            </wp:positionV>
            <wp:extent cx="7132320" cy="3257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-2946400</wp:posOffset>
            </wp:positionV>
            <wp:extent cx="7132320" cy="3257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-2500630</wp:posOffset>
            </wp:positionV>
            <wp:extent cx="7132320" cy="2228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-2157730</wp:posOffset>
            </wp:positionV>
            <wp:extent cx="7132320" cy="3257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-1711960</wp:posOffset>
            </wp:positionV>
            <wp:extent cx="7132320" cy="3257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-1266190</wp:posOffset>
            </wp:positionV>
            <wp:extent cx="7132320" cy="3257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-820420</wp:posOffset>
            </wp:positionV>
            <wp:extent cx="7132320" cy="3257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-314960</wp:posOffset>
            </wp:positionV>
            <wp:extent cx="7132320" cy="3257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2340" w:space="280"/>
            <w:col w:w="520" w:space="380"/>
            <w:col w:w="7700"/>
          </w:cols>
          <w:pgMar w:left="340" w:top="378" w:right="339" w:bottom="1159" w:gutter="0" w:footer="0" w:header="0"/>
        </w:sectPr>
      </w:pPr>
    </w:p>
    <w:bookmarkStart w:id="13" w:name="page14"/>
    <w:bookmarkEnd w:id="13"/>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6630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35" w:lineRule="exact"/>
        <w:rPr>
          <w:sz w:val="20"/>
          <w:szCs w:val="20"/>
          <w:color w:val="auto"/>
        </w:rPr>
      </w:pPr>
    </w:p>
    <w:p>
      <w:pPr>
        <w:jc w:val="center"/>
        <w:ind w:right="1100"/>
        <w:spacing w:after="0"/>
        <w:rPr>
          <w:sz w:val="20"/>
          <w:szCs w:val="20"/>
          <w:color w:val="auto"/>
        </w:rPr>
      </w:pPr>
      <w:r>
        <w:rPr>
          <w:rFonts w:ascii="Arial" w:cs="Arial" w:eastAsia="Arial" w:hAnsi="Arial"/>
          <w:sz w:val="10"/>
          <w:szCs w:val="10"/>
          <w:color w:val="auto"/>
        </w:rPr>
        <w:t>Pinstripe Holdings, LLC</w:t>
      </w:r>
    </w:p>
    <w:p>
      <w:pPr>
        <w:spacing w:after="0" w:line="47" w:lineRule="exact"/>
        <w:rPr>
          <w:sz w:val="20"/>
          <w:szCs w:val="20"/>
          <w:color w:val="auto"/>
        </w:rPr>
      </w:pPr>
    </w:p>
    <w:p>
      <w:pPr>
        <w:jc w:val="center"/>
        <w:ind w:right="108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Pomeroy Technologies,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High Tech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Pomeroy Technologies,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High Tech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Pomeroy Technologies,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High Tech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Pomeroy Technologies,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High Tech Industries</w:t>
      </w:r>
    </w:p>
    <w:p>
      <w:pPr>
        <w:spacing w:after="0" w:line="229" w:lineRule="exact"/>
        <w:rPr>
          <w:sz w:val="20"/>
          <w:szCs w:val="20"/>
          <w:color w:val="auto"/>
        </w:rPr>
      </w:pPr>
    </w:p>
    <w:p>
      <w:pPr>
        <w:jc w:val="right"/>
        <w:ind w:right="1160"/>
        <w:spacing w:after="0"/>
        <w:rPr>
          <w:sz w:val="20"/>
          <w:szCs w:val="20"/>
          <w:color w:val="auto"/>
        </w:rPr>
      </w:pPr>
      <w:r>
        <w:rPr>
          <w:rFonts w:ascii="Arial" w:cs="Arial" w:eastAsia="Arial" w:hAnsi="Arial"/>
          <w:sz w:val="12"/>
          <w:szCs w:val="12"/>
          <w:color w:val="auto"/>
        </w:rPr>
        <w:t>Priority Holdings, LLC</w:t>
      </w:r>
    </w:p>
    <w:p>
      <w:pPr>
        <w:spacing w:after="0" w:line="24" w:lineRule="exact"/>
        <w:rPr>
          <w:sz w:val="20"/>
          <w:szCs w:val="20"/>
          <w:color w:val="auto"/>
        </w:rPr>
      </w:pPr>
    </w:p>
    <w:p>
      <w:pPr>
        <w:jc w:val="right"/>
        <w:ind w:right="1120"/>
        <w:spacing w:after="0"/>
        <w:rPr>
          <w:sz w:val="20"/>
          <w:szCs w:val="20"/>
          <w:color w:val="auto"/>
        </w:rPr>
      </w:pPr>
      <w:r>
        <w:rPr>
          <w:rFonts w:ascii="Arial" w:cs="Arial" w:eastAsia="Arial" w:hAnsi="Arial"/>
          <w:sz w:val="13"/>
          <w:szCs w:val="13"/>
          <w:color w:val="auto"/>
        </w:rPr>
        <w:t>High Tech Industries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ProAir Holdings Corporation</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Capital Equipment</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PSC Industrial Holdings Corp.</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Environmental Industries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PVHC Holding Corp</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Containers, Packaging and Glass</w:t>
      </w:r>
    </w:p>
    <w:p>
      <w:pPr>
        <w:spacing w:after="0" w:line="391" w:lineRule="exact"/>
        <w:rPr>
          <w:sz w:val="20"/>
          <w:szCs w:val="20"/>
          <w:color w:val="auto"/>
        </w:rPr>
      </w:pPr>
    </w:p>
    <w:p>
      <w:pPr>
        <w:ind w:left="160" w:hanging="157"/>
        <w:spacing w:after="0" w:line="277" w:lineRule="auto"/>
        <w:rPr>
          <w:sz w:val="20"/>
          <w:szCs w:val="20"/>
          <w:color w:val="auto"/>
        </w:rPr>
      </w:pPr>
      <w:r>
        <w:rPr>
          <w:rFonts w:ascii="Arial" w:cs="Arial" w:eastAsia="Arial" w:hAnsi="Arial"/>
          <w:sz w:val="13"/>
          <w:szCs w:val="13"/>
          <w:color w:val="auto"/>
        </w:rPr>
        <w:t>Q Holding Company (fka Lex Precision Corp) Chemicals, Plastics &amp; Rubber</w:t>
      </w: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auto"/>
        </w:rPr>
        <w:t>Qualtek USA,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High Tech Industries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Radiology Partners,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Radius Aerospace,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Aerospace and Defense</w:t>
      </w:r>
    </w:p>
    <w:p>
      <w:pPr>
        <w:spacing w:after="0" w:line="391" w:lineRule="exact"/>
        <w:rPr>
          <w:sz w:val="20"/>
          <w:szCs w:val="20"/>
          <w:color w:val="auto"/>
        </w:rPr>
      </w:pPr>
    </w:p>
    <w:p>
      <w:pPr>
        <w:jc w:val="right"/>
        <w:ind w:right="1160"/>
        <w:spacing w:after="0"/>
        <w:rPr>
          <w:sz w:val="20"/>
          <w:szCs w:val="20"/>
          <w:color w:val="auto"/>
        </w:rPr>
      </w:pPr>
      <w:r>
        <w:rPr>
          <w:rFonts w:ascii="Arial" w:cs="Arial" w:eastAsia="Arial" w:hAnsi="Arial"/>
          <w:sz w:val="10"/>
          <w:szCs w:val="10"/>
          <w:color w:val="auto"/>
        </w:rPr>
        <w:t>Redstone Holdco 2, LP</w:t>
      </w:r>
    </w:p>
    <w:p>
      <w:pPr>
        <w:spacing w:after="0" w:line="47" w:lineRule="exact"/>
        <w:rPr>
          <w:sz w:val="20"/>
          <w:szCs w:val="20"/>
          <w:color w:val="auto"/>
        </w:rPr>
      </w:pPr>
    </w:p>
    <w:p>
      <w:pPr>
        <w:jc w:val="right"/>
        <w:ind w:right="1120"/>
        <w:spacing w:after="0"/>
        <w:rPr>
          <w:sz w:val="20"/>
          <w:szCs w:val="20"/>
          <w:color w:val="auto"/>
        </w:rPr>
      </w:pPr>
      <w:r>
        <w:rPr>
          <w:rFonts w:ascii="Arial" w:cs="Arial" w:eastAsia="Arial" w:hAnsi="Arial"/>
          <w:sz w:val="13"/>
          <w:szCs w:val="13"/>
          <w:color w:val="auto"/>
        </w:rPr>
        <w:t>High Tech Industries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Ritedose Holdings I,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Ritedose Holdings I,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Robertshaw US Holding Corp.</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Capital Equipment</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Roscoe Medical,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Safe Fleet Holdings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Automotive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(5)(8)(13)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(5)(8)(13)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(8)(14)(21)</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7"/>
          <w:szCs w:val="7"/>
          <w:color w:val="auto"/>
        </w:rPr>
        <w:t>(8)(13)(14)(23)</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51"/>
        </w:trPr>
        <w:tc>
          <w:tcPr>
            <w:tcW w:w="280" w:type="dxa"/>
            <w:vAlign w:val="bottom"/>
          </w:tcPr>
          <w:p>
            <w:pPr>
              <w:spacing w:after="0"/>
              <w:rPr>
                <w:sz w:val="13"/>
                <w:szCs w:val="13"/>
                <w:color w:val="auto"/>
              </w:rPr>
            </w:pPr>
          </w:p>
        </w:tc>
        <w:tc>
          <w:tcPr>
            <w:tcW w:w="2880" w:type="dxa"/>
            <w:vAlign w:val="bottom"/>
          </w:tcPr>
          <w:p>
            <w:pPr>
              <w:ind w:left="1000"/>
              <w:spacing w:after="0"/>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297"/>
              <w:spacing w:after="0"/>
              <w:rPr>
                <w:sz w:val="20"/>
                <w:szCs w:val="20"/>
                <w:color w:val="auto"/>
              </w:rPr>
            </w:pPr>
            <w:r>
              <w:rPr>
                <w:rFonts w:ascii="Arial" w:cs="Arial" w:eastAsia="Arial" w:hAnsi="Arial"/>
                <w:sz w:val="13"/>
                <w:szCs w:val="13"/>
                <w:b w:val="1"/>
                <w:bCs w:val="1"/>
                <w:color w:val="auto"/>
              </w:rPr>
              <w:t>Amortized</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1"/>
        </w:trPr>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4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Principal</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2</w:t>
            </w:r>
          </w:p>
        </w:tc>
      </w:tr>
      <w:tr>
        <w:trPr>
          <w:trHeight w:val="167"/>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Initial Term Loan</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6.8%</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6 Month Libor (1.00%) + 5.75%;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1/25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1/17/2019</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4,874,889</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4,821,046</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4,838,327</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Senior Term Loan A</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5.0%</w:t>
            </w:r>
          </w:p>
        </w:tc>
        <w:tc>
          <w:tcPr>
            <w:tcW w:w="2880" w:type="dxa"/>
            <w:vAlign w:val="bottom"/>
          </w:tcPr>
          <w:p>
            <w:pPr>
              <w:ind w:left="20"/>
              <w:spacing w:after="0"/>
              <w:rPr>
                <w:sz w:val="20"/>
                <w:szCs w:val="20"/>
                <w:color w:val="auto"/>
              </w:rPr>
            </w:pPr>
            <w:r>
              <w:rPr>
                <w:rFonts w:ascii="Arial" w:cs="Arial" w:eastAsia="Arial" w:hAnsi="Arial"/>
                <w:sz w:val="13"/>
                <w:szCs w:val="13"/>
                <w:color w:val="auto"/>
              </w:rPr>
              <w:t>PIK, Due 5/25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5/29/2020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1,523,855</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1,197,731</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1,165,749</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Senior Term Loan B</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7.0%</w:t>
            </w:r>
          </w:p>
        </w:tc>
        <w:tc>
          <w:tcPr>
            <w:tcW w:w="2880" w:type="dxa"/>
            <w:vAlign w:val="bottom"/>
          </w:tcPr>
          <w:p>
            <w:pPr>
              <w:ind w:left="20"/>
              <w:spacing w:after="0"/>
              <w:rPr>
                <w:sz w:val="20"/>
                <w:szCs w:val="20"/>
                <w:color w:val="auto"/>
              </w:rPr>
            </w:pPr>
            <w:r>
              <w:rPr>
                <w:rFonts w:ascii="Arial" w:cs="Arial" w:eastAsia="Arial" w:hAnsi="Arial"/>
                <w:sz w:val="13"/>
                <w:szCs w:val="13"/>
                <w:color w:val="auto"/>
              </w:rPr>
              <w:t>PIK, Due 5/25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5/29/2020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1,565,210</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1,239,086</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422,607</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Super Senior Term Loan B</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2.0%</w:t>
            </w:r>
          </w:p>
        </w:tc>
        <w:tc>
          <w:tcPr>
            <w:tcW w:w="2880" w:type="dxa"/>
            <w:vAlign w:val="bottom"/>
          </w:tcPr>
          <w:p>
            <w:pPr>
              <w:ind w:left="20"/>
              <w:spacing w:after="0"/>
              <w:rPr>
                <w:sz w:val="20"/>
                <w:szCs w:val="20"/>
                <w:color w:val="auto"/>
              </w:rPr>
            </w:pPr>
            <w:r>
              <w:rPr>
                <w:rFonts w:ascii="Arial" w:cs="Arial" w:eastAsia="Arial" w:hAnsi="Arial"/>
                <w:sz w:val="13"/>
                <w:szCs w:val="13"/>
                <w:color w:val="auto"/>
              </w:rPr>
              <w:t>Cash, 7.0% PIK, Due 5/25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5/29/2020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1,029,908</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1,016,445</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988,711</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2.0%</w:t>
            </w:r>
          </w:p>
        </w:tc>
        <w:tc>
          <w:tcPr>
            <w:tcW w:w="2880" w:type="dxa"/>
            <w:vAlign w:val="bottom"/>
          </w:tcPr>
          <w:p>
            <w:pPr>
              <w:ind w:left="20"/>
              <w:spacing w:after="0"/>
              <w:rPr>
                <w:sz w:val="20"/>
                <w:szCs w:val="20"/>
                <w:color w:val="auto"/>
              </w:rPr>
            </w:pPr>
            <w:r>
              <w:rPr>
                <w:rFonts w:ascii="Arial" w:cs="Arial" w:eastAsia="Arial" w:hAnsi="Arial"/>
                <w:sz w:val="13"/>
                <w:szCs w:val="13"/>
                <w:color w:val="auto"/>
              </w:rPr>
              <w:t>Cash, 8.0% PIK, Due 5/25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9/10/2021</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48,172</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47,693</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47,692</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6.8%</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6 Month Libor (1.00%) + 5.75%;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4/27</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4/21/2021</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7,761,339</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7,686,688</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7,714,771</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Junior Secured Loan — Term Loan (Second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13.5% Cash, 2.0% PIK, Due 12/22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6/9/2021</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7,816,516</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3,662,041</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3,107,065</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w w:val="97"/>
              </w:rPr>
              <w:t>Junior Secured Loan — Initial Term Loan (Second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9.5%</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1 Month Libor (1.00%) + 8.50%;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10/25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10/5/2017</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3,000,000</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2,968,707</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3,002,505</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Initial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5.8%</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+ 4.75%;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8/24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8/10/2018</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2,793,600</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2,786,954</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2,591,064</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6.0%</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+ 5.00%;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12/23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2,360,936</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2,017,093</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2,308,760</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7.3%</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+ 6.25%;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7/25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5,547,901</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4,604,277</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5,497,054</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Term B Loan (First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4.3%</w:t>
            </w:r>
          </w:p>
        </w:tc>
        <w:tc>
          <w:tcPr>
            <w:tcW w:w="2880" w:type="dxa"/>
            <w:vAlign w:val="bottom"/>
          </w:tcPr>
          <w:p>
            <w:pPr>
              <w:ind w:left="20"/>
              <w:spacing w:after="0"/>
              <w:rPr>
                <w:sz w:val="20"/>
                <w:szCs w:val="20"/>
                <w:color w:val="auto"/>
              </w:rPr>
            </w:pPr>
            <w:r>
              <w:rPr>
                <w:rFonts w:ascii="Arial" w:cs="Arial" w:eastAsia="Arial" w:hAnsi="Arial"/>
                <w:sz w:val="13"/>
                <w:szCs w:val="13"/>
                <w:color w:val="auto"/>
              </w:rPr>
              <w:t>Cash, 1 Month Libor (0.08%) + 4.25%, Due 7/25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3/24/2020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7,000,000</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6,023,245</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7,003,395</w:t>
            </w:r>
          </w:p>
        </w:tc>
      </w:tr>
      <w:tr>
        <w:trPr>
          <w:trHeight w:val="473"/>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Initial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6.8%</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+ 5.75%;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3/25</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6/27/2019</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6,576,000</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6,516,056</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6,241,281</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Junior Secured Loan — Term Loan (Second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8.5%</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(0.75%) + 7.75%;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0.75%, Due 4/29</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4/16/2021</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4,565,747</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4,489,801</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4,463,018</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Revolver</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0.5%</w:t>
            </w:r>
          </w:p>
        </w:tc>
        <w:tc>
          <w:tcPr>
            <w:tcW w:w="2880" w:type="dxa"/>
            <w:vAlign w:val="bottom"/>
          </w:tcPr>
          <w:p>
            <w:pPr>
              <w:ind w:left="20"/>
              <w:spacing w:after="0"/>
              <w:rPr>
                <w:sz w:val="20"/>
                <w:szCs w:val="20"/>
                <w:color w:val="auto"/>
              </w:rPr>
            </w:pPr>
            <w:r>
              <w:rPr>
                <w:rFonts w:ascii="Arial" w:cs="Arial" w:eastAsia="Arial" w:hAnsi="Arial"/>
                <w:sz w:val="13"/>
                <w:szCs w:val="13"/>
                <w:color w:val="auto"/>
              </w:rPr>
              <w:t>Cash, Due 9/23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7.5%</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+ 6.50%;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9/23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6,782,729</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6,157,593</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6,782,729</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w w:val="97"/>
              </w:rPr>
              <w:t>Junior Secured Loan — Initial Term Loan (Second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9.0%</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1 Month Libor (1.00%) + 8.00%;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2/26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2/15/2018</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3,000,000</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2,983,427</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2,617,200</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rPr>
              <w:t>Junior Secured Loan — Term Loan (Second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11.3% Cash, Due 3/22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3/26/2014</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8,201,777</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8,199,020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7,955,724</w:t>
            </w:r>
          </w:p>
        </w:tc>
      </w:tr>
      <w:tr>
        <w:trPr>
          <w:trHeight w:val="378"/>
        </w:trPr>
        <w:tc>
          <w:tcPr>
            <w:tcW w:w="3160" w:type="dxa"/>
            <w:vAlign w:val="bottom"/>
            <w:gridSpan w:val="2"/>
          </w:tcPr>
          <w:p>
            <w:pPr>
              <w:spacing w:after="0"/>
              <w:rPr>
                <w:sz w:val="20"/>
                <w:szCs w:val="20"/>
                <w:color w:val="auto"/>
              </w:rPr>
            </w:pPr>
            <w:r>
              <w:rPr>
                <w:rFonts w:ascii="Arial" w:cs="Arial" w:eastAsia="Arial" w:hAnsi="Arial"/>
                <w:sz w:val="13"/>
                <w:szCs w:val="13"/>
                <w:color w:val="auto"/>
                <w:w w:val="97"/>
              </w:rPr>
              <w:t>Junior Secured Loan — Initial Term Loan (Second Lien)</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7.8%</w:t>
            </w:r>
          </w:p>
        </w:tc>
        <w:tc>
          <w:tcPr>
            <w:tcW w:w="2880" w:type="dxa"/>
            <w:vAlign w:val="bottom"/>
          </w:tcPr>
          <w:p>
            <w:pPr>
              <w:ind w:left="20"/>
              <w:spacing w:after="0"/>
              <w:rPr>
                <w:sz w:val="20"/>
                <w:szCs w:val="20"/>
                <w:color w:val="auto"/>
              </w:rPr>
            </w:pPr>
            <w:r>
              <w:rPr>
                <w:rFonts w:ascii="Arial" w:cs="Arial" w:eastAsia="Arial" w:hAnsi="Arial"/>
                <w:sz w:val="13"/>
                <w:szCs w:val="13"/>
                <w:color w:val="auto"/>
                <w:w w:val="98"/>
              </w:rPr>
              <w:t>Cash, 3 Month Libor (1.00%) + 6.75%; Libor Floor</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3"/>
                <w:szCs w:val="13"/>
                <w:color w:val="auto"/>
              </w:rPr>
              <w:t>1.00%, Due 2/26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12/18/2019</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color w:val="auto"/>
              </w:rPr>
              <w:t>700,000</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635,218</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692,419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-7575550</wp:posOffset>
            </wp:positionV>
            <wp:extent cx="7132320" cy="3257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-7129780</wp:posOffset>
            </wp:positionV>
            <wp:extent cx="7132320" cy="2228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-6786880</wp:posOffset>
            </wp:positionV>
            <wp:extent cx="7132320" cy="2228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-6443980</wp:posOffset>
            </wp:positionV>
            <wp:extent cx="7132320" cy="2228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-6101080</wp:posOffset>
            </wp:positionV>
            <wp:extent cx="7132320" cy="2228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-5758180</wp:posOffset>
            </wp:positionV>
            <wp:extent cx="7132320" cy="3257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-5312410</wp:posOffset>
            </wp:positionV>
            <wp:extent cx="7132320" cy="2228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-4969510</wp:posOffset>
            </wp:positionV>
            <wp:extent cx="7132320" cy="3257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-4523740</wp:posOffset>
            </wp:positionV>
            <wp:extent cx="7132320" cy="3257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-4077970</wp:posOffset>
            </wp:positionV>
            <wp:extent cx="7132320" cy="3257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-3632200</wp:posOffset>
            </wp:positionV>
            <wp:extent cx="7132320" cy="3257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-3186430</wp:posOffset>
            </wp:positionV>
            <wp:extent cx="7132320" cy="2228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-2783840</wp:posOffset>
            </wp:positionV>
            <wp:extent cx="7132320" cy="3257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-2338070</wp:posOffset>
            </wp:positionV>
            <wp:extent cx="7132320" cy="3257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-1892300</wp:posOffset>
            </wp:positionV>
            <wp:extent cx="7132320" cy="2228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-1549400</wp:posOffset>
            </wp:positionV>
            <wp:extent cx="7132320" cy="3257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-1103630</wp:posOffset>
            </wp:positionV>
            <wp:extent cx="7132320" cy="3257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-657860</wp:posOffset>
            </wp:positionV>
            <wp:extent cx="7132320" cy="2228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-314960</wp:posOffset>
            </wp:positionV>
            <wp:extent cx="7132320" cy="3257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2340" w:space="280"/>
            <w:col w:w="520" w:space="380"/>
            <w:col w:w="7700"/>
          </w:cols>
          <w:pgMar w:left="340" w:top="378" w:right="339" w:bottom="1440" w:gutter="0" w:footer="0" w:header="0"/>
        </w:sectPr>
      </w:pPr>
    </w:p>
    <w:bookmarkStart w:id="14" w:name="page15"/>
    <w:bookmarkEnd w:id="14"/>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671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San Vicente Capital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Telecommunications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Shipston Group, U.S.,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Automotive</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Shipston Group, U.S.,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Automotive</w:t>
      </w:r>
    </w:p>
    <w:p>
      <w:pPr>
        <w:spacing w:after="0" w:line="391" w:lineRule="exact"/>
        <w:rPr>
          <w:sz w:val="20"/>
          <w:szCs w:val="20"/>
          <w:color w:val="auto"/>
        </w:rPr>
      </w:pPr>
    </w:p>
    <w:p>
      <w:pPr>
        <w:ind w:left="160" w:hanging="157"/>
        <w:spacing w:after="0" w:line="432" w:lineRule="auto"/>
        <w:rPr>
          <w:sz w:val="20"/>
          <w:szCs w:val="20"/>
          <w:color w:val="auto"/>
        </w:rPr>
      </w:pPr>
      <w:r>
        <w:rPr>
          <w:rFonts w:ascii="Arial" w:cs="Arial" w:eastAsia="Arial" w:hAnsi="Arial"/>
          <w:sz w:val="10"/>
          <w:szCs w:val="10"/>
          <w:color w:val="auto"/>
        </w:rPr>
        <w:t>South Street Securities Holdings, Inc Banking, Finance, Insurance &amp; Real Estate</w:t>
      </w: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Sundance Holdings Group,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Retail</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Surge Busy Bee Holdings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Surge Busy Bee Holdings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Surge Busy Bee Holdings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Surge Hippodrome Holdings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jc w:val="right"/>
        <w:ind w:right="1220"/>
        <w:spacing w:after="0"/>
        <w:rPr>
          <w:sz w:val="20"/>
          <w:szCs w:val="20"/>
          <w:color w:val="auto"/>
        </w:rPr>
      </w:pPr>
      <w:r>
        <w:rPr>
          <w:rFonts w:ascii="Arial" w:cs="Arial" w:eastAsia="Arial" w:hAnsi="Arial"/>
          <w:sz w:val="10"/>
          <w:szCs w:val="10"/>
          <w:color w:val="auto"/>
        </w:rPr>
        <w:t>Syncsort Incorporated</w:t>
      </w:r>
    </w:p>
    <w:p>
      <w:pPr>
        <w:spacing w:after="0" w:line="47" w:lineRule="exact"/>
        <w:rPr>
          <w:sz w:val="20"/>
          <w:szCs w:val="20"/>
          <w:color w:val="auto"/>
        </w:rPr>
      </w:pPr>
    </w:p>
    <w:p>
      <w:pPr>
        <w:jc w:val="right"/>
        <w:ind w:right="124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TA/Weg Holdings,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TA/Weg Holdings,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TA/Weg Holdings,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TA/Weg Holdings,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Tailwind Randys,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Automotive</w:t>
      </w:r>
    </w:p>
    <w:p>
      <w:pPr>
        <w:spacing w:after="0" w:line="391" w:lineRule="exact"/>
        <w:rPr>
          <w:sz w:val="20"/>
          <w:szCs w:val="20"/>
          <w:color w:val="auto"/>
        </w:rPr>
      </w:pPr>
    </w:p>
    <w:p>
      <w:pPr>
        <w:ind w:left="160" w:right="300" w:hanging="157"/>
        <w:spacing w:after="0" w:line="277" w:lineRule="auto"/>
        <w:rPr>
          <w:sz w:val="20"/>
          <w:szCs w:val="20"/>
          <w:color w:val="auto"/>
        </w:rPr>
      </w:pPr>
      <w:r>
        <w:rPr>
          <w:rFonts w:ascii="Arial" w:cs="Arial" w:eastAsia="Arial" w:hAnsi="Arial"/>
          <w:sz w:val="13"/>
          <w:szCs w:val="13"/>
          <w:color w:val="auto"/>
        </w:rPr>
        <w:t>Tank Partners Equipment Holdings LLC Energy: Oil &amp; Gas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7"/>
          <w:szCs w:val="7"/>
          <w:color w:val="auto"/>
        </w:rPr>
        <w:t>(8)(13)(14)(21)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7"/>
          <w:szCs w:val="7"/>
          <w:color w:val="auto"/>
        </w:rPr>
        <w:t>(8)(13)(14)(20)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7"/>
          <w:szCs w:val="7"/>
          <w:color w:val="auto"/>
        </w:rPr>
        <w:t>(8)(13)(14)(20)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7"/>
          <w:szCs w:val="7"/>
          <w:color w:val="auto"/>
        </w:rPr>
        <w:t>(8)(13)(14)(20)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8"/>
          <w:szCs w:val="8"/>
          <w:color w:val="auto"/>
        </w:rPr>
        <w:t>(8)(13)(23)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(8)(13)(24)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(8)(13)(24)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(8)(13)(18)</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(8)(13)(23)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(8)(13)(23)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(8)(13)(23)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(5)(8)(13)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4"/>
              </w:rPr>
              <w:t>Initial</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51"/>
        </w:trPr>
        <w:tc>
          <w:tcPr>
            <w:tcW w:w="300" w:type="dxa"/>
            <w:vAlign w:val="bottom"/>
          </w:tcPr>
          <w:p>
            <w:pPr>
              <w:spacing w:after="0"/>
              <w:rPr>
                <w:sz w:val="13"/>
                <w:szCs w:val="13"/>
                <w:color w:val="auto"/>
              </w:rPr>
            </w:pPr>
          </w:p>
        </w:tc>
        <w:tc>
          <w:tcPr>
            <w:tcW w:w="2860" w:type="dxa"/>
            <w:vAlign w:val="bottom"/>
          </w:tcPr>
          <w:p>
            <w:pPr>
              <w:ind w:left="98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297"/>
              <w:spacing w:after="0"/>
              <w:rPr>
                <w:sz w:val="20"/>
                <w:szCs w:val="20"/>
                <w:color w:val="auto"/>
              </w:rPr>
            </w:pPr>
            <w:r>
              <w:rPr>
                <w:rFonts w:ascii="Arial" w:cs="Arial" w:eastAsia="Arial" w:hAnsi="Arial"/>
                <w:sz w:val="13"/>
                <w:szCs w:val="13"/>
                <w:b w:val="1"/>
                <w:bCs w:val="1"/>
                <w:color w:val="auto"/>
              </w:rPr>
              <w:t>Amortized</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1"/>
        </w:trPr>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6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Principal</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2</w:t>
            </w:r>
          </w:p>
        </w:tc>
      </w:tr>
      <w:tr>
        <w:trPr>
          <w:trHeight w:val="167"/>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Term Loan</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9.5%</w:t>
            </w:r>
          </w:p>
        </w:tc>
        <w:tc>
          <w:tcPr>
            <w:tcW w:w="2860" w:type="dxa"/>
            <w:vAlign w:val="bottom"/>
          </w:tcPr>
          <w:p>
            <w:pPr>
              <w:ind w:left="20"/>
              <w:spacing w:after="0"/>
              <w:rPr>
                <w:sz w:val="20"/>
                <w:szCs w:val="20"/>
                <w:color w:val="auto"/>
              </w:rPr>
            </w:pPr>
            <w:r>
              <w:rPr>
                <w:rFonts w:ascii="Arial" w:cs="Arial" w:eastAsia="Arial" w:hAnsi="Arial"/>
                <w:sz w:val="13"/>
                <w:szCs w:val="13"/>
                <w:color w:val="auto"/>
                <w:w w:val="98"/>
              </w:rPr>
              <w:t>Cash, 3 Month Libor (1.50%) + 8.00%; Libor Floor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1.50%, Due 6/25</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6/10/2020</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2,955,000</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2,922,277</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2,955,000</w:t>
            </w: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7.0%</w:t>
            </w:r>
          </w:p>
        </w:tc>
        <w:tc>
          <w:tcPr>
            <w:tcW w:w="2860" w:type="dxa"/>
            <w:vAlign w:val="bottom"/>
          </w:tcPr>
          <w:p>
            <w:pPr>
              <w:ind w:left="20"/>
              <w:spacing w:after="0"/>
              <w:rPr>
                <w:sz w:val="20"/>
                <w:szCs w:val="20"/>
                <w:color w:val="auto"/>
              </w:rPr>
            </w:pPr>
            <w:r>
              <w:rPr>
                <w:rFonts w:ascii="Arial" w:cs="Arial" w:eastAsia="Arial" w:hAnsi="Arial"/>
                <w:sz w:val="13"/>
                <w:szCs w:val="13"/>
                <w:color w:val="auto"/>
                <w:w w:val="99"/>
              </w:rPr>
              <w:t>Cash, 2.0% PIK, 3 Month Libor (1.25%) + 5.75%;</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Libor Floor 1.25%, Due 9/23</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5,946,880</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5,080,315</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5,569,253</w:t>
            </w: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7.0%</w:t>
            </w:r>
          </w:p>
        </w:tc>
        <w:tc>
          <w:tcPr>
            <w:tcW w:w="2860" w:type="dxa"/>
            <w:vAlign w:val="bottom"/>
          </w:tcPr>
          <w:p>
            <w:pPr>
              <w:ind w:left="20"/>
              <w:spacing w:after="0"/>
              <w:rPr>
                <w:sz w:val="20"/>
                <w:szCs w:val="20"/>
                <w:color w:val="auto"/>
              </w:rPr>
            </w:pPr>
            <w:r>
              <w:rPr>
                <w:rFonts w:ascii="Arial" w:cs="Arial" w:eastAsia="Arial" w:hAnsi="Arial"/>
                <w:sz w:val="13"/>
                <w:szCs w:val="13"/>
                <w:color w:val="auto"/>
                <w:w w:val="99"/>
              </w:rPr>
              <w:t>Cash, 2.0% PIK, 3 Month Libor (1.25%) + 5.75%;</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Libor Floor 1.25%, Due 9/23</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398,211</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340,137</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372,924</w:t>
            </w: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Initial Term Loan</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9.0%</w:t>
            </w:r>
          </w:p>
        </w:tc>
        <w:tc>
          <w:tcPr>
            <w:tcW w:w="2860" w:type="dxa"/>
            <w:vAlign w:val="bottom"/>
          </w:tcPr>
          <w:p>
            <w:pPr>
              <w:ind w:left="20"/>
              <w:spacing w:after="0"/>
              <w:rPr>
                <w:sz w:val="20"/>
                <w:szCs w:val="20"/>
                <w:color w:val="auto"/>
              </w:rPr>
            </w:pPr>
            <w:r>
              <w:rPr>
                <w:rFonts w:ascii="Arial" w:cs="Arial" w:eastAsia="Arial" w:hAnsi="Arial"/>
                <w:sz w:val="13"/>
                <w:szCs w:val="13"/>
                <w:color w:val="auto"/>
                <w:w w:val="98"/>
              </w:rPr>
              <w:t>Cash, 3 Month Libor (1.00%) + 8.00%; Libor Floor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1.00%, Due 3/26</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3/24/2021</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7,000,000</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6,843,305</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6,851,600</w:t>
            </w: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7.0%</w:t>
            </w:r>
          </w:p>
        </w:tc>
        <w:tc>
          <w:tcPr>
            <w:tcW w:w="2860" w:type="dxa"/>
            <w:vAlign w:val="bottom"/>
          </w:tcPr>
          <w:p>
            <w:pPr>
              <w:ind w:left="20"/>
              <w:spacing w:after="0"/>
              <w:rPr>
                <w:sz w:val="20"/>
                <w:szCs w:val="20"/>
                <w:color w:val="auto"/>
              </w:rPr>
            </w:pPr>
            <w:r>
              <w:rPr>
                <w:rFonts w:ascii="Arial" w:cs="Arial" w:eastAsia="Arial" w:hAnsi="Arial"/>
                <w:sz w:val="13"/>
                <w:szCs w:val="13"/>
                <w:color w:val="auto"/>
                <w:w w:val="98"/>
              </w:rPr>
              <w:t>Cash, 3 Month Libor (1.00%) + 6.00%; Libor Floor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1.00%, Due 5/24</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6,792,219</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5,975,549</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6,773,201</w:t>
            </w: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Revolver</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0.8%</w:t>
            </w:r>
          </w:p>
        </w:tc>
        <w:tc>
          <w:tcPr>
            <w:tcW w:w="2860" w:type="dxa"/>
            <w:vAlign w:val="bottom"/>
          </w:tcPr>
          <w:p>
            <w:pPr>
              <w:ind w:left="20"/>
              <w:spacing w:after="0"/>
              <w:rPr>
                <w:sz w:val="20"/>
                <w:szCs w:val="20"/>
                <w:color w:val="auto"/>
              </w:rPr>
            </w:pPr>
            <w:r>
              <w:rPr>
                <w:rFonts w:ascii="Arial" w:cs="Arial" w:eastAsia="Arial" w:hAnsi="Arial"/>
                <w:sz w:val="13"/>
                <w:szCs w:val="13"/>
                <w:color w:val="auto"/>
              </w:rPr>
              <w:t>Cash, Due 11/21</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6/9/2021</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 A</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w w:val="93"/>
              </w:rPr>
              <w:t>10.1% Cash, 1 Month Libor (0.09%) + 10.00%, Due 11/22</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6/9/2021</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3,425,000</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3,181,122</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3,342,800</w:t>
            </w: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 B</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12.0% Cash, 2.0% PIK, Due 11/22</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6/9/2021</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3,540,127</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3,201,816</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3,357,810</w:t>
            </w: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Last Out Term Loan</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w w:val="93"/>
              </w:rPr>
              <w:t>13.5% Cash, 3 Month Libor (2.00%) + 11.50%; Libor Floor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2.00%, Due 8/24</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6/9/2021</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5,460,000</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4,873,332</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5,174,988</w:t>
            </w: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5.0%</w:t>
            </w:r>
          </w:p>
        </w:tc>
        <w:tc>
          <w:tcPr>
            <w:tcW w:w="2860" w:type="dxa"/>
            <w:vAlign w:val="bottom"/>
          </w:tcPr>
          <w:p>
            <w:pPr>
              <w:ind w:left="20"/>
              <w:spacing w:after="0"/>
              <w:rPr>
                <w:sz w:val="20"/>
                <w:szCs w:val="20"/>
                <w:color w:val="auto"/>
              </w:rPr>
            </w:pPr>
            <w:r>
              <w:rPr>
                <w:rFonts w:ascii="Arial" w:cs="Arial" w:eastAsia="Arial" w:hAnsi="Arial"/>
                <w:sz w:val="13"/>
                <w:szCs w:val="13"/>
                <w:color w:val="auto"/>
                <w:w w:val="98"/>
              </w:rPr>
              <w:t>Cash, 3 Month Libor (0.75%) + 4.25%; Libor Floor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0.75%, Due 3/28</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3/19/2021</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2,440,763</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2,429,283</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2,440,372</w:t>
            </w: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Delayed Draw Term Loan</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0.5%</w:t>
            </w:r>
          </w:p>
        </w:tc>
        <w:tc>
          <w:tcPr>
            <w:tcW w:w="2860" w:type="dxa"/>
            <w:vAlign w:val="bottom"/>
          </w:tcPr>
          <w:p>
            <w:pPr>
              <w:ind w:left="20"/>
              <w:spacing w:after="0"/>
              <w:rPr>
                <w:sz w:val="20"/>
                <w:szCs w:val="20"/>
                <w:color w:val="auto"/>
              </w:rPr>
            </w:pPr>
            <w:r>
              <w:rPr>
                <w:rFonts w:ascii="Arial" w:cs="Arial" w:eastAsia="Arial" w:hAnsi="Arial"/>
                <w:sz w:val="13"/>
                <w:szCs w:val="13"/>
                <w:color w:val="auto"/>
              </w:rPr>
              <w:t>Cash, Due 12/25</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6/3/2021</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(36,236 )</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(42,982 )</w:t>
            </w: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Delayed Draw Term Loan</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0.5%</w:t>
            </w:r>
          </w:p>
        </w:tc>
        <w:tc>
          <w:tcPr>
            <w:tcW w:w="2860" w:type="dxa"/>
            <w:vAlign w:val="bottom"/>
          </w:tcPr>
          <w:p>
            <w:pPr>
              <w:ind w:left="20"/>
              <w:spacing w:after="0"/>
              <w:rPr>
                <w:sz w:val="20"/>
                <w:szCs w:val="20"/>
                <w:color w:val="auto"/>
              </w:rPr>
            </w:pPr>
            <w:r>
              <w:rPr>
                <w:rFonts w:ascii="Arial" w:cs="Arial" w:eastAsia="Arial" w:hAnsi="Arial"/>
                <w:sz w:val="13"/>
                <w:szCs w:val="13"/>
                <w:color w:val="auto"/>
              </w:rPr>
              <w:t>Cash, Due 12/25</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8/13/2021</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(19,380 )</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(44,000 )</w:t>
            </w: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Delayed Draw Term Loan</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6.8%</w:t>
            </w:r>
          </w:p>
        </w:tc>
        <w:tc>
          <w:tcPr>
            <w:tcW w:w="2860" w:type="dxa"/>
            <w:vAlign w:val="bottom"/>
          </w:tcPr>
          <w:p>
            <w:pPr>
              <w:ind w:left="20"/>
              <w:spacing w:after="0"/>
              <w:rPr>
                <w:sz w:val="20"/>
                <w:szCs w:val="20"/>
                <w:color w:val="auto"/>
              </w:rPr>
            </w:pPr>
            <w:r>
              <w:rPr>
                <w:rFonts w:ascii="Arial" w:cs="Arial" w:eastAsia="Arial" w:hAnsi="Arial"/>
                <w:sz w:val="13"/>
                <w:szCs w:val="13"/>
                <w:color w:val="auto"/>
                <w:w w:val="98"/>
              </w:rPr>
              <w:t>Cash, 3 Month Libor (1.00%) + 5.75%; Libor Floor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1.00%, Due 12/25</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7/29/2021</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2,185,143</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2,174,370</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2,173,125</w:t>
            </w: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Revolver</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6.8%</w:t>
            </w:r>
          </w:p>
        </w:tc>
        <w:tc>
          <w:tcPr>
            <w:tcW w:w="2860" w:type="dxa"/>
            <w:vAlign w:val="bottom"/>
          </w:tcPr>
          <w:p>
            <w:pPr>
              <w:ind w:left="20"/>
              <w:spacing w:after="0"/>
              <w:rPr>
                <w:sz w:val="20"/>
                <w:szCs w:val="20"/>
                <w:color w:val="auto"/>
              </w:rPr>
            </w:pPr>
            <w:r>
              <w:rPr>
                <w:rFonts w:ascii="Arial" w:cs="Arial" w:eastAsia="Arial" w:hAnsi="Arial"/>
                <w:sz w:val="13"/>
                <w:szCs w:val="13"/>
                <w:color w:val="auto"/>
                <w:w w:val="98"/>
              </w:rPr>
              <w:t>Cash, 3 Month Libor (1.00%) + 5.75%; Libor Floor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1.00%, Due 12/25</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8/13/2021</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375,000</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372,577</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372,250</w:t>
            </w: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Senior Secured Loan — Initial Term Loan</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6.5%</w:t>
            </w:r>
          </w:p>
        </w:tc>
        <w:tc>
          <w:tcPr>
            <w:tcW w:w="2860" w:type="dxa"/>
            <w:vAlign w:val="bottom"/>
          </w:tcPr>
          <w:p>
            <w:pPr>
              <w:ind w:left="20"/>
              <w:spacing w:after="0"/>
              <w:rPr>
                <w:sz w:val="20"/>
                <w:szCs w:val="20"/>
                <w:color w:val="auto"/>
              </w:rPr>
            </w:pPr>
            <w:r>
              <w:rPr>
                <w:rFonts w:ascii="Arial" w:cs="Arial" w:eastAsia="Arial" w:hAnsi="Arial"/>
                <w:sz w:val="13"/>
                <w:szCs w:val="13"/>
                <w:color w:val="auto"/>
                <w:w w:val="98"/>
              </w:rPr>
              <w:t>Cash, 3 Month Libor (1.00%) + 5.50%; Libor Floor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1.00%, Due 5/25</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6/27/2019</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4,887,500</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4,834,773</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4,846,934</w:t>
            </w:r>
          </w:p>
        </w:tc>
      </w:tr>
      <w:tr>
        <w:trPr>
          <w:trHeight w:val="378"/>
        </w:trPr>
        <w:tc>
          <w:tcPr>
            <w:tcW w:w="3160" w:type="dxa"/>
            <w:vAlign w:val="bottom"/>
            <w:gridSpan w:val="2"/>
          </w:tcPr>
          <w:p>
            <w:pPr>
              <w:ind w:left="20"/>
              <w:spacing w:after="0"/>
              <w:rPr>
                <w:sz w:val="20"/>
                <w:szCs w:val="20"/>
                <w:color w:val="auto"/>
              </w:rPr>
            </w:pPr>
            <w:r>
              <w:rPr>
                <w:rFonts w:ascii="Arial" w:cs="Arial" w:eastAsia="Arial" w:hAnsi="Arial"/>
                <w:sz w:val="13"/>
                <w:szCs w:val="13"/>
                <w:color w:val="auto"/>
                <w:w w:val="89"/>
              </w:rPr>
              <w:t>Senior Unsecured Bond — 10.00% - 02/2022 - TankConvert</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10.0% PIK, Due 2/22</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2/15/2019</w:t>
            </w:r>
          </w:p>
        </w:tc>
        <w:tc>
          <w:tcPr>
            <w:tcW w:w="1040" w:type="dxa"/>
            <w:vAlign w:val="bottom"/>
            <w:gridSpan w:val="2"/>
          </w:tcPr>
          <w:p>
            <w:pPr>
              <w:jc w:val="right"/>
              <w:ind w:right="17"/>
              <w:spacing w:after="0"/>
              <w:rPr>
                <w:sz w:val="20"/>
                <w:szCs w:val="20"/>
                <w:color w:val="auto"/>
              </w:rPr>
            </w:pPr>
            <w:r>
              <w:rPr>
                <w:rFonts w:ascii="Arial" w:cs="Arial" w:eastAsia="Arial" w:hAnsi="Arial"/>
                <w:sz w:val="13"/>
                <w:szCs w:val="13"/>
                <w:color w:val="auto"/>
              </w:rPr>
              <w:t>511,269</w:t>
            </w:r>
          </w:p>
        </w:tc>
        <w:tc>
          <w:tcPr>
            <w:tcW w:w="1360" w:type="dxa"/>
            <w:vAlign w:val="bottom"/>
            <w:gridSpan w:val="2"/>
          </w:tcPr>
          <w:p>
            <w:pPr>
              <w:jc w:val="right"/>
              <w:ind w:right="17"/>
              <w:spacing w:after="0"/>
              <w:rPr>
                <w:sz w:val="20"/>
                <w:szCs w:val="20"/>
                <w:color w:val="auto"/>
              </w:rPr>
            </w:pPr>
            <w:r>
              <w:rPr>
                <w:rFonts w:ascii="Arial" w:cs="Arial" w:eastAsia="Arial" w:hAnsi="Arial"/>
                <w:sz w:val="13"/>
                <w:szCs w:val="13"/>
                <w:color w:val="auto"/>
              </w:rPr>
              <w:t>416,170</w:t>
            </w:r>
          </w:p>
        </w:tc>
        <w:tc>
          <w:tcPr>
            <w:tcW w:w="1240" w:type="dxa"/>
            <w:vAlign w:val="bottom"/>
            <w:gridSpan w:val="2"/>
          </w:tcPr>
          <w:p>
            <w:pPr>
              <w:jc w:val="right"/>
              <w:ind w:right="17"/>
              <w:spacing w:after="0"/>
              <w:rPr>
                <w:sz w:val="20"/>
                <w:szCs w:val="20"/>
                <w:color w:val="auto"/>
              </w:rPr>
            </w:pPr>
            <w:r>
              <w:rPr>
                <w:rFonts w:ascii="Arial" w:cs="Arial" w:eastAsia="Arial" w:hAnsi="Arial"/>
                <w:sz w:val="13"/>
                <w:szCs w:val="13"/>
                <w:color w:val="auto"/>
              </w:rPr>
              <w:t>43,202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-6384290</wp:posOffset>
            </wp:positionV>
            <wp:extent cx="7132320" cy="3257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-5938520</wp:posOffset>
            </wp:positionV>
            <wp:extent cx="7132320" cy="3257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-5492750</wp:posOffset>
            </wp:positionV>
            <wp:extent cx="7132320" cy="3257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-5046980</wp:posOffset>
            </wp:positionV>
            <wp:extent cx="7132320" cy="3257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-4601210</wp:posOffset>
            </wp:positionV>
            <wp:extent cx="7132320" cy="3257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-4155440</wp:posOffset>
            </wp:positionV>
            <wp:extent cx="7132320" cy="2228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-3812540</wp:posOffset>
            </wp:positionV>
            <wp:extent cx="7132320" cy="2228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-3469640</wp:posOffset>
            </wp:positionV>
            <wp:extent cx="7132320" cy="2228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-3126740</wp:posOffset>
            </wp:positionV>
            <wp:extent cx="7132320" cy="3257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-2680970</wp:posOffset>
            </wp:positionV>
            <wp:extent cx="7132320" cy="3257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-2235200</wp:posOffset>
            </wp:positionV>
            <wp:extent cx="7132320" cy="2228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-1892300</wp:posOffset>
            </wp:positionV>
            <wp:extent cx="7132320" cy="2228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-1549400</wp:posOffset>
            </wp:positionV>
            <wp:extent cx="7132320" cy="3257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-1103630</wp:posOffset>
            </wp:positionV>
            <wp:extent cx="7132320" cy="3257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-657860</wp:posOffset>
            </wp:positionV>
            <wp:extent cx="7132320" cy="3257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-212090</wp:posOffset>
            </wp:positionV>
            <wp:extent cx="7132320" cy="2228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2340" w:space="300"/>
            <w:col w:w="520" w:space="360"/>
            <w:col w:w="7700"/>
          </w:cols>
          <w:pgMar w:left="340" w:top="378" w:right="339" w:bottom="1440" w:gutter="0" w:footer="0" w:header="0"/>
        </w:sectPr>
      </w:pPr>
    </w:p>
    <w:bookmarkStart w:id="15" w:name="page16"/>
    <w:bookmarkEnd w:id="15"/>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Business</w:t>
      </w:r>
    </w:p>
    <w:p>
      <w:pPr>
        <w:ind w:left="2520"/>
        <w:spacing w:after="0" w:line="193" w:lineRule="auto"/>
        <w:rPr>
          <w:sz w:val="20"/>
          <w:szCs w:val="20"/>
          <w:color w:val="auto"/>
        </w:rPr>
      </w:pPr>
      <w:r>
        <w:rPr>
          <w:rFonts w:ascii="Arial" w:cs="Arial" w:eastAsia="Arial" w:hAnsi="Arial"/>
          <w:sz w:val="7"/>
          <w:szCs w:val="7"/>
          <w:color w:val="auto"/>
        </w:rPr>
        <w:t>(8)(13)(14)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160274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Tex-Tech Industries, Inc.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Textiles and Leather</w:t>
      </w:r>
    </w:p>
    <w:p>
      <w:pPr>
        <w:spacing w:after="0" w:line="309" w:lineRule="exact"/>
        <w:rPr>
          <w:sz w:val="20"/>
          <w:szCs w:val="20"/>
          <w:color w:val="auto"/>
        </w:rPr>
      </w:pPr>
    </w:p>
    <w:p>
      <w:pPr>
        <w:ind w:left="2520"/>
        <w:spacing w:after="0"/>
        <w:rPr>
          <w:sz w:val="20"/>
          <w:szCs w:val="20"/>
          <w:color w:val="auto"/>
        </w:rPr>
      </w:pPr>
      <w:r>
        <w:rPr>
          <w:rFonts w:ascii="Arial" w:cs="Arial" w:eastAsia="Arial" w:hAnsi="Arial"/>
          <w:sz w:val="8"/>
          <w:szCs w:val="8"/>
          <w:color w:val="auto"/>
        </w:rPr>
        <w:t>(8)(14)</w:t>
      </w:r>
    </w:p>
    <w:p>
      <w:pPr>
        <w:ind w:left="160" w:right="840" w:hanging="157"/>
        <w:spacing w:after="0" w:line="411" w:lineRule="auto"/>
        <w:rPr>
          <w:sz w:val="20"/>
          <w:szCs w:val="20"/>
          <w:color w:val="auto"/>
        </w:rPr>
      </w:pPr>
      <w:r>
        <w:rPr>
          <w:rFonts w:ascii="Arial" w:cs="Arial" w:eastAsia="Arial" w:hAnsi="Arial"/>
          <w:sz w:val="10"/>
          <w:szCs w:val="10"/>
          <w:color w:val="auto"/>
        </w:rPr>
        <w:t>The Edelman Financial Center, LLC Banking, Finance, Insurance &amp; Real Estate</w:t>
      </w:r>
    </w:p>
    <w:p>
      <w:pPr>
        <w:spacing w:after="0" w:line="149" w:lineRule="exact"/>
        <w:rPr>
          <w:sz w:val="20"/>
          <w:szCs w:val="20"/>
          <w:color w:val="auto"/>
        </w:rPr>
      </w:pPr>
    </w:p>
    <w:p>
      <w:pPr>
        <w:ind w:left="2520"/>
        <w:spacing w:after="0"/>
        <w:rPr>
          <w:sz w:val="20"/>
          <w:szCs w:val="20"/>
          <w:color w:val="auto"/>
        </w:rPr>
      </w:pPr>
      <w:r>
        <w:rPr>
          <w:rFonts w:ascii="Arial" w:cs="Arial" w:eastAsia="Arial" w:hAnsi="Arial"/>
          <w:sz w:val="8"/>
          <w:szCs w:val="8"/>
          <w:color w:val="auto"/>
        </w:rPr>
        <w:t>(8)(14)</w:t>
      </w:r>
    </w:p>
    <w:p>
      <w:pPr>
        <w:spacing w:after="0"/>
        <w:rPr>
          <w:sz w:val="20"/>
          <w:szCs w:val="20"/>
          <w:color w:val="auto"/>
        </w:rPr>
      </w:pPr>
      <w:r>
        <w:rPr>
          <w:rFonts w:ascii="Arial" w:cs="Arial" w:eastAsia="Arial" w:hAnsi="Arial"/>
          <w:sz w:val="13"/>
          <w:szCs w:val="13"/>
          <w:color w:val="auto"/>
        </w:rPr>
        <w:t>Theragenics Corp</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8"/>
          <w:szCs w:val="8"/>
          <w:color w:val="auto"/>
        </w:rPr>
        <w:t>(8)(13)(14)(21)(23)</w:t>
      </w:r>
    </w:p>
    <w:p>
      <w:pPr>
        <w:spacing w:after="0"/>
        <w:rPr>
          <w:sz w:val="20"/>
          <w:szCs w:val="20"/>
          <w:color w:val="auto"/>
        </w:rPr>
      </w:pPr>
      <w:r>
        <w:rPr>
          <w:rFonts w:ascii="Arial" w:cs="Arial" w:eastAsia="Arial" w:hAnsi="Arial"/>
          <w:sz w:val="13"/>
          <w:szCs w:val="13"/>
          <w:color w:val="auto"/>
        </w:rPr>
        <w:t>TLE Holdings, LLC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Education and Childcare</w:t>
      </w:r>
    </w:p>
    <w:p>
      <w:pPr>
        <w:spacing w:after="0" w:line="309" w:lineRule="exact"/>
        <w:rPr>
          <w:sz w:val="20"/>
          <w:szCs w:val="20"/>
          <w:color w:val="auto"/>
        </w:rPr>
      </w:pPr>
    </w:p>
    <w:p>
      <w:pPr>
        <w:ind w:left="2520"/>
        <w:spacing w:after="0"/>
        <w:rPr>
          <w:sz w:val="20"/>
          <w:szCs w:val="20"/>
          <w:color w:val="auto"/>
        </w:rPr>
      </w:pPr>
      <w:r>
        <w:rPr>
          <w:rFonts w:ascii="Arial" w:cs="Arial" w:eastAsia="Arial" w:hAnsi="Arial"/>
          <w:sz w:val="8"/>
          <w:szCs w:val="8"/>
          <w:color w:val="auto"/>
        </w:rPr>
        <w:t>(8)(13)(14)(21)</w:t>
      </w:r>
    </w:p>
    <w:p>
      <w:pPr>
        <w:spacing w:after="0"/>
        <w:rPr>
          <w:sz w:val="20"/>
          <w:szCs w:val="20"/>
          <w:color w:val="auto"/>
        </w:rPr>
      </w:pPr>
      <w:r>
        <w:rPr>
          <w:rFonts w:ascii="Arial" w:cs="Arial" w:eastAsia="Arial" w:hAnsi="Arial"/>
          <w:sz w:val="13"/>
          <w:szCs w:val="13"/>
          <w:color w:val="auto"/>
        </w:rPr>
        <w:t>TLE Holdings, LLC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Education and Childcare</w:t>
      </w:r>
    </w:p>
    <w:p>
      <w:pPr>
        <w:spacing w:after="0" w:line="309" w:lineRule="exact"/>
        <w:rPr>
          <w:sz w:val="20"/>
          <w:szCs w:val="20"/>
          <w:color w:val="auto"/>
        </w:rPr>
      </w:pPr>
    </w:p>
    <w:p>
      <w:pPr>
        <w:ind w:left="2520"/>
        <w:spacing w:after="0"/>
        <w:rPr>
          <w:sz w:val="20"/>
          <w:szCs w:val="20"/>
          <w:color w:val="auto"/>
        </w:rPr>
      </w:pPr>
      <w:r>
        <w:rPr>
          <w:rFonts w:ascii="Arial" w:cs="Arial" w:eastAsia="Arial" w:hAnsi="Arial"/>
          <w:sz w:val="8"/>
          <w:szCs w:val="8"/>
          <w:color w:val="auto"/>
        </w:rPr>
        <w:t>(3)(13)(14)</w:t>
      </w:r>
    </w:p>
    <w:p>
      <w:pPr>
        <w:spacing w:after="0"/>
        <w:rPr>
          <w:sz w:val="20"/>
          <w:szCs w:val="20"/>
          <w:color w:val="auto"/>
        </w:rPr>
      </w:pPr>
      <w:r>
        <w:rPr>
          <w:rFonts w:ascii="Arial" w:cs="Arial" w:eastAsia="Arial" w:hAnsi="Arial"/>
          <w:sz w:val="13"/>
          <w:szCs w:val="13"/>
          <w:color w:val="auto"/>
        </w:rPr>
        <w:t>Travelport Finance (Luxembourg) S.A R.L.</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147" w:lineRule="exact"/>
        <w:rPr>
          <w:sz w:val="20"/>
          <w:szCs w:val="20"/>
          <w:color w:val="auto"/>
        </w:rPr>
      </w:pPr>
    </w:p>
    <w:p>
      <w:pPr>
        <w:ind w:left="2520"/>
        <w:spacing w:after="0"/>
        <w:rPr>
          <w:sz w:val="20"/>
          <w:szCs w:val="20"/>
          <w:color w:val="auto"/>
        </w:rPr>
      </w:pPr>
      <w:r>
        <w:rPr>
          <w:rFonts w:ascii="Arial" w:cs="Arial" w:eastAsia="Arial" w:hAnsi="Arial"/>
          <w:sz w:val="8"/>
          <w:szCs w:val="8"/>
          <w:color w:val="auto"/>
        </w:rPr>
        <w:t>(8)(13)(14)(20)</w:t>
      </w:r>
    </w:p>
    <w:p>
      <w:pPr>
        <w:jc w:val="right"/>
        <w:ind w:right="1660"/>
        <w:spacing w:after="0"/>
        <w:rPr>
          <w:sz w:val="20"/>
          <w:szCs w:val="20"/>
          <w:color w:val="auto"/>
        </w:rPr>
      </w:pPr>
      <w:r>
        <w:rPr>
          <w:rFonts w:ascii="Arial" w:cs="Arial" w:eastAsia="Arial" w:hAnsi="Arial"/>
          <w:sz w:val="10"/>
          <w:szCs w:val="10"/>
          <w:color w:val="auto"/>
        </w:rPr>
        <w:t>Triangle Home Fashions LLC</w:t>
      </w:r>
    </w:p>
    <w:p>
      <w:pPr>
        <w:spacing w:after="0" w:line="37" w:lineRule="exact"/>
        <w:rPr>
          <w:sz w:val="20"/>
          <w:szCs w:val="20"/>
          <w:color w:val="auto"/>
        </w:rPr>
      </w:pPr>
    </w:p>
    <w:p>
      <w:pPr>
        <w:jc w:val="right"/>
        <w:ind w:right="1700"/>
        <w:spacing w:after="0"/>
        <w:rPr>
          <w:sz w:val="20"/>
          <w:szCs w:val="20"/>
          <w:color w:val="auto"/>
        </w:rPr>
      </w:pPr>
      <w:r>
        <w:rPr>
          <w:rFonts w:ascii="Arial" w:cs="Arial" w:eastAsia="Arial" w:hAnsi="Arial"/>
          <w:sz w:val="12"/>
          <w:szCs w:val="12"/>
          <w:color w:val="auto"/>
        </w:rPr>
        <w:t>Consumer goods: Durable</w:t>
      </w:r>
    </w:p>
    <w:p>
      <w:pPr>
        <w:spacing w:after="0" w:line="320" w:lineRule="exact"/>
        <w:rPr>
          <w:sz w:val="20"/>
          <w:szCs w:val="20"/>
          <w:color w:val="auto"/>
        </w:rPr>
      </w:pPr>
    </w:p>
    <w:p>
      <w:pPr>
        <w:ind w:left="2520"/>
        <w:spacing w:after="0"/>
        <w:rPr>
          <w:sz w:val="20"/>
          <w:szCs w:val="20"/>
          <w:color w:val="auto"/>
        </w:rPr>
      </w:pPr>
      <w:r>
        <w:rPr>
          <w:rFonts w:ascii="Arial" w:cs="Arial" w:eastAsia="Arial" w:hAnsi="Arial"/>
          <w:sz w:val="8"/>
          <w:szCs w:val="8"/>
          <w:color w:val="auto"/>
        </w:rPr>
        <w:t>(8)(13)(14)</w:t>
      </w:r>
    </w:p>
    <w:p>
      <w:pPr>
        <w:spacing w:after="0"/>
        <w:rPr>
          <w:sz w:val="20"/>
          <w:szCs w:val="20"/>
          <w:color w:val="auto"/>
        </w:rPr>
      </w:pPr>
      <w:r>
        <w:rPr>
          <w:rFonts w:ascii="Arial" w:cs="Arial" w:eastAsia="Arial" w:hAnsi="Arial"/>
          <w:sz w:val="13"/>
          <w:szCs w:val="13"/>
          <w:color w:val="auto"/>
        </w:rPr>
        <w:t>Trident Technologies, LLC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309" w:lineRule="exact"/>
        <w:rPr>
          <w:sz w:val="20"/>
          <w:szCs w:val="20"/>
          <w:color w:val="auto"/>
        </w:rPr>
      </w:pPr>
    </w:p>
    <w:p>
      <w:pPr>
        <w:ind w:left="2520"/>
        <w:spacing w:after="0"/>
        <w:rPr>
          <w:sz w:val="20"/>
          <w:szCs w:val="20"/>
          <w:color w:val="auto"/>
        </w:rPr>
      </w:pPr>
      <w:r>
        <w:rPr>
          <w:rFonts w:ascii="Arial" w:cs="Arial" w:eastAsia="Arial" w:hAnsi="Arial"/>
          <w:sz w:val="8"/>
          <w:szCs w:val="8"/>
          <w:color w:val="auto"/>
        </w:rPr>
        <w:t>(8)(13)(14)(21)</w:t>
      </w:r>
    </w:p>
    <w:p>
      <w:pPr>
        <w:spacing w:after="0"/>
        <w:rPr>
          <w:sz w:val="20"/>
          <w:szCs w:val="20"/>
          <w:color w:val="auto"/>
        </w:rPr>
      </w:pPr>
      <w:r>
        <w:rPr>
          <w:rFonts w:ascii="Arial" w:cs="Arial" w:eastAsia="Arial" w:hAnsi="Arial"/>
          <w:sz w:val="13"/>
          <w:szCs w:val="13"/>
          <w:color w:val="auto"/>
        </w:rPr>
        <w:t>Trident Technologies, LLC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309" w:lineRule="exact"/>
        <w:rPr>
          <w:sz w:val="20"/>
          <w:szCs w:val="20"/>
          <w:color w:val="auto"/>
        </w:rPr>
      </w:pPr>
    </w:p>
    <w:p>
      <w:pPr>
        <w:ind w:left="2520"/>
        <w:spacing w:after="0"/>
        <w:rPr>
          <w:sz w:val="20"/>
          <w:szCs w:val="20"/>
          <w:color w:val="auto"/>
        </w:rPr>
      </w:pPr>
      <w:r>
        <w:rPr>
          <w:rFonts w:ascii="Arial" w:cs="Arial" w:eastAsia="Arial" w:hAnsi="Arial"/>
          <w:sz w:val="8"/>
          <w:szCs w:val="8"/>
          <w:color w:val="auto"/>
        </w:rPr>
        <w:t>(8)(13)(14)</w:t>
      </w:r>
    </w:p>
    <w:p>
      <w:pPr>
        <w:spacing w:after="0"/>
        <w:rPr>
          <w:sz w:val="20"/>
          <w:szCs w:val="20"/>
          <w:color w:val="auto"/>
        </w:rPr>
      </w:pPr>
      <w:r>
        <w:rPr>
          <w:rFonts w:ascii="Arial" w:cs="Arial" w:eastAsia="Arial" w:hAnsi="Arial"/>
          <w:sz w:val="13"/>
          <w:szCs w:val="13"/>
          <w:color w:val="auto"/>
        </w:rPr>
        <w:t>TronAir Parent Inc.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Aerospace and Defense</w:t>
      </w:r>
    </w:p>
    <w:p>
      <w:pPr>
        <w:spacing w:after="0" w:line="309" w:lineRule="exact"/>
        <w:rPr>
          <w:sz w:val="20"/>
          <w:szCs w:val="20"/>
          <w:color w:val="auto"/>
        </w:rPr>
      </w:pPr>
    </w:p>
    <w:p>
      <w:pPr>
        <w:ind w:left="2520"/>
        <w:spacing w:after="0"/>
        <w:rPr>
          <w:sz w:val="20"/>
          <w:szCs w:val="20"/>
          <w:color w:val="auto"/>
        </w:rPr>
      </w:pPr>
      <w:r>
        <w:rPr>
          <w:rFonts w:ascii="Arial" w:cs="Arial" w:eastAsia="Arial" w:hAnsi="Arial"/>
          <w:sz w:val="8"/>
          <w:szCs w:val="8"/>
          <w:color w:val="auto"/>
        </w:rPr>
        <w:t>(5)(8)(13)</w:t>
      </w:r>
    </w:p>
    <w:p>
      <w:pPr>
        <w:spacing w:after="0"/>
        <w:rPr>
          <w:sz w:val="20"/>
          <w:szCs w:val="20"/>
          <w:color w:val="auto"/>
        </w:rPr>
      </w:pPr>
      <w:r>
        <w:rPr>
          <w:rFonts w:ascii="Arial" w:cs="Arial" w:eastAsia="Arial" w:hAnsi="Arial"/>
          <w:sz w:val="13"/>
          <w:szCs w:val="13"/>
          <w:color w:val="auto"/>
        </w:rPr>
        <w:t>TRSO II, Inc.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Energy: Oil &amp; Gas</w:t>
      </w:r>
    </w:p>
    <w:p>
      <w:pPr>
        <w:spacing w:after="0" w:line="147" w:lineRule="exact"/>
        <w:rPr>
          <w:sz w:val="20"/>
          <w:szCs w:val="20"/>
          <w:color w:val="auto"/>
        </w:rPr>
      </w:pPr>
    </w:p>
    <w:p>
      <w:pPr>
        <w:ind w:left="2520"/>
        <w:spacing w:after="0"/>
        <w:rPr>
          <w:sz w:val="20"/>
          <w:szCs w:val="20"/>
          <w:color w:val="auto"/>
        </w:rPr>
      </w:pPr>
      <w:r>
        <w:rPr>
          <w:rFonts w:ascii="Arial" w:cs="Arial" w:eastAsia="Arial" w:hAnsi="Arial"/>
          <w:sz w:val="8"/>
          <w:szCs w:val="8"/>
          <w:color w:val="auto"/>
        </w:rPr>
        <w:t>(8)(14)</w:t>
      </w:r>
    </w:p>
    <w:p>
      <w:pPr>
        <w:spacing w:after="0"/>
        <w:rPr>
          <w:sz w:val="20"/>
          <w:szCs w:val="20"/>
          <w:color w:val="auto"/>
        </w:rPr>
      </w:pPr>
      <w:r>
        <w:rPr>
          <w:rFonts w:ascii="Arial" w:cs="Arial" w:eastAsia="Arial" w:hAnsi="Arial"/>
          <w:sz w:val="13"/>
          <w:szCs w:val="13"/>
          <w:color w:val="auto"/>
        </w:rPr>
        <w:t>Vectra Co.</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Chemicals, Plastics &amp; Rubber</w:t>
      </w:r>
    </w:p>
    <w:p>
      <w:pPr>
        <w:spacing w:after="0" w:line="147" w:lineRule="exact"/>
        <w:rPr>
          <w:sz w:val="20"/>
          <w:szCs w:val="20"/>
          <w:color w:val="auto"/>
        </w:rPr>
      </w:pPr>
    </w:p>
    <w:p>
      <w:pPr>
        <w:ind w:left="2520"/>
        <w:spacing w:after="0"/>
        <w:rPr>
          <w:sz w:val="20"/>
          <w:szCs w:val="20"/>
          <w:color w:val="auto"/>
        </w:rPr>
      </w:pPr>
      <w:r>
        <w:rPr>
          <w:rFonts w:ascii="Arial" w:cs="Arial" w:eastAsia="Arial" w:hAnsi="Arial"/>
          <w:sz w:val="8"/>
          <w:szCs w:val="8"/>
          <w:color w:val="auto"/>
        </w:rPr>
        <w:t>(8)(13)(18)</w:t>
      </w:r>
    </w:p>
    <w:p>
      <w:pPr>
        <w:jc w:val="right"/>
        <w:ind w:right="2040"/>
        <w:spacing w:after="0"/>
        <w:rPr>
          <w:sz w:val="20"/>
          <w:szCs w:val="20"/>
          <w:color w:val="auto"/>
        </w:rPr>
      </w:pPr>
      <w:r>
        <w:rPr>
          <w:rFonts w:ascii="Arial" w:cs="Arial" w:eastAsia="Arial" w:hAnsi="Arial"/>
          <w:sz w:val="12"/>
          <w:szCs w:val="12"/>
          <w:color w:val="auto"/>
        </w:rPr>
        <w:t>VTK Acquisition, Inc.</w:t>
      </w:r>
    </w:p>
    <w:p>
      <w:pPr>
        <w:spacing w:after="0" w:line="14" w:lineRule="exact"/>
        <w:rPr>
          <w:sz w:val="20"/>
          <w:szCs w:val="20"/>
          <w:color w:val="auto"/>
        </w:rPr>
      </w:pPr>
    </w:p>
    <w:p>
      <w:pPr>
        <w:jc w:val="right"/>
        <w:ind w:right="2080"/>
        <w:spacing w:after="0"/>
        <w:rPr>
          <w:sz w:val="20"/>
          <w:szCs w:val="20"/>
          <w:color w:val="auto"/>
        </w:rPr>
      </w:pPr>
      <w:r>
        <w:rPr>
          <w:rFonts w:ascii="Arial" w:cs="Arial" w:eastAsia="Arial" w:hAnsi="Arial"/>
          <w:sz w:val="13"/>
          <w:szCs w:val="13"/>
          <w:color w:val="auto"/>
        </w:rPr>
        <w:t>Capital Equipment</w:t>
      </w:r>
    </w:p>
    <w:p>
      <w:pPr>
        <w:spacing w:after="0" w:line="147" w:lineRule="exact"/>
        <w:rPr>
          <w:sz w:val="20"/>
          <w:szCs w:val="20"/>
          <w:color w:val="auto"/>
        </w:rPr>
      </w:pPr>
    </w:p>
    <w:p>
      <w:pPr>
        <w:ind w:left="2520"/>
        <w:spacing w:after="0"/>
        <w:rPr>
          <w:sz w:val="20"/>
          <w:szCs w:val="20"/>
          <w:color w:val="auto"/>
        </w:rPr>
      </w:pPr>
      <w:r>
        <w:rPr>
          <w:rFonts w:ascii="Arial" w:cs="Arial" w:eastAsia="Arial" w:hAnsi="Arial"/>
          <w:sz w:val="8"/>
          <w:szCs w:val="8"/>
          <w:color w:val="auto"/>
        </w:rPr>
        <w:t>(8)(13)(18)</w:t>
      </w:r>
    </w:p>
    <w:p>
      <w:pPr>
        <w:jc w:val="right"/>
        <w:ind w:right="2040"/>
        <w:spacing w:after="0"/>
        <w:rPr>
          <w:sz w:val="20"/>
          <w:szCs w:val="20"/>
          <w:color w:val="auto"/>
        </w:rPr>
      </w:pPr>
      <w:r>
        <w:rPr>
          <w:rFonts w:ascii="Arial" w:cs="Arial" w:eastAsia="Arial" w:hAnsi="Arial"/>
          <w:sz w:val="12"/>
          <w:szCs w:val="12"/>
          <w:color w:val="auto"/>
        </w:rPr>
        <w:t>VTK Acquisition, Inc.</w:t>
      </w:r>
    </w:p>
    <w:p>
      <w:pPr>
        <w:spacing w:after="0" w:line="14" w:lineRule="exact"/>
        <w:rPr>
          <w:sz w:val="20"/>
          <w:szCs w:val="20"/>
          <w:color w:val="auto"/>
        </w:rPr>
      </w:pPr>
    </w:p>
    <w:p>
      <w:pPr>
        <w:jc w:val="right"/>
        <w:ind w:right="2080"/>
        <w:spacing w:after="0"/>
        <w:rPr>
          <w:sz w:val="20"/>
          <w:szCs w:val="20"/>
          <w:color w:val="auto"/>
        </w:rPr>
      </w:pPr>
      <w:r>
        <w:rPr>
          <w:rFonts w:ascii="Arial" w:cs="Arial" w:eastAsia="Arial" w:hAnsi="Arial"/>
          <w:sz w:val="13"/>
          <w:szCs w:val="13"/>
          <w:color w:val="auto"/>
        </w:rPr>
        <w:t>Capital Equipment</w:t>
      </w:r>
    </w:p>
    <w:p>
      <w:pPr>
        <w:spacing w:after="0" w:line="147" w:lineRule="exact"/>
        <w:rPr>
          <w:sz w:val="20"/>
          <w:szCs w:val="20"/>
          <w:color w:val="auto"/>
        </w:rPr>
      </w:pPr>
    </w:p>
    <w:p>
      <w:pPr>
        <w:ind w:left="2520"/>
        <w:spacing w:after="0"/>
        <w:rPr>
          <w:sz w:val="20"/>
          <w:szCs w:val="20"/>
          <w:color w:val="auto"/>
        </w:rPr>
      </w:pPr>
      <w:r>
        <w:rPr>
          <w:rFonts w:ascii="Arial" w:cs="Arial" w:eastAsia="Arial" w:hAnsi="Arial"/>
          <w:sz w:val="8"/>
          <w:szCs w:val="8"/>
          <w:color w:val="auto"/>
        </w:rPr>
        <w:t>(8)(14)</w:t>
      </w:r>
    </w:p>
    <w:p>
      <w:pPr>
        <w:spacing w:after="0"/>
        <w:rPr>
          <w:sz w:val="20"/>
          <w:szCs w:val="20"/>
          <w:color w:val="auto"/>
        </w:rPr>
      </w:pPr>
      <w:r>
        <w:rPr>
          <w:rFonts w:ascii="Arial" w:cs="Arial" w:eastAsia="Arial" w:hAnsi="Arial"/>
          <w:sz w:val="13"/>
          <w:szCs w:val="13"/>
          <w:color w:val="auto"/>
        </w:rPr>
        <w:t>WireCo WorldGroup Inc.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Capital Equipment</w:t>
      </w:r>
    </w:p>
    <w:p>
      <w:pPr>
        <w:spacing w:after="0" w:line="309" w:lineRule="exact"/>
        <w:rPr>
          <w:sz w:val="20"/>
          <w:szCs w:val="20"/>
          <w:color w:val="auto"/>
        </w:rPr>
      </w:pPr>
    </w:p>
    <w:p>
      <w:pPr>
        <w:ind w:left="2520"/>
        <w:spacing w:after="0"/>
        <w:rPr>
          <w:sz w:val="20"/>
          <w:szCs w:val="20"/>
          <w:color w:val="auto"/>
        </w:rPr>
      </w:pPr>
      <w:r>
        <w:rPr>
          <w:rFonts w:ascii="Arial" w:cs="Arial" w:eastAsia="Arial" w:hAnsi="Arial"/>
          <w:sz w:val="8"/>
          <w:szCs w:val="8"/>
          <w:color w:val="auto"/>
        </w:rPr>
        <w:t>(8)(13)(14)(21)</w:t>
      </w:r>
    </w:p>
    <w:p>
      <w:pPr>
        <w:spacing w:after="0"/>
        <w:rPr>
          <w:sz w:val="20"/>
          <w:szCs w:val="20"/>
          <w:color w:val="auto"/>
        </w:rPr>
      </w:pPr>
      <w:r>
        <w:rPr>
          <w:rFonts w:ascii="Arial" w:cs="Arial" w:eastAsia="Arial" w:hAnsi="Arial"/>
          <w:sz w:val="13"/>
          <w:szCs w:val="13"/>
          <w:color w:val="auto"/>
        </w:rPr>
        <w:t>Wonder Love, Inc.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Media: Diversified &amp; Production</w:t>
      </w:r>
    </w:p>
    <w:p>
      <w:pPr>
        <w:spacing w:after="0" w:line="309" w:lineRule="exact"/>
        <w:rPr>
          <w:sz w:val="20"/>
          <w:szCs w:val="20"/>
          <w:color w:val="auto"/>
        </w:rPr>
      </w:pPr>
    </w:p>
    <w:p>
      <w:pPr>
        <w:ind w:left="2520"/>
        <w:spacing w:after="0"/>
        <w:rPr>
          <w:sz w:val="20"/>
          <w:szCs w:val="20"/>
          <w:color w:val="auto"/>
        </w:rPr>
      </w:pPr>
      <w:r>
        <w:rPr>
          <w:rFonts w:ascii="Arial" w:cs="Arial" w:eastAsia="Arial" w:hAnsi="Arial"/>
          <w:sz w:val="8"/>
          <w:szCs w:val="8"/>
          <w:color w:val="auto"/>
        </w:rPr>
        <w:t>(8)(13)(14)(18)</w:t>
      </w:r>
    </w:p>
    <w:p>
      <w:pPr>
        <w:spacing w:after="0"/>
        <w:rPr>
          <w:sz w:val="20"/>
          <w:szCs w:val="20"/>
          <w:color w:val="auto"/>
        </w:rPr>
      </w:pPr>
      <w:r>
        <w:rPr>
          <w:rFonts w:ascii="Arial" w:cs="Arial" w:eastAsia="Arial" w:hAnsi="Arial"/>
          <w:sz w:val="13"/>
          <w:szCs w:val="13"/>
          <w:color w:val="auto"/>
        </w:rPr>
        <w:t>Zest Acquisition Corp.</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Education and Childcare</w:t>
      </w:r>
    </w:p>
    <w:p>
      <w:pPr>
        <w:spacing w:after="0" w:line="200" w:lineRule="exact"/>
        <w:rPr>
          <w:sz w:val="20"/>
          <w:szCs w:val="20"/>
          <w:color w:val="auto"/>
        </w:rPr>
      </w:pPr>
    </w:p>
    <w:p>
      <w:pPr>
        <w:spacing w:after="0" w:line="214" w:lineRule="exact"/>
        <w:rPr>
          <w:sz w:val="20"/>
          <w:szCs w:val="20"/>
          <w:color w:val="auto"/>
        </w:rPr>
      </w:pPr>
    </w:p>
    <w:p>
      <w:pPr>
        <w:ind w:left="160" w:right="1000" w:hanging="157"/>
        <w:spacing w:after="0" w:line="440" w:lineRule="auto"/>
        <w:rPr>
          <w:sz w:val="20"/>
          <w:szCs w:val="20"/>
          <w:color w:val="auto"/>
        </w:rPr>
      </w:pPr>
      <w:r>
        <w:rPr>
          <w:rFonts w:ascii="Arial" w:cs="Arial" w:eastAsia="Arial" w:hAnsi="Arial"/>
          <w:sz w:val="10"/>
          <w:szCs w:val="10"/>
          <w:b w:val="1"/>
          <w:bCs w:val="1"/>
          <w:color w:val="auto"/>
        </w:rPr>
        <w:t>Total Investment in Debt Securities (168%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197"/>
              <w:spacing w:after="0"/>
              <w:rPr>
                <w:sz w:val="20"/>
                <w:szCs w:val="20"/>
                <w:color w:val="auto"/>
              </w:rPr>
            </w:pPr>
            <w:r>
              <w:rPr>
                <w:rFonts w:ascii="Arial" w:cs="Arial" w:eastAsia="Arial" w:hAnsi="Arial"/>
                <w:sz w:val="13"/>
                <w:szCs w:val="13"/>
                <w:b w:val="1"/>
                <w:bCs w:val="1"/>
                <w:color w:val="auto"/>
                <w:w w:val="94"/>
              </w:rPr>
              <w:t>Initial</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1"/>
        </w:trPr>
        <w:tc>
          <w:tcPr>
            <w:tcW w:w="300" w:type="dxa"/>
            <w:vAlign w:val="bottom"/>
          </w:tcPr>
          <w:p>
            <w:pPr>
              <w:spacing w:after="0"/>
              <w:rPr>
                <w:sz w:val="13"/>
                <w:szCs w:val="13"/>
                <w:color w:val="auto"/>
              </w:rPr>
            </w:pPr>
          </w:p>
        </w:tc>
        <w:tc>
          <w:tcPr>
            <w:tcW w:w="2720" w:type="dxa"/>
            <w:vAlign w:val="bottom"/>
          </w:tcPr>
          <w:p>
            <w:pPr>
              <w:ind w:left="920"/>
              <w:spacing w:after="0"/>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3"/>
                <w:szCs w:val="13"/>
                <w:color w:val="auto"/>
              </w:rPr>
            </w:pPr>
          </w:p>
        </w:tc>
        <w:tc>
          <w:tcPr>
            <w:tcW w:w="980" w:type="dxa"/>
            <w:vAlign w:val="bottom"/>
            <w:gridSpan w:val="3"/>
          </w:tcPr>
          <w:p>
            <w:pPr>
              <w:jc w:val="center"/>
              <w:ind w:right="177"/>
              <w:spacing w:after="0"/>
              <w:rPr>
                <w:sz w:val="20"/>
                <w:szCs w:val="20"/>
                <w:color w:val="auto"/>
              </w:rPr>
            </w:pPr>
            <w:r>
              <w:rPr>
                <w:rFonts w:ascii="Arial" w:cs="Arial" w:eastAsia="Arial" w:hAnsi="Arial"/>
                <w:sz w:val="13"/>
                <w:szCs w:val="13"/>
                <w:b w:val="1"/>
                <w:bCs w:val="1"/>
                <w:color w:val="auto"/>
                <w:w w:val="87"/>
              </w:rPr>
              <w:t>Acquisition</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297"/>
              <w:spacing w:after="0"/>
              <w:rPr>
                <w:sz w:val="20"/>
                <w:szCs w:val="20"/>
                <w:color w:val="auto"/>
              </w:rPr>
            </w:pPr>
            <w:r>
              <w:rPr>
                <w:rFonts w:ascii="Arial" w:cs="Arial" w:eastAsia="Arial" w:hAnsi="Arial"/>
                <w:sz w:val="13"/>
                <w:szCs w:val="13"/>
                <w:b w:val="1"/>
                <w:bCs w:val="1"/>
                <w:color w:val="auto"/>
              </w:rPr>
              <w:t>Amortized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1"/>
        </w:trPr>
        <w:tc>
          <w:tcPr>
            <w:tcW w:w="300" w:type="dxa"/>
            <w:vAlign w:val="bottom"/>
          </w:tcPr>
          <w:p>
            <w:pPr>
              <w:spacing w:after="0"/>
              <w:rPr>
                <w:sz w:val="16"/>
                <w:szCs w:val="16"/>
                <w:color w:val="auto"/>
              </w:rPr>
            </w:pPr>
          </w:p>
        </w:tc>
        <w:tc>
          <w:tcPr>
            <w:tcW w:w="2720" w:type="dxa"/>
            <w:vAlign w:val="bottom"/>
          </w:tcPr>
          <w:p>
            <w:pPr>
              <w:ind w:left="5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40" w:type="dxa"/>
            <w:vAlign w:val="bottom"/>
          </w:tcPr>
          <w:p>
            <w:pPr>
              <w:spacing w:after="0"/>
              <w:rPr>
                <w:sz w:val="16"/>
                <w:szCs w:val="16"/>
                <w:color w:val="auto"/>
              </w:rPr>
            </w:pPr>
          </w:p>
        </w:tc>
        <w:tc>
          <w:tcPr>
            <w:tcW w:w="980" w:type="dxa"/>
            <w:vAlign w:val="bottom"/>
            <w:gridSpan w:val="3"/>
          </w:tcPr>
          <w:p>
            <w:pPr>
              <w:jc w:val="center"/>
              <w:ind w:right="197"/>
              <w:spacing w:after="0"/>
              <w:rPr>
                <w:sz w:val="20"/>
                <w:szCs w:val="20"/>
                <w:color w:val="auto"/>
              </w:rPr>
            </w:pPr>
            <w:r>
              <w:rPr>
                <w:rFonts w:ascii="Arial" w:cs="Arial" w:eastAsia="Arial" w:hAnsi="Arial"/>
                <w:sz w:val="13"/>
                <w:szCs w:val="13"/>
                <w:b w:val="1"/>
                <w:bCs w:val="1"/>
                <w:color w:val="auto"/>
                <w:w w:val="85"/>
              </w:rPr>
              <w:t>Date</w:t>
            </w:r>
          </w:p>
        </w:tc>
        <w:tc>
          <w:tcPr>
            <w:tcW w:w="860" w:type="dxa"/>
            <w:vAlign w:val="bottom"/>
          </w:tcPr>
          <w:p>
            <w:pPr>
              <w:jc w:val="right"/>
              <w:ind w:right="217"/>
              <w:spacing w:after="0"/>
              <w:rPr>
                <w:sz w:val="20"/>
                <w:szCs w:val="20"/>
                <w:color w:val="auto"/>
              </w:rPr>
            </w:pPr>
            <w:r>
              <w:rPr>
                <w:rFonts w:ascii="Arial" w:cs="Arial" w:eastAsia="Arial" w:hAnsi="Arial"/>
                <w:sz w:val="13"/>
                <w:szCs w:val="13"/>
                <w:b w:val="1"/>
                <w:bCs w:val="1"/>
                <w:color w:val="auto"/>
              </w:rPr>
              <w:t>Principal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457"/>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217"/>
              <w:spacing w:after="0"/>
              <w:rPr>
                <w:sz w:val="20"/>
                <w:szCs w:val="20"/>
                <w:color w:val="auto"/>
              </w:rPr>
            </w:pPr>
            <w:r>
              <w:rPr>
                <w:rFonts w:ascii="Arial" w:cs="Arial" w:eastAsia="Arial" w:hAnsi="Arial"/>
                <w:sz w:val="13"/>
                <w:szCs w:val="13"/>
                <w:b w:val="1"/>
                <w:bCs w:val="1"/>
                <w:color w:val="auto"/>
                <w:w w:val="96"/>
              </w:rPr>
              <w:t>Fair Value</w:t>
            </w:r>
            <w:r>
              <w:rPr>
                <w:rFonts w:ascii="Arial" w:cs="Arial" w:eastAsia="Arial" w:hAnsi="Arial"/>
                <w:sz w:val="16"/>
                <w:szCs w:val="16"/>
                <w:b w:val="1"/>
                <w:bCs w:val="1"/>
                <w:color w:val="auto"/>
                <w:w w:val="96"/>
                <w:vertAlign w:val="superscript"/>
              </w:rPr>
              <w:t>2</w:t>
            </w:r>
          </w:p>
        </w:tc>
      </w:tr>
      <w:tr>
        <w:trPr>
          <w:trHeight w:val="167"/>
        </w:trPr>
        <w:tc>
          <w:tcPr>
            <w:tcW w:w="302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color w:val="auto"/>
              </w:rPr>
              <w:t>Junior Secured Loan — Term Loan (Second Lien)</w:t>
            </w:r>
          </w:p>
        </w:tc>
        <w:tc>
          <w:tcPr>
            <w:tcW w:w="1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r>
      <w:tr>
        <w:trPr>
          <w:trHeight w:val="162"/>
        </w:trPr>
        <w:tc>
          <w:tcPr>
            <w:tcW w:w="3020" w:type="dxa"/>
            <w:vAlign w:val="bottom"/>
            <w:gridSpan w:val="2"/>
          </w:tcPr>
          <w:p>
            <w:pPr>
              <w:ind w:left="20"/>
              <w:spacing w:after="0"/>
              <w:rPr>
                <w:sz w:val="20"/>
                <w:szCs w:val="20"/>
                <w:color w:val="auto"/>
              </w:rPr>
            </w:pPr>
            <w:r>
              <w:rPr>
                <w:rFonts w:ascii="Arial" w:cs="Arial" w:eastAsia="Arial" w:hAnsi="Arial"/>
                <w:sz w:val="13"/>
                <w:szCs w:val="13"/>
                <w:color w:val="auto"/>
                <w:w w:val="90"/>
              </w:rPr>
              <w:t>11.0% Cash, 0.5% PIK, 1 Month Libor (1.00%) + 10.00%;</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Libor Floor 1.00%, Due 8/24</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8/24/2017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12,537,550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12,418,665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11,118,299</w:t>
            </w:r>
          </w:p>
        </w:tc>
      </w:tr>
      <w:tr>
        <w:trPr>
          <w:trHeight w:val="378"/>
        </w:trPr>
        <w:tc>
          <w:tcPr>
            <w:tcW w:w="3020" w:type="dxa"/>
            <w:vAlign w:val="bottom"/>
            <w:gridSpan w:val="2"/>
          </w:tcPr>
          <w:p>
            <w:pPr>
              <w:ind w:left="20"/>
              <w:spacing w:after="0"/>
              <w:rPr>
                <w:sz w:val="20"/>
                <w:szCs w:val="20"/>
                <w:color w:val="auto"/>
              </w:rPr>
            </w:pPr>
            <w:r>
              <w:rPr>
                <w:rFonts w:ascii="Arial" w:cs="Arial" w:eastAsia="Arial" w:hAnsi="Arial"/>
                <w:sz w:val="13"/>
                <w:szCs w:val="13"/>
                <w:color w:val="auto"/>
                <w:w w:val="92"/>
              </w:rPr>
              <w:t>Junior Secured Loan — Initial Term Loan (Second Lien)</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6.8%</w:t>
            </w:r>
          </w:p>
        </w:tc>
        <w:tc>
          <w:tcPr>
            <w:tcW w:w="2720" w:type="dxa"/>
            <w:vAlign w:val="bottom"/>
          </w:tcPr>
          <w:p>
            <w:pPr>
              <w:spacing w:after="0"/>
              <w:rPr>
                <w:sz w:val="20"/>
                <w:szCs w:val="20"/>
                <w:color w:val="auto"/>
              </w:rPr>
            </w:pPr>
            <w:r>
              <w:rPr>
                <w:rFonts w:ascii="Arial" w:cs="Arial" w:eastAsia="Arial" w:hAnsi="Arial"/>
                <w:sz w:val="13"/>
                <w:szCs w:val="13"/>
                <w:color w:val="auto"/>
                <w:w w:val="97"/>
              </w:rPr>
              <w:t>Cash, 1 Month Libor (0.08%) + 6.75%, Due 7/26</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300,000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276,325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302,718</w:t>
            </w:r>
          </w:p>
        </w:tc>
      </w:tr>
      <w:tr>
        <w:trPr>
          <w:trHeight w:val="473"/>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9.0%</w:t>
            </w:r>
          </w:p>
        </w:tc>
        <w:tc>
          <w:tcPr>
            <w:tcW w:w="2720" w:type="dxa"/>
            <w:vAlign w:val="bottom"/>
          </w:tcPr>
          <w:p>
            <w:pPr>
              <w:spacing w:after="0"/>
              <w:rPr>
                <w:sz w:val="20"/>
                <w:szCs w:val="20"/>
                <w:color w:val="auto"/>
              </w:rPr>
            </w:pPr>
            <w:r>
              <w:rPr>
                <w:rFonts w:ascii="Arial" w:cs="Arial" w:eastAsia="Arial" w:hAnsi="Arial"/>
                <w:sz w:val="13"/>
                <w:szCs w:val="13"/>
                <w:color w:val="auto"/>
                <w:w w:val="93"/>
              </w:rPr>
              <w:t>Cash, 1 Month Libor (1.00%) + 8.00%; Libor Floor</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1.00%, Due 5/24</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7,531,435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6,674,115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7,531,435</w:t>
            </w:r>
          </w:p>
        </w:tc>
      </w:tr>
      <w:tr>
        <w:trPr>
          <w:trHeight w:val="378"/>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Senior Secured Loan — Delayed Draw Term Loan</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6.5%</w:t>
            </w:r>
          </w:p>
        </w:tc>
        <w:tc>
          <w:tcPr>
            <w:tcW w:w="2720" w:type="dxa"/>
            <w:vAlign w:val="bottom"/>
          </w:tcPr>
          <w:p>
            <w:pPr>
              <w:spacing w:after="0"/>
              <w:rPr>
                <w:sz w:val="20"/>
                <w:szCs w:val="20"/>
                <w:color w:val="auto"/>
              </w:rPr>
            </w:pPr>
            <w:r>
              <w:rPr>
                <w:rFonts w:ascii="Arial" w:cs="Arial" w:eastAsia="Arial" w:hAnsi="Arial"/>
                <w:sz w:val="13"/>
                <w:szCs w:val="13"/>
                <w:color w:val="auto"/>
                <w:w w:val="93"/>
              </w:rPr>
              <w:t>Cash, 3 Month Libor (1.00%) + 5.50%; Libor Floor</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1.00%, Due 6/24</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737,224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736,283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731,976</w:t>
            </w:r>
          </w:p>
        </w:tc>
      </w:tr>
      <w:tr>
        <w:trPr>
          <w:trHeight w:val="378"/>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Senior Secured Loan — Initial Term Loan</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6.5%</w:t>
            </w:r>
          </w:p>
        </w:tc>
        <w:tc>
          <w:tcPr>
            <w:tcW w:w="2720" w:type="dxa"/>
            <w:vAlign w:val="bottom"/>
          </w:tcPr>
          <w:p>
            <w:pPr>
              <w:spacing w:after="0"/>
              <w:rPr>
                <w:sz w:val="20"/>
                <w:szCs w:val="20"/>
                <w:color w:val="auto"/>
              </w:rPr>
            </w:pPr>
            <w:r>
              <w:rPr>
                <w:rFonts w:ascii="Arial" w:cs="Arial" w:eastAsia="Arial" w:hAnsi="Arial"/>
                <w:sz w:val="13"/>
                <w:szCs w:val="13"/>
                <w:color w:val="auto"/>
                <w:w w:val="93"/>
              </w:rPr>
              <w:t>Cash, 3 Month Libor (1.00%) + 5.50%; Libor Floor</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1.00%, Due 6/24</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5,587,840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5,573,521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5,548,167</w:t>
            </w:r>
          </w:p>
        </w:tc>
      </w:tr>
      <w:tr>
        <w:trPr>
          <w:trHeight w:val="378"/>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5.1%</w:t>
            </w:r>
          </w:p>
        </w:tc>
        <w:tc>
          <w:tcPr>
            <w:tcW w:w="2720" w:type="dxa"/>
            <w:vAlign w:val="bottom"/>
          </w:tcPr>
          <w:p>
            <w:pPr>
              <w:spacing w:after="0"/>
              <w:rPr>
                <w:sz w:val="20"/>
                <w:szCs w:val="20"/>
                <w:color w:val="auto"/>
              </w:rPr>
            </w:pPr>
            <w:r>
              <w:rPr>
                <w:rFonts w:ascii="Arial" w:cs="Arial" w:eastAsia="Arial" w:hAnsi="Arial"/>
                <w:sz w:val="13"/>
                <w:szCs w:val="13"/>
                <w:color w:val="auto"/>
                <w:w w:val="97"/>
              </w:rPr>
              <w:t>Cash, 3 Month Libor (0.13%) + 5.00%, Due 5/26</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138,440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78"/>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6.8%</w:t>
            </w:r>
          </w:p>
        </w:tc>
        <w:tc>
          <w:tcPr>
            <w:tcW w:w="2720" w:type="dxa"/>
            <w:vAlign w:val="bottom"/>
          </w:tcPr>
          <w:p>
            <w:pPr>
              <w:spacing w:after="0"/>
              <w:rPr>
                <w:sz w:val="20"/>
                <w:szCs w:val="20"/>
                <w:color w:val="auto"/>
              </w:rPr>
            </w:pPr>
            <w:r>
              <w:rPr>
                <w:rFonts w:ascii="Arial" w:cs="Arial" w:eastAsia="Arial" w:hAnsi="Arial"/>
                <w:sz w:val="13"/>
                <w:szCs w:val="13"/>
                <w:color w:val="auto"/>
                <w:w w:val="93"/>
              </w:rPr>
              <w:t>Cash, 1 Month Libor (1.00%) + 5.75%; Libor Floor</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1.00%, Due 3/23</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10,500,000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9,660,307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10,500,000</w:t>
            </w:r>
          </w:p>
        </w:tc>
      </w:tr>
      <w:tr>
        <w:trPr>
          <w:trHeight w:val="378"/>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7.5%</w:t>
            </w:r>
          </w:p>
        </w:tc>
        <w:tc>
          <w:tcPr>
            <w:tcW w:w="2720" w:type="dxa"/>
            <w:vAlign w:val="bottom"/>
          </w:tcPr>
          <w:p>
            <w:pPr>
              <w:spacing w:after="0"/>
              <w:rPr>
                <w:sz w:val="20"/>
                <w:szCs w:val="20"/>
                <w:color w:val="auto"/>
              </w:rPr>
            </w:pPr>
            <w:r>
              <w:rPr>
                <w:rFonts w:ascii="Arial" w:cs="Arial" w:eastAsia="Arial" w:hAnsi="Arial"/>
                <w:sz w:val="13"/>
                <w:szCs w:val="13"/>
                <w:color w:val="auto"/>
                <w:w w:val="93"/>
              </w:rPr>
              <w:t>Cash, 3 Month Libor (1.50%) + 6.00%; Libor Floor</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1.50%, Due 12/25</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5/10/2021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1,425,000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1,415,179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1,416,165</w:t>
            </w:r>
          </w:p>
        </w:tc>
      </w:tr>
      <w:tr>
        <w:trPr>
          <w:trHeight w:val="378"/>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Senior Secured Loan — Initial Term Loan</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7.5%</w:t>
            </w:r>
          </w:p>
        </w:tc>
        <w:tc>
          <w:tcPr>
            <w:tcW w:w="2720" w:type="dxa"/>
            <w:vAlign w:val="bottom"/>
          </w:tcPr>
          <w:p>
            <w:pPr>
              <w:spacing w:after="0"/>
              <w:rPr>
                <w:sz w:val="20"/>
                <w:szCs w:val="20"/>
                <w:color w:val="auto"/>
              </w:rPr>
            </w:pPr>
            <w:r>
              <w:rPr>
                <w:rFonts w:ascii="Arial" w:cs="Arial" w:eastAsia="Arial" w:hAnsi="Arial"/>
                <w:sz w:val="13"/>
                <w:szCs w:val="13"/>
                <w:color w:val="auto"/>
                <w:w w:val="93"/>
              </w:rPr>
              <w:t>Cash, 3 Month Libor (1.50%) + 6.00%; Libor Floor</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1.50%, Due 12/25</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5/1/2020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8,478,157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8,297,126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8,425,593</w:t>
            </w:r>
          </w:p>
        </w:tc>
      </w:tr>
      <w:tr>
        <w:trPr>
          <w:trHeight w:val="378"/>
        </w:trPr>
        <w:tc>
          <w:tcPr>
            <w:tcW w:w="3020" w:type="dxa"/>
            <w:vAlign w:val="bottom"/>
            <w:gridSpan w:val="2"/>
          </w:tcPr>
          <w:p>
            <w:pPr>
              <w:ind w:left="20"/>
              <w:spacing w:after="0"/>
              <w:rPr>
                <w:sz w:val="20"/>
                <w:szCs w:val="20"/>
                <w:color w:val="auto"/>
              </w:rPr>
            </w:pPr>
            <w:r>
              <w:rPr>
                <w:rFonts w:ascii="Arial" w:cs="Arial" w:eastAsia="Arial" w:hAnsi="Arial"/>
                <w:sz w:val="13"/>
                <w:szCs w:val="13"/>
                <w:color w:val="auto"/>
                <w:w w:val="97"/>
              </w:rPr>
              <w:t>Senior Secured Loan — Initial Term Loan (First Lien)</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6.8%</w:t>
            </w:r>
          </w:p>
        </w:tc>
        <w:tc>
          <w:tcPr>
            <w:tcW w:w="2720" w:type="dxa"/>
            <w:vAlign w:val="bottom"/>
          </w:tcPr>
          <w:p>
            <w:pPr>
              <w:spacing w:after="0"/>
              <w:rPr>
                <w:sz w:val="20"/>
                <w:szCs w:val="20"/>
                <w:color w:val="auto"/>
              </w:rPr>
            </w:pPr>
            <w:r>
              <w:rPr>
                <w:rFonts w:ascii="Arial" w:cs="Arial" w:eastAsia="Arial" w:hAnsi="Arial"/>
                <w:sz w:val="13"/>
                <w:szCs w:val="13"/>
                <w:color w:val="auto"/>
                <w:w w:val="93"/>
              </w:rPr>
              <w:t>Cash, 3 Month Libor (1.00%) + 5.75%; Libor Floor</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1.00%, Due 9/23</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9/30/2016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919,736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918,294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845,329</w:t>
            </w:r>
          </w:p>
        </w:tc>
      </w:tr>
      <w:tr>
        <w:trPr>
          <w:trHeight w:val="378"/>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Junior Secured Loan — Promissory Note</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1.7%</w:t>
            </w:r>
          </w:p>
        </w:tc>
        <w:tc>
          <w:tcPr>
            <w:tcW w:w="2720" w:type="dxa"/>
            <w:vAlign w:val="bottom"/>
          </w:tcPr>
          <w:p>
            <w:pPr>
              <w:spacing w:after="0"/>
              <w:rPr>
                <w:sz w:val="20"/>
                <w:szCs w:val="20"/>
                <w:color w:val="auto"/>
              </w:rPr>
            </w:pPr>
            <w:r>
              <w:rPr>
                <w:rFonts w:ascii="Arial" w:cs="Arial" w:eastAsia="Arial" w:hAnsi="Arial"/>
                <w:sz w:val="13"/>
                <w:szCs w:val="13"/>
                <w:color w:val="auto"/>
              </w:rPr>
              <w:t>PIK, Due 1/25</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1/24/2020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72,552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72,552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78"/>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Junior Secured Loan — Initial Loan (Second Lien)</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7.3%</w:t>
            </w:r>
          </w:p>
        </w:tc>
        <w:tc>
          <w:tcPr>
            <w:tcW w:w="2720" w:type="dxa"/>
            <w:vAlign w:val="bottom"/>
          </w:tcPr>
          <w:p>
            <w:pPr>
              <w:spacing w:after="0"/>
              <w:rPr>
                <w:sz w:val="20"/>
                <w:szCs w:val="20"/>
                <w:color w:val="auto"/>
              </w:rPr>
            </w:pPr>
            <w:r>
              <w:rPr>
                <w:rFonts w:ascii="Arial" w:cs="Arial" w:eastAsia="Arial" w:hAnsi="Arial"/>
                <w:sz w:val="13"/>
                <w:szCs w:val="13"/>
                <w:color w:val="auto"/>
                <w:w w:val="97"/>
              </w:rPr>
              <w:t>Cash, 1 Month Libor (0.08%) + 7.25%, Due 3/26</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400,000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361,162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392,668</w:t>
            </w:r>
          </w:p>
        </w:tc>
      </w:tr>
      <w:tr>
        <w:trPr>
          <w:trHeight w:val="378"/>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Senior Secured Loan — Revolver</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6.6%</w:t>
            </w:r>
          </w:p>
        </w:tc>
        <w:tc>
          <w:tcPr>
            <w:tcW w:w="2720" w:type="dxa"/>
            <w:vAlign w:val="bottom"/>
          </w:tcPr>
          <w:p>
            <w:pPr>
              <w:spacing w:after="0"/>
              <w:rPr>
                <w:sz w:val="20"/>
                <w:szCs w:val="20"/>
                <w:color w:val="auto"/>
              </w:rPr>
            </w:pPr>
            <w:r>
              <w:rPr>
                <w:rFonts w:ascii="Arial" w:cs="Arial" w:eastAsia="Arial" w:hAnsi="Arial"/>
                <w:sz w:val="13"/>
                <w:szCs w:val="13"/>
                <w:color w:val="auto"/>
                <w:w w:val="94"/>
              </w:rPr>
              <w:t>Cash, 3 Month Libor (0.13%) + 6.50%, Due 12/21</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6/9/2021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1,536,097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1,488,536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1,533,793</w:t>
            </w:r>
          </w:p>
        </w:tc>
      </w:tr>
      <w:tr>
        <w:trPr>
          <w:trHeight w:val="378"/>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8.1%</w:t>
            </w:r>
          </w:p>
        </w:tc>
        <w:tc>
          <w:tcPr>
            <w:tcW w:w="2720" w:type="dxa"/>
            <w:vAlign w:val="bottom"/>
          </w:tcPr>
          <w:p>
            <w:pPr>
              <w:spacing w:after="0"/>
              <w:rPr>
                <w:sz w:val="20"/>
                <w:szCs w:val="20"/>
                <w:color w:val="auto"/>
              </w:rPr>
            </w:pPr>
            <w:r>
              <w:rPr>
                <w:rFonts w:ascii="Arial" w:cs="Arial" w:eastAsia="Arial" w:hAnsi="Arial"/>
                <w:sz w:val="13"/>
                <w:szCs w:val="13"/>
                <w:color w:val="auto"/>
                <w:w w:val="97"/>
              </w:rPr>
              <w:t>Cash, 3 Month Libor (0.13%) + 8.00%, Due 3/22</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6/9/2021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2,712,500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2,489,208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2,538,357</w:t>
            </w:r>
          </w:p>
        </w:tc>
      </w:tr>
      <w:tr>
        <w:trPr>
          <w:trHeight w:val="378"/>
        </w:trPr>
        <w:tc>
          <w:tcPr>
            <w:tcW w:w="3020" w:type="dxa"/>
            <w:vAlign w:val="bottom"/>
            <w:gridSpan w:val="2"/>
          </w:tcPr>
          <w:p>
            <w:pPr>
              <w:ind w:left="20"/>
              <w:spacing w:after="0"/>
              <w:rPr>
                <w:sz w:val="20"/>
                <w:szCs w:val="20"/>
                <w:color w:val="auto"/>
              </w:rPr>
            </w:pPr>
            <w:r>
              <w:rPr>
                <w:rFonts w:ascii="Arial" w:cs="Arial" w:eastAsia="Arial" w:hAnsi="Arial"/>
                <w:sz w:val="13"/>
                <w:szCs w:val="13"/>
                <w:color w:val="auto"/>
                <w:w w:val="92"/>
              </w:rPr>
              <w:t>Junior Secured Loan — Initial Term Loan (Second Lien)</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20" w:type="dxa"/>
            <w:vAlign w:val="bottom"/>
            <w:gridSpan w:val="2"/>
          </w:tcPr>
          <w:p>
            <w:pPr>
              <w:ind w:left="20"/>
              <w:spacing w:after="0"/>
              <w:rPr>
                <w:sz w:val="20"/>
                <w:szCs w:val="20"/>
                <w:color w:val="auto"/>
              </w:rPr>
            </w:pPr>
            <w:r>
              <w:rPr>
                <w:rFonts w:ascii="Arial" w:cs="Arial" w:eastAsia="Arial" w:hAnsi="Arial"/>
                <w:sz w:val="13"/>
                <w:szCs w:val="13"/>
                <w:color w:val="auto"/>
                <w:w w:val="90"/>
              </w:rPr>
              <w:t>10.0% Cash, 6 Month Libor (1.00%) + 9.00%; Libor Floor</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1.00%, Due 9/24</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8/9/2016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2,555,556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2,541,175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2,540,657</w:t>
            </w:r>
          </w:p>
        </w:tc>
      </w:tr>
      <w:tr>
        <w:trPr>
          <w:trHeight w:val="378"/>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6.0%</w:t>
            </w:r>
          </w:p>
        </w:tc>
        <w:tc>
          <w:tcPr>
            <w:tcW w:w="2720" w:type="dxa"/>
            <w:vAlign w:val="bottom"/>
          </w:tcPr>
          <w:p>
            <w:pPr>
              <w:spacing w:after="0"/>
              <w:rPr>
                <w:sz w:val="20"/>
                <w:szCs w:val="20"/>
                <w:color w:val="auto"/>
              </w:rPr>
            </w:pPr>
            <w:r>
              <w:rPr>
                <w:rFonts w:ascii="Arial" w:cs="Arial" w:eastAsia="Arial" w:hAnsi="Arial"/>
                <w:sz w:val="13"/>
                <w:szCs w:val="13"/>
                <w:color w:val="auto"/>
                <w:w w:val="93"/>
              </w:rPr>
              <w:t>Cash, 3 Month Libor (1.00%) + 5.00%; Libor Floor</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1.00%, Due 11/24</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11/18/2019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2,475,000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2,444,023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2,475,000</w:t>
            </w:r>
          </w:p>
        </w:tc>
      </w:tr>
      <w:tr>
        <w:trPr>
          <w:trHeight w:val="378"/>
        </w:trPr>
        <w:tc>
          <w:tcPr>
            <w:tcW w:w="3020" w:type="dxa"/>
            <w:vAlign w:val="bottom"/>
            <w:gridSpan w:val="2"/>
          </w:tcPr>
          <w:p>
            <w:pPr>
              <w:ind w:left="20"/>
              <w:spacing w:after="0"/>
              <w:rPr>
                <w:sz w:val="20"/>
                <w:szCs w:val="20"/>
                <w:color w:val="auto"/>
              </w:rPr>
            </w:pPr>
            <w:r>
              <w:rPr>
                <w:rFonts w:ascii="Arial" w:cs="Arial" w:eastAsia="Arial" w:hAnsi="Arial"/>
                <w:sz w:val="13"/>
                <w:szCs w:val="13"/>
                <w:color w:val="auto"/>
                <w:w w:val="92"/>
              </w:rPr>
              <w:t>Junior Secured Loan — Initial Term Loan (Second Lien)</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8.0%</w:t>
            </w:r>
          </w:p>
        </w:tc>
        <w:tc>
          <w:tcPr>
            <w:tcW w:w="2720" w:type="dxa"/>
            <w:vAlign w:val="bottom"/>
          </w:tcPr>
          <w:p>
            <w:pPr>
              <w:spacing w:after="0"/>
              <w:rPr>
                <w:sz w:val="20"/>
                <w:szCs w:val="20"/>
                <w:color w:val="auto"/>
              </w:rPr>
            </w:pPr>
            <w:r>
              <w:rPr>
                <w:rFonts w:ascii="Arial" w:cs="Arial" w:eastAsia="Arial" w:hAnsi="Arial"/>
                <w:sz w:val="13"/>
                <w:szCs w:val="13"/>
                <w:color w:val="auto"/>
                <w:w w:val="93"/>
              </w:rPr>
              <w:t>Cash, 1 Month Libor (1.00%) + 7.00%; Libor Floor</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1.00%, Due 3/26</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3/8/2018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3,500,000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3,487,489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3,485,300</w:t>
            </w:r>
          </w:p>
        </w:tc>
      </w:tr>
      <w:tr>
        <w:trPr>
          <w:trHeight w:val="219"/>
        </w:trPr>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980" w:type="dxa"/>
            <w:vAlign w:val="bottom"/>
            <w:gridSpan w:val="3"/>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324"/>
        </w:trPr>
        <w:tc>
          <w:tcPr>
            <w:tcW w:w="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80" w:type="dxa"/>
            <w:vAlign w:val="bottom"/>
            <w:gridSpan w:val="3"/>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485,086,064</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450,601,744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455,079,876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-7259955</wp:posOffset>
            </wp:positionV>
            <wp:extent cx="7132320" cy="3257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-6814185</wp:posOffset>
            </wp:positionV>
            <wp:extent cx="7132320" cy="2228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-6411595</wp:posOffset>
            </wp:positionV>
            <wp:extent cx="7132320" cy="3257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-5965825</wp:posOffset>
            </wp:positionV>
            <wp:extent cx="7132320" cy="3257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-5520055</wp:posOffset>
            </wp:positionV>
            <wp:extent cx="7132320" cy="3257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-5074285</wp:posOffset>
            </wp:positionV>
            <wp:extent cx="7132320" cy="2228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-4731385</wp:posOffset>
            </wp:positionV>
            <wp:extent cx="7132320" cy="3257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-4285615</wp:posOffset>
            </wp:positionV>
            <wp:extent cx="7132320" cy="3257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-3839845</wp:posOffset>
            </wp:positionV>
            <wp:extent cx="7132320" cy="3257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-3394075</wp:posOffset>
            </wp:positionV>
            <wp:extent cx="7132320" cy="3257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-2948305</wp:posOffset>
            </wp:positionV>
            <wp:extent cx="7132320" cy="2228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-2605405</wp:posOffset>
            </wp:positionV>
            <wp:extent cx="7132320" cy="2228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-2262505</wp:posOffset>
            </wp:positionV>
            <wp:extent cx="7132320" cy="2228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-1919605</wp:posOffset>
            </wp:positionV>
            <wp:extent cx="7132320" cy="2228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-1576705</wp:posOffset>
            </wp:positionV>
            <wp:extent cx="7132320" cy="3257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-1130935</wp:posOffset>
            </wp:positionV>
            <wp:extent cx="7132320" cy="3257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-685165</wp:posOffset>
            </wp:positionV>
            <wp:extent cx="7132320" cy="3257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-222250</wp:posOffset>
            </wp:positionV>
            <wp:extent cx="7132320" cy="2228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180" w:space="480"/>
            <w:col w:w="7560"/>
          </w:cols>
          <w:pgMar w:left="340" w:top="37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Equity Securities Portfolio</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68846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4L Ultimate Topco Corporation</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Services: Business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AAPC Holdings, LLC</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Healthcare &amp; Pharmaceuticals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Advantage Capital Holdings LLC</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0"/>
          <w:szCs w:val="10"/>
          <w:color w:val="auto"/>
        </w:rPr>
        <w:t>Banking, Finance, Insurance &amp; Real Estate</w:t>
      </w:r>
    </w:p>
    <w:p>
      <w:pPr>
        <w:spacing w:after="0" w:line="263" w:lineRule="exact"/>
        <w:rPr>
          <w:sz w:val="20"/>
          <w:szCs w:val="20"/>
          <w:color w:val="auto"/>
        </w:rPr>
      </w:pPr>
    </w:p>
    <w:p>
      <w:pPr>
        <w:ind w:left="180" w:right="400" w:hanging="157"/>
        <w:spacing w:after="0" w:line="432" w:lineRule="auto"/>
        <w:rPr>
          <w:sz w:val="20"/>
          <w:szCs w:val="20"/>
          <w:color w:val="auto"/>
        </w:rPr>
      </w:pPr>
      <w:r>
        <w:rPr>
          <w:rFonts w:ascii="Arial" w:cs="Arial" w:eastAsia="Arial" w:hAnsi="Arial"/>
          <w:sz w:val="10"/>
          <w:szCs w:val="10"/>
          <w:color w:val="auto"/>
        </w:rPr>
        <w:t>Anthem Sports &amp; Entertainment Inc. Media: Broadcasting &amp; Subscription</w:t>
      </w:r>
    </w:p>
    <w:p>
      <w:pPr>
        <w:spacing w:after="0" w:line="126" w:lineRule="exact"/>
        <w:rPr>
          <w:sz w:val="20"/>
          <w:szCs w:val="20"/>
          <w:color w:val="auto"/>
        </w:rPr>
      </w:pPr>
    </w:p>
    <w:p>
      <w:pPr>
        <w:ind w:left="180" w:right="400" w:hanging="157"/>
        <w:spacing w:after="0" w:line="432" w:lineRule="auto"/>
        <w:rPr>
          <w:sz w:val="20"/>
          <w:szCs w:val="20"/>
          <w:color w:val="auto"/>
        </w:rPr>
      </w:pPr>
      <w:r>
        <w:rPr>
          <w:rFonts w:ascii="Arial" w:cs="Arial" w:eastAsia="Arial" w:hAnsi="Arial"/>
          <w:sz w:val="10"/>
          <w:szCs w:val="10"/>
          <w:color w:val="auto"/>
        </w:rPr>
        <w:t>Anthem Sports &amp; Entertainment Inc. Media: Broadcasting &amp; Subscription</w:t>
      </w:r>
    </w:p>
    <w:p>
      <w:pPr>
        <w:spacing w:after="0" w:line="126" w:lineRule="exact"/>
        <w:rPr>
          <w:sz w:val="20"/>
          <w:szCs w:val="20"/>
          <w:color w:val="auto"/>
        </w:rPr>
      </w:pPr>
    </w:p>
    <w:p>
      <w:pPr>
        <w:ind w:left="180" w:right="400" w:hanging="157"/>
        <w:spacing w:after="0" w:line="432" w:lineRule="auto"/>
        <w:rPr>
          <w:sz w:val="20"/>
          <w:szCs w:val="20"/>
          <w:color w:val="auto"/>
        </w:rPr>
      </w:pPr>
      <w:r>
        <w:rPr>
          <w:rFonts w:ascii="Arial" w:cs="Arial" w:eastAsia="Arial" w:hAnsi="Arial"/>
          <w:sz w:val="10"/>
          <w:szCs w:val="10"/>
          <w:color w:val="auto"/>
        </w:rPr>
        <w:t>Anthem Sports &amp; Entertainment Inc. Media: Broadcasting &amp; Subscription</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ATP Oil &amp; Gas Corporation</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Energy: Oil &amp; Gas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BMP Slappey Holdco, LLC</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Telecommunications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BMP Slappey Investment II</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Telecommunications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Brite Media LLC</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2"/>
          <w:szCs w:val="12"/>
          <w:color w:val="auto"/>
        </w:rPr>
        <w:t>Media: Advertising, Printing &amp; Publishing</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Carestream Health, Inc.</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Healthcare &amp; Pharmaceuticals</w:t>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Centric Brands Inc.</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Machinery (Non-Agrclt/Constr/Electr)</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Coastal Screen and Rail, LLC</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Construction &amp; Building</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EJF Investments Ltd.</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0"/>
          <w:szCs w:val="10"/>
          <w:color w:val="auto"/>
        </w:rPr>
        <w:t>Banking, Finance, Insurance &amp; Real Estate</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Everyware Global, Inc.</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Consumer goods: Durable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Flight Lease VII</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Aerospace and Defense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Flight Lease XII</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Aerospace and Defense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FP WRCA Coinvestment Fund VII, Ltd.</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Capital Equipment</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Fusion Connect, Inc.</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Telecommunications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GIG Rooster Holdings I, LLC</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Energy: Oil &amp; Gas</w:t>
      </w:r>
    </w:p>
    <w:p>
      <w:pPr>
        <w:spacing w:after="0" w:line="229" w:lineRule="exact"/>
        <w:rPr>
          <w:sz w:val="20"/>
          <w:szCs w:val="20"/>
          <w:color w:val="auto"/>
        </w:rPr>
      </w:pPr>
    </w:p>
    <w:p>
      <w:pPr>
        <w:ind w:left="180" w:hanging="157"/>
        <w:spacing w:after="0" w:line="277" w:lineRule="auto"/>
        <w:rPr>
          <w:sz w:val="20"/>
          <w:szCs w:val="20"/>
          <w:color w:val="auto"/>
        </w:rPr>
      </w:pPr>
      <w:r>
        <w:rPr>
          <w:rFonts w:ascii="Arial" w:cs="Arial" w:eastAsia="Arial" w:hAnsi="Arial"/>
          <w:sz w:val="13"/>
          <w:szCs w:val="13"/>
          <w:color w:val="auto"/>
        </w:rPr>
        <w:t>KC Engineering &amp; Construction Services, LLC Environmental Industries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8"/>
          <w:szCs w:val="8"/>
          <w:color w:val="auto"/>
        </w:rPr>
        <w:t>(8)(13)(19)</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(8)(13)(21)(22)</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(8)(13)(19)(22)</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(8)(13)(19)(21)</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(8)(13)(19)(21)</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(8)(13)(19)(21)</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(8)(11)(13)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7"/>
          <w:szCs w:val="7"/>
          <w:color w:val="auto"/>
        </w:rPr>
        <w:t>(8)(13)(18)(19)(25)</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7"/>
          <w:szCs w:val="7"/>
          <w:color w:val="auto"/>
        </w:rPr>
        <w:t>(8)(13)(18)(19)(25)</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8"/>
          <w:szCs w:val="8"/>
          <w:color w:val="auto"/>
        </w:rPr>
        <w:t>(8)(13)(19)</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(8)(13)(19)</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8"/>
          <w:szCs w:val="8"/>
          <w:color w:val="auto"/>
        </w:rPr>
        <w:t>(8)(13)(14)(19)</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(8)(13)(19)(25)</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(3)(19)</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(8)(13)(19)</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7"/>
          <w:szCs w:val="7"/>
          <w:color w:val="auto"/>
        </w:rPr>
        <w:t>(8)(13)(16)(19)(26)</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7"/>
          <w:szCs w:val="7"/>
          <w:color w:val="auto"/>
        </w:rPr>
        <w:t>(8)(13)(18)(19)(25)</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8"/>
          <w:szCs w:val="8"/>
          <w:color w:val="auto"/>
        </w:rPr>
        <w:t>(3)(13)(19)</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(8)(13)(14)(19)</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(8)(13)(18)(19)</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(8)(13)(19)(25)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6"/>
          <w:szCs w:val="16"/>
          <w:b w:val="1"/>
          <w:bCs w:val="1"/>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11226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Common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color w:val="auto"/>
        </w:rPr>
        <w:t>Class A Preferred Units</w:t>
      </w:r>
    </w:p>
    <w:p>
      <w:pPr>
        <w:spacing w:after="0" w:line="391" w:lineRule="exact"/>
        <w:rPr>
          <w:sz w:val="20"/>
          <w:szCs w:val="20"/>
          <w:color w:val="auto"/>
        </w:rPr>
      </w:pPr>
    </w:p>
    <w:p>
      <w:pPr>
        <w:jc w:val="center"/>
        <w:ind w:right="160"/>
        <w:spacing w:after="0"/>
        <w:rPr>
          <w:sz w:val="20"/>
          <w:szCs w:val="20"/>
          <w:color w:val="auto"/>
        </w:rPr>
      </w:pPr>
      <w:r>
        <w:rPr>
          <w:rFonts w:ascii="Arial" w:cs="Arial" w:eastAsia="Arial" w:hAnsi="Arial"/>
          <w:sz w:val="10"/>
          <w:szCs w:val="10"/>
          <w:color w:val="auto"/>
        </w:rPr>
        <w:t>Class A Membership Units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Warrant Class A</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Warrant Class B</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Warrant Common Stock</w:t>
      </w:r>
    </w:p>
    <w:p>
      <w:pPr>
        <w:spacing w:after="0" w:line="391" w:lineRule="exact"/>
        <w:rPr>
          <w:sz w:val="20"/>
          <w:szCs w:val="20"/>
          <w:color w:val="auto"/>
        </w:rPr>
      </w:pPr>
    </w:p>
    <w:p>
      <w:pPr>
        <w:spacing w:after="0"/>
        <w:rPr>
          <w:sz w:val="20"/>
          <w:szCs w:val="20"/>
          <w:color w:val="auto"/>
        </w:rPr>
      </w:pPr>
      <w:r>
        <w:rPr>
          <w:rFonts w:ascii="Arial" w:cs="Arial" w:eastAsia="Arial" w:hAnsi="Arial"/>
          <w:sz w:val="10"/>
          <w:szCs w:val="10"/>
          <w:color w:val="auto"/>
        </w:rPr>
        <w:t>Limited Term Royalty Interest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Preferred Stock</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Preferred Stock</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Common Stock</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Warrant</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Common</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Preferred Stock</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Preferred Equity</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Common</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Common Stock</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Common Stock</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Class A Shares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Common</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Common</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Common Stock</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w w:val="99"/>
              </w:rPr>
              <w:t>Fair Value</w:t>
            </w:r>
            <w:r>
              <w:rPr>
                <w:rFonts w:ascii="Arial" w:cs="Arial" w:eastAsia="Arial" w:hAnsi="Arial"/>
                <w:sz w:val="16"/>
                <w:szCs w:val="16"/>
                <w:b w:val="1"/>
                <w:bCs w:val="1"/>
                <w:color w:val="auto"/>
                <w:w w:val="99"/>
                <w:vertAlign w:val="superscript"/>
              </w:rPr>
              <w:t>2</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Pr>
          <w:p>
            <w:pPr>
              <w:spacing w:after="0"/>
              <w:rPr>
                <w:sz w:val="15"/>
                <w:szCs w:val="15"/>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Quantity/Par/Shares</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1080" w:type="dxa"/>
            <w:vAlign w:val="bottom"/>
          </w:tcPr>
          <w:p>
            <w:pPr>
              <w:jc w:val="right"/>
              <w:spacing w:after="0"/>
              <w:rPr>
                <w:sz w:val="20"/>
                <w:szCs w:val="20"/>
                <w:color w:val="auto"/>
              </w:rPr>
            </w:pPr>
            <w:r>
              <w:rPr>
                <w:rFonts w:ascii="Arial" w:cs="Arial" w:eastAsia="Arial" w:hAnsi="Arial"/>
                <w:sz w:val="13"/>
                <w:szCs w:val="13"/>
                <w:color w:val="auto"/>
              </w:rPr>
              <w:t>5/29/2020</w:t>
            </w:r>
          </w:p>
        </w:tc>
        <w:tc>
          <w:tcPr>
            <w:tcW w:w="62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321</w:t>
            </w: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29,275</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29,276</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6/27/2019</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5,500,000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5,500,000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5,528,050</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2/14/2020</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628</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204,420</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9/9/2019</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263</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46,371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30,717</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9/9/2019</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9/9/2019</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859</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12/18/2019</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864,798</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864,798</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2,127,100</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200,000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466,949</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441,605</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88,946</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207,666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196,395</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139</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150,026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245,565</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5/8/2020</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33</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35"/>
        </w:trPr>
        <w:tc>
          <w:tcPr>
            <w:tcW w:w="108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36,342</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42,447</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150,000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418,387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400,000</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6/17/2020</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1,000,000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1,256,211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1,546,700</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1,085,565</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345,834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2,008,295</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1,938</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280,170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529,787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580,448</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2/2/2007</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1,500,000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1,500,000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738,000</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121,871</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865,853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220,587</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99</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79,200</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131,081</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4,314,740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-7129780</wp:posOffset>
            </wp:positionV>
            <wp:extent cx="7132320" cy="2228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-6786880</wp:posOffset>
            </wp:positionV>
            <wp:extent cx="7132320" cy="2228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-6443980</wp:posOffset>
            </wp:positionV>
            <wp:extent cx="7132320" cy="2228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-6101080</wp:posOffset>
            </wp:positionV>
            <wp:extent cx="7132320" cy="2228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-5758180</wp:posOffset>
            </wp:positionV>
            <wp:extent cx="7132320" cy="2228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-5415280</wp:posOffset>
            </wp:positionV>
            <wp:extent cx="7132320" cy="2228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-5072380</wp:posOffset>
            </wp:positionV>
            <wp:extent cx="7132320" cy="2228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-4729480</wp:posOffset>
            </wp:positionV>
            <wp:extent cx="7132320" cy="2228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-4386580</wp:posOffset>
            </wp:positionV>
            <wp:extent cx="7132320" cy="2228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-4043680</wp:posOffset>
            </wp:positionV>
            <wp:extent cx="7132320" cy="2228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-3700780</wp:posOffset>
            </wp:positionV>
            <wp:extent cx="7132320" cy="2228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-3298190</wp:posOffset>
            </wp:positionV>
            <wp:extent cx="7132320" cy="2228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-2955290</wp:posOffset>
            </wp:positionV>
            <wp:extent cx="7132320" cy="2228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-2612390</wp:posOffset>
            </wp:positionV>
            <wp:extent cx="7132320" cy="2228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-2269490</wp:posOffset>
            </wp:positionV>
            <wp:extent cx="7132320" cy="2228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-1926590</wp:posOffset>
            </wp:positionV>
            <wp:extent cx="7132320" cy="2228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-1583690</wp:posOffset>
            </wp:positionV>
            <wp:extent cx="7132320" cy="2228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-1240790</wp:posOffset>
            </wp:positionV>
            <wp:extent cx="7132320" cy="2228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-897890</wp:posOffset>
            </wp:positionV>
            <wp:extent cx="7132320" cy="2228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-554990</wp:posOffset>
            </wp:positionV>
            <wp:extent cx="7132320" cy="2228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-212090</wp:posOffset>
            </wp:positionV>
            <wp:extent cx="7132320" cy="2228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4">
            <w:col w:w="2420" w:space="260"/>
            <w:col w:w="660" w:space="480"/>
            <w:col w:w="1540" w:space="380"/>
            <w:col w:w="5500"/>
          </w:cols>
          <w:pgMar w:left="320" w:top="364"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7" w:name="page18"/>
    <w:bookmarkEnd w:id="17"/>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Business</w:t>
      </w:r>
    </w:p>
    <w:p>
      <w:pPr>
        <w:jc w:val="right"/>
        <w:spacing w:after="0" w:line="193" w:lineRule="auto"/>
        <w:rPr>
          <w:sz w:val="20"/>
          <w:szCs w:val="20"/>
          <w:color w:val="auto"/>
        </w:rPr>
      </w:pPr>
      <w:r>
        <w:rPr>
          <w:rFonts w:ascii="Arial" w:cs="Arial" w:eastAsia="Arial" w:hAnsi="Arial"/>
          <w:sz w:val="7"/>
          <w:szCs w:val="7"/>
          <w:color w:val="auto"/>
        </w:rPr>
        <w:t>(8)(13)(18)(19)(25)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1671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Kleen-Tech Acquisition, LLC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New Millennium Holdco, Inc. (Millennium Health, </w:t>
      </w:r>
      <w:r>
        <w:rPr>
          <w:rFonts w:ascii="Arial" w:cs="Arial" w:eastAsia="Arial" w:hAnsi="Arial"/>
          <w:sz w:val="15"/>
          <w:szCs w:val="15"/>
          <w:color w:val="auto"/>
          <w:vertAlign w:val="superscript"/>
        </w:rPr>
        <w:t>(8)(13)(19)</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LLC)</w:t>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8"/>
          <w:szCs w:val="8"/>
          <w:color w:val="auto"/>
        </w:rPr>
        <w:t>(8)(13)(18)(19)(25)</w:t>
      </w:r>
    </w:p>
    <w:p>
      <w:pPr>
        <w:spacing w:after="0"/>
        <w:rPr>
          <w:sz w:val="20"/>
          <w:szCs w:val="20"/>
          <w:color w:val="auto"/>
        </w:rPr>
      </w:pPr>
      <w:r>
        <w:rPr>
          <w:rFonts w:ascii="Arial" w:cs="Arial" w:eastAsia="Arial" w:hAnsi="Arial"/>
          <w:sz w:val="13"/>
          <w:szCs w:val="13"/>
          <w:color w:val="auto"/>
        </w:rPr>
        <w:t>Northeast Metal Works LLC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Metals &amp; Mining</w:t>
      </w:r>
    </w:p>
    <w:p>
      <w:pPr>
        <w:spacing w:after="0" w:line="147" w:lineRule="exact"/>
        <w:rPr>
          <w:sz w:val="20"/>
          <w:szCs w:val="20"/>
          <w:color w:val="auto"/>
        </w:rPr>
      </w:pPr>
    </w:p>
    <w:p>
      <w:pPr>
        <w:ind w:left="2640"/>
        <w:spacing w:after="0"/>
        <w:rPr>
          <w:sz w:val="20"/>
          <w:szCs w:val="20"/>
          <w:color w:val="auto"/>
        </w:rPr>
      </w:pPr>
      <w:r>
        <w:rPr>
          <w:rFonts w:ascii="Arial" w:cs="Arial" w:eastAsia="Arial" w:hAnsi="Arial"/>
          <w:sz w:val="8"/>
          <w:szCs w:val="8"/>
          <w:color w:val="auto"/>
        </w:rPr>
        <w:t>(3)(13)(19)</w:t>
      </w:r>
    </w:p>
    <w:p>
      <w:pPr>
        <w:spacing w:after="0"/>
        <w:rPr>
          <w:sz w:val="20"/>
          <w:szCs w:val="20"/>
          <w:color w:val="auto"/>
        </w:rPr>
      </w:pPr>
      <w:r>
        <w:rPr>
          <w:rFonts w:ascii="Arial" w:cs="Arial" w:eastAsia="Arial" w:hAnsi="Arial"/>
          <w:sz w:val="13"/>
          <w:szCs w:val="13"/>
          <w:color w:val="auto"/>
        </w:rPr>
        <w:t>Ohene Holdings B.V.</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High Tech Industries</w:t>
      </w:r>
    </w:p>
    <w:p>
      <w:pPr>
        <w:spacing w:after="0" w:line="147" w:lineRule="exact"/>
        <w:rPr>
          <w:sz w:val="20"/>
          <w:szCs w:val="20"/>
          <w:color w:val="auto"/>
        </w:rPr>
      </w:pPr>
    </w:p>
    <w:p>
      <w:pPr>
        <w:ind w:left="2640"/>
        <w:spacing w:after="0"/>
        <w:rPr>
          <w:sz w:val="20"/>
          <w:szCs w:val="20"/>
          <w:color w:val="auto"/>
        </w:rPr>
      </w:pPr>
      <w:r>
        <w:rPr>
          <w:rFonts w:ascii="Arial" w:cs="Arial" w:eastAsia="Arial" w:hAnsi="Arial"/>
          <w:sz w:val="8"/>
          <w:szCs w:val="8"/>
          <w:color w:val="auto"/>
        </w:rPr>
        <w:t>(6)(8)(13)(19)</w:t>
      </w:r>
    </w:p>
    <w:p>
      <w:pPr>
        <w:spacing w:after="0"/>
        <w:rPr>
          <w:sz w:val="20"/>
          <w:szCs w:val="20"/>
          <w:color w:val="auto"/>
        </w:rPr>
      </w:pPr>
      <w:r>
        <w:rPr>
          <w:rFonts w:ascii="Arial" w:cs="Arial" w:eastAsia="Arial" w:hAnsi="Arial"/>
          <w:sz w:val="13"/>
          <w:szCs w:val="13"/>
          <w:color w:val="auto"/>
        </w:rPr>
        <w:t>Prosper Marketplace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Consumer goods: Durable</w:t>
      </w:r>
    </w:p>
    <w:p>
      <w:pPr>
        <w:spacing w:after="0" w:line="147" w:lineRule="exact"/>
        <w:rPr>
          <w:sz w:val="20"/>
          <w:szCs w:val="20"/>
          <w:color w:val="auto"/>
        </w:rPr>
      </w:pPr>
    </w:p>
    <w:p>
      <w:pPr>
        <w:ind w:left="2640"/>
        <w:spacing w:after="0"/>
        <w:rPr>
          <w:sz w:val="20"/>
          <w:szCs w:val="20"/>
          <w:color w:val="auto"/>
        </w:rPr>
      </w:pPr>
      <w:r>
        <w:rPr>
          <w:rFonts w:ascii="Arial" w:cs="Arial" w:eastAsia="Arial" w:hAnsi="Arial"/>
          <w:sz w:val="8"/>
          <w:szCs w:val="8"/>
          <w:color w:val="auto"/>
        </w:rPr>
        <w:t>(8)(13)(19)</w:t>
      </w:r>
    </w:p>
    <w:p>
      <w:pPr>
        <w:spacing w:after="0"/>
        <w:rPr>
          <w:sz w:val="20"/>
          <w:szCs w:val="20"/>
          <w:color w:val="auto"/>
        </w:rPr>
      </w:pPr>
      <w:r>
        <w:rPr>
          <w:rFonts w:ascii="Arial" w:cs="Arial" w:eastAsia="Arial" w:hAnsi="Arial"/>
          <w:sz w:val="13"/>
          <w:szCs w:val="13"/>
          <w:color w:val="auto"/>
        </w:rPr>
        <w:t>Ravn Air Group, Inc.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Aerospace and Defense</w:t>
      </w:r>
    </w:p>
    <w:p>
      <w:pPr>
        <w:spacing w:after="0" w:line="147" w:lineRule="exact"/>
        <w:rPr>
          <w:sz w:val="20"/>
          <w:szCs w:val="20"/>
          <w:color w:val="auto"/>
        </w:rPr>
      </w:pPr>
    </w:p>
    <w:p>
      <w:pPr>
        <w:ind w:left="2640"/>
        <w:spacing w:after="0"/>
        <w:rPr>
          <w:sz w:val="20"/>
          <w:szCs w:val="20"/>
          <w:color w:val="auto"/>
        </w:rPr>
      </w:pPr>
      <w:r>
        <w:rPr>
          <w:rFonts w:ascii="Arial" w:cs="Arial" w:eastAsia="Arial" w:hAnsi="Arial"/>
          <w:sz w:val="8"/>
          <w:szCs w:val="8"/>
          <w:color w:val="auto"/>
        </w:rPr>
        <w:t>(8)(13)(19)</w:t>
      </w:r>
    </w:p>
    <w:p>
      <w:pPr>
        <w:spacing w:after="0"/>
        <w:rPr>
          <w:sz w:val="20"/>
          <w:szCs w:val="20"/>
          <w:color w:val="auto"/>
        </w:rPr>
      </w:pPr>
      <w:r>
        <w:rPr>
          <w:rFonts w:ascii="Arial" w:cs="Arial" w:eastAsia="Arial" w:hAnsi="Arial"/>
          <w:sz w:val="13"/>
          <w:szCs w:val="13"/>
          <w:color w:val="auto"/>
        </w:rPr>
        <w:t>Roscoe Investors, LLC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147" w:lineRule="exact"/>
        <w:rPr>
          <w:sz w:val="20"/>
          <w:szCs w:val="20"/>
          <w:color w:val="auto"/>
        </w:rPr>
      </w:pPr>
    </w:p>
    <w:p>
      <w:pPr>
        <w:ind w:left="2640"/>
        <w:spacing w:after="0"/>
        <w:rPr>
          <w:sz w:val="20"/>
          <w:szCs w:val="20"/>
          <w:color w:val="auto"/>
        </w:rPr>
      </w:pPr>
      <w:r>
        <w:rPr>
          <w:rFonts w:ascii="Arial" w:cs="Arial" w:eastAsia="Arial" w:hAnsi="Arial"/>
          <w:sz w:val="8"/>
          <w:szCs w:val="8"/>
          <w:color w:val="auto"/>
        </w:rPr>
        <w:t>(8)(13)(19)</w:t>
      </w:r>
    </w:p>
    <w:p>
      <w:pPr>
        <w:ind w:left="160" w:right="1360" w:hanging="157"/>
        <w:spacing w:after="0" w:line="303" w:lineRule="auto"/>
        <w:rPr>
          <w:sz w:val="20"/>
          <w:szCs w:val="20"/>
          <w:color w:val="auto"/>
        </w:rPr>
      </w:pPr>
      <w:r>
        <w:rPr>
          <w:rFonts w:ascii="Arial" w:cs="Arial" w:eastAsia="Arial" w:hAnsi="Arial"/>
          <w:sz w:val="12"/>
          <w:szCs w:val="12"/>
          <w:color w:val="auto"/>
        </w:rPr>
        <w:t>Safety Services Holdings Corporation, Services: Business</w:t>
      </w:r>
    </w:p>
    <w:p>
      <w:pPr>
        <w:spacing w:after="0" w:line="100" w:lineRule="exact"/>
        <w:rPr>
          <w:sz w:val="20"/>
          <w:szCs w:val="20"/>
          <w:color w:val="auto"/>
        </w:rPr>
      </w:pPr>
    </w:p>
    <w:p>
      <w:pPr>
        <w:ind w:left="2640"/>
        <w:spacing w:after="0"/>
        <w:rPr>
          <w:sz w:val="20"/>
          <w:szCs w:val="20"/>
          <w:color w:val="auto"/>
        </w:rPr>
      </w:pPr>
      <w:r>
        <w:rPr>
          <w:rFonts w:ascii="Arial" w:cs="Arial" w:eastAsia="Arial" w:hAnsi="Arial"/>
          <w:sz w:val="8"/>
          <w:szCs w:val="8"/>
          <w:color w:val="auto"/>
        </w:rPr>
        <w:t>(8)(13)(19)(25)</w:t>
      </w:r>
    </w:p>
    <w:p>
      <w:pPr>
        <w:spacing w:after="0"/>
        <w:rPr>
          <w:sz w:val="20"/>
          <w:szCs w:val="20"/>
          <w:color w:val="auto"/>
        </w:rPr>
      </w:pPr>
      <w:r>
        <w:rPr>
          <w:rFonts w:ascii="Arial" w:cs="Arial" w:eastAsia="Arial" w:hAnsi="Arial"/>
          <w:sz w:val="13"/>
          <w:szCs w:val="13"/>
          <w:color w:val="auto"/>
        </w:rPr>
        <w:t>Surge Busy Bee Holdings LLC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8"/>
          <w:szCs w:val="8"/>
          <w:color w:val="auto"/>
        </w:rPr>
        <w:t>(8)(13)(18)(19)(25)</w:t>
      </w:r>
    </w:p>
    <w:p>
      <w:pPr>
        <w:spacing w:after="0"/>
        <w:rPr>
          <w:sz w:val="20"/>
          <w:szCs w:val="20"/>
          <w:color w:val="auto"/>
        </w:rPr>
      </w:pPr>
      <w:r>
        <w:rPr>
          <w:rFonts w:ascii="Arial" w:cs="Arial" w:eastAsia="Arial" w:hAnsi="Arial"/>
          <w:sz w:val="13"/>
          <w:szCs w:val="13"/>
          <w:color w:val="auto"/>
        </w:rPr>
        <w:t>Surge Hippodrome Holdings LLC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8"/>
          <w:szCs w:val="8"/>
          <w:color w:val="auto"/>
        </w:rPr>
        <w:t>(8)(13)(18)(19)(25)</w:t>
      </w:r>
    </w:p>
    <w:p>
      <w:pPr>
        <w:spacing w:after="0"/>
        <w:rPr>
          <w:sz w:val="20"/>
          <w:szCs w:val="20"/>
          <w:color w:val="auto"/>
        </w:rPr>
      </w:pPr>
      <w:r>
        <w:rPr>
          <w:rFonts w:ascii="Arial" w:cs="Arial" w:eastAsia="Arial" w:hAnsi="Arial"/>
          <w:sz w:val="13"/>
          <w:szCs w:val="13"/>
          <w:color w:val="auto"/>
        </w:rPr>
        <w:t>Surge Hippodrome Partners LP</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147" w:lineRule="exact"/>
        <w:rPr>
          <w:sz w:val="20"/>
          <w:szCs w:val="20"/>
          <w:color w:val="auto"/>
        </w:rPr>
      </w:pPr>
    </w:p>
    <w:p>
      <w:pPr>
        <w:ind w:left="2640"/>
        <w:spacing w:after="0"/>
        <w:rPr>
          <w:sz w:val="20"/>
          <w:szCs w:val="20"/>
          <w:color w:val="auto"/>
        </w:rPr>
      </w:pPr>
      <w:r>
        <w:rPr>
          <w:rFonts w:ascii="Arial" w:cs="Arial" w:eastAsia="Arial" w:hAnsi="Arial"/>
          <w:sz w:val="8"/>
          <w:szCs w:val="8"/>
          <w:color w:val="auto"/>
        </w:rPr>
        <w:t>(8)(9)(13)(19)</w:t>
      </w:r>
    </w:p>
    <w:p>
      <w:pPr>
        <w:ind w:left="160" w:right="1260" w:hanging="157"/>
        <w:spacing w:after="0" w:line="261" w:lineRule="auto"/>
        <w:rPr>
          <w:sz w:val="20"/>
          <w:szCs w:val="20"/>
          <w:color w:val="auto"/>
        </w:rPr>
      </w:pPr>
      <w:r>
        <w:rPr>
          <w:rFonts w:ascii="Arial" w:cs="Arial" w:eastAsia="Arial" w:hAnsi="Arial"/>
          <w:sz w:val="13"/>
          <w:szCs w:val="13"/>
          <w:color w:val="auto"/>
        </w:rPr>
        <w:t>Tank Partners Equipment Holdings LLC Energy: Oil &amp; Gas</w:t>
      </w:r>
    </w:p>
    <w:p>
      <w:pPr>
        <w:spacing w:after="0" w:line="217" w:lineRule="exact"/>
        <w:rPr>
          <w:sz w:val="20"/>
          <w:szCs w:val="20"/>
          <w:color w:val="auto"/>
        </w:rPr>
      </w:pPr>
    </w:p>
    <w:p>
      <w:pPr>
        <w:ind w:left="2640"/>
        <w:spacing w:after="0"/>
        <w:rPr>
          <w:sz w:val="20"/>
          <w:szCs w:val="20"/>
          <w:color w:val="auto"/>
        </w:rPr>
      </w:pPr>
      <w:r>
        <w:rPr>
          <w:rFonts w:ascii="Arial" w:cs="Arial" w:eastAsia="Arial" w:hAnsi="Arial"/>
          <w:sz w:val="8"/>
          <w:szCs w:val="8"/>
          <w:color w:val="auto"/>
        </w:rPr>
        <w:t>(8)(13)(19)</w:t>
      </w:r>
    </w:p>
    <w:p>
      <w:pPr>
        <w:spacing w:after="0"/>
        <w:rPr>
          <w:sz w:val="20"/>
          <w:szCs w:val="20"/>
          <w:color w:val="auto"/>
        </w:rPr>
      </w:pPr>
      <w:r>
        <w:rPr>
          <w:rFonts w:ascii="Arial" w:cs="Arial" w:eastAsia="Arial" w:hAnsi="Arial"/>
          <w:sz w:val="13"/>
          <w:szCs w:val="13"/>
          <w:color w:val="auto"/>
        </w:rPr>
        <w:t>TRSO II, Inc.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Energy: Oil &amp; Gas</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8"/>
          <w:szCs w:val="8"/>
          <w:color w:val="auto"/>
        </w:rPr>
        <w:t>(8)(13)(18)(19)(25)</w:t>
      </w:r>
    </w:p>
    <w:p>
      <w:pPr>
        <w:jc w:val="right"/>
        <w:ind w:right="2160"/>
        <w:spacing w:after="0"/>
        <w:rPr>
          <w:sz w:val="20"/>
          <w:szCs w:val="20"/>
          <w:color w:val="auto"/>
        </w:rPr>
      </w:pPr>
      <w:r>
        <w:rPr>
          <w:rFonts w:ascii="Arial" w:cs="Arial" w:eastAsia="Arial" w:hAnsi="Arial"/>
          <w:sz w:val="12"/>
          <w:szCs w:val="12"/>
          <w:color w:val="auto"/>
        </w:rPr>
        <w:t>VTK Acquisition, Inc.</w:t>
      </w:r>
    </w:p>
    <w:p>
      <w:pPr>
        <w:spacing w:after="0" w:line="14" w:lineRule="exact"/>
        <w:rPr>
          <w:sz w:val="20"/>
          <w:szCs w:val="20"/>
          <w:color w:val="auto"/>
        </w:rPr>
      </w:pPr>
    </w:p>
    <w:p>
      <w:pPr>
        <w:jc w:val="right"/>
        <w:ind w:right="2200"/>
        <w:spacing w:after="0"/>
        <w:rPr>
          <w:sz w:val="20"/>
          <w:szCs w:val="20"/>
          <w:color w:val="auto"/>
        </w:rPr>
      </w:pPr>
      <w:r>
        <w:rPr>
          <w:rFonts w:ascii="Arial" w:cs="Arial" w:eastAsia="Arial" w:hAnsi="Arial"/>
          <w:sz w:val="13"/>
          <w:szCs w:val="13"/>
          <w:color w:val="auto"/>
        </w:rPr>
        <w:t>Capital Equipment</w:t>
      </w:r>
    </w:p>
    <w:p>
      <w:pPr>
        <w:spacing w:after="0" w:line="147" w:lineRule="exact"/>
        <w:rPr>
          <w:sz w:val="20"/>
          <w:szCs w:val="20"/>
          <w:color w:val="auto"/>
        </w:rPr>
      </w:pPr>
    </w:p>
    <w:p>
      <w:pPr>
        <w:ind w:left="2640"/>
        <w:spacing w:after="0"/>
        <w:rPr>
          <w:sz w:val="20"/>
          <w:szCs w:val="20"/>
          <w:color w:val="auto"/>
        </w:rPr>
      </w:pPr>
      <w:r>
        <w:rPr>
          <w:rFonts w:ascii="Arial" w:cs="Arial" w:eastAsia="Arial" w:hAnsi="Arial"/>
          <w:sz w:val="8"/>
          <w:szCs w:val="8"/>
          <w:color w:val="auto"/>
        </w:rPr>
        <w:t>(13)(19)</w:t>
      </w:r>
    </w:p>
    <w:p>
      <w:pPr>
        <w:spacing w:after="0"/>
        <w:rPr>
          <w:sz w:val="20"/>
          <w:szCs w:val="20"/>
          <w:color w:val="auto"/>
        </w:rPr>
      </w:pPr>
      <w:r>
        <w:rPr>
          <w:rFonts w:ascii="Arial" w:cs="Arial" w:eastAsia="Arial" w:hAnsi="Arial"/>
          <w:sz w:val="13"/>
          <w:szCs w:val="13"/>
          <w:color w:val="auto"/>
        </w:rPr>
        <w:t>World Business Lenders, LLC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Banking, Finance, Insurance &amp; Real Estate</w:t>
      </w:r>
    </w:p>
    <w:p>
      <w:pPr>
        <w:spacing w:after="0" w:line="238" w:lineRule="exact"/>
        <w:rPr>
          <w:sz w:val="20"/>
          <w:szCs w:val="20"/>
          <w:color w:val="auto"/>
        </w:rPr>
      </w:pPr>
    </w:p>
    <w:p>
      <w:pPr>
        <w:ind w:left="160" w:right="1240" w:hanging="157"/>
        <w:spacing w:after="0" w:line="440" w:lineRule="auto"/>
        <w:rPr>
          <w:sz w:val="20"/>
          <w:szCs w:val="20"/>
          <w:color w:val="auto"/>
        </w:rPr>
      </w:pPr>
      <w:r>
        <w:rPr>
          <w:rFonts w:ascii="Arial" w:cs="Arial" w:eastAsia="Arial" w:hAnsi="Arial"/>
          <w:sz w:val="10"/>
          <w:szCs w:val="10"/>
          <w:b w:val="1"/>
          <w:bCs w:val="1"/>
          <w:color w:val="auto"/>
        </w:rPr>
        <w:t>Total Investment in Equity Securities (8% of net asset value at fair value)</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6"/>
          <w:szCs w:val="16"/>
          <w:b w:val="1"/>
          <w:bCs w:val="1"/>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11233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Common Stock</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color w:val="auto"/>
        </w:rPr>
        <w:t>Common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color w:val="auto"/>
        </w:rPr>
        <w:t>Preferred Stock</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Warrants</w:t>
      </w:r>
    </w:p>
    <w:p>
      <w:pPr>
        <w:spacing w:after="0" w:line="391" w:lineRule="exact"/>
        <w:rPr>
          <w:sz w:val="20"/>
          <w:szCs w:val="20"/>
          <w:color w:val="auto"/>
        </w:rPr>
      </w:pPr>
    </w:p>
    <w:p>
      <w:pPr>
        <w:jc w:val="center"/>
        <w:ind w:right="160"/>
        <w:spacing w:after="0"/>
        <w:rPr>
          <w:sz w:val="20"/>
          <w:szCs w:val="20"/>
          <w:color w:val="auto"/>
        </w:rPr>
      </w:pPr>
      <w:r>
        <w:rPr>
          <w:rFonts w:ascii="Arial" w:cs="Arial" w:eastAsia="Arial" w:hAnsi="Arial"/>
          <w:sz w:val="10"/>
          <w:szCs w:val="10"/>
          <w:color w:val="auto"/>
        </w:rPr>
        <w:t>Class B Preferred Units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0"/>
          <w:szCs w:val="10"/>
          <w:color w:val="auto"/>
        </w:rPr>
        <w:t>Class B Membership Units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Class A Units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Preferred Stock</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Warrants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Warrants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Common Stock</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Class A Units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Common Stock</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Common Stock</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162"/>
        </w:trPr>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4"/>
              </w:rPr>
              <w:t>Initial</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6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Arial" w:cs="Arial" w:eastAsia="Arial" w:hAnsi="Arial"/>
                <w:sz w:val="13"/>
                <w:szCs w:val="13"/>
                <w:b w:val="1"/>
                <w:bCs w:val="1"/>
                <w:color w:val="auto"/>
              </w:rPr>
              <w:t>Quantity/Par/Shares</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1080" w:type="dxa"/>
            <w:vAlign w:val="bottom"/>
          </w:tcPr>
          <w:p>
            <w:pPr>
              <w:jc w:val="right"/>
              <w:spacing w:after="0"/>
              <w:rPr>
                <w:sz w:val="20"/>
                <w:szCs w:val="20"/>
                <w:color w:val="auto"/>
              </w:rPr>
            </w:pPr>
            <w:r>
              <w:rPr>
                <w:rFonts w:ascii="Arial" w:cs="Arial" w:eastAsia="Arial" w:hAnsi="Arial"/>
                <w:sz w:val="13"/>
                <w:szCs w:val="13"/>
                <w:color w:val="auto"/>
              </w:rPr>
              <w:t>6/9/2021</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250,000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1,264,409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1,240,000</w:t>
            </w:r>
          </w:p>
        </w:tc>
        <w:tc>
          <w:tcPr>
            <w:tcW w:w="0" w:type="dxa"/>
            <w:vAlign w:val="bottom"/>
          </w:tcPr>
          <w:p>
            <w:pPr>
              <w:spacing w:after="0"/>
              <w:rPr>
                <w:sz w:val="1"/>
                <w:szCs w:val="1"/>
                <w:color w:val="auto"/>
              </w:rPr>
            </w:pPr>
          </w:p>
        </w:tc>
      </w:tr>
      <w:tr>
        <w:trPr>
          <w:trHeight w:val="702"/>
        </w:trPr>
        <w:tc>
          <w:tcPr>
            <w:tcW w:w="1080" w:type="dxa"/>
            <w:vAlign w:val="bottom"/>
          </w:tcPr>
          <w:p>
            <w:pPr>
              <w:jc w:val="right"/>
              <w:spacing w:after="0"/>
              <w:rPr>
                <w:sz w:val="20"/>
                <w:szCs w:val="20"/>
                <w:color w:val="auto"/>
              </w:rPr>
            </w:pPr>
            <w:r>
              <w:rPr>
                <w:rFonts w:ascii="Arial" w:cs="Arial" w:eastAsia="Arial" w:hAnsi="Arial"/>
                <w:sz w:val="13"/>
                <w:szCs w:val="13"/>
                <w:color w:val="auto"/>
              </w:rPr>
              <w:t>10/7/2014</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29,699</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1,953,299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6/9/2021</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2,368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3/31/2019</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912,865</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278,865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264,731</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10/30/2020</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1,172</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247,543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71,223</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3/26/2014</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10,000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1,000,000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483,000</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6/9/2021</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100,000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43,334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6/9/2021</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105</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62,571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6/9/2021</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159,322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180,000</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6/9/2021</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176</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357,029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8/28/2014</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49,000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6,228,000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34"/>
        </w:trPr>
        <w:tc>
          <w:tcPr>
            <w:tcW w:w="1080" w:type="dxa"/>
            <w:vAlign w:val="bottom"/>
          </w:tcPr>
          <w:p>
            <w:pPr>
              <w:jc w:val="right"/>
              <w:spacing w:after="0"/>
              <w:rPr>
                <w:sz w:val="20"/>
                <w:szCs w:val="20"/>
                <w:color w:val="auto"/>
              </w:rPr>
            </w:pPr>
            <w:r>
              <w:rPr>
                <w:rFonts w:ascii="Arial" w:cs="Arial" w:eastAsia="Arial" w:hAnsi="Arial"/>
                <w:sz w:val="13"/>
                <w:szCs w:val="13"/>
                <w:color w:val="auto"/>
              </w:rPr>
              <w:t>12/24/2012</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1,228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420,289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6/9/2021</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250,959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490,000</w:t>
            </w:r>
          </w:p>
        </w:tc>
        <w:tc>
          <w:tcPr>
            <w:tcW w:w="0" w:type="dxa"/>
            <w:vAlign w:val="bottom"/>
          </w:tcPr>
          <w:p>
            <w:pPr>
              <w:spacing w:after="0"/>
              <w:rPr>
                <w:sz w:val="1"/>
                <w:szCs w:val="1"/>
                <w:color w:val="auto"/>
              </w:rPr>
            </w:pPr>
          </w:p>
        </w:tc>
      </w:tr>
      <w:tr>
        <w:trPr>
          <w:trHeight w:val="540"/>
        </w:trPr>
        <w:tc>
          <w:tcPr>
            <w:tcW w:w="1080" w:type="dxa"/>
            <w:vAlign w:val="bottom"/>
          </w:tcPr>
          <w:p>
            <w:pPr>
              <w:jc w:val="right"/>
              <w:spacing w:after="0"/>
              <w:rPr>
                <w:sz w:val="20"/>
                <w:szCs w:val="20"/>
                <w:color w:val="auto"/>
              </w:rPr>
            </w:pPr>
            <w:r>
              <w:rPr>
                <w:rFonts w:ascii="Arial" w:cs="Arial" w:eastAsia="Arial" w:hAnsi="Arial"/>
                <w:sz w:val="13"/>
                <w:szCs w:val="13"/>
                <w:color w:val="auto"/>
              </w:rPr>
              <w:t>6/9/2021</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49,209</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12,089,855</w:t>
            </w:r>
          </w:p>
        </w:tc>
        <w:tc>
          <w:tcPr>
            <w:tcW w:w="140" w:type="dxa"/>
            <w:vAlign w:val="bottom"/>
          </w:tcPr>
          <w:p>
            <w:pPr>
              <w:spacing w:after="0"/>
              <w:rPr>
                <w:sz w:val="24"/>
                <w:szCs w:val="24"/>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29,041,687</w:t>
            </w:r>
          </w:p>
        </w:tc>
        <w:tc>
          <w:tcPr>
            <w:tcW w:w="140" w:type="dxa"/>
            <w:vAlign w:val="bottom"/>
          </w:tcPr>
          <w:p>
            <w:pPr>
              <w:spacing w:after="0"/>
              <w:rPr>
                <w:sz w:val="24"/>
                <w:szCs w:val="24"/>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22,298,759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-5537200</wp:posOffset>
            </wp:positionV>
            <wp:extent cx="7132320" cy="2228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-5194300</wp:posOffset>
            </wp:positionV>
            <wp:extent cx="7132320" cy="3257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-4748530</wp:posOffset>
            </wp:positionV>
            <wp:extent cx="7132320" cy="2228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-4405630</wp:posOffset>
            </wp:positionV>
            <wp:extent cx="7132320" cy="2228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-4062730</wp:posOffset>
            </wp:positionV>
            <wp:extent cx="7132320" cy="2228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-3719830</wp:posOffset>
            </wp:positionV>
            <wp:extent cx="7132320" cy="2228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-3376930</wp:posOffset>
            </wp:positionV>
            <wp:extent cx="7132320" cy="2228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-3034030</wp:posOffset>
            </wp:positionV>
            <wp:extent cx="7132320" cy="2228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-2691130</wp:posOffset>
            </wp:positionV>
            <wp:extent cx="7132320" cy="2228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-2348230</wp:posOffset>
            </wp:positionV>
            <wp:extent cx="7132320" cy="2228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-2005330</wp:posOffset>
            </wp:positionV>
            <wp:extent cx="7132320" cy="2228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-1662430</wp:posOffset>
            </wp:positionV>
            <wp:extent cx="7132320" cy="2228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-1259205</wp:posOffset>
            </wp:positionV>
            <wp:extent cx="7132320" cy="2228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-916940</wp:posOffset>
            </wp:positionV>
            <wp:extent cx="7132320" cy="2228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-574040</wp:posOffset>
            </wp:positionV>
            <wp:extent cx="7132320" cy="2228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-222250</wp:posOffset>
            </wp:positionV>
            <wp:extent cx="7132320" cy="2228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3300" w:space="480"/>
            <w:col w:w="1360" w:space="380"/>
            <w:col w:w="5700"/>
          </w:cols>
          <w:pgMar w:left="340" w:top="810"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CLO Subordinated Investments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5"/>
          </w:tcPr>
          <w:p>
            <w:pPr>
              <w:jc w:val="center"/>
              <w:ind w:right="160"/>
              <w:spacing w:after="0" w:line="157" w:lineRule="exact"/>
              <w:rPr>
                <w:sz w:val="20"/>
                <w:szCs w:val="20"/>
                <w:color w:val="auto"/>
              </w:rPr>
            </w:pPr>
            <w:r>
              <w:rPr>
                <w:rFonts w:ascii="Arial" w:cs="Arial" w:eastAsia="Arial" w:hAnsi="Arial"/>
                <w:sz w:val="14"/>
                <w:szCs w:val="14"/>
                <w:b w:val="1"/>
                <w:bCs w:val="1"/>
                <w:color w:val="auto"/>
                <w:w w:val="91"/>
              </w:rPr>
              <w:t>Acquisition</w:t>
            </w:r>
          </w:p>
        </w:tc>
        <w:tc>
          <w:tcPr>
            <w:tcW w:w="20" w:type="dxa"/>
            <w:vAlign w:val="bottom"/>
          </w:tcPr>
          <w:p>
            <w:pPr>
              <w:spacing w:after="0"/>
              <w:rPr>
                <w:sz w:val="13"/>
                <w:szCs w:val="13"/>
                <w:color w:val="auto"/>
              </w:rPr>
            </w:pPr>
          </w:p>
        </w:tc>
        <w:tc>
          <w:tcPr>
            <w:tcW w:w="1080" w:type="dxa"/>
            <w:vAlign w:val="bottom"/>
          </w:tcPr>
          <w:p>
            <w:pPr>
              <w:ind w:left="100"/>
              <w:spacing w:after="0" w:line="157" w:lineRule="exact"/>
              <w:rPr>
                <w:sz w:val="20"/>
                <w:szCs w:val="20"/>
                <w:color w:val="auto"/>
              </w:rPr>
            </w:pPr>
            <w:r>
              <w:rPr>
                <w:rFonts w:ascii="Arial" w:cs="Arial" w:eastAsia="Arial" w:hAnsi="Arial"/>
                <w:sz w:val="14"/>
                <w:szCs w:val="14"/>
                <w:b w:val="1"/>
                <w:bCs w:val="1"/>
                <w:color w:val="auto"/>
              </w:rPr>
              <w:t>Percentage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168"/>
              <w:spacing w:after="0" w:line="157" w:lineRule="exact"/>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228"/>
              <w:spacing w:after="0" w:line="157"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17"/>
        </w:trPr>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94"/>
              </w:rPr>
              <w:t>Portfolio Company</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tcPr>
          <w:p>
            <w:pPr>
              <w:jc w:val="center"/>
              <w:spacing w:after="0" w:line="217" w:lineRule="exact"/>
              <w:rPr>
                <w:sz w:val="20"/>
                <w:szCs w:val="20"/>
                <w:color w:val="auto"/>
              </w:rPr>
            </w:pPr>
            <w:r>
              <w:rPr>
                <w:rFonts w:ascii="Arial" w:cs="Arial" w:eastAsia="Arial" w:hAnsi="Arial"/>
                <w:sz w:val="14"/>
                <w:szCs w:val="14"/>
                <w:b w:val="1"/>
                <w:bCs w:val="1"/>
                <w:color w:val="auto"/>
                <w:w w:val="85"/>
              </w:rPr>
              <w:t>Investment</w:t>
            </w:r>
            <w:r>
              <w:rPr>
                <w:rFonts w:ascii="Arial" w:cs="Arial" w:eastAsia="Arial" w:hAnsi="Arial"/>
                <w:sz w:val="19"/>
                <w:szCs w:val="19"/>
                <w:b w:val="1"/>
                <w:bCs w:val="1"/>
                <w:color w:val="auto"/>
                <w:w w:val="85"/>
                <w:vertAlign w:val="superscript"/>
              </w:rPr>
              <w:t>15,11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18"/>
                <w:szCs w:val="18"/>
                <w:color w:val="auto"/>
              </w:rPr>
            </w:pPr>
          </w:p>
        </w:tc>
        <w:tc>
          <w:tcPr>
            <w:tcW w:w="1080" w:type="dxa"/>
            <w:vAlign w:val="bottom"/>
          </w:tcPr>
          <w:p>
            <w:pPr>
              <w:ind w:left="100"/>
              <w:spacing w:after="0"/>
              <w:rPr>
                <w:sz w:val="20"/>
                <w:szCs w:val="20"/>
                <w:color w:val="auto"/>
              </w:rPr>
            </w:pPr>
            <w:r>
              <w:rPr>
                <w:rFonts w:ascii="Arial" w:cs="Arial" w:eastAsia="Arial" w:hAnsi="Arial"/>
                <w:sz w:val="14"/>
                <w:szCs w:val="14"/>
                <w:b w:val="1"/>
                <w:bCs w:val="1"/>
                <w:color w:val="auto"/>
              </w:rPr>
              <w:t>Ownership</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188"/>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248"/>
              <w:spacing w:after="0" w:line="217" w:lineRule="exact"/>
              <w:rPr>
                <w:sz w:val="20"/>
                <w:szCs w:val="20"/>
                <w:color w:val="auto"/>
              </w:rPr>
            </w:pPr>
            <w:r>
              <w:rPr>
                <w:rFonts w:ascii="Arial" w:cs="Arial" w:eastAsia="Arial" w:hAnsi="Arial"/>
                <w:sz w:val="14"/>
                <w:szCs w:val="14"/>
                <w:b w:val="1"/>
                <w:bCs w:val="1"/>
                <w:color w:val="auto"/>
                <w:w w:val="89"/>
              </w:rPr>
              <w:t>Value</w:t>
            </w:r>
            <w:r>
              <w:rPr>
                <w:rFonts w:ascii="Arial" w:cs="Arial" w:eastAsia="Arial" w:hAnsi="Arial"/>
                <w:sz w:val="19"/>
                <w:szCs w:val="19"/>
                <w:b w:val="1"/>
                <w:bCs w:val="1"/>
                <w:color w:val="auto"/>
                <w:w w:val="89"/>
                <w:vertAlign w:val="superscript"/>
              </w:rPr>
              <w:t>2</w:t>
            </w:r>
          </w:p>
        </w:tc>
        <w:tc>
          <w:tcPr>
            <w:tcW w:w="0" w:type="dxa"/>
            <w:vAlign w:val="bottom"/>
          </w:tcPr>
          <w:p>
            <w:pPr>
              <w:spacing w:after="0"/>
              <w:rPr>
                <w:sz w:val="1"/>
                <w:szCs w:val="1"/>
                <w:color w:val="auto"/>
              </w:rPr>
            </w:pPr>
          </w:p>
        </w:tc>
      </w:tr>
      <w:tr>
        <w:trPr>
          <w:trHeight w:val="177"/>
        </w:trPr>
        <w:tc>
          <w:tcPr>
            <w:tcW w:w="3160" w:type="dxa"/>
            <w:vAlign w:val="bottom"/>
            <w:tcBorders>
              <w:top w:val="single" w:sz="8" w:color="auto"/>
            </w:tcBorders>
            <w:shd w:val="clear" w:color="auto" w:fill="CFF0FC"/>
          </w:tcPr>
          <w:p>
            <w:pPr>
              <w:ind w:left="20"/>
              <w:spacing w:after="0" w:line="177" w:lineRule="exact"/>
              <w:rPr>
                <w:sz w:val="20"/>
                <w:szCs w:val="20"/>
                <w:color w:val="auto"/>
              </w:rPr>
            </w:pPr>
            <w:r>
              <w:rPr>
                <w:rFonts w:ascii="Arial" w:cs="Arial" w:eastAsia="Arial" w:hAnsi="Arial"/>
                <w:sz w:val="14"/>
                <w:szCs w:val="14"/>
                <w:color w:val="auto"/>
              </w:rPr>
              <w:t>Catamaran CLO 2013- 1 Ltd.</w:t>
            </w:r>
            <w:r>
              <w:rPr>
                <w:rFonts w:ascii="Arial" w:cs="Arial" w:eastAsia="Arial" w:hAnsi="Arial"/>
                <w:sz w:val="19"/>
                <w:szCs w:val="19"/>
                <w:color w:val="auto"/>
                <w:vertAlign w:val="superscript"/>
              </w:rPr>
              <w:t>(3)(13)</w:t>
            </w:r>
          </w:p>
        </w:tc>
        <w:tc>
          <w:tcPr>
            <w:tcW w:w="140" w:type="dxa"/>
            <w:vAlign w:val="bottom"/>
            <w:shd w:val="clear" w:color="auto" w:fill="CFF0FC"/>
          </w:tcPr>
          <w:p>
            <w:pPr>
              <w:spacing w:after="0"/>
              <w:rPr>
                <w:sz w:val="15"/>
                <w:szCs w:val="15"/>
                <w:color w:val="auto"/>
              </w:rPr>
            </w:pPr>
          </w:p>
        </w:tc>
        <w:tc>
          <w:tcPr>
            <w:tcW w:w="2720" w:type="dxa"/>
            <w:vAlign w:val="bottom"/>
            <w:tcBorders>
              <w:top w:val="single" w:sz="8" w:color="auto"/>
            </w:tcBorders>
            <w:gridSpan w:val="2"/>
            <w:shd w:val="clear" w:color="auto" w:fill="CFF0FC"/>
          </w:tcPr>
          <w:p>
            <w:pPr>
              <w:ind w:left="20"/>
              <w:spacing w:after="0"/>
              <w:rPr>
                <w:sz w:val="20"/>
                <w:szCs w:val="20"/>
                <w:color w:val="auto"/>
              </w:rPr>
            </w:pPr>
            <w:r>
              <w:rPr>
                <w:rFonts w:ascii="Arial" w:cs="Arial" w:eastAsia="Arial" w:hAnsi="Arial"/>
                <w:sz w:val="14"/>
                <w:szCs w:val="14"/>
                <w:color w:val="auto"/>
              </w:rPr>
              <w:t>Subordinated Securities, effective interest</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spacing w:after="0"/>
              <w:rPr>
                <w:sz w:val="15"/>
                <w:szCs w:val="15"/>
                <w:color w:val="auto"/>
              </w:rPr>
            </w:pPr>
          </w:p>
        </w:tc>
        <w:tc>
          <w:tcPr>
            <w:tcW w:w="2860" w:type="dxa"/>
            <w:vAlign w:val="bottom"/>
            <w:gridSpan w:val="3"/>
            <w:shd w:val="clear" w:color="auto" w:fill="CFF0FC"/>
          </w:tcPr>
          <w:p>
            <w:pPr>
              <w:ind w:left="160"/>
              <w:spacing w:after="0"/>
              <w:rPr>
                <w:sz w:val="20"/>
                <w:szCs w:val="20"/>
                <w:color w:val="auto"/>
              </w:rPr>
            </w:pPr>
            <w:r>
              <w:rPr>
                <w:rFonts w:ascii="Arial" w:cs="Arial" w:eastAsia="Arial" w:hAnsi="Arial"/>
                <w:sz w:val="14"/>
                <w:szCs w:val="14"/>
                <w:color w:val="auto"/>
              </w:rPr>
              <w:t>8.0%,</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7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1/28 maturity</w:t>
            </w:r>
          </w:p>
        </w:tc>
        <w:tc>
          <w:tcPr>
            <w:tcW w:w="1260" w:type="dxa"/>
            <w:vAlign w:val="bottom"/>
            <w:gridSpan w:val="5"/>
            <w:shd w:val="clear" w:color="auto" w:fill="CFF0FC"/>
          </w:tcPr>
          <w:p>
            <w:pPr>
              <w:jc w:val="right"/>
              <w:ind w:right="20"/>
              <w:spacing w:after="0"/>
              <w:rPr>
                <w:sz w:val="20"/>
                <w:szCs w:val="20"/>
                <w:color w:val="auto"/>
              </w:rPr>
            </w:pPr>
            <w:r>
              <w:rPr>
                <w:rFonts w:ascii="Arial" w:cs="Arial" w:eastAsia="Arial" w:hAnsi="Arial"/>
                <w:sz w:val="14"/>
                <w:szCs w:val="14"/>
                <w:color w:val="auto"/>
              </w:rPr>
              <w:t>6/4/2013</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23.3 %</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5,695,114</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3,404,929</w:t>
            </w:r>
          </w:p>
        </w:tc>
        <w:tc>
          <w:tcPr>
            <w:tcW w:w="0" w:type="dxa"/>
            <w:vAlign w:val="bottom"/>
          </w:tcPr>
          <w:p>
            <w:pPr>
              <w:spacing w:after="0"/>
              <w:rPr>
                <w:sz w:val="1"/>
                <w:szCs w:val="1"/>
                <w:color w:val="auto"/>
              </w:rPr>
            </w:pPr>
          </w:p>
        </w:tc>
      </w:tr>
      <w:tr>
        <w:trPr>
          <w:trHeight w:val="184"/>
        </w:trPr>
        <w:tc>
          <w:tcPr>
            <w:tcW w:w="3160" w:type="dxa"/>
            <w:vAlign w:val="bottom"/>
          </w:tcPr>
          <w:p>
            <w:pPr>
              <w:ind w:left="20"/>
              <w:spacing w:after="0" w:line="183" w:lineRule="exact"/>
              <w:rPr>
                <w:sz w:val="20"/>
                <w:szCs w:val="20"/>
                <w:color w:val="auto"/>
              </w:rPr>
            </w:pPr>
            <w:r>
              <w:rPr>
                <w:rFonts w:ascii="Arial" w:cs="Arial" w:eastAsia="Arial" w:hAnsi="Arial"/>
                <w:sz w:val="14"/>
                <w:szCs w:val="14"/>
                <w:color w:val="auto"/>
              </w:rPr>
              <w:t>Catamaran CLO 2014-1 Ltd.</w:t>
            </w:r>
            <w:r>
              <w:rPr>
                <w:rFonts w:ascii="Arial" w:cs="Arial" w:eastAsia="Arial" w:hAnsi="Arial"/>
                <w:sz w:val="19"/>
                <w:szCs w:val="19"/>
                <w:color w:val="auto"/>
                <w:vertAlign w:val="superscript"/>
              </w:rPr>
              <w:t>(3)(13)</w:t>
            </w:r>
          </w:p>
        </w:tc>
        <w:tc>
          <w:tcPr>
            <w:tcW w:w="140" w:type="dxa"/>
            <w:vAlign w:val="bottom"/>
          </w:tcPr>
          <w:p>
            <w:pPr>
              <w:spacing w:after="0"/>
              <w:rPr>
                <w:sz w:val="15"/>
                <w:szCs w:val="15"/>
                <w:color w:val="auto"/>
              </w:rPr>
            </w:pP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Subordinated Securities, effective interest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2860" w:type="dxa"/>
            <w:vAlign w:val="bottom"/>
            <w:gridSpan w:val="3"/>
          </w:tcPr>
          <w:p>
            <w:pPr>
              <w:ind w:left="160"/>
              <w:spacing w:after="0"/>
              <w:rPr>
                <w:sz w:val="20"/>
                <w:szCs w:val="20"/>
                <w:color w:val="auto"/>
              </w:rPr>
            </w:pPr>
            <w:r>
              <w:rPr>
                <w:rFonts w:ascii="Arial" w:cs="Arial" w:eastAsia="Arial" w:hAnsi="Arial"/>
                <w:sz w:val="14"/>
                <w:szCs w:val="14"/>
                <w:color w:val="auto"/>
              </w:rPr>
              <w:t>5.5%,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4/30 maturity</w:t>
            </w:r>
          </w:p>
        </w:tc>
        <w:tc>
          <w:tcPr>
            <w:tcW w:w="1260" w:type="dxa"/>
            <w:vAlign w:val="bottom"/>
            <w:gridSpan w:val="5"/>
          </w:tcPr>
          <w:p>
            <w:pPr>
              <w:jc w:val="right"/>
              <w:ind w:right="20"/>
              <w:spacing w:after="0"/>
              <w:rPr>
                <w:sz w:val="20"/>
                <w:szCs w:val="20"/>
                <w:color w:val="auto"/>
              </w:rPr>
            </w:pPr>
            <w:r>
              <w:rPr>
                <w:rFonts w:ascii="Arial" w:cs="Arial" w:eastAsia="Arial" w:hAnsi="Arial"/>
                <w:sz w:val="14"/>
                <w:szCs w:val="14"/>
                <w:color w:val="auto"/>
              </w:rPr>
              <w:t>5/6/2014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22.2 %</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9,619,787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5,218,279</w:t>
            </w:r>
          </w:p>
        </w:tc>
        <w:tc>
          <w:tcPr>
            <w:tcW w:w="0" w:type="dxa"/>
            <w:vAlign w:val="bottom"/>
          </w:tcPr>
          <w:p>
            <w:pPr>
              <w:spacing w:after="0"/>
              <w:rPr>
                <w:sz w:val="1"/>
                <w:szCs w:val="1"/>
                <w:color w:val="auto"/>
              </w:rPr>
            </w:pPr>
          </w:p>
        </w:tc>
      </w:tr>
      <w:tr>
        <w:trPr>
          <w:trHeight w:val="190"/>
        </w:trPr>
        <w:tc>
          <w:tcPr>
            <w:tcW w:w="3160" w:type="dxa"/>
            <w:vAlign w:val="bottom"/>
            <w:shd w:val="clear" w:color="auto" w:fill="CFF0FC"/>
          </w:tcPr>
          <w:p>
            <w:pPr>
              <w:ind w:left="20"/>
              <w:spacing w:after="0" w:line="190" w:lineRule="exact"/>
              <w:rPr>
                <w:sz w:val="20"/>
                <w:szCs w:val="20"/>
                <w:color w:val="auto"/>
              </w:rPr>
            </w:pPr>
            <w:r>
              <w:rPr>
                <w:rFonts w:ascii="Arial" w:cs="Arial" w:eastAsia="Arial" w:hAnsi="Arial"/>
                <w:sz w:val="14"/>
                <w:szCs w:val="14"/>
                <w:color w:val="auto"/>
              </w:rPr>
              <w:t>Dryden 30 Senior Loan Fund</w:t>
            </w:r>
            <w:r>
              <w:rPr>
                <w:rFonts w:ascii="Arial" w:cs="Arial" w:eastAsia="Arial" w:hAnsi="Arial"/>
                <w:sz w:val="19"/>
                <w:szCs w:val="19"/>
                <w:color w:val="auto"/>
                <w:vertAlign w:val="superscript"/>
              </w:rPr>
              <w:t>(3)(13)</w:t>
            </w:r>
          </w:p>
        </w:tc>
        <w:tc>
          <w:tcPr>
            <w:tcW w:w="140" w:type="dxa"/>
            <w:vAlign w:val="bottom"/>
            <w:shd w:val="clear" w:color="auto" w:fill="CFF0FC"/>
          </w:tcPr>
          <w:p>
            <w:pPr>
              <w:spacing w:after="0"/>
              <w:rPr>
                <w:sz w:val="16"/>
                <w:szCs w:val="16"/>
                <w:color w:val="auto"/>
              </w:rPr>
            </w:pPr>
          </w:p>
        </w:tc>
        <w:tc>
          <w:tcPr>
            <w:tcW w:w="27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Subordinated Securities, effective interest</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spacing w:after="0"/>
              <w:rPr>
                <w:sz w:val="15"/>
                <w:szCs w:val="15"/>
                <w:color w:val="auto"/>
              </w:rPr>
            </w:pPr>
          </w:p>
        </w:tc>
        <w:tc>
          <w:tcPr>
            <w:tcW w:w="2860" w:type="dxa"/>
            <w:vAlign w:val="bottom"/>
            <w:gridSpan w:val="3"/>
            <w:shd w:val="clear" w:color="auto" w:fill="CFF0FC"/>
          </w:tcPr>
          <w:p>
            <w:pPr>
              <w:ind w:left="160"/>
              <w:spacing w:after="0"/>
              <w:rPr>
                <w:sz w:val="20"/>
                <w:szCs w:val="20"/>
                <w:color w:val="auto"/>
              </w:rPr>
            </w:pPr>
            <w:r>
              <w:rPr>
                <w:rFonts w:ascii="Arial" w:cs="Arial" w:eastAsia="Arial" w:hAnsi="Arial"/>
                <w:sz w:val="14"/>
                <w:szCs w:val="14"/>
                <w:color w:val="auto"/>
              </w:rPr>
              <w:t>20.5%,</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7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11/28 maturity</w:t>
            </w:r>
          </w:p>
        </w:tc>
        <w:tc>
          <w:tcPr>
            <w:tcW w:w="1260" w:type="dxa"/>
            <w:vAlign w:val="bottom"/>
            <w:gridSpan w:val="5"/>
            <w:shd w:val="clear" w:color="auto" w:fill="CFF0FC"/>
          </w:tcPr>
          <w:p>
            <w:pPr>
              <w:jc w:val="right"/>
              <w:ind w:right="20"/>
              <w:spacing w:after="0"/>
              <w:rPr>
                <w:sz w:val="20"/>
                <w:szCs w:val="20"/>
                <w:color w:val="auto"/>
              </w:rPr>
            </w:pPr>
            <w:r>
              <w:rPr>
                <w:rFonts w:ascii="Arial" w:cs="Arial" w:eastAsia="Arial" w:hAnsi="Arial"/>
                <w:sz w:val="14"/>
                <w:szCs w:val="14"/>
                <w:color w:val="auto"/>
              </w:rPr>
              <w:t>10/10/2013</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6.8 %</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1,099,275</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1,364,999</w:t>
            </w:r>
          </w:p>
        </w:tc>
        <w:tc>
          <w:tcPr>
            <w:tcW w:w="0" w:type="dxa"/>
            <w:vAlign w:val="bottom"/>
          </w:tcPr>
          <w:p>
            <w:pPr>
              <w:spacing w:after="0"/>
              <w:rPr>
                <w:sz w:val="1"/>
                <w:szCs w:val="1"/>
                <w:color w:val="auto"/>
              </w:rPr>
            </w:pPr>
          </w:p>
        </w:tc>
      </w:tr>
      <w:tr>
        <w:trPr>
          <w:trHeight w:val="184"/>
        </w:trPr>
        <w:tc>
          <w:tcPr>
            <w:tcW w:w="3160" w:type="dxa"/>
            <w:vAlign w:val="bottom"/>
          </w:tcPr>
          <w:p>
            <w:pPr>
              <w:ind w:left="20"/>
              <w:spacing w:after="0" w:line="183" w:lineRule="exact"/>
              <w:rPr>
                <w:sz w:val="20"/>
                <w:szCs w:val="20"/>
                <w:color w:val="auto"/>
              </w:rPr>
            </w:pPr>
            <w:r>
              <w:rPr>
                <w:rFonts w:ascii="Arial" w:cs="Arial" w:eastAsia="Arial" w:hAnsi="Arial"/>
                <w:sz w:val="14"/>
                <w:szCs w:val="14"/>
                <w:color w:val="auto"/>
              </w:rPr>
              <w:t>Catamaran CLO 2014-2 Ltd.</w:t>
            </w:r>
            <w:r>
              <w:rPr>
                <w:rFonts w:ascii="Arial" w:cs="Arial" w:eastAsia="Arial" w:hAnsi="Arial"/>
                <w:sz w:val="19"/>
                <w:szCs w:val="19"/>
                <w:color w:val="auto"/>
                <w:vertAlign w:val="superscript"/>
              </w:rPr>
              <w:t>(3)(7)(13)</w:t>
            </w:r>
          </w:p>
        </w:tc>
        <w:tc>
          <w:tcPr>
            <w:tcW w:w="140" w:type="dxa"/>
            <w:vAlign w:val="bottom"/>
          </w:tcPr>
          <w:p>
            <w:pPr>
              <w:spacing w:after="0"/>
              <w:rPr>
                <w:sz w:val="15"/>
                <w:szCs w:val="15"/>
                <w:color w:val="auto"/>
              </w:rPr>
            </w:pP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Subordinated Securities, effective interest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2860" w:type="dxa"/>
            <w:vAlign w:val="bottom"/>
            <w:gridSpan w:val="3"/>
          </w:tcPr>
          <w:p>
            <w:pPr>
              <w:ind w:left="160"/>
              <w:spacing w:after="0"/>
              <w:rPr>
                <w:sz w:val="20"/>
                <w:szCs w:val="20"/>
                <w:color w:val="auto"/>
              </w:rPr>
            </w:pPr>
            <w:r>
              <w:rPr>
                <w:rFonts w:ascii="Arial" w:cs="Arial" w:eastAsia="Arial" w:hAnsi="Arial"/>
                <w:sz w:val="14"/>
                <w:szCs w:val="14"/>
                <w:color w:val="auto"/>
              </w:rPr>
              <w:t>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10/26 maturity</w:t>
            </w:r>
          </w:p>
        </w:tc>
        <w:tc>
          <w:tcPr>
            <w:tcW w:w="1260" w:type="dxa"/>
            <w:vAlign w:val="bottom"/>
            <w:gridSpan w:val="5"/>
          </w:tcPr>
          <w:p>
            <w:pPr>
              <w:jc w:val="right"/>
              <w:ind w:right="20"/>
              <w:spacing w:after="0"/>
              <w:rPr>
                <w:sz w:val="20"/>
                <w:szCs w:val="20"/>
                <w:color w:val="auto"/>
              </w:rPr>
            </w:pPr>
            <w:r>
              <w:rPr>
                <w:rFonts w:ascii="Arial" w:cs="Arial" w:eastAsia="Arial" w:hAnsi="Arial"/>
                <w:sz w:val="14"/>
                <w:szCs w:val="14"/>
                <w:color w:val="auto"/>
              </w:rPr>
              <w:t>8/15/2014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24.9 %</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6,065,598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160" w:type="dxa"/>
            <w:vAlign w:val="bottom"/>
            <w:shd w:val="clear" w:color="auto" w:fill="CFF0FC"/>
          </w:tcPr>
          <w:p>
            <w:pPr>
              <w:ind w:left="20"/>
              <w:spacing w:after="0" w:line="190" w:lineRule="exact"/>
              <w:rPr>
                <w:sz w:val="20"/>
                <w:szCs w:val="20"/>
                <w:color w:val="auto"/>
              </w:rPr>
            </w:pPr>
            <w:r>
              <w:rPr>
                <w:rFonts w:ascii="Arial" w:cs="Arial" w:eastAsia="Arial" w:hAnsi="Arial"/>
                <w:sz w:val="14"/>
                <w:szCs w:val="14"/>
                <w:color w:val="auto"/>
              </w:rPr>
              <w:t>Catamaran CLO 2015-1 Ltd.</w:t>
            </w:r>
            <w:r>
              <w:rPr>
                <w:rFonts w:ascii="Arial" w:cs="Arial" w:eastAsia="Arial" w:hAnsi="Arial"/>
                <w:sz w:val="19"/>
                <w:szCs w:val="19"/>
                <w:color w:val="auto"/>
                <w:vertAlign w:val="superscript"/>
              </w:rPr>
              <w:t>(3)(13)</w:t>
            </w:r>
          </w:p>
        </w:tc>
        <w:tc>
          <w:tcPr>
            <w:tcW w:w="140" w:type="dxa"/>
            <w:vAlign w:val="bottom"/>
            <w:shd w:val="clear" w:color="auto" w:fill="CFF0FC"/>
          </w:tcPr>
          <w:p>
            <w:pPr>
              <w:spacing w:after="0"/>
              <w:rPr>
                <w:sz w:val="16"/>
                <w:szCs w:val="16"/>
                <w:color w:val="auto"/>
              </w:rPr>
            </w:pPr>
          </w:p>
        </w:tc>
        <w:tc>
          <w:tcPr>
            <w:tcW w:w="27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Subordinated Securities, effective interest</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spacing w:after="0"/>
              <w:rPr>
                <w:sz w:val="15"/>
                <w:szCs w:val="15"/>
                <w:color w:val="auto"/>
              </w:rPr>
            </w:pPr>
          </w:p>
        </w:tc>
        <w:tc>
          <w:tcPr>
            <w:tcW w:w="2860" w:type="dxa"/>
            <w:vAlign w:val="bottom"/>
            <w:gridSpan w:val="3"/>
            <w:shd w:val="clear" w:color="auto" w:fill="CFF0FC"/>
          </w:tcPr>
          <w:p>
            <w:pPr>
              <w:ind w:left="160"/>
              <w:spacing w:after="0"/>
              <w:rPr>
                <w:sz w:val="20"/>
                <w:szCs w:val="20"/>
                <w:color w:val="auto"/>
              </w:rPr>
            </w:pPr>
            <w:r>
              <w:rPr>
                <w:rFonts w:ascii="Arial" w:cs="Arial" w:eastAsia="Arial" w:hAnsi="Arial"/>
                <w:sz w:val="14"/>
                <w:szCs w:val="14"/>
                <w:color w:val="auto"/>
              </w:rPr>
              <w:t>8.7%,</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7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4/27 maturity</w:t>
            </w:r>
          </w:p>
        </w:tc>
        <w:tc>
          <w:tcPr>
            <w:tcW w:w="1260" w:type="dxa"/>
            <w:vAlign w:val="bottom"/>
            <w:gridSpan w:val="5"/>
            <w:shd w:val="clear" w:color="auto" w:fill="CFF0FC"/>
          </w:tcPr>
          <w:p>
            <w:pPr>
              <w:jc w:val="right"/>
              <w:ind w:right="20"/>
              <w:spacing w:after="0"/>
              <w:rPr>
                <w:sz w:val="20"/>
                <w:szCs w:val="20"/>
                <w:color w:val="auto"/>
              </w:rPr>
            </w:pPr>
            <w:r>
              <w:rPr>
                <w:rFonts w:ascii="Arial" w:cs="Arial" w:eastAsia="Arial" w:hAnsi="Arial"/>
                <w:sz w:val="14"/>
                <w:szCs w:val="14"/>
                <w:color w:val="auto"/>
              </w:rPr>
              <w:t>5/5/2015</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9.9 %</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2,660,968</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162,425</w:t>
            </w:r>
          </w:p>
        </w:tc>
        <w:tc>
          <w:tcPr>
            <w:tcW w:w="0" w:type="dxa"/>
            <w:vAlign w:val="bottom"/>
          </w:tcPr>
          <w:p>
            <w:pPr>
              <w:spacing w:after="0"/>
              <w:rPr>
                <w:sz w:val="1"/>
                <w:szCs w:val="1"/>
                <w:color w:val="auto"/>
              </w:rPr>
            </w:pPr>
          </w:p>
        </w:tc>
      </w:tr>
      <w:tr>
        <w:trPr>
          <w:trHeight w:val="184"/>
        </w:trPr>
        <w:tc>
          <w:tcPr>
            <w:tcW w:w="3160" w:type="dxa"/>
            <w:vAlign w:val="bottom"/>
          </w:tcPr>
          <w:p>
            <w:pPr>
              <w:ind w:left="20"/>
              <w:spacing w:after="0" w:line="183" w:lineRule="exact"/>
              <w:rPr>
                <w:sz w:val="20"/>
                <w:szCs w:val="20"/>
                <w:color w:val="auto"/>
              </w:rPr>
            </w:pPr>
            <w:r>
              <w:rPr>
                <w:rFonts w:ascii="Arial" w:cs="Arial" w:eastAsia="Arial" w:hAnsi="Arial"/>
                <w:sz w:val="14"/>
                <w:szCs w:val="14"/>
                <w:color w:val="auto"/>
              </w:rPr>
              <w:t>Catamaran CLO 2018-1 Ltd</w:t>
            </w:r>
            <w:r>
              <w:rPr>
                <w:rFonts w:ascii="Arial" w:cs="Arial" w:eastAsia="Arial" w:hAnsi="Arial"/>
                <w:sz w:val="19"/>
                <w:szCs w:val="19"/>
                <w:color w:val="auto"/>
                <w:vertAlign w:val="superscript"/>
              </w:rPr>
              <w:t>(3)(13)</w:t>
            </w:r>
          </w:p>
        </w:tc>
        <w:tc>
          <w:tcPr>
            <w:tcW w:w="140" w:type="dxa"/>
            <w:vAlign w:val="bottom"/>
          </w:tcPr>
          <w:p>
            <w:pPr>
              <w:spacing w:after="0"/>
              <w:rPr>
                <w:sz w:val="15"/>
                <w:szCs w:val="15"/>
                <w:color w:val="auto"/>
              </w:rPr>
            </w:pP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Subordinated Securities, effective interest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2860" w:type="dxa"/>
            <w:vAlign w:val="bottom"/>
            <w:gridSpan w:val="3"/>
          </w:tcPr>
          <w:p>
            <w:pPr>
              <w:ind w:left="160"/>
              <w:spacing w:after="0"/>
              <w:rPr>
                <w:sz w:val="20"/>
                <w:szCs w:val="20"/>
                <w:color w:val="auto"/>
              </w:rPr>
            </w:pPr>
            <w:r>
              <w:rPr>
                <w:rFonts w:ascii="Arial" w:cs="Arial" w:eastAsia="Arial" w:hAnsi="Arial"/>
                <w:sz w:val="14"/>
                <w:szCs w:val="14"/>
                <w:color w:val="auto"/>
              </w:rPr>
              <w:t>8.7%,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8,823,496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7,023,002</w:t>
            </w:r>
          </w:p>
        </w:tc>
        <w:tc>
          <w:tcPr>
            <w:tcW w:w="0" w:type="dxa"/>
            <w:vAlign w:val="bottom"/>
          </w:tcPr>
          <w:p>
            <w:pPr>
              <w:spacing w:after="0"/>
              <w:rPr>
                <w:sz w:val="1"/>
                <w:szCs w:val="1"/>
                <w:color w:val="auto"/>
              </w:rPr>
            </w:pPr>
          </w:p>
        </w:tc>
      </w:tr>
      <w:tr>
        <w:trPr>
          <w:trHeight w:val="181"/>
        </w:trPr>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10/31 maturity</w:t>
            </w:r>
          </w:p>
        </w:tc>
        <w:tc>
          <w:tcPr>
            <w:tcW w:w="1260" w:type="dxa"/>
            <w:vAlign w:val="bottom"/>
            <w:gridSpan w:val="5"/>
          </w:tcPr>
          <w:p>
            <w:pPr>
              <w:jc w:val="right"/>
              <w:ind w:right="20"/>
              <w:spacing w:after="0"/>
              <w:rPr>
                <w:sz w:val="20"/>
                <w:szCs w:val="20"/>
                <w:color w:val="auto"/>
              </w:rPr>
            </w:pPr>
            <w:r>
              <w:rPr>
                <w:rFonts w:ascii="Arial" w:cs="Arial" w:eastAsia="Arial" w:hAnsi="Arial"/>
                <w:sz w:val="14"/>
                <w:szCs w:val="14"/>
                <w:color w:val="auto"/>
              </w:rPr>
              <w:t>9/27/2018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24.8 %</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Total Investment in CLO Fund Securities</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7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20" w:type="dxa"/>
            <w:vAlign w:val="bottom"/>
            <w:gridSpan w:val="4"/>
            <w:vMerge w:val="restart"/>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33,964,238</w:t>
            </w:r>
          </w:p>
        </w:tc>
        <w:tc>
          <w:tcPr>
            <w:tcW w:w="380" w:type="dxa"/>
            <w:vAlign w:val="bottom"/>
            <w:gridSpan w:val="4"/>
            <w:vMerge w:val="restart"/>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17,173,634</w:t>
            </w:r>
          </w:p>
        </w:tc>
        <w:tc>
          <w:tcPr>
            <w:tcW w:w="0" w:type="dxa"/>
            <w:vAlign w:val="bottom"/>
          </w:tcPr>
          <w:p>
            <w:pPr>
              <w:spacing w:after="0"/>
              <w:rPr>
                <w:sz w:val="1"/>
                <w:szCs w:val="1"/>
                <w:color w:val="auto"/>
              </w:rPr>
            </w:pPr>
          </w:p>
        </w:tc>
      </w:tr>
      <w:tr>
        <w:trPr>
          <w:trHeight w:val="185"/>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(6% of net asset value at fair value)</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7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20" w:type="dxa"/>
            <w:vAlign w:val="bottom"/>
            <w:gridSpan w:val="4"/>
            <w:vMerge w:val="continue"/>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380" w:type="dxa"/>
            <w:vAlign w:val="bottom"/>
            <w:gridSpan w:val="4"/>
            <w:vMerge w:val="continue"/>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3160" w:type="dxa"/>
            <w:vAlign w:val="bottom"/>
            <w:tcBorders>
              <w:top w:val="single" w:sz="8" w:color="CFF0FC"/>
            </w:tcBorders>
          </w:tcPr>
          <w:p>
            <w:pPr>
              <w:spacing w:after="0"/>
              <w:rPr>
                <w:sz w:val="20"/>
                <w:szCs w:val="20"/>
                <w:color w:val="auto"/>
              </w:rPr>
            </w:pPr>
            <w:r>
              <w:rPr>
                <w:rFonts w:ascii="Arial" w:cs="Arial" w:eastAsia="Arial" w:hAnsi="Arial"/>
                <w:sz w:val="16"/>
                <w:szCs w:val="16"/>
                <w:b w:val="1"/>
                <w:bCs w:val="1"/>
                <w:color w:val="auto"/>
              </w:rPr>
              <w:t>Asset Manager Affiliates</w:t>
            </w:r>
          </w:p>
        </w:tc>
        <w:tc>
          <w:tcPr>
            <w:tcW w:w="1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7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1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Portfolio Company /</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5"/>
          </w:tcPr>
          <w:p>
            <w:pPr>
              <w:jc w:val="center"/>
              <w:ind w:right="160"/>
              <w:spacing w:after="0" w:line="157" w:lineRule="exact"/>
              <w:rPr>
                <w:sz w:val="20"/>
                <w:szCs w:val="20"/>
                <w:color w:val="auto"/>
              </w:rPr>
            </w:pPr>
            <w:r>
              <w:rPr>
                <w:rFonts w:ascii="Arial" w:cs="Arial" w:eastAsia="Arial" w:hAnsi="Arial"/>
                <w:sz w:val="14"/>
                <w:szCs w:val="14"/>
                <w:b w:val="1"/>
                <w:bCs w:val="1"/>
                <w:color w:val="auto"/>
                <w:w w:val="91"/>
              </w:rPr>
              <w:t>Acquisition</w:t>
            </w:r>
          </w:p>
        </w:tc>
        <w:tc>
          <w:tcPr>
            <w:tcW w:w="20" w:type="dxa"/>
            <w:vAlign w:val="bottom"/>
          </w:tcPr>
          <w:p>
            <w:pPr>
              <w:spacing w:after="0"/>
              <w:rPr>
                <w:sz w:val="13"/>
                <w:szCs w:val="13"/>
                <w:color w:val="auto"/>
              </w:rPr>
            </w:pPr>
          </w:p>
        </w:tc>
        <w:tc>
          <w:tcPr>
            <w:tcW w:w="1080" w:type="dxa"/>
            <w:vAlign w:val="bottom"/>
          </w:tcPr>
          <w:p>
            <w:pPr>
              <w:ind w:left="100"/>
              <w:spacing w:after="0" w:line="157" w:lineRule="exact"/>
              <w:rPr>
                <w:sz w:val="20"/>
                <w:szCs w:val="20"/>
                <w:color w:val="auto"/>
              </w:rPr>
            </w:pPr>
            <w:r>
              <w:rPr>
                <w:rFonts w:ascii="Arial" w:cs="Arial" w:eastAsia="Arial" w:hAnsi="Arial"/>
                <w:sz w:val="14"/>
                <w:szCs w:val="14"/>
                <w:b w:val="1"/>
                <w:bCs w:val="1"/>
                <w:color w:val="auto"/>
              </w:rPr>
              <w:t>Percentage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228"/>
              <w:spacing w:after="0" w:line="157"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17"/>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Principal Business</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jc w:val="center"/>
              <w:spacing w:after="0" w:line="217" w:lineRule="exact"/>
              <w:rPr>
                <w:sz w:val="20"/>
                <w:szCs w:val="20"/>
                <w:color w:val="auto"/>
              </w:rPr>
            </w:pPr>
            <w:r>
              <w:rPr>
                <w:rFonts w:ascii="Arial" w:cs="Arial" w:eastAsia="Arial" w:hAnsi="Arial"/>
                <w:sz w:val="14"/>
                <w:szCs w:val="14"/>
                <w:b w:val="1"/>
                <w:bCs w:val="1"/>
                <w:color w:val="auto"/>
                <w:w w:val="88"/>
              </w:rPr>
              <w:t>Investment</w:t>
            </w:r>
            <w:r>
              <w:rPr>
                <w:rFonts w:ascii="Arial" w:cs="Arial" w:eastAsia="Arial" w:hAnsi="Arial"/>
                <w:sz w:val="19"/>
                <w:szCs w:val="19"/>
                <w:b w:val="1"/>
                <w:bCs w:val="1"/>
                <w:color w:val="auto"/>
                <w:w w:val="88"/>
                <w:vertAlign w:val="superscript"/>
              </w:rPr>
              <w:t>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gridSpan w:val="3"/>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Ownership</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28"/>
              <w:spacing w:after="0" w:line="217" w:lineRule="exact"/>
              <w:rPr>
                <w:sz w:val="20"/>
                <w:szCs w:val="20"/>
                <w:color w:val="auto"/>
              </w:rPr>
            </w:pPr>
            <w:r>
              <w:rPr>
                <w:rFonts w:ascii="Arial" w:cs="Arial" w:eastAsia="Arial" w:hAnsi="Arial"/>
                <w:sz w:val="14"/>
                <w:szCs w:val="14"/>
                <w:b w:val="1"/>
                <w:bCs w:val="1"/>
                <w:color w:val="auto"/>
                <w:w w:val="85"/>
              </w:rPr>
              <w:t>Value</w:t>
            </w:r>
            <w:r>
              <w:rPr>
                <w:rFonts w:ascii="Arial" w:cs="Arial" w:eastAsia="Arial" w:hAnsi="Arial"/>
                <w:sz w:val="19"/>
                <w:szCs w:val="19"/>
                <w:b w:val="1"/>
                <w:bCs w:val="1"/>
                <w:color w:val="auto"/>
                <w:w w:val="85"/>
                <w:vertAlign w:val="superscript"/>
              </w:rPr>
              <w:t>2</w:t>
            </w:r>
          </w:p>
        </w:tc>
        <w:tc>
          <w:tcPr>
            <w:tcW w:w="0" w:type="dxa"/>
            <w:vAlign w:val="bottom"/>
          </w:tcPr>
          <w:p>
            <w:pPr>
              <w:spacing w:after="0"/>
              <w:rPr>
                <w:sz w:val="1"/>
                <w:szCs w:val="1"/>
                <w:color w:val="auto"/>
              </w:rPr>
            </w:pPr>
          </w:p>
        </w:tc>
      </w:tr>
      <w:tr>
        <w:trPr>
          <w:trHeight w:val="244"/>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Asset Manager Affiliates</w:t>
            </w:r>
            <w:r>
              <w:rPr>
                <w:rFonts w:ascii="Arial" w:cs="Arial" w:eastAsia="Arial" w:hAnsi="Arial"/>
                <w:sz w:val="19"/>
                <w:szCs w:val="19"/>
                <w:color w:val="auto"/>
                <w:vertAlign w:val="superscript"/>
              </w:rPr>
              <w:t>(8)(9)(13)(16)</w:t>
            </w:r>
          </w:p>
        </w:tc>
        <w:tc>
          <w:tcPr>
            <w:tcW w:w="140" w:type="dxa"/>
            <w:vAlign w:val="bottom"/>
            <w:shd w:val="clear" w:color="auto" w:fill="CFF0FC"/>
          </w:tcPr>
          <w:p>
            <w:pPr>
              <w:spacing w:after="0"/>
              <w:rPr>
                <w:sz w:val="21"/>
                <w:szCs w:val="21"/>
                <w:color w:val="auto"/>
              </w:rPr>
            </w:pPr>
          </w:p>
        </w:tc>
        <w:tc>
          <w:tcPr>
            <w:tcW w:w="2720" w:type="dxa"/>
            <w:vAlign w:val="bottom"/>
            <w:gridSpan w:val="2"/>
            <w:vMerge w:val="restart"/>
            <w:shd w:val="clear" w:color="auto" w:fill="CFF0FC"/>
          </w:tcPr>
          <w:p>
            <w:pPr>
              <w:ind w:left="20"/>
              <w:spacing w:after="0"/>
              <w:rPr>
                <w:sz w:val="20"/>
                <w:szCs w:val="20"/>
                <w:color w:val="auto"/>
              </w:rPr>
            </w:pPr>
            <w:r>
              <w:rPr>
                <w:rFonts w:ascii="Arial" w:cs="Arial" w:eastAsia="Arial" w:hAnsi="Arial"/>
                <w:sz w:val="14"/>
                <w:szCs w:val="14"/>
                <w:color w:val="auto"/>
              </w:rPr>
              <w:t>Asset Management Company</w:t>
            </w:r>
          </w:p>
        </w:tc>
        <w:tc>
          <w:tcPr>
            <w:tcW w:w="1260" w:type="dxa"/>
            <w:vAlign w:val="bottom"/>
            <w:gridSpan w:val="5"/>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12/11/2006</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0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100 %</w:t>
            </w:r>
          </w:p>
        </w:tc>
        <w:tc>
          <w:tcPr>
            <w:tcW w:w="320" w:type="dxa"/>
            <w:vAlign w:val="bottom"/>
            <w:gridSpan w:val="4"/>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17,791,230</w:t>
            </w:r>
          </w:p>
        </w:tc>
        <w:tc>
          <w:tcPr>
            <w:tcW w:w="380" w:type="dxa"/>
            <w:vAlign w:val="bottom"/>
            <w:gridSpan w:val="4"/>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4"/>
        </w:trPr>
        <w:tc>
          <w:tcPr>
            <w:tcW w:w="3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720" w:type="dxa"/>
            <w:vAlign w:val="bottom"/>
            <w:gridSpan w:val="2"/>
            <w:vMerge w:val="continue"/>
            <w:shd w:val="clear" w:color="auto" w:fill="CFF0FC"/>
          </w:tcPr>
          <w:p>
            <w:pPr>
              <w:spacing w:after="0"/>
              <w:rPr>
                <w:sz w:val="9"/>
                <w:szCs w:val="9"/>
                <w:color w:val="auto"/>
              </w:rPr>
            </w:pPr>
          </w:p>
        </w:tc>
        <w:tc>
          <w:tcPr>
            <w:tcW w:w="1260" w:type="dxa"/>
            <w:vAlign w:val="bottom"/>
            <w:gridSpan w:val="5"/>
            <w:vMerge w:val="continue"/>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100" w:type="dxa"/>
            <w:vAlign w:val="bottom"/>
            <w:gridSpan w:val="2"/>
            <w:vMerge w:val="continue"/>
            <w:shd w:val="clear" w:color="auto" w:fill="CFF0FC"/>
          </w:tcPr>
          <w:p>
            <w:pPr>
              <w:spacing w:after="0"/>
              <w:rPr>
                <w:sz w:val="9"/>
                <w:szCs w:val="9"/>
                <w:color w:val="auto"/>
              </w:rPr>
            </w:pPr>
          </w:p>
        </w:tc>
        <w:tc>
          <w:tcPr>
            <w:tcW w:w="320" w:type="dxa"/>
            <w:vAlign w:val="bottom"/>
            <w:gridSpan w:val="4"/>
            <w:vMerge w:val="continue"/>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380" w:type="dxa"/>
            <w:vAlign w:val="bottom"/>
            <w:gridSpan w:val="4"/>
            <w:vMerge w:val="continue"/>
            <w:shd w:val="clear" w:color="auto" w:fill="CFF0FC"/>
          </w:tcPr>
          <w:p>
            <w:pPr>
              <w:spacing w:after="0"/>
              <w:rPr>
                <w:sz w:val="9"/>
                <w:szCs w:val="9"/>
                <w:color w:val="auto"/>
              </w:rPr>
            </w:pPr>
          </w:p>
        </w:tc>
        <w:tc>
          <w:tcPr>
            <w:tcW w:w="10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70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06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0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Total Investment in Asset Manager</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7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20" w:type="dxa"/>
            <w:vAlign w:val="bottom"/>
            <w:gridSpan w:val="4"/>
            <w:vMerge w:val="restart"/>
            <w:shd w:val="clear" w:color="auto" w:fill="CFF0FC"/>
          </w:tcPr>
          <w:p>
            <w:pPr>
              <w:jc w:val="right"/>
              <w:ind w:right="80"/>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17,791,230</w:t>
            </w:r>
          </w:p>
        </w:tc>
        <w:tc>
          <w:tcPr>
            <w:tcW w:w="380" w:type="dxa"/>
            <w:vAlign w:val="bottom"/>
            <w:gridSpan w:val="4"/>
            <w:vMerge w:val="restart"/>
            <w:shd w:val="clear" w:color="auto" w:fill="CFF0FC"/>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316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Affiliates (0% of net asset value at fair value)</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7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20" w:type="dxa"/>
            <w:vAlign w:val="bottom"/>
            <w:gridSpan w:val="4"/>
            <w:vMerge w:val="continue"/>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380" w:type="dxa"/>
            <w:vAlign w:val="bottom"/>
            <w:gridSpan w:val="4"/>
            <w:vMerge w:val="continue"/>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460"/>
        </w:trPr>
        <w:tc>
          <w:tcPr>
            <w:tcW w:w="3160" w:type="dxa"/>
            <w:vAlign w:val="bottom"/>
            <w:tcBorders>
              <w:top w:val="single" w:sz="8" w:color="CFF0FC"/>
            </w:tcBorders>
          </w:tcPr>
          <w:p>
            <w:pPr>
              <w:spacing w:after="0"/>
              <w:rPr>
                <w:sz w:val="20"/>
                <w:szCs w:val="20"/>
                <w:color w:val="auto"/>
              </w:rPr>
            </w:pPr>
            <w:r>
              <w:rPr>
                <w:rFonts w:ascii="Arial" w:cs="Arial" w:eastAsia="Arial" w:hAnsi="Arial"/>
                <w:sz w:val="16"/>
                <w:szCs w:val="16"/>
                <w:b w:val="1"/>
                <w:bCs w:val="1"/>
                <w:color w:val="auto"/>
              </w:rPr>
              <w:t>Derivatives</w:t>
            </w:r>
          </w:p>
        </w:tc>
        <w:tc>
          <w:tcPr>
            <w:tcW w:w="1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7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1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Portfolio Company /</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5"/>
          </w:tcPr>
          <w:p>
            <w:pPr>
              <w:jc w:val="center"/>
              <w:ind w:right="120"/>
              <w:spacing w:after="0" w:line="157" w:lineRule="exact"/>
              <w:rPr>
                <w:sz w:val="20"/>
                <w:szCs w:val="20"/>
                <w:color w:val="auto"/>
              </w:rPr>
            </w:pPr>
            <w:r>
              <w:rPr>
                <w:rFonts w:ascii="Arial" w:cs="Arial" w:eastAsia="Arial" w:hAnsi="Arial"/>
                <w:sz w:val="14"/>
                <w:szCs w:val="14"/>
                <w:b w:val="1"/>
                <w:bCs w:val="1"/>
                <w:color w:val="auto"/>
                <w:w w:val="91"/>
              </w:rPr>
              <w:t>Acquisition</w:t>
            </w: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248"/>
              <w:spacing w:after="0" w:line="157"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17"/>
        </w:trPr>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90"/>
              </w:rPr>
              <w:t>Principal Business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tcPr>
          <w:p>
            <w:pPr>
              <w:ind w:left="980"/>
              <w:spacing w:after="0" w:line="217" w:lineRule="exact"/>
              <w:rPr>
                <w:sz w:val="20"/>
                <w:szCs w:val="20"/>
                <w:color w:val="auto"/>
              </w:rPr>
            </w:pPr>
            <w:r>
              <w:rPr>
                <w:rFonts w:ascii="Arial" w:cs="Arial" w:eastAsia="Arial" w:hAnsi="Arial"/>
                <w:sz w:val="14"/>
                <w:szCs w:val="14"/>
                <w:b w:val="1"/>
                <w:bCs w:val="1"/>
                <w:color w:val="auto"/>
              </w:rPr>
              <w:t>Investment</w:t>
            </w:r>
            <w:r>
              <w:rPr>
                <w:rFonts w:ascii="Arial" w:cs="Arial" w:eastAsia="Arial" w:hAnsi="Arial"/>
                <w:sz w:val="19"/>
                <w:szCs w:val="19"/>
                <w:b w:val="1"/>
                <w:bCs w:val="1"/>
                <w:color w:val="auto"/>
                <w:vertAlign w:val="superscript"/>
              </w:rPr>
              <w:t>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188"/>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248"/>
              <w:spacing w:after="0" w:line="217" w:lineRule="exact"/>
              <w:rPr>
                <w:sz w:val="20"/>
                <w:szCs w:val="20"/>
                <w:color w:val="auto"/>
              </w:rPr>
            </w:pPr>
            <w:r>
              <w:rPr>
                <w:rFonts w:ascii="Arial" w:cs="Arial" w:eastAsia="Arial" w:hAnsi="Arial"/>
                <w:sz w:val="14"/>
                <w:szCs w:val="14"/>
                <w:b w:val="1"/>
                <w:bCs w:val="1"/>
                <w:color w:val="auto"/>
                <w:w w:val="89"/>
              </w:rPr>
              <w:t>Value</w:t>
            </w:r>
            <w:r>
              <w:rPr>
                <w:rFonts w:ascii="Arial" w:cs="Arial" w:eastAsia="Arial" w:hAnsi="Arial"/>
                <w:sz w:val="19"/>
                <w:szCs w:val="19"/>
                <w:b w:val="1"/>
                <w:bCs w:val="1"/>
                <w:color w:val="auto"/>
                <w:w w:val="89"/>
                <w:vertAlign w:val="superscript"/>
              </w:rPr>
              <w:t>2</w:t>
            </w:r>
          </w:p>
        </w:tc>
        <w:tc>
          <w:tcPr>
            <w:tcW w:w="0" w:type="dxa"/>
            <w:vAlign w:val="bottom"/>
          </w:tcPr>
          <w:p>
            <w:pPr>
              <w:spacing w:after="0"/>
              <w:rPr>
                <w:sz w:val="1"/>
                <w:szCs w:val="1"/>
                <w:color w:val="auto"/>
              </w:rPr>
            </w:pPr>
          </w:p>
        </w:tc>
      </w:tr>
      <w:tr>
        <w:trPr>
          <w:trHeight w:val="177"/>
        </w:trPr>
        <w:tc>
          <w:tcPr>
            <w:tcW w:w="3160" w:type="dxa"/>
            <w:vAlign w:val="bottom"/>
            <w:tcBorders>
              <w:top w:val="single" w:sz="8" w:color="auto"/>
            </w:tcBorders>
            <w:shd w:val="clear" w:color="auto" w:fill="CFF0FC"/>
          </w:tcPr>
          <w:p>
            <w:pPr>
              <w:ind w:left="20"/>
              <w:spacing w:after="0" w:line="177" w:lineRule="exact"/>
              <w:rPr>
                <w:sz w:val="20"/>
                <w:szCs w:val="20"/>
                <w:color w:val="auto"/>
              </w:rPr>
            </w:pPr>
            <w:r>
              <w:rPr>
                <w:rFonts w:ascii="Arial" w:cs="Arial" w:eastAsia="Arial" w:hAnsi="Arial"/>
                <w:sz w:val="14"/>
                <w:szCs w:val="14"/>
                <w:color w:val="auto"/>
              </w:rPr>
              <w:t>AAPC Holdings LLC.</w:t>
            </w:r>
            <w:r>
              <w:rPr>
                <w:rFonts w:ascii="Arial" w:cs="Arial" w:eastAsia="Arial" w:hAnsi="Arial"/>
                <w:sz w:val="19"/>
                <w:szCs w:val="19"/>
                <w:color w:val="auto"/>
                <w:vertAlign w:val="superscript"/>
              </w:rPr>
              <w:t>(13)(21)(22)</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700" w:type="dxa"/>
            <w:vAlign w:val="bottom"/>
            <w:tcBorders>
              <w:top w:val="single" w:sz="8" w:color="auto"/>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1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Banking, Finance, Insurance &amp; Real Estate</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4"/>
                <w:szCs w:val="14"/>
                <w:color w:val="auto"/>
              </w:rPr>
              <w:t>Securities Swap and Option Agreement</w:t>
            </w:r>
          </w:p>
        </w:tc>
        <w:tc>
          <w:tcPr>
            <w:tcW w:w="1280" w:type="dxa"/>
            <w:vAlign w:val="bottom"/>
            <w:gridSpan w:val="6"/>
            <w:shd w:val="clear" w:color="auto" w:fill="CFF0FC"/>
          </w:tcPr>
          <w:p>
            <w:pPr>
              <w:jc w:val="right"/>
              <w:ind w:right="20"/>
              <w:spacing w:after="0"/>
              <w:rPr>
                <w:sz w:val="20"/>
                <w:szCs w:val="20"/>
                <w:color w:val="auto"/>
              </w:rPr>
            </w:pPr>
            <w:r>
              <w:rPr>
                <w:rFonts w:ascii="Arial" w:cs="Arial" w:eastAsia="Arial" w:hAnsi="Arial"/>
                <w:sz w:val="14"/>
                <w:szCs w:val="14"/>
                <w:color w:val="auto"/>
              </w:rPr>
              <w:t>9/30/2019</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20" w:type="dxa"/>
            <w:vAlign w:val="bottom"/>
            <w:gridSpan w:val="4"/>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gridSpan w:val="4"/>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(2,000,145 )</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60" w:type="dxa"/>
            <w:vAlign w:val="bottom"/>
            <w:shd w:val="clear" w:color="auto" w:fill="CFF0FC"/>
          </w:tcPr>
          <w:p>
            <w:pPr>
              <w:ind w:left="20"/>
              <w:spacing w:after="0" w:line="183" w:lineRule="exact"/>
              <w:rPr>
                <w:sz w:val="20"/>
                <w:szCs w:val="20"/>
                <w:color w:val="auto"/>
              </w:rPr>
            </w:pPr>
            <w:r>
              <w:rPr>
                <w:rFonts w:ascii="Arial" w:cs="Arial" w:eastAsia="Arial" w:hAnsi="Arial"/>
                <w:sz w:val="14"/>
                <w:szCs w:val="14"/>
                <w:color w:val="auto"/>
              </w:rPr>
              <w:t>Coastal Screen and Rail</w:t>
            </w:r>
            <w:r>
              <w:rPr>
                <w:rFonts w:ascii="Arial" w:cs="Arial" w:eastAsia="Arial" w:hAnsi="Arial"/>
                <w:sz w:val="19"/>
                <w:szCs w:val="19"/>
                <w:color w:val="auto"/>
                <w:vertAlign w:val="superscript"/>
              </w:rPr>
              <w:t>(13)(22)</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7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1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Construction &amp; Building</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4"/>
                <w:szCs w:val="14"/>
                <w:color w:val="auto"/>
              </w:rPr>
              <w:t>Put Option</w:t>
            </w:r>
          </w:p>
        </w:tc>
        <w:tc>
          <w:tcPr>
            <w:tcW w:w="1280" w:type="dxa"/>
            <w:vAlign w:val="bottom"/>
            <w:gridSpan w:val="6"/>
            <w:shd w:val="clear" w:color="auto" w:fill="CFF0FC"/>
          </w:tcPr>
          <w:p>
            <w:pPr>
              <w:jc w:val="right"/>
              <w:ind w:right="20"/>
              <w:spacing w:after="0"/>
              <w:rPr>
                <w:sz w:val="20"/>
                <w:szCs w:val="20"/>
                <w:color w:val="auto"/>
              </w:rPr>
            </w:pPr>
            <w:r>
              <w:rPr>
                <w:rFonts w:ascii="Arial" w:cs="Arial" w:eastAsia="Arial" w:hAnsi="Arial"/>
                <w:sz w:val="14"/>
                <w:szCs w:val="14"/>
                <w:color w:val="auto"/>
              </w:rPr>
              <w:t>8/31/2021</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60" w:type="dxa"/>
            <w:vAlign w:val="bottom"/>
            <w:shd w:val="clear" w:color="auto" w:fill="CFF0FC"/>
          </w:tcPr>
          <w:p>
            <w:pPr>
              <w:ind w:left="20"/>
              <w:spacing w:after="0" w:line="183" w:lineRule="exact"/>
              <w:rPr>
                <w:sz w:val="20"/>
                <w:szCs w:val="20"/>
                <w:color w:val="auto"/>
              </w:rPr>
            </w:pPr>
            <w:r>
              <w:rPr>
                <w:rFonts w:ascii="Arial" w:cs="Arial" w:eastAsia="Arial" w:hAnsi="Arial"/>
                <w:sz w:val="14"/>
                <w:szCs w:val="14"/>
                <w:color w:val="auto"/>
              </w:rPr>
              <w:t xml:space="preserve">HDNet Holdco LLC </w:t>
            </w:r>
            <w:r>
              <w:rPr>
                <w:rFonts w:ascii="Arial" w:cs="Arial" w:eastAsia="Arial" w:hAnsi="Arial"/>
                <w:sz w:val="19"/>
                <w:szCs w:val="19"/>
                <w:color w:val="auto"/>
                <w:vertAlign w:val="superscript"/>
              </w:rPr>
              <w:t>(13)(21)(22)</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7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30,609</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18,054</w:t>
            </w:r>
          </w:p>
        </w:tc>
        <w:tc>
          <w:tcPr>
            <w:tcW w:w="0" w:type="dxa"/>
            <w:vAlign w:val="bottom"/>
          </w:tcPr>
          <w:p>
            <w:pPr>
              <w:spacing w:after="0"/>
              <w:rPr>
                <w:sz w:val="1"/>
                <w:szCs w:val="1"/>
                <w:color w:val="auto"/>
              </w:rPr>
            </w:pPr>
          </w:p>
        </w:tc>
      </w:tr>
      <w:tr>
        <w:trPr>
          <w:trHeight w:val="181"/>
        </w:trPr>
        <w:tc>
          <w:tcPr>
            <w:tcW w:w="3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4"/>
                <w:szCs w:val="14"/>
                <w:color w:val="auto"/>
              </w:rPr>
              <w:t>Media: Broadcasting &amp; Subscription</w:t>
            </w:r>
          </w:p>
        </w:tc>
        <w:tc>
          <w:tcPr>
            <w:tcW w:w="14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2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Call Option</w:t>
            </w:r>
          </w:p>
        </w:tc>
        <w:tc>
          <w:tcPr>
            <w:tcW w:w="1280" w:type="dxa"/>
            <w:vAlign w:val="bottom"/>
            <w:tcBorders>
              <w:bottom w:val="single" w:sz="8" w:color="CFF0FC"/>
            </w:tcBorders>
            <w:gridSpan w:val="6"/>
            <w:shd w:val="clear" w:color="auto" w:fill="CFF0FC"/>
          </w:tcPr>
          <w:p>
            <w:pPr>
              <w:jc w:val="right"/>
              <w:ind w:right="20"/>
              <w:spacing w:after="0"/>
              <w:rPr>
                <w:sz w:val="20"/>
                <w:szCs w:val="20"/>
                <w:color w:val="auto"/>
              </w:rPr>
            </w:pPr>
            <w:r>
              <w:rPr>
                <w:rFonts w:ascii="Arial" w:cs="Arial" w:eastAsia="Arial" w:hAnsi="Arial"/>
                <w:sz w:val="14"/>
                <w:szCs w:val="14"/>
                <w:color w:val="auto"/>
              </w:rPr>
              <w:t>9/9/2019</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vMerge w:val="continue"/>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Total Derivatives (0% of net asset value at fair</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7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20" w:type="dxa"/>
            <w:vAlign w:val="bottom"/>
            <w:gridSpan w:val="4"/>
            <w:vMerge w:val="restart"/>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w:t>
            </w:r>
          </w:p>
        </w:tc>
        <w:tc>
          <w:tcPr>
            <w:tcW w:w="102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30,609</w:t>
            </w:r>
          </w:p>
        </w:tc>
        <w:tc>
          <w:tcPr>
            <w:tcW w:w="380" w:type="dxa"/>
            <w:vAlign w:val="bottom"/>
            <w:gridSpan w:val="4"/>
            <w:vMerge w:val="restart"/>
            <w:shd w:val="clear" w:color="auto" w:fill="CFF0FC"/>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(1,982,091 )</w:t>
            </w:r>
          </w:p>
        </w:tc>
        <w:tc>
          <w:tcPr>
            <w:tcW w:w="0" w:type="dxa"/>
            <w:vAlign w:val="bottom"/>
          </w:tcPr>
          <w:p>
            <w:pPr>
              <w:spacing w:after="0"/>
              <w:rPr>
                <w:sz w:val="1"/>
                <w:szCs w:val="1"/>
                <w:color w:val="auto"/>
              </w:rPr>
            </w:pPr>
          </w:p>
        </w:tc>
      </w:tr>
      <w:tr>
        <w:trPr>
          <w:trHeight w:val="185"/>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value)</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7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20" w:type="dxa"/>
            <w:vAlign w:val="bottom"/>
            <w:gridSpan w:val="4"/>
            <w:vMerge w:val="continue"/>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380" w:type="dxa"/>
            <w:vAlign w:val="bottom"/>
            <w:gridSpan w:val="4"/>
            <w:vMerge w:val="continue"/>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3160" w:type="dxa"/>
            <w:vAlign w:val="bottom"/>
            <w:tcBorders>
              <w:top w:val="single" w:sz="8" w:color="CFF0FC"/>
            </w:tcBorders>
          </w:tcPr>
          <w:p>
            <w:pPr>
              <w:spacing w:after="0"/>
              <w:rPr>
                <w:sz w:val="20"/>
                <w:szCs w:val="20"/>
                <w:color w:val="auto"/>
              </w:rPr>
            </w:pPr>
            <w:r>
              <w:rPr>
                <w:rFonts w:ascii="Arial" w:cs="Arial" w:eastAsia="Arial" w:hAnsi="Arial"/>
                <w:sz w:val="16"/>
                <w:szCs w:val="16"/>
                <w:b w:val="1"/>
                <w:bCs w:val="1"/>
                <w:color w:val="auto"/>
              </w:rPr>
              <w:t>Joint Ventures</w:t>
            </w:r>
          </w:p>
        </w:tc>
        <w:tc>
          <w:tcPr>
            <w:tcW w:w="1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7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Initial</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1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Portfolio Company /</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5"/>
          </w:tcPr>
          <w:p>
            <w:pPr>
              <w:jc w:val="center"/>
              <w:ind w:right="200"/>
              <w:spacing w:after="0" w:line="157" w:lineRule="exact"/>
              <w:rPr>
                <w:sz w:val="20"/>
                <w:szCs w:val="20"/>
                <w:color w:val="auto"/>
              </w:rPr>
            </w:pPr>
            <w:r>
              <w:rPr>
                <w:rFonts w:ascii="Arial" w:cs="Arial" w:eastAsia="Arial" w:hAnsi="Arial"/>
                <w:sz w:val="14"/>
                <w:szCs w:val="14"/>
                <w:b w:val="1"/>
                <w:bCs w:val="1"/>
                <w:color w:val="auto"/>
                <w:w w:val="91"/>
              </w:rPr>
              <w:t>Acquisition</w:t>
            </w:r>
          </w:p>
        </w:tc>
        <w:tc>
          <w:tcPr>
            <w:tcW w:w="20" w:type="dxa"/>
            <w:vAlign w:val="bottom"/>
          </w:tcPr>
          <w:p>
            <w:pPr>
              <w:spacing w:after="0"/>
              <w:rPr>
                <w:sz w:val="13"/>
                <w:szCs w:val="13"/>
                <w:color w:val="auto"/>
              </w:rPr>
            </w:pPr>
          </w:p>
        </w:tc>
        <w:tc>
          <w:tcPr>
            <w:tcW w:w="1080" w:type="dxa"/>
            <w:vAlign w:val="bottom"/>
          </w:tcPr>
          <w:p>
            <w:pPr>
              <w:ind w:left="80"/>
              <w:spacing w:after="0" w:line="157" w:lineRule="exact"/>
              <w:rPr>
                <w:sz w:val="20"/>
                <w:szCs w:val="20"/>
                <w:color w:val="auto"/>
              </w:rPr>
            </w:pPr>
            <w:r>
              <w:rPr>
                <w:rFonts w:ascii="Arial" w:cs="Arial" w:eastAsia="Arial" w:hAnsi="Arial"/>
                <w:sz w:val="14"/>
                <w:szCs w:val="14"/>
                <w:b w:val="1"/>
                <w:bCs w:val="1"/>
                <w:color w:val="auto"/>
              </w:rPr>
              <w:t>Percentage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228"/>
              <w:spacing w:after="0" w:line="157"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17"/>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Principal Business</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jc w:val="center"/>
              <w:spacing w:after="0" w:line="217" w:lineRule="exact"/>
              <w:rPr>
                <w:sz w:val="20"/>
                <w:szCs w:val="20"/>
                <w:color w:val="auto"/>
              </w:rPr>
            </w:pPr>
            <w:r>
              <w:rPr>
                <w:rFonts w:ascii="Arial" w:cs="Arial" w:eastAsia="Arial" w:hAnsi="Arial"/>
                <w:sz w:val="14"/>
                <w:szCs w:val="14"/>
                <w:b w:val="1"/>
                <w:bCs w:val="1"/>
                <w:color w:val="auto"/>
                <w:w w:val="88"/>
              </w:rPr>
              <w:t>Investment</w:t>
            </w:r>
            <w:r>
              <w:rPr>
                <w:rFonts w:ascii="Arial" w:cs="Arial" w:eastAsia="Arial" w:hAnsi="Arial"/>
                <w:sz w:val="19"/>
                <w:szCs w:val="19"/>
                <w:b w:val="1"/>
                <w:bCs w:val="1"/>
                <w:color w:val="auto"/>
                <w:w w:val="88"/>
                <w:vertAlign w:val="superscript"/>
              </w:rPr>
              <w:t>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gridSpan w:val="3"/>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Ownership</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48"/>
              <w:spacing w:after="0" w:line="217" w:lineRule="exact"/>
              <w:rPr>
                <w:sz w:val="20"/>
                <w:szCs w:val="20"/>
                <w:color w:val="auto"/>
              </w:rPr>
            </w:pPr>
            <w:r>
              <w:rPr>
                <w:rFonts w:ascii="Arial" w:cs="Arial" w:eastAsia="Arial" w:hAnsi="Arial"/>
                <w:sz w:val="14"/>
                <w:szCs w:val="14"/>
                <w:b w:val="1"/>
                <w:bCs w:val="1"/>
                <w:color w:val="auto"/>
                <w:w w:val="89"/>
              </w:rPr>
              <w:t>Value</w:t>
            </w:r>
            <w:r>
              <w:rPr>
                <w:rFonts w:ascii="Arial" w:cs="Arial" w:eastAsia="Arial" w:hAnsi="Arial"/>
                <w:sz w:val="19"/>
                <w:szCs w:val="19"/>
                <w:b w:val="1"/>
                <w:bCs w:val="1"/>
                <w:color w:val="auto"/>
                <w:w w:val="89"/>
                <w:vertAlign w:val="superscript"/>
              </w:rPr>
              <w:t>2</w:t>
            </w:r>
          </w:p>
        </w:tc>
        <w:tc>
          <w:tcPr>
            <w:tcW w:w="0" w:type="dxa"/>
            <w:vAlign w:val="bottom"/>
          </w:tcPr>
          <w:p>
            <w:pPr>
              <w:spacing w:after="0"/>
              <w:rPr>
                <w:sz w:val="1"/>
                <w:szCs w:val="1"/>
                <w:color w:val="auto"/>
              </w:rPr>
            </w:pPr>
          </w:p>
        </w:tc>
      </w:tr>
      <w:tr>
        <w:trPr>
          <w:trHeight w:val="244"/>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KCAP Freedom 3 LLC</w:t>
            </w:r>
            <w:r>
              <w:rPr>
                <w:rFonts w:ascii="Arial" w:cs="Arial" w:eastAsia="Arial" w:hAnsi="Arial"/>
                <w:sz w:val="19"/>
                <w:szCs w:val="19"/>
                <w:color w:val="auto"/>
                <w:vertAlign w:val="superscript"/>
              </w:rPr>
              <w:t>(9)(13)(16)</w:t>
            </w:r>
          </w:p>
        </w:tc>
        <w:tc>
          <w:tcPr>
            <w:tcW w:w="140" w:type="dxa"/>
            <w:vAlign w:val="bottom"/>
            <w:shd w:val="clear" w:color="auto" w:fill="CFF0FC"/>
          </w:tcPr>
          <w:p>
            <w:pPr>
              <w:spacing w:after="0"/>
              <w:rPr>
                <w:sz w:val="21"/>
                <w:szCs w:val="21"/>
                <w:color w:val="auto"/>
              </w:rPr>
            </w:pPr>
          </w:p>
        </w:tc>
        <w:tc>
          <w:tcPr>
            <w:tcW w:w="2720" w:type="dxa"/>
            <w:vAlign w:val="bottom"/>
            <w:gridSpan w:val="2"/>
            <w:vMerge w:val="restart"/>
            <w:shd w:val="clear" w:color="auto" w:fill="CFF0FC"/>
          </w:tcPr>
          <w:p>
            <w:pPr>
              <w:ind w:left="20"/>
              <w:spacing w:after="0"/>
              <w:rPr>
                <w:sz w:val="20"/>
                <w:szCs w:val="20"/>
                <w:color w:val="auto"/>
              </w:rPr>
            </w:pPr>
            <w:r>
              <w:rPr>
                <w:rFonts w:ascii="Arial" w:cs="Arial" w:eastAsia="Arial" w:hAnsi="Arial"/>
                <w:sz w:val="14"/>
                <w:szCs w:val="14"/>
                <w:color w:val="auto"/>
              </w:rPr>
              <w:t>Joint Venture</w:t>
            </w:r>
          </w:p>
        </w:tc>
        <w:tc>
          <w:tcPr>
            <w:tcW w:w="1240" w:type="dxa"/>
            <w:vAlign w:val="bottom"/>
            <w:gridSpan w:val="4"/>
            <w:vMerge w:val="restart"/>
            <w:shd w:val="clear" w:color="auto" w:fill="CFF0FC"/>
          </w:tcPr>
          <w:p>
            <w:pPr>
              <w:jc w:val="right"/>
              <w:spacing w:after="0"/>
              <w:rPr>
                <w:sz w:val="20"/>
                <w:szCs w:val="20"/>
                <w:color w:val="auto"/>
              </w:rPr>
            </w:pPr>
            <w:r>
              <w:rPr>
                <w:rFonts w:ascii="Arial" w:cs="Arial" w:eastAsia="Arial" w:hAnsi="Arial"/>
                <w:sz w:val="14"/>
                <w:szCs w:val="14"/>
                <w:color w:val="auto"/>
              </w:rPr>
              <w:t>7/19/2017</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0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60 %</w:t>
            </w:r>
          </w:p>
        </w:tc>
        <w:tc>
          <w:tcPr>
            <w:tcW w:w="320" w:type="dxa"/>
            <w:vAlign w:val="bottom"/>
            <w:gridSpan w:val="4"/>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27,414,858</w:t>
            </w:r>
          </w:p>
        </w:tc>
        <w:tc>
          <w:tcPr>
            <w:tcW w:w="380" w:type="dxa"/>
            <w:vAlign w:val="bottom"/>
            <w:gridSpan w:val="4"/>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23,946,301</w:t>
            </w:r>
          </w:p>
        </w:tc>
        <w:tc>
          <w:tcPr>
            <w:tcW w:w="0" w:type="dxa"/>
            <w:vAlign w:val="bottom"/>
          </w:tcPr>
          <w:p>
            <w:pPr>
              <w:spacing w:after="0"/>
              <w:rPr>
                <w:sz w:val="1"/>
                <w:szCs w:val="1"/>
                <w:color w:val="auto"/>
              </w:rPr>
            </w:pPr>
          </w:p>
        </w:tc>
      </w:tr>
      <w:tr>
        <w:trPr>
          <w:trHeight w:val="127"/>
        </w:trPr>
        <w:tc>
          <w:tcPr>
            <w:tcW w:w="3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720" w:type="dxa"/>
            <w:vAlign w:val="bottom"/>
            <w:gridSpan w:val="2"/>
            <w:vMerge w:val="continue"/>
            <w:shd w:val="clear" w:color="auto" w:fill="CFF0FC"/>
          </w:tcPr>
          <w:p>
            <w:pPr>
              <w:spacing w:after="0"/>
              <w:rPr>
                <w:sz w:val="11"/>
                <w:szCs w:val="11"/>
                <w:color w:val="auto"/>
              </w:rPr>
            </w:pPr>
          </w:p>
        </w:tc>
        <w:tc>
          <w:tcPr>
            <w:tcW w:w="1240" w:type="dxa"/>
            <w:vAlign w:val="bottom"/>
            <w:gridSpan w:val="4"/>
            <w:vMerge w:val="continue"/>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100" w:type="dxa"/>
            <w:vAlign w:val="bottom"/>
            <w:gridSpan w:val="2"/>
            <w:vMerge w:val="continue"/>
            <w:shd w:val="clear" w:color="auto" w:fill="CFF0FC"/>
          </w:tcPr>
          <w:p>
            <w:pPr>
              <w:spacing w:after="0"/>
              <w:rPr>
                <w:sz w:val="11"/>
                <w:szCs w:val="11"/>
                <w:color w:val="auto"/>
              </w:rPr>
            </w:pPr>
          </w:p>
        </w:tc>
        <w:tc>
          <w:tcPr>
            <w:tcW w:w="320" w:type="dxa"/>
            <w:vAlign w:val="bottom"/>
            <w:gridSpan w:val="4"/>
            <w:vMerge w:val="continue"/>
            <w:shd w:val="clear" w:color="auto" w:fill="CFF0FC"/>
          </w:tcPr>
          <w:p>
            <w:pPr>
              <w:spacing w:after="0"/>
              <w:rPr>
                <w:sz w:val="11"/>
                <w:szCs w:val="11"/>
                <w:color w:val="auto"/>
              </w:rPr>
            </w:pPr>
          </w:p>
        </w:tc>
        <w:tc>
          <w:tcPr>
            <w:tcW w:w="1020" w:type="dxa"/>
            <w:vAlign w:val="bottom"/>
            <w:vMerge w:val="continue"/>
            <w:shd w:val="clear" w:color="auto" w:fill="CFF0FC"/>
          </w:tcPr>
          <w:p>
            <w:pPr>
              <w:spacing w:after="0"/>
              <w:rPr>
                <w:sz w:val="11"/>
                <w:szCs w:val="11"/>
                <w:color w:val="auto"/>
              </w:rPr>
            </w:pPr>
          </w:p>
        </w:tc>
        <w:tc>
          <w:tcPr>
            <w:tcW w:w="380" w:type="dxa"/>
            <w:vAlign w:val="bottom"/>
            <w:gridSpan w:val="4"/>
            <w:vMerge w:val="continue"/>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160" w:type="dxa"/>
            <w:vAlign w:val="bottom"/>
          </w:tcPr>
          <w:p>
            <w:pPr>
              <w:ind w:left="20"/>
              <w:spacing w:after="0" w:line="183" w:lineRule="exact"/>
              <w:rPr>
                <w:sz w:val="20"/>
                <w:szCs w:val="20"/>
                <w:color w:val="auto"/>
              </w:rPr>
            </w:pPr>
            <w:r>
              <w:rPr>
                <w:rFonts w:ascii="Arial" w:cs="Arial" w:eastAsia="Arial" w:hAnsi="Arial"/>
                <w:sz w:val="14"/>
                <w:szCs w:val="14"/>
                <w:color w:val="auto"/>
              </w:rPr>
              <w:t>BCP Great Lakes Holdings LP</w:t>
            </w:r>
            <w:r>
              <w:rPr>
                <w:rFonts w:ascii="Arial" w:cs="Arial" w:eastAsia="Arial" w:hAnsi="Arial"/>
                <w:sz w:val="19"/>
                <w:szCs w:val="19"/>
                <w:color w:val="auto"/>
                <w:vertAlign w:val="superscript"/>
              </w:rPr>
              <w:t>(10)(17)(18)(23)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60" w:type="dxa"/>
            <w:vAlign w:val="bottom"/>
          </w:tcPr>
          <w:p>
            <w:pPr>
              <w:ind w:left="120"/>
              <w:spacing w:after="0"/>
              <w:rPr>
                <w:sz w:val="20"/>
                <w:szCs w:val="20"/>
                <w:color w:val="auto"/>
              </w:rPr>
            </w:pPr>
            <w:r>
              <w:rPr>
                <w:rFonts w:ascii="Arial" w:cs="Arial" w:eastAsia="Arial" w:hAnsi="Arial"/>
                <w:sz w:val="14"/>
                <w:szCs w:val="14"/>
                <w:color w:val="auto"/>
              </w:rPr>
              <w:t>Limited Partnership</w:t>
            </w:r>
          </w:p>
        </w:tc>
        <w:tc>
          <w:tcPr>
            <w:tcW w:w="140" w:type="dxa"/>
            <w:vAlign w:val="bottom"/>
          </w:tcPr>
          <w:p>
            <w:pPr>
              <w:spacing w:after="0"/>
              <w:rPr>
                <w:sz w:val="15"/>
                <w:szCs w:val="15"/>
                <w:color w:val="auto"/>
              </w:rPr>
            </w:pPr>
          </w:p>
        </w:tc>
        <w:tc>
          <w:tcPr>
            <w:tcW w:w="2720" w:type="dxa"/>
            <w:vAlign w:val="bottom"/>
            <w:gridSpan w:val="2"/>
            <w:vMerge w:val="restart"/>
          </w:tcPr>
          <w:p>
            <w:pPr>
              <w:ind w:left="20"/>
              <w:spacing w:after="0"/>
              <w:rPr>
                <w:sz w:val="20"/>
                <w:szCs w:val="20"/>
                <w:color w:val="auto"/>
              </w:rPr>
            </w:pPr>
            <w:r>
              <w:rPr>
                <w:rFonts w:ascii="Arial" w:cs="Arial" w:eastAsia="Arial" w:hAnsi="Arial"/>
                <w:sz w:val="14"/>
                <w:szCs w:val="14"/>
                <w:color w:val="auto"/>
              </w:rPr>
              <w:t>Joint Venture</w:t>
            </w:r>
          </w:p>
        </w:tc>
        <w:tc>
          <w:tcPr>
            <w:tcW w:w="1240" w:type="dxa"/>
            <w:vAlign w:val="bottom"/>
            <w:gridSpan w:val="4"/>
            <w:vMerge w:val="restart"/>
          </w:tcPr>
          <w:p>
            <w:pPr>
              <w:jc w:val="right"/>
              <w:spacing w:after="0"/>
              <w:rPr>
                <w:sz w:val="20"/>
                <w:szCs w:val="20"/>
                <w:color w:val="auto"/>
              </w:rPr>
            </w:pPr>
            <w:r>
              <w:rPr>
                <w:rFonts w:ascii="Arial" w:cs="Arial" w:eastAsia="Arial" w:hAnsi="Arial"/>
                <w:sz w:val="14"/>
                <w:szCs w:val="14"/>
                <w:color w:val="auto"/>
              </w:rPr>
              <w:t>12/11/2018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color w:val="auto"/>
              </w:rPr>
              <w:t>24 %</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43,143,519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43,682,813</w:t>
            </w: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gridSpan w:val="2"/>
            <w:vMerge w:val="continue"/>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Total Investment in Joint Ventures</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7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gridSpan w:val="2"/>
            <w:vMerge w:val="restart"/>
            <w:shd w:val="clear" w:color="auto" w:fill="CFF0FC"/>
          </w:tcPr>
          <w:p>
            <w:pPr>
              <w:spacing w:after="0"/>
              <w:rPr>
                <w:sz w:val="15"/>
                <w:szCs w:val="15"/>
                <w:color w:val="auto"/>
              </w:rPr>
            </w:pPr>
          </w:p>
        </w:tc>
        <w:tc>
          <w:tcPr>
            <w:tcW w:w="1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b w:val="1"/>
                <w:bCs w:val="1"/>
                <w:color w:val="auto"/>
                <w:w w:val="76"/>
              </w:rPr>
              <w:t>$</w:t>
            </w:r>
          </w:p>
        </w:tc>
        <w:tc>
          <w:tcPr>
            <w:tcW w:w="102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70,558,377</w:t>
            </w:r>
          </w:p>
        </w:tc>
        <w:tc>
          <w:tcPr>
            <w:tcW w:w="140" w:type="dxa"/>
            <w:vAlign w:val="bottom"/>
            <w:gridSpan w:val="2"/>
            <w:vMerge w:val="restart"/>
            <w:shd w:val="clear" w:color="auto" w:fill="CFF0FC"/>
          </w:tcPr>
          <w:p>
            <w:pPr>
              <w:spacing w:after="0"/>
              <w:rPr>
                <w:sz w:val="15"/>
                <w:szCs w:val="15"/>
                <w:color w:val="auto"/>
              </w:rPr>
            </w:pPr>
          </w:p>
        </w:tc>
        <w:tc>
          <w:tcPr>
            <w:tcW w:w="2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b w:val="1"/>
                <w:bCs w:val="1"/>
                <w:color w:val="auto"/>
                <w:w w:val="76"/>
              </w:rPr>
              <w:t>$</w:t>
            </w:r>
          </w:p>
        </w:tc>
        <w:tc>
          <w:tcPr>
            <w:tcW w:w="100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67,629,114</w:t>
            </w:r>
          </w:p>
        </w:tc>
        <w:tc>
          <w:tcPr>
            <w:tcW w:w="0" w:type="dxa"/>
            <w:vAlign w:val="bottom"/>
          </w:tcPr>
          <w:p>
            <w:pPr>
              <w:spacing w:after="0"/>
              <w:rPr>
                <w:sz w:val="1"/>
                <w:szCs w:val="1"/>
                <w:color w:val="auto"/>
              </w:rPr>
            </w:pPr>
          </w:p>
        </w:tc>
      </w:tr>
      <w:tr>
        <w:trPr>
          <w:trHeight w:val="185"/>
        </w:trPr>
        <w:tc>
          <w:tcPr>
            <w:tcW w:w="3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(25% of net asset value at fair value)</w:t>
            </w:r>
          </w:p>
        </w:tc>
        <w:tc>
          <w:tcPr>
            <w:tcW w:w="1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270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gridSpan w:val="2"/>
            <w:vMerge w:val="continue"/>
            <w:shd w:val="clear" w:color="auto" w:fill="CFF0FC"/>
          </w:tcPr>
          <w:p>
            <w:pPr>
              <w:spacing w:after="0"/>
              <w:rPr>
                <w:sz w:val="16"/>
                <w:szCs w:val="16"/>
                <w:color w:val="auto"/>
              </w:rPr>
            </w:pPr>
          </w:p>
        </w:tc>
        <w:tc>
          <w:tcPr>
            <w:tcW w:w="180" w:type="dxa"/>
            <w:vAlign w:val="bottom"/>
            <w:tcBorders>
              <w:bottom w:val="single" w:sz="8" w:color="auto"/>
            </w:tcBorders>
            <w:gridSpan w:val="2"/>
            <w:vMerge w:val="continue"/>
            <w:shd w:val="clear" w:color="auto" w:fill="CFF0FC"/>
          </w:tcPr>
          <w:p>
            <w:pPr>
              <w:spacing w:after="0"/>
              <w:rPr>
                <w:sz w:val="16"/>
                <w:szCs w:val="16"/>
                <w:color w:val="auto"/>
              </w:rPr>
            </w:pP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CFF0FC"/>
            </w:tcBorders>
            <w:gridSpan w:val="2"/>
            <w:vMerge w:val="continue"/>
            <w:shd w:val="clear" w:color="auto" w:fill="CFF0FC"/>
          </w:tcPr>
          <w:p>
            <w:pPr>
              <w:spacing w:after="0"/>
              <w:rPr>
                <w:sz w:val="16"/>
                <w:szCs w:val="16"/>
                <w:color w:val="auto"/>
              </w:rPr>
            </w:pPr>
          </w:p>
        </w:tc>
        <w:tc>
          <w:tcPr>
            <w:tcW w:w="240" w:type="dxa"/>
            <w:vAlign w:val="bottom"/>
            <w:tcBorders>
              <w:bottom w:val="single" w:sz="8" w:color="auto"/>
            </w:tcBorders>
            <w:gridSpan w:val="2"/>
            <w:vMerge w:val="continue"/>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70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gridSpan w:val="2"/>
          </w:tcPr>
          <w:p>
            <w:pPr>
              <w:spacing w:after="0"/>
              <w:rPr>
                <w:sz w:val="22"/>
                <w:szCs w:val="22"/>
                <w:color w:val="auto"/>
              </w:rPr>
            </w:pPr>
          </w:p>
        </w:tc>
        <w:tc>
          <w:tcPr>
            <w:tcW w:w="180" w:type="dxa"/>
            <w:vAlign w:val="bottom"/>
            <w:tcBorders>
              <w:bottom w:val="single" w:sz="8" w:color="auto"/>
            </w:tcBorders>
            <w:gridSpan w:val="2"/>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40" w:type="dxa"/>
            <w:vAlign w:val="bottom"/>
            <w:tcBorders>
              <w:bottom w:val="single" w:sz="8" w:color="CFF0FC"/>
            </w:tcBorders>
            <w:gridSpan w:val="2"/>
          </w:tcPr>
          <w:p>
            <w:pPr>
              <w:spacing w:after="0"/>
              <w:rPr>
                <w:sz w:val="22"/>
                <w:szCs w:val="22"/>
                <w:color w:val="auto"/>
              </w:rPr>
            </w:pPr>
          </w:p>
        </w:tc>
        <w:tc>
          <w:tcPr>
            <w:tcW w:w="240" w:type="dxa"/>
            <w:vAlign w:val="bottom"/>
            <w:tcBorders>
              <w:bottom w:val="single" w:sz="8" w:color="auto"/>
            </w:tcBorders>
            <w:gridSpan w:val="2"/>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1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4"/>
                <w:szCs w:val="14"/>
                <w:b w:val="1"/>
                <w:bCs w:val="1"/>
                <w:color w:val="auto"/>
              </w:rPr>
              <w:t>Total Investments</w:t>
            </w:r>
            <w:r>
              <w:rPr>
                <w:rFonts w:ascii="Arial" w:cs="Arial" w:eastAsia="Arial" w:hAnsi="Arial"/>
                <w:sz w:val="19"/>
                <w:szCs w:val="19"/>
                <w:b w:val="1"/>
                <w:bCs w:val="1"/>
                <w:color w:val="auto"/>
                <w:vertAlign w:val="superscript"/>
              </w:rPr>
              <w:t>4</w:t>
            </w: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7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gridSpan w:val="2"/>
            <w:shd w:val="clear" w:color="auto" w:fill="CFF0FC"/>
          </w:tcPr>
          <w:p>
            <w:pPr>
              <w:spacing w:after="0"/>
              <w:rPr>
                <w:sz w:val="20"/>
                <w:szCs w:val="20"/>
                <w:color w:val="auto"/>
              </w:rPr>
            </w:pPr>
          </w:p>
        </w:tc>
        <w:tc>
          <w:tcPr>
            <w:tcW w:w="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601,987,885</w:t>
            </w:r>
          </w:p>
        </w:tc>
        <w:tc>
          <w:tcPr>
            <w:tcW w:w="140" w:type="dxa"/>
            <w:vAlign w:val="bottom"/>
            <w:tcBorders>
              <w:bottom w:val="single" w:sz="8" w:color="CFF0FC"/>
            </w:tcBorders>
            <w:gridSpan w:val="2"/>
            <w:shd w:val="clear" w:color="auto" w:fill="CFF0FC"/>
          </w:tcPr>
          <w:p>
            <w:pPr>
              <w:spacing w:after="0"/>
              <w:rPr>
                <w:sz w:val="20"/>
                <w:szCs w:val="20"/>
                <w:color w:val="auto"/>
              </w:rPr>
            </w:pPr>
          </w:p>
        </w:tc>
        <w:tc>
          <w:tcPr>
            <w:tcW w:w="240" w:type="dxa"/>
            <w:vAlign w:val="bottom"/>
            <w:tcBorders>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560,199,292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-5577205</wp:posOffset>
            </wp:positionV>
            <wp:extent cx="8572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-4548505</wp:posOffset>
            </wp:positionV>
            <wp:extent cx="8572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-4179570</wp:posOffset>
            </wp:positionV>
            <wp:extent cx="8572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-2413635</wp:posOffset>
            </wp:positionV>
            <wp:extent cx="8572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-2045335</wp:posOffset>
            </wp:positionV>
            <wp:extent cx="8572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-339090</wp:posOffset>
            </wp:positionV>
            <wp:extent cx="8572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857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857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-161925</wp:posOffset>
            </wp:positionV>
            <wp:extent cx="857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9" w:name="page20"/>
    <w:bookmarkEnd w:id="19"/>
    <w:p>
      <w:pPr>
        <w:ind w:left="380" w:right="20" w:hanging="372"/>
        <w:spacing w:after="0" w:line="241" w:lineRule="auto"/>
        <w:tabs>
          <w:tab w:leader="none" w:pos="330"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September 30, 2021 loan. For each such loan, the Company has provided the weighted average annual stated interest rate in effect at September 30, 2021. As noted in the table above 75.5% (based on par) of debt securities contain floors which range between 0.50% and 2.25%.</w:t>
      </w:r>
    </w:p>
    <w:p>
      <w:pPr>
        <w:ind w:left="340" w:hanging="332"/>
        <w:spacing w:after="0" w:line="183" w:lineRule="auto"/>
        <w:tabs>
          <w:tab w:leader="none" w:pos="340" w:val="left"/>
        </w:tabs>
        <w:numPr>
          <w:ilvl w:val="0"/>
          <w:numId w:val="5"/>
        </w:numPr>
        <w:rPr>
          <w:rFonts w:ascii="Arial" w:cs="Arial" w:eastAsia="Arial" w:hAnsi="Arial"/>
          <w:sz w:val="23"/>
          <w:szCs w:val="23"/>
          <w:color w:val="auto"/>
          <w:vertAlign w:val="superscript"/>
        </w:rPr>
      </w:pPr>
      <w:r>
        <w:rPr>
          <w:rFonts w:ascii="Arial" w:cs="Arial" w:eastAsia="Arial" w:hAnsi="Arial"/>
          <w:sz w:val="15"/>
          <w:szCs w:val="15"/>
          <w:color w:val="auto"/>
        </w:rPr>
        <w:t>Reflects the fair market value of all investments as of September 30, 2021 as determined by the Company’s Board of Directors.</w:t>
      </w:r>
    </w:p>
    <w:p>
      <w:pPr>
        <w:ind w:left="340" w:hanging="332"/>
        <w:spacing w:after="0" w:line="184" w:lineRule="auto"/>
        <w:tabs>
          <w:tab w:leader="none" w:pos="340" w:val="left"/>
        </w:tabs>
        <w:numPr>
          <w:ilvl w:val="0"/>
          <w:numId w:val="6"/>
        </w:numPr>
        <w:rPr>
          <w:rFonts w:ascii="Arial" w:cs="Arial" w:eastAsia="Arial" w:hAnsi="Arial"/>
          <w:sz w:val="23"/>
          <w:szCs w:val="23"/>
          <w:color w:val="auto"/>
          <w:vertAlign w:val="superscript"/>
        </w:rPr>
      </w:pPr>
      <w:r>
        <w:rPr>
          <w:rFonts w:ascii="Arial" w:cs="Arial" w:eastAsia="Arial" w:hAnsi="Arial"/>
          <w:sz w:val="16"/>
          <w:szCs w:val="16"/>
          <w:color w:val="auto"/>
        </w:rPr>
        <w:t>Non-U.S. company or principal place of business outside the U.S.</w:t>
      </w:r>
    </w:p>
    <w:p>
      <w:pPr>
        <w:spacing w:after="0" w:line="7" w:lineRule="exact"/>
        <w:rPr>
          <w:sz w:val="20"/>
          <w:szCs w:val="20"/>
          <w:color w:val="auto"/>
        </w:rPr>
      </w:pPr>
    </w:p>
    <w:p>
      <w:pPr>
        <w:ind w:left="380" w:right="340" w:hanging="372"/>
        <w:spacing w:after="0" w:line="224" w:lineRule="auto"/>
        <w:tabs>
          <w:tab w:leader="none" w:pos="330" w:val="left"/>
        </w:tabs>
        <w:numPr>
          <w:ilvl w:val="0"/>
          <w:numId w:val="7"/>
        </w:numPr>
        <w:rPr>
          <w:rFonts w:ascii="Arial" w:cs="Arial" w:eastAsia="Arial" w:hAnsi="Arial"/>
          <w:sz w:val="22"/>
          <w:szCs w:val="22"/>
          <w:color w:val="auto"/>
          <w:vertAlign w:val="superscript"/>
        </w:rPr>
      </w:pPr>
      <w:r>
        <w:rPr>
          <w:rFonts w:ascii="Arial" w:cs="Arial" w:eastAsia="Arial" w:hAnsi="Arial"/>
          <w:sz w:val="15"/>
          <w:szCs w:val="15"/>
          <w:color w:val="auto"/>
        </w:rPr>
        <w:t>The aggregate cost of investments for federal income tax purposes is approximately 632 million. The aggregate gross unrealized appreciation is approximately $51 million, the aggregate gross unrealized depreciation is approximately $123 million, and the net unrealized depreciation is approximately $72 million.</w:t>
      </w:r>
    </w:p>
    <w:p>
      <w:pPr>
        <w:ind w:left="340" w:hanging="332"/>
        <w:spacing w:after="0" w:line="184" w:lineRule="auto"/>
        <w:tabs>
          <w:tab w:leader="none" w:pos="34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Loan or debt security is on non-accrual status and therefore is considered non-income producing.</w:t>
      </w:r>
    </w:p>
    <w:p>
      <w:pPr>
        <w:spacing w:after="0" w:line="8" w:lineRule="exact"/>
        <w:rPr>
          <w:sz w:val="20"/>
          <w:szCs w:val="20"/>
          <w:color w:val="auto"/>
        </w:rPr>
      </w:pPr>
    </w:p>
    <w:p>
      <w:pPr>
        <w:ind w:left="380" w:right="60" w:hanging="372"/>
        <w:spacing w:after="0" w:line="207" w:lineRule="auto"/>
        <w:tabs>
          <w:tab w:leader="none" w:pos="330" w:val="left"/>
        </w:tabs>
        <w:numPr>
          <w:ilvl w:val="0"/>
          <w:numId w:val="9"/>
        </w:numPr>
        <w:rPr>
          <w:rFonts w:ascii="Arial" w:cs="Arial" w:eastAsia="Arial" w:hAnsi="Arial"/>
          <w:sz w:val="24"/>
          <w:szCs w:val="24"/>
          <w:color w:val="auto"/>
          <w:vertAlign w:val="superscript"/>
        </w:rPr>
      </w:pPr>
      <w:r>
        <w:rPr>
          <w:rFonts w:ascii="Arial" w:cs="Arial" w:eastAsia="Arial" w:hAnsi="Arial"/>
          <w:sz w:val="16"/>
          <w:szCs w:val="16"/>
          <w:color w:val="auto"/>
        </w:rPr>
        <w:t>Held through Garrison Capital Equity Holdings II LLC and net of non-controlling member’s interest of 17.5% pursuant to the Amended and Restated Limited Liability Company Agreement of Garrison Capital Equity Holdings II LLC.</w:t>
      </w:r>
    </w:p>
    <w:p>
      <w:pPr>
        <w:ind w:left="340" w:hanging="332"/>
        <w:spacing w:after="0" w:line="185" w:lineRule="auto"/>
        <w:tabs>
          <w:tab w:leader="none" w:pos="34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During the second quarter of 2020, the Company was notified that this CLO Fund security will cease making distributions to the Company.</w:t>
      </w:r>
    </w:p>
    <w:p>
      <w:pPr>
        <w:spacing w:after="0" w:line="7" w:lineRule="exact"/>
        <w:rPr>
          <w:sz w:val="20"/>
          <w:szCs w:val="20"/>
          <w:color w:val="auto"/>
        </w:rPr>
      </w:pPr>
    </w:p>
    <w:p>
      <w:pPr>
        <w:ind w:left="380" w:right="140" w:hanging="372"/>
        <w:spacing w:after="0" w:line="207" w:lineRule="auto"/>
        <w:tabs>
          <w:tab w:leader="none" w:pos="330" w:val="left"/>
        </w:tabs>
        <w:numPr>
          <w:ilvl w:val="0"/>
          <w:numId w:val="11"/>
        </w:numPr>
        <w:rPr>
          <w:rFonts w:ascii="Arial" w:cs="Arial" w:eastAsia="Arial" w:hAnsi="Arial"/>
          <w:sz w:val="24"/>
          <w:szCs w:val="24"/>
          <w:color w:val="auto"/>
          <w:vertAlign w:val="superscript"/>
        </w:rPr>
      </w:pPr>
      <w:r>
        <w:rPr>
          <w:rFonts w:ascii="Arial" w:cs="Arial" w:eastAsia="Arial" w:hAnsi="Arial"/>
          <w:sz w:val="16"/>
          <w:szCs w:val="16"/>
          <w:color w:val="auto"/>
        </w:rPr>
        <w:t>Qualified asset for purposes of section 55(a) of the Investment Company Act of 1940, as amended (the “1940 Act”). Qualifying assets represent approximately 84.4% of the total assets at September 30, 2021.</w:t>
      </w:r>
    </w:p>
    <w:p>
      <w:pPr>
        <w:spacing w:after="0" w:line="2" w:lineRule="exact"/>
        <w:rPr>
          <w:sz w:val="20"/>
          <w:szCs w:val="20"/>
          <w:color w:val="auto"/>
        </w:rPr>
      </w:pPr>
    </w:p>
    <w:p>
      <w:pPr>
        <w:ind w:left="380" w:right="160" w:hanging="372"/>
        <w:spacing w:after="0" w:line="258" w:lineRule="auto"/>
        <w:tabs>
          <w:tab w:leader="none" w:pos="330" w:val="left"/>
        </w:tabs>
        <w:numPr>
          <w:ilvl w:val="0"/>
          <w:numId w:val="12"/>
        </w:numPr>
        <w:rPr>
          <w:rFonts w:ascii="Arial" w:cs="Arial" w:eastAsia="Arial" w:hAnsi="Arial"/>
          <w:sz w:val="21"/>
          <w:szCs w:val="21"/>
          <w:color w:val="auto"/>
          <w:vertAlign w:val="superscript"/>
        </w:rPr>
      </w:pPr>
      <w:r>
        <w:rPr>
          <w:rFonts w:ascii="Arial" w:cs="Arial" w:eastAsia="Arial" w:hAnsi="Arial"/>
          <w:sz w:val="14"/>
          <w:szCs w:val="14"/>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ind w:left="340" w:hanging="332"/>
        <w:spacing w:after="0" w:line="185" w:lineRule="auto"/>
        <w:tabs>
          <w:tab w:leader="none" w:pos="340"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Non-voting.</w:t>
      </w:r>
    </w:p>
    <w:p>
      <w:pPr>
        <w:spacing w:after="0" w:line="10" w:lineRule="exact"/>
        <w:rPr>
          <w:rFonts w:ascii="Arial" w:cs="Arial" w:eastAsia="Arial" w:hAnsi="Arial"/>
          <w:sz w:val="23"/>
          <w:szCs w:val="23"/>
          <w:color w:val="auto"/>
          <w:vertAlign w:val="superscript"/>
        </w:rPr>
      </w:pPr>
    </w:p>
    <w:p>
      <w:pPr>
        <w:ind w:left="380" w:right="120" w:hanging="372"/>
        <w:spacing w:after="0" w:line="254" w:lineRule="auto"/>
        <w:tabs>
          <w:tab w:leader="none" w:pos="330"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21"/>
          <w:szCs w:val="21"/>
          <w:color w:val="auto"/>
          <w:vertAlign w:val="superscript"/>
        </w:rPr>
      </w:pPr>
    </w:p>
    <w:p>
      <w:pPr>
        <w:ind w:left="380" w:right="100" w:hanging="372"/>
        <w:spacing w:after="0" w:line="211" w:lineRule="auto"/>
        <w:tabs>
          <w:tab w:leader="none" w:pos="330"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This investment is on non-accrual status and receives a 5% royalty interest on oil being produced on certain fields. All production payments received are being applied to the cost basis and are considered return of capital.</w:t>
      </w:r>
    </w:p>
    <w:p>
      <w:pPr>
        <w:ind w:left="340" w:hanging="332"/>
        <w:spacing w:after="0" w:line="183" w:lineRule="auto"/>
        <w:tabs>
          <w:tab w:leader="none" w:pos="340"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Fair value of this investment was determined using significant unobservable inputs.</w:t>
      </w:r>
    </w:p>
    <w:p>
      <w:pPr>
        <w:spacing w:after="0" w:line="10" w:lineRule="exact"/>
        <w:rPr>
          <w:rFonts w:ascii="Arial" w:cs="Arial" w:eastAsia="Arial" w:hAnsi="Arial"/>
          <w:sz w:val="23"/>
          <w:szCs w:val="23"/>
          <w:color w:val="auto"/>
          <w:vertAlign w:val="superscript"/>
        </w:rPr>
      </w:pPr>
    </w:p>
    <w:p>
      <w:pPr>
        <w:ind w:left="340" w:hanging="332"/>
        <w:spacing w:after="0" w:line="182"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5"/>
          <w:szCs w:val="15"/>
          <w:color w:val="auto"/>
        </w:rPr>
        <w:t>As of September 30, 2021 investment is pledged to secure the Company’s debt obligations.</w:t>
      </w:r>
    </w:p>
    <w:p>
      <w:pPr>
        <w:spacing w:after="0" w:line="37" w:lineRule="exact"/>
        <w:rPr>
          <w:rFonts w:ascii="Arial" w:cs="Arial" w:eastAsia="Arial" w:hAnsi="Arial"/>
          <w:sz w:val="22"/>
          <w:szCs w:val="22"/>
          <w:color w:val="auto"/>
          <w:vertAlign w:val="superscript"/>
        </w:rPr>
      </w:pPr>
    </w:p>
    <w:p>
      <w:pPr>
        <w:ind w:left="380" w:right="20" w:hanging="372"/>
        <w:spacing w:after="0" w:line="222" w:lineRule="auto"/>
        <w:tabs>
          <w:tab w:leader="none" w:pos="366" w:val="left"/>
        </w:tabs>
        <w:numPr>
          <w:ilvl w:val="0"/>
          <w:numId w:val="13"/>
        </w:numPr>
        <w:rPr>
          <w:rFonts w:ascii="Arial" w:cs="Arial" w:eastAsia="Arial" w:hAnsi="Arial"/>
          <w:sz w:val="22"/>
          <w:szCs w:val="22"/>
          <w:color w:val="auto"/>
          <w:vertAlign w:val="superscript"/>
        </w:rPr>
      </w:pPr>
      <w:r>
        <w:rPr>
          <w:rFonts w:ascii="Arial" w:cs="Arial" w:eastAsia="Arial" w:hAnsi="Arial"/>
          <w:sz w:val="15"/>
          <w:szCs w:val="15"/>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spacing w:after="0" w:line="24" w:lineRule="exact"/>
        <w:rPr>
          <w:rFonts w:ascii="Arial" w:cs="Arial" w:eastAsia="Arial" w:hAnsi="Arial"/>
          <w:sz w:val="22"/>
          <w:szCs w:val="22"/>
          <w:color w:val="auto"/>
          <w:vertAlign w:val="superscript"/>
        </w:rPr>
      </w:pPr>
    </w:p>
    <w:p>
      <w:pPr>
        <w:ind w:left="380" w:right="240" w:hanging="372"/>
        <w:spacing w:after="0" w:line="230" w:lineRule="auto"/>
        <w:tabs>
          <w:tab w:leader="none" w:pos="366" w:val="left"/>
        </w:tabs>
        <w:numPr>
          <w:ilvl w:val="0"/>
          <w:numId w:val="13"/>
        </w:numPr>
        <w:rPr>
          <w:rFonts w:ascii="Arial" w:cs="Arial" w:eastAsia="Arial" w:hAnsi="Arial"/>
          <w:sz w:val="22"/>
          <w:szCs w:val="22"/>
          <w:color w:val="auto"/>
          <w:vertAlign w:val="superscript"/>
        </w:rPr>
      </w:pPr>
      <w:r>
        <w:rPr>
          <w:rFonts w:ascii="Arial" w:cs="Arial" w:eastAsia="Arial" w:hAnsi="Arial"/>
          <w:sz w:val="15"/>
          <w:szCs w:val="15"/>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1" w:lineRule="exact"/>
        <w:rPr>
          <w:rFonts w:ascii="Arial" w:cs="Arial" w:eastAsia="Arial" w:hAnsi="Arial"/>
          <w:sz w:val="22"/>
          <w:szCs w:val="22"/>
          <w:color w:val="auto"/>
          <w:vertAlign w:val="superscript"/>
        </w:rPr>
      </w:pPr>
    </w:p>
    <w:p>
      <w:pPr>
        <w:ind w:left="360" w:hanging="352"/>
        <w:spacing w:after="0" w:line="217" w:lineRule="auto"/>
        <w:tabs>
          <w:tab w:leader="none" w:pos="360" w:val="left"/>
        </w:tabs>
        <w:numPr>
          <w:ilvl w:val="0"/>
          <w:numId w:val="13"/>
        </w:numPr>
        <w:rPr>
          <w:rFonts w:ascii="Arial" w:cs="Arial" w:eastAsia="Arial" w:hAnsi="Arial"/>
          <w:sz w:val="22"/>
          <w:szCs w:val="22"/>
          <w:color w:val="auto"/>
          <w:vertAlign w:val="superscript"/>
        </w:rPr>
      </w:pP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37" w:lineRule="exact"/>
        <w:rPr>
          <w:rFonts w:ascii="Arial" w:cs="Arial" w:eastAsia="Arial" w:hAnsi="Arial"/>
          <w:sz w:val="22"/>
          <w:szCs w:val="22"/>
          <w:color w:val="auto"/>
          <w:vertAlign w:val="superscript"/>
        </w:rPr>
      </w:pPr>
    </w:p>
    <w:p>
      <w:pPr>
        <w:ind w:left="380" w:right="120" w:hanging="372"/>
        <w:spacing w:after="0" w:line="269" w:lineRule="auto"/>
        <w:tabs>
          <w:tab w:leader="none" w:pos="366" w:val="left"/>
        </w:tabs>
        <w:numPr>
          <w:ilvl w:val="0"/>
          <w:numId w:val="13"/>
        </w:numPr>
        <w:rPr>
          <w:rFonts w:ascii="Arial" w:cs="Arial" w:eastAsia="Arial" w:hAnsi="Arial"/>
          <w:sz w:val="13"/>
          <w:szCs w:val="13"/>
          <w:color w:val="auto"/>
        </w:rPr>
      </w:pPr>
      <w:r>
        <w:rPr>
          <w:rFonts w:ascii="Arial" w:cs="Arial" w:eastAsia="Arial" w:hAnsi="Arial"/>
          <w:sz w:val="16"/>
          <w:szCs w:val="16"/>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 of the 1940 Act, the Company does not believe it has control over this portfolio company.</w:t>
      </w:r>
    </w:p>
    <w:p>
      <w:pPr>
        <w:spacing w:after="0" w:line="1" w:lineRule="exact"/>
        <w:rPr>
          <w:rFonts w:ascii="Arial" w:cs="Arial" w:eastAsia="Arial" w:hAnsi="Arial"/>
          <w:sz w:val="13"/>
          <w:szCs w:val="13"/>
          <w:color w:val="auto"/>
        </w:rPr>
      </w:pPr>
    </w:p>
    <w:p>
      <w:pPr>
        <w:ind w:left="360" w:hanging="352"/>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6"/>
          <w:szCs w:val="16"/>
          <w:color w:val="auto"/>
        </w:rPr>
        <w:t>Non-income producing.</w:t>
      </w:r>
    </w:p>
    <w:p>
      <w:pPr>
        <w:spacing w:after="0" w:line="45" w:lineRule="exact"/>
        <w:rPr>
          <w:rFonts w:ascii="Arial" w:cs="Arial" w:eastAsia="Arial" w:hAnsi="Arial"/>
          <w:sz w:val="13"/>
          <w:szCs w:val="13"/>
          <w:color w:val="auto"/>
        </w:rPr>
      </w:pPr>
    </w:p>
    <w:p>
      <w:pPr>
        <w:ind w:left="380" w:right="20" w:hanging="372"/>
        <w:spacing w:after="0" w:line="272" w:lineRule="auto"/>
        <w:tabs>
          <w:tab w:leader="none" w:pos="366" w:val="left"/>
        </w:tabs>
        <w:numPr>
          <w:ilvl w:val="0"/>
          <w:numId w:val="13"/>
        </w:numPr>
        <w:rPr>
          <w:rFonts w:ascii="Arial" w:cs="Arial" w:eastAsia="Arial" w:hAnsi="Arial"/>
          <w:sz w:val="13"/>
          <w:szCs w:val="13"/>
          <w:color w:val="auto"/>
        </w:rPr>
      </w:pPr>
      <w:r>
        <w:rPr>
          <w:rFonts w:ascii="Arial" w:cs="Arial" w:eastAsia="Arial" w:hAnsi="Arial"/>
          <w:sz w:val="16"/>
          <w:szCs w:val="16"/>
          <w:color w:val="auto"/>
        </w:rPr>
        <w:t>In addition to the stated interest rate of this security, which is the amount disclosed in this schedule, the Company is entitled to receive additional interest as a result of an arrangement with other lenders in the syndication, whereby the “first out” tranche will have priority over the Company’s “last out” tranche with respect to payments of principal, interest and any other amounts due thereunder from the borrower. The additional interest received during the quarter has been annualized and included in the spread disclosed for this investment.</w:t>
      </w:r>
    </w:p>
    <w:p>
      <w:pPr>
        <w:spacing w:after="0" w:line="2" w:lineRule="exact"/>
        <w:rPr>
          <w:rFonts w:ascii="Arial" w:cs="Arial" w:eastAsia="Arial" w:hAnsi="Arial"/>
          <w:sz w:val="13"/>
          <w:szCs w:val="13"/>
          <w:color w:val="auto"/>
        </w:rPr>
      </w:pPr>
    </w:p>
    <w:p>
      <w:pPr>
        <w:ind w:left="360" w:hanging="352"/>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6"/>
          <w:szCs w:val="16"/>
          <w:color w:val="auto"/>
        </w:rPr>
        <w:t>Represents co-investment made with the Company's affiliates in accordance with the terms of the exemptive relief that the Company received.</w:t>
      </w:r>
    </w:p>
    <w:p>
      <w:pPr>
        <w:spacing w:after="0" w:line="22" w:lineRule="exact"/>
        <w:rPr>
          <w:rFonts w:ascii="Arial" w:cs="Arial" w:eastAsia="Arial" w:hAnsi="Arial"/>
          <w:sz w:val="13"/>
          <w:szCs w:val="13"/>
          <w:color w:val="auto"/>
        </w:rPr>
      </w:pPr>
    </w:p>
    <w:p>
      <w:pPr>
        <w:ind w:left="340" w:hanging="332"/>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6"/>
          <w:szCs w:val="16"/>
          <w:color w:val="auto"/>
        </w:rPr>
        <w:t>Information related to the Company’s derivatives is presented below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1040" w:type="dxa"/>
            <w:vAlign w:val="bottom"/>
          </w:tcPr>
          <w:p>
            <w:pPr>
              <w:jc w:val="center"/>
              <w:ind w:left="217"/>
              <w:spacing w:after="0"/>
              <w:rPr>
                <w:sz w:val="20"/>
                <w:szCs w:val="20"/>
                <w:color w:val="auto"/>
              </w:rPr>
            </w:pPr>
            <w:r>
              <w:rPr>
                <w:rFonts w:ascii="Arial" w:cs="Arial" w:eastAsia="Arial" w:hAnsi="Arial"/>
                <w:sz w:val="13"/>
                <w:szCs w:val="13"/>
                <w:b w:val="1"/>
                <w:bCs w:val="1"/>
                <w:color w:val="auto"/>
                <w:w w:val="84"/>
              </w:rPr>
              <w:t>Payments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4"/>
              </w:rPr>
              <w:t>Payments</w:t>
            </w:r>
          </w:p>
        </w:tc>
        <w:tc>
          <w:tcPr>
            <w:tcW w:w="2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Maturity</w:t>
            </w:r>
          </w:p>
        </w:tc>
        <w:tc>
          <w:tcPr>
            <w:tcW w:w="220" w:type="dxa"/>
            <w:vAlign w:val="bottom"/>
          </w:tcPr>
          <w:p>
            <w:pPr>
              <w:spacing w:after="0"/>
              <w:rPr>
                <w:sz w:val="14"/>
                <w:szCs w:val="14"/>
                <w:color w:val="auto"/>
              </w:rPr>
            </w:pPr>
          </w:p>
        </w:tc>
        <w:tc>
          <w:tcPr>
            <w:tcW w:w="76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Notional</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37"/>
              <w:spacing w:after="0"/>
              <w:rPr>
                <w:sz w:val="20"/>
                <w:szCs w:val="20"/>
                <w:color w:val="auto"/>
              </w:rPr>
            </w:pPr>
            <w:r>
              <w:rPr>
                <w:rFonts w:ascii="Arial" w:cs="Arial" w:eastAsia="Arial" w:hAnsi="Arial"/>
                <w:sz w:val="13"/>
                <w:szCs w:val="13"/>
                <w:b w:val="1"/>
                <w:bCs w:val="1"/>
                <w:color w:val="auto"/>
                <w:w w:val="93"/>
              </w:rPr>
              <w:t>Upfront</w:t>
            </w:r>
          </w:p>
        </w:tc>
        <w:tc>
          <w:tcPr>
            <w:tcW w:w="60" w:type="dxa"/>
            <w:vAlign w:val="bottom"/>
          </w:tcPr>
          <w:p>
            <w:pPr>
              <w:spacing w:after="0"/>
              <w:rPr>
                <w:sz w:val="14"/>
                <w:szCs w:val="14"/>
                <w:color w:val="auto"/>
              </w:rPr>
            </w:pPr>
          </w:p>
        </w:tc>
        <w:tc>
          <w:tcPr>
            <w:tcW w:w="1120" w:type="dxa"/>
            <w:vAlign w:val="bottom"/>
            <w:gridSpan w:val="3"/>
          </w:tcPr>
          <w:p>
            <w:pPr>
              <w:ind w:left="160"/>
              <w:spacing w:after="0"/>
              <w:rPr>
                <w:sz w:val="20"/>
                <w:szCs w:val="20"/>
                <w:color w:val="auto"/>
              </w:rPr>
            </w:pPr>
            <w:r>
              <w:rPr>
                <w:rFonts w:ascii="Arial" w:cs="Arial" w:eastAsia="Arial" w:hAnsi="Arial"/>
                <w:sz w:val="13"/>
                <w:szCs w:val="13"/>
                <w:b w:val="1"/>
                <w:bCs w:val="1"/>
                <w:color w:val="auto"/>
                <w:w w:val="97"/>
              </w:rPr>
              <w:t>Unrealized gain</w:t>
            </w:r>
          </w:p>
        </w:tc>
      </w:tr>
      <w:tr>
        <w:trPr>
          <w:trHeight w:val="174"/>
        </w:trPr>
        <w:tc>
          <w:tcPr>
            <w:tcW w:w="1780" w:type="dxa"/>
            <w:vAlign w:val="bottom"/>
          </w:tcPr>
          <w:p>
            <w:pPr>
              <w:ind w:left="680"/>
              <w:spacing w:after="0"/>
              <w:rPr>
                <w:sz w:val="20"/>
                <w:szCs w:val="20"/>
                <w:color w:val="auto"/>
              </w:rPr>
            </w:pPr>
            <w:r>
              <w:rPr>
                <w:rFonts w:ascii="Arial" w:cs="Arial" w:eastAsia="Arial" w:hAnsi="Arial"/>
                <w:sz w:val="13"/>
                <w:szCs w:val="13"/>
                <w:b w:val="1"/>
                <w:bCs w:val="1"/>
                <w:color w:val="auto"/>
              </w:rPr>
              <w:t>Description</w:t>
            </w:r>
          </w:p>
        </w:tc>
        <w:tc>
          <w:tcPr>
            <w:tcW w:w="1040" w:type="dxa"/>
            <w:vAlign w:val="bottom"/>
          </w:tcPr>
          <w:p>
            <w:pPr>
              <w:jc w:val="center"/>
              <w:ind w:left="257"/>
              <w:spacing w:after="0"/>
              <w:rPr>
                <w:sz w:val="20"/>
                <w:szCs w:val="20"/>
                <w:color w:val="auto"/>
              </w:rPr>
            </w:pPr>
            <w:r>
              <w:rPr>
                <w:rFonts w:ascii="Arial" w:cs="Arial" w:eastAsia="Arial" w:hAnsi="Arial"/>
                <w:sz w:val="13"/>
                <w:szCs w:val="13"/>
                <w:b w:val="1"/>
                <w:bCs w:val="1"/>
                <w:color w:val="auto"/>
                <w:w w:val="82"/>
              </w:rPr>
              <w:t>made</w:t>
            </w:r>
          </w:p>
        </w:tc>
        <w:tc>
          <w:tcPr>
            <w:tcW w:w="900" w:type="dxa"/>
            <w:vAlign w:val="bottom"/>
          </w:tcPr>
          <w:p>
            <w:pPr>
              <w:jc w:val="center"/>
              <w:ind w:left="37"/>
              <w:spacing w:after="0"/>
              <w:rPr>
                <w:sz w:val="20"/>
                <w:szCs w:val="20"/>
                <w:color w:val="auto"/>
              </w:rPr>
            </w:pPr>
            <w:r>
              <w:rPr>
                <w:rFonts w:ascii="Arial" w:cs="Arial" w:eastAsia="Arial" w:hAnsi="Arial"/>
                <w:sz w:val="13"/>
                <w:szCs w:val="13"/>
                <w:b w:val="1"/>
                <w:bCs w:val="1"/>
                <w:color w:val="auto"/>
                <w:w w:val="83"/>
              </w:rPr>
              <w:t>received</w:t>
            </w:r>
          </w:p>
        </w:tc>
        <w:tc>
          <w:tcPr>
            <w:tcW w:w="2100" w:type="dxa"/>
            <w:vAlign w:val="bottom"/>
          </w:tcPr>
          <w:p>
            <w:pPr>
              <w:ind w:left="740"/>
              <w:spacing w:after="0"/>
              <w:rPr>
                <w:sz w:val="20"/>
                <w:szCs w:val="20"/>
                <w:color w:val="auto"/>
              </w:rPr>
            </w:pPr>
            <w:r>
              <w:rPr>
                <w:rFonts w:ascii="Arial" w:cs="Arial" w:eastAsia="Arial" w:hAnsi="Arial"/>
                <w:sz w:val="13"/>
                <w:szCs w:val="13"/>
                <w:b w:val="1"/>
                <w:bCs w:val="1"/>
                <w:color w:val="auto"/>
              </w:rPr>
              <w:t>Counterparty</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2"/>
              </w:rPr>
              <w:t>date</w:t>
            </w:r>
          </w:p>
        </w:tc>
        <w:tc>
          <w:tcPr>
            <w:tcW w:w="220" w:type="dxa"/>
            <w:vAlign w:val="bottom"/>
          </w:tcPr>
          <w:p>
            <w:pPr>
              <w:spacing w:after="0"/>
              <w:rPr>
                <w:sz w:val="15"/>
                <w:szCs w:val="15"/>
                <w:color w:val="auto"/>
              </w:rPr>
            </w:pPr>
          </w:p>
        </w:tc>
        <w:tc>
          <w:tcPr>
            <w:tcW w:w="760" w:type="dxa"/>
            <w:vAlign w:val="bottom"/>
          </w:tcPr>
          <w:p>
            <w:pPr>
              <w:jc w:val="center"/>
              <w:ind w:right="57"/>
              <w:spacing w:after="0"/>
              <w:rPr>
                <w:sz w:val="20"/>
                <w:szCs w:val="20"/>
                <w:color w:val="auto"/>
              </w:rPr>
            </w:pPr>
            <w:r>
              <w:rPr>
                <w:rFonts w:ascii="Arial" w:cs="Arial" w:eastAsia="Arial" w:hAnsi="Arial"/>
                <w:sz w:val="13"/>
                <w:szCs w:val="13"/>
                <w:b w:val="1"/>
                <w:bCs w:val="1"/>
                <w:color w:val="auto"/>
                <w:w w:val="85"/>
              </w:rPr>
              <w:t>amount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3"/>
          </w:tcPr>
          <w:p>
            <w:pPr>
              <w:jc w:val="right"/>
              <w:ind w:right="580"/>
              <w:spacing w:after="0"/>
              <w:rPr>
                <w:sz w:val="20"/>
                <w:szCs w:val="20"/>
                <w:color w:val="auto"/>
              </w:rPr>
            </w:pPr>
            <w:r>
              <w:rPr>
                <w:rFonts w:ascii="Arial" w:cs="Arial" w:eastAsia="Arial" w:hAnsi="Arial"/>
                <w:sz w:val="13"/>
                <w:szCs w:val="13"/>
                <w:b w:val="1"/>
                <w:bCs w:val="1"/>
                <w:color w:val="auto"/>
              </w:rPr>
              <w:t>Value</w:t>
            </w:r>
          </w:p>
        </w:tc>
        <w:tc>
          <w:tcPr>
            <w:tcW w:w="1060" w:type="dxa"/>
            <w:vAlign w:val="bottom"/>
          </w:tcPr>
          <w:p>
            <w:pPr>
              <w:jc w:val="center"/>
              <w:ind w:right="17"/>
              <w:spacing w:after="0"/>
              <w:rPr>
                <w:sz w:val="20"/>
                <w:szCs w:val="20"/>
                <w:color w:val="auto"/>
              </w:rPr>
            </w:pPr>
            <w:r>
              <w:rPr>
                <w:rFonts w:ascii="Arial" w:cs="Arial" w:eastAsia="Arial" w:hAnsi="Arial"/>
                <w:sz w:val="13"/>
                <w:szCs w:val="13"/>
                <w:b w:val="1"/>
                <w:bCs w:val="1"/>
                <w:color w:val="auto"/>
                <w:w w:val="85"/>
              </w:rPr>
              <w:t>payments/receipts</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(loss)</w:t>
            </w:r>
          </w:p>
        </w:tc>
      </w:tr>
      <w:tr>
        <w:trPr>
          <w:trHeight w:val="456"/>
        </w:trPr>
        <w:tc>
          <w:tcPr>
            <w:tcW w:w="17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Securities Swap and Option</w:t>
            </w:r>
          </w:p>
        </w:tc>
        <w:tc>
          <w:tcPr>
            <w:tcW w:w="1040" w:type="dxa"/>
            <w:vAlign w:val="bottom"/>
            <w:tcBorders>
              <w:top w:val="single" w:sz="8" w:color="auto"/>
            </w:tcBorders>
            <w:shd w:val="clear" w:color="auto" w:fill="CFF0FC"/>
          </w:tcPr>
          <w:p>
            <w:pPr>
              <w:spacing w:after="0"/>
              <w:rPr>
                <w:sz w:val="24"/>
                <w:szCs w:val="24"/>
                <w:color w:val="auto"/>
              </w:rPr>
            </w:pPr>
          </w:p>
        </w:tc>
        <w:tc>
          <w:tcPr>
            <w:tcW w:w="900" w:type="dxa"/>
            <w:vAlign w:val="bottom"/>
            <w:tcBorders>
              <w:top w:val="single" w:sz="8" w:color="auto"/>
            </w:tcBorders>
            <w:shd w:val="clear" w:color="auto" w:fill="CFF0FC"/>
          </w:tcPr>
          <w:p>
            <w:pPr>
              <w:spacing w:after="0"/>
              <w:rPr>
                <w:sz w:val="24"/>
                <w:szCs w:val="24"/>
                <w:color w:val="auto"/>
              </w:rPr>
            </w:pPr>
          </w:p>
        </w:tc>
        <w:tc>
          <w:tcPr>
            <w:tcW w:w="2100" w:type="dxa"/>
            <w:vAlign w:val="bottom"/>
            <w:tcBorders>
              <w:top w:val="single" w:sz="8" w:color="auto"/>
            </w:tcBorders>
            <w:shd w:val="clear" w:color="auto" w:fill="CFF0FC"/>
          </w:tcPr>
          <w:p>
            <w:pPr>
              <w:spacing w:after="0"/>
              <w:rPr>
                <w:sz w:val="24"/>
                <w:szCs w:val="24"/>
                <w:color w:val="auto"/>
              </w:rPr>
            </w:pPr>
          </w:p>
        </w:tc>
        <w:tc>
          <w:tcPr>
            <w:tcW w:w="840" w:type="dxa"/>
            <w:vAlign w:val="bottom"/>
            <w:tcBorders>
              <w:top w:val="single" w:sz="8" w:color="auto"/>
            </w:tcBorders>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760" w:type="dxa"/>
            <w:vAlign w:val="bottom"/>
            <w:tcBorders>
              <w:top w:val="single" w:sz="8" w:color="auto"/>
            </w:tcBorders>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80" w:type="dxa"/>
            <w:vAlign w:val="bottom"/>
            <w:tcBorders>
              <w:top w:val="single" w:sz="8" w:color="auto"/>
            </w:tcBorders>
            <w:shd w:val="clear" w:color="auto" w:fill="CFF0FC"/>
          </w:tcPr>
          <w:p>
            <w:pPr>
              <w:spacing w:after="0"/>
              <w:rPr>
                <w:sz w:val="24"/>
                <w:szCs w:val="24"/>
                <w:color w:val="auto"/>
              </w:rPr>
            </w:pPr>
          </w:p>
        </w:tc>
        <w:tc>
          <w:tcPr>
            <w:tcW w:w="700" w:type="dxa"/>
            <w:vAlign w:val="bottom"/>
            <w:tcBorders>
              <w:top w:val="single" w:sz="8" w:color="auto"/>
            </w:tcBorders>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240" w:type="dxa"/>
            <w:vAlign w:val="bottom"/>
            <w:tcBorders>
              <w:top w:val="single" w:sz="8" w:color="auto"/>
            </w:tcBorders>
            <w:shd w:val="clear" w:color="auto" w:fill="CFF0FC"/>
          </w:tcPr>
          <w:p>
            <w:pPr>
              <w:spacing w:after="0"/>
              <w:rPr>
                <w:sz w:val="24"/>
                <w:szCs w:val="24"/>
                <w:color w:val="auto"/>
              </w:rPr>
            </w:pPr>
          </w:p>
        </w:tc>
        <w:tc>
          <w:tcPr>
            <w:tcW w:w="1060" w:type="dxa"/>
            <w:vAlign w:val="bottom"/>
            <w:tcBorders>
              <w:top w:val="single" w:sz="8" w:color="auto"/>
            </w:tcBorders>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340" w:type="dxa"/>
            <w:vAlign w:val="bottom"/>
            <w:tcBorders>
              <w:top w:val="single" w:sz="8" w:color="auto"/>
            </w:tcBorders>
            <w:shd w:val="clear" w:color="auto" w:fill="CFF0FC"/>
          </w:tcPr>
          <w:p>
            <w:pPr>
              <w:spacing w:after="0"/>
              <w:rPr>
                <w:sz w:val="24"/>
                <w:szCs w:val="24"/>
                <w:color w:val="auto"/>
              </w:rPr>
            </w:pPr>
          </w:p>
        </w:tc>
        <w:tc>
          <w:tcPr>
            <w:tcW w:w="720" w:type="dxa"/>
            <w:vAlign w:val="bottom"/>
            <w:tcBorders>
              <w:top w:val="single" w:sz="8" w:color="auto"/>
            </w:tcBorders>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r>
      <w:tr>
        <w:trPr>
          <w:trHeight w:val="178"/>
        </w:trPr>
        <w:tc>
          <w:tcPr>
            <w:tcW w:w="1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Agreement</w:t>
            </w:r>
          </w:p>
        </w:tc>
        <w:tc>
          <w:tcPr>
            <w:tcW w:w="1040" w:type="dxa"/>
            <w:vAlign w:val="bottom"/>
            <w:shd w:val="clear" w:color="auto" w:fill="CFF0FC"/>
          </w:tcPr>
          <w:p>
            <w:pPr>
              <w:ind w:left="340"/>
              <w:spacing w:after="0"/>
              <w:rPr>
                <w:sz w:val="20"/>
                <w:szCs w:val="20"/>
                <w:color w:val="auto"/>
              </w:rPr>
            </w:pPr>
            <w:r>
              <w:rPr>
                <w:rFonts w:ascii="Arial" w:cs="Arial" w:eastAsia="Arial" w:hAnsi="Arial"/>
                <w:sz w:val="13"/>
                <w:szCs w:val="13"/>
                <w:color w:val="auto"/>
              </w:rPr>
              <w:t>18% PIK</w:t>
            </w:r>
          </w:p>
        </w:tc>
        <w:tc>
          <w:tcPr>
            <w:tcW w:w="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16% Cash</w:t>
            </w:r>
          </w:p>
        </w:tc>
        <w:tc>
          <w:tcPr>
            <w:tcW w:w="2100" w:type="dxa"/>
            <w:vAlign w:val="bottom"/>
            <w:shd w:val="clear" w:color="auto" w:fill="CFF0FC"/>
          </w:tcPr>
          <w:p>
            <w:pPr>
              <w:ind w:left="180"/>
              <w:spacing w:after="0"/>
              <w:rPr>
                <w:sz w:val="20"/>
                <w:szCs w:val="20"/>
                <w:color w:val="auto"/>
              </w:rPr>
            </w:pPr>
            <w:r>
              <w:rPr>
                <w:rFonts w:ascii="Arial" w:cs="Arial" w:eastAsia="Arial" w:hAnsi="Arial"/>
                <w:sz w:val="13"/>
                <w:szCs w:val="13"/>
                <w:color w:val="auto"/>
                <w:w w:val="99"/>
              </w:rPr>
              <w:t>Advantage Capital Holdings LLC.</w:t>
            </w:r>
          </w:p>
        </w:tc>
        <w:tc>
          <w:tcPr>
            <w:tcW w:w="84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9/15/24</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(2,000,145 )   $</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(2,000,145 )</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20" w:type="dxa"/>
            <w:vAlign w:val="bottom"/>
          </w:tcPr>
          <w:p>
            <w:pPr>
              <w:jc w:val="center"/>
              <w:ind w:left="437"/>
              <w:spacing w:after="0"/>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Description</w:t>
            </w:r>
          </w:p>
        </w:tc>
        <w:tc>
          <w:tcPr>
            <w:tcW w:w="2480" w:type="dxa"/>
            <w:vAlign w:val="bottom"/>
            <w:tcBorders>
              <w:bottom w:val="single" w:sz="8" w:color="auto"/>
            </w:tcBorders>
          </w:tcPr>
          <w:p>
            <w:pPr>
              <w:ind w:left="1120"/>
              <w:spacing w:after="0"/>
              <w:rPr>
                <w:sz w:val="20"/>
                <w:szCs w:val="20"/>
                <w:color w:val="auto"/>
              </w:rPr>
            </w:pPr>
            <w:r>
              <w:rPr>
                <w:rFonts w:ascii="Arial" w:cs="Arial" w:eastAsia="Arial" w:hAnsi="Arial"/>
                <w:sz w:val="13"/>
                <w:szCs w:val="13"/>
                <w:b w:val="1"/>
                <w:bCs w:val="1"/>
                <w:color w:val="auto"/>
              </w:rPr>
              <w:t>Counterparty</w:t>
            </w:r>
          </w:p>
        </w:tc>
        <w:tc>
          <w:tcPr>
            <w:tcW w:w="1320" w:type="dxa"/>
            <w:vAlign w:val="bottom"/>
            <w:tcBorders>
              <w:bottom w:val="single" w:sz="8" w:color="auto"/>
            </w:tcBorders>
          </w:tcPr>
          <w:p>
            <w:pPr>
              <w:jc w:val="center"/>
              <w:ind w:left="477"/>
              <w:spacing w:after="0"/>
              <w:rPr>
                <w:sz w:val="20"/>
                <w:szCs w:val="20"/>
                <w:color w:val="auto"/>
              </w:rPr>
            </w:pPr>
            <w:r>
              <w:rPr>
                <w:rFonts w:ascii="Arial" w:cs="Arial" w:eastAsia="Arial" w:hAnsi="Arial"/>
                <w:sz w:val="13"/>
                <w:szCs w:val="13"/>
                <w:b w:val="1"/>
                <w:bCs w:val="1"/>
                <w:color w:val="auto"/>
                <w:w w:val="81"/>
              </w:rPr>
              <w:t>shares</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9"/>
              </w:rPr>
              <w:t>Notional amount</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2"/>
              </w:rPr>
              <w:t>Exercise price</w:t>
            </w:r>
          </w:p>
        </w:tc>
        <w:tc>
          <w:tcPr>
            <w:tcW w:w="40" w:type="dxa"/>
            <w:vAlign w:val="bottom"/>
          </w:tcPr>
          <w:p>
            <w:pPr>
              <w:spacing w:after="0"/>
              <w:rPr>
                <w:sz w:val="15"/>
                <w:szCs w:val="15"/>
                <w:color w:val="auto"/>
              </w:rPr>
            </w:pPr>
          </w:p>
        </w:tc>
        <w:tc>
          <w:tcPr>
            <w:tcW w:w="170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Expiration date</w:t>
            </w: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Value</w:t>
            </w:r>
          </w:p>
        </w:tc>
        <w:tc>
          <w:tcPr>
            <w:tcW w:w="60" w:type="dxa"/>
            <w:vAlign w:val="bottom"/>
          </w:tcPr>
          <w:p>
            <w:pPr>
              <w:spacing w:after="0"/>
              <w:rPr>
                <w:sz w:val="15"/>
                <w:szCs w:val="15"/>
                <w:color w:val="auto"/>
              </w:rPr>
            </w:pPr>
          </w:p>
        </w:tc>
      </w:tr>
      <w:tr>
        <w:trPr>
          <w:trHeight w:val="189"/>
        </w:trPr>
        <w:tc>
          <w:tcPr>
            <w:tcW w:w="11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Call option</w:t>
            </w:r>
          </w:p>
        </w:tc>
        <w:tc>
          <w:tcPr>
            <w:tcW w:w="2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HDNet Holdco LLC</w:t>
            </w: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7,656</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0.01</w:t>
            </w:r>
          </w:p>
        </w:tc>
        <w:tc>
          <w:tcPr>
            <w:tcW w:w="40" w:type="dxa"/>
            <w:vAlign w:val="bottom"/>
            <w:shd w:val="clear" w:color="auto" w:fill="CFF0FC"/>
          </w:tcPr>
          <w:p>
            <w:pPr>
              <w:spacing w:after="0"/>
              <w:rPr>
                <w:sz w:val="16"/>
                <w:szCs w:val="16"/>
                <w:color w:val="auto"/>
              </w:rPr>
            </w:pPr>
          </w:p>
        </w:tc>
        <w:tc>
          <w:tcPr>
            <w:tcW w:w="17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N/A</w:t>
            </w:r>
          </w:p>
        </w:tc>
        <w:tc>
          <w:tcPr>
            <w:tcW w:w="560" w:type="dxa"/>
            <w:vAlign w:val="bottom"/>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18,054</w:t>
            </w:r>
          </w:p>
        </w:tc>
        <w:tc>
          <w:tcPr>
            <w:tcW w:w="60" w:type="dxa"/>
            <w:vAlign w:val="bottom"/>
            <w:shd w:val="clear" w:color="auto" w:fill="CFF0FC"/>
          </w:tcPr>
          <w:p>
            <w:pPr>
              <w:spacing w:after="0"/>
              <w:rPr>
                <w:sz w:val="16"/>
                <w:szCs w:val="16"/>
                <w:color w:val="auto"/>
              </w:rPr>
            </w:pPr>
          </w:p>
        </w:tc>
      </w:tr>
      <w:tr>
        <w:trPr>
          <w:trHeight w:val="454"/>
        </w:trPr>
        <w:tc>
          <w:tcPr>
            <w:tcW w:w="1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20" w:type="dxa"/>
            <w:vAlign w:val="bottom"/>
          </w:tcPr>
          <w:p>
            <w:pPr>
              <w:jc w:val="center"/>
              <w:ind w:left="437"/>
              <w:spacing w:after="0"/>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4"/>
        </w:trPr>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Description</w:t>
            </w:r>
          </w:p>
        </w:tc>
        <w:tc>
          <w:tcPr>
            <w:tcW w:w="2480" w:type="dxa"/>
            <w:vAlign w:val="bottom"/>
            <w:tcBorders>
              <w:bottom w:val="single" w:sz="8" w:color="auto"/>
            </w:tcBorders>
          </w:tcPr>
          <w:p>
            <w:pPr>
              <w:ind w:left="1120"/>
              <w:spacing w:after="0"/>
              <w:rPr>
                <w:sz w:val="20"/>
                <w:szCs w:val="20"/>
                <w:color w:val="auto"/>
              </w:rPr>
            </w:pPr>
            <w:r>
              <w:rPr>
                <w:rFonts w:ascii="Arial" w:cs="Arial" w:eastAsia="Arial" w:hAnsi="Arial"/>
                <w:sz w:val="13"/>
                <w:szCs w:val="13"/>
                <w:b w:val="1"/>
                <w:bCs w:val="1"/>
                <w:color w:val="auto"/>
              </w:rPr>
              <w:t>Counterparty</w:t>
            </w:r>
          </w:p>
        </w:tc>
        <w:tc>
          <w:tcPr>
            <w:tcW w:w="1320" w:type="dxa"/>
            <w:vAlign w:val="bottom"/>
            <w:tcBorders>
              <w:bottom w:val="single" w:sz="8" w:color="auto"/>
            </w:tcBorders>
          </w:tcPr>
          <w:p>
            <w:pPr>
              <w:jc w:val="center"/>
              <w:ind w:left="477"/>
              <w:spacing w:after="0"/>
              <w:rPr>
                <w:sz w:val="20"/>
                <w:szCs w:val="20"/>
                <w:color w:val="auto"/>
              </w:rPr>
            </w:pPr>
            <w:r>
              <w:rPr>
                <w:rFonts w:ascii="Arial" w:cs="Arial" w:eastAsia="Arial" w:hAnsi="Arial"/>
                <w:sz w:val="13"/>
                <w:szCs w:val="13"/>
                <w:b w:val="1"/>
                <w:bCs w:val="1"/>
                <w:color w:val="auto"/>
                <w:w w:val="81"/>
              </w:rPr>
              <w:t>shares</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9"/>
              </w:rPr>
              <w:t>Notional amount</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2"/>
              </w:rPr>
              <w:t>Exercise price</w:t>
            </w:r>
          </w:p>
        </w:tc>
        <w:tc>
          <w:tcPr>
            <w:tcW w:w="40" w:type="dxa"/>
            <w:vAlign w:val="bottom"/>
          </w:tcPr>
          <w:p>
            <w:pPr>
              <w:spacing w:after="0"/>
              <w:rPr>
                <w:sz w:val="15"/>
                <w:szCs w:val="15"/>
                <w:color w:val="auto"/>
              </w:rPr>
            </w:pPr>
          </w:p>
        </w:tc>
        <w:tc>
          <w:tcPr>
            <w:tcW w:w="170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Expiration date</w:t>
            </w: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Value</w:t>
            </w:r>
          </w:p>
        </w:tc>
        <w:tc>
          <w:tcPr>
            <w:tcW w:w="60" w:type="dxa"/>
            <w:vAlign w:val="bottom"/>
          </w:tcPr>
          <w:p>
            <w:pPr>
              <w:spacing w:after="0"/>
              <w:rPr>
                <w:sz w:val="15"/>
                <w:szCs w:val="15"/>
                <w:color w:val="auto"/>
              </w:rPr>
            </w:pPr>
          </w:p>
        </w:tc>
      </w:tr>
      <w:tr>
        <w:trPr>
          <w:trHeight w:val="189"/>
        </w:trPr>
        <w:tc>
          <w:tcPr>
            <w:tcW w:w="11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Put option</w:t>
            </w:r>
          </w:p>
        </w:tc>
        <w:tc>
          <w:tcPr>
            <w:tcW w:w="2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Coastal Screen and Rail</w:t>
            </w: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400,000.00</w:t>
            </w:r>
          </w:p>
        </w:tc>
        <w:tc>
          <w:tcPr>
            <w:tcW w:w="174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8/31/2022</w:t>
            </w:r>
          </w:p>
        </w:tc>
        <w:tc>
          <w:tcPr>
            <w:tcW w:w="560" w:type="dxa"/>
            <w:vAlign w:val="bottom"/>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6"/>
                <w:szCs w:val="16"/>
                <w:color w:val="auto"/>
              </w:rPr>
            </w:pPr>
          </w:p>
        </w:tc>
      </w:tr>
    </w:tbl>
    <w:p>
      <w:pPr>
        <w:spacing w:after="0" w:line="179" w:lineRule="exact"/>
        <w:rPr>
          <w:sz w:val="20"/>
          <w:szCs w:val="20"/>
          <w:color w:val="auto"/>
        </w:rPr>
      </w:pPr>
    </w:p>
    <w:p>
      <w:pPr>
        <w:ind w:left="380" w:right="160" w:hanging="372"/>
        <w:spacing w:after="0" w:line="281" w:lineRule="auto"/>
        <w:tabs>
          <w:tab w:leader="none" w:pos="366" w:val="left"/>
        </w:tabs>
        <w:numPr>
          <w:ilvl w:val="0"/>
          <w:numId w:val="14"/>
        </w:numPr>
        <w:rPr>
          <w:rFonts w:ascii="Arial" w:cs="Arial" w:eastAsia="Arial" w:hAnsi="Arial"/>
          <w:sz w:val="13"/>
          <w:szCs w:val="13"/>
          <w:color w:val="auto"/>
        </w:rPr>
      </w:pPr>
      <w:r>
        <w:rPr>
          <w:rFonts w:ascii="Arial" w:cs="Arial" w:eastAsia="Arial" w:hAnsi="Arial"/>
          <w:sz w:val="16"/>
          <w:szCs w:val="16"/>
          <w:color w:val="auto"/>
        </w:rPr>
        <w:t>Debt security has an unfunded commitment in addition to the amounts shown in the Consolidated Schedule of Investments. See Note 8 for additional information on the Company’s commitments and contingencies.</w:t>
      </w:r>
    </w:p>
    <w:p>
      <w:pPr>
        <w:spacing w:after="0" w:line="1" w:lineRule="exact"/>
        <w:rPr>
          <w:rFonts w:ascii="Arial" w:cs="Arial" w:eastAsia="Arial" w:hAnsi="Arial"/>
          <w:sz w:val="13"/>
          <w:szCs w:val="13"/>
          <w:color w:val="auto"/>
        </w:rPr>
      </w:pPr>
    </w:p>
    <w:p>
      <w:pPr>
        <w:ind w:left="360" w:hanging="352"/>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6"/>
          <w:szCs w:val="16"/>
          <w:color w:val="auto"/>
        </w:rPr>
        <w:t>The cash coupon and/or PIK coupon on the loan is subject to a pricing grid based on certain leverage ratios of the portfolio company.</w:t>
      </w:r>
    </w:p>
    <w:p>
      <w:pPr>
        <w:spacing w:after="0" w:line="45" w:lineRule="exact"/>
        <w:rPr>
          <w:rFonts w:ascii="Arial" w:cs="Arial" w:eastAsia="Arial" w:hAnsi="Arial"/>
          <w:sz w:val="13"/>
          <w:szCs w:val="13"/>
          <w:color w:val="auto"/>
        </w:rPr>
      </w:pPr>
    </w:p>
    <w:p>
      <w:pPr>
        <w:ind w:left="360" w:hanging="352"/>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6"/>
          <w:szCs w:val="16"/>
          <w:color w:val="auto"/>
        </w:rPr>
        <w:t>This investment is owned by HCAP Equity Holdings, LLC, one of the Company’s taxable blocker subsidiaries.</w:t>
      </w:r>
    </w:p>
    <w:p>
      <w:pPr>
        <w:spacing w:after="0" w:line="22" w:lineRule="exact"/>
        <w:rPr>
          <w:rFonts w:ascii="Arial" w:cs="Arial" w:eastAsia="Arial" w:hAnsi="Arial"/>
          <w:sz w:val="13"/>
          <w:szCs w:val="13"/>
          <w:color w:val="auto"/>
        </w:rPr>
      </w:pPr>
    </w:p>
    <w:p>
      <w:pPr>
        <w:ind w:left="380" w:right="60" w:hanging="372"/>
        <w:spacing w:after="0" w:line="272" w:lineRule="auto"/>
        <w:tabs>
          <w:tab w:leader="none" w:pos="699" w:val="left"/>
        </w:tabs>
        <w:numPr>
          <w:ilvl w:val="0"/>
          <w:numId w:val="14"/>
        </w:numPr>
        <w:rPr>
          <w:rFonts w:ascii="Arial" w:cs="Arial" w:eastAsia="Arial" w:hAnsi="Arial"/>
          <w:sz w:val="13"/>
          <w:szCs w:val="13"/>
          <w:color w:val="auto"/>
        </w:rPr>
      </w:pPr>
      <w:r>
        <w:rPr>
          <w:rFonts w:ascii="Arial" w:cs="Arial" w:eastAsia="Arial" w:hAnsi="Arial"/>
          <w:sz w:val="16"/>
          <w:szCs w:val="16"/>
          <w:color w:val="auto"/>
        </w:rPr>
        <w:t>This is an equity investment that receives a cash flow stream based on lease payments received by Flight Lease VII, LLC. Flight Lease VII, LLC owns an aircraft that was leased to one lessee. The lessee had been in arrears on its lease payments and in June of 2018, Flight Lease VII, LLC terminated the lease. As a result of the cessation of cash flows, future payments on this equity investment will resume only if Flight Lease VII, LLC is successful in obtaining a new lessee or sells the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8084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1A Smart Start LLC</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Consumer goods: Non-durable</w:t>
      </w:r>
    </w:p>
    <w:p>
      <w:pPr>
        <w:spacing w:after="0" w:line="391"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Advanced Lighting Technologies, Inc.</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Consumer goods: Durable</w:t>
      </w:r>
    </w:p>
    <w:p>
      <w:pPr>
        <w:spacing w:after="0" w:line="391"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Advantage Capital Holdings LLC</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Banking, Finance, Insurance &amp; Real Estate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Advantage Capital Holdings LLC</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0"/>
          <w:szCs w:val="10"/>
          <w:color w:val="auto"/>
        </w:rPr>
        <w:t>Banking, Finance, Insurance &amp; Real Estate</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Advantage Capital Holdings LLC</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0"/>
          <w:szCs w:val="10"/>
          <w:color w:val="auto"/>
        </w:rPr>
        <w:t>Banking, Finance, Insurance &amp; Real Estate</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AIS Holdco, LLC</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0"/>
          <w:szCs w:val="10"/>
          <w:color w:val="auto"/>
        </w:rPr>
        <w:t>Banking, Finance, Insurance &amp; Real Estate</w:t>
      </w: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Allied Universal Holdco LLC</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ind w:left="20"/>
        <w:spacing w:after="0"/>
        <w:rPr>
          <w:sz w:val="20"/>
          <w:szCs w:val="20"/>
          <w:color w:val="auto"/>
        </w:rPr>
      </w:pPr>
      <w:r>
        <w:rPr>
          <w:rFonts w:ascii="Arial" w:cs="Arial" w:eastAsia="Arial" w:hAnsi="Arial"/>
          <w:sz w:val="13"/>
          <w:szCs w:val="13"/>
          <w:color w:val="auto"/>
        </w:rPr>
        <w:t>AMCP Pet Holdings, Inc.</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3"/>
          <w:szCs w:val="13"/>
          <w:color w:val="auto"/>
        </w:rPr>
        <w:t>Beverage, Food and Tobacco</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AMCP Pet Holdings, Inc.</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Beverage, Food and Tobacco</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AMCP Pet Holdings, Inc.</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3"/>
          <w:szCs w:val="13"/>
          <w:color w:val="auto"/>
        </w:rPr>
        <w:t>Beverage, Food and Tobacco</w:t>
      </w:r>
    </w:p>
    <w:p>
      <w:pPr>
        <w:spacing w:after="0" w:line="20" w:lineRule="exact"/>
        <w:rPr>
          <w:sz w:val="20"/>
          <w:szCs w:val="20"/>
          <w:color w:val="auto"/>
        </w:rPr>
      </w:pPr>
      <w:r>
        <w:rPr>
          <w:sz w:val="20"/>
          <w:szCs w:val="20"/>
          <w:color w:val="auto"/>
        </w:rPr>
        <w:br w:type="column"/>
      </w:r>
    </w:p>
    <w:p>
      <w:pPr>
        <w:jc w:val="center"/>
        <w:ind w:right="2820"/>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ind w:right="282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ind w:right="2820"/>
        <w:spacing w:after="0"/>
        <w:rPr>
          <w:sz w:val="20"/>
          <w:szCs w:val="20"/>
          <w:color w:val="auto"/>
        </w:rPr>
      </w:pPr>
      <w:r>
        <w:rPr>
          <w:rFonts w:ascii="Arial" w:cs="Arial" w:eastAsia="Arial" w:hAnsi="Arial"/>
          <w:sz w:val="18"/>
          <w:szCs w:val="18"/>
          <w:b w:val="1"/>
          <w:bCs w:val="1"/>
          <w:color w:val="auto"/>
        </w:rPr>
        <w:t>As of December 31, 2020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4"/>
              </w:rPr>
              <w:t>Initial</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80" w:type="dxa"/>
            <w:vAlign w:val="bottom"/>
          </w:tcPr>
          <w:p>
            <w:pPr>
              <w:spacing w:after="0"/>
              <w:rPr>
                <w:sz w:val="13"/>
                <w:szCs w:val="13"/>
                <w:color w:val="auto"/>
              </w:rPr>
            </w:pPr>
          </w:p>
        </w:tc>
        <w:tc>
          <w:tcPr>
            <w:tcW w:w="2760" w:type="dxa"/>
            <w:vAlign w:val="bottom"/>
          </w:tcPr>
          <w:p>
            <w:pPr>
              <w:ind w:left="1080"/>
              <w:spacing w:after="0"/>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3"/>
                <w:szCs w:val="13"/>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7"/>
              </w:rPr>
              <w:t>Acquisition</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Amortized</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80" w:type="dxa"/>
            <w:vAlign w:val="bottom"/>
            <w:vMerge w:val="restart"/>
          </w:tcPr>
          <w:p>
            <w:pPr>
              <w:spacing w:after="0"/>
              <w:rPr>
                <w:sz w:val="20"/>
                <w:szCs w:val="20"/>
                <w:color w:val="auto"/>
              </w:rPr>
            </w:pPr>
            <w:r>
              <w:rPr>
                <w:rFonts w:ascii="Arial" w:cs="Arial" w:eastAsia="Arial" w:hAnsi="Arial"/>
                <w:sz w:val="8"/>
                <w:szCs w:val="8"/>
                <w:color w:val="auto"/>
              </w:rPr>
              <w:t>(8)(14)(21)</w:t>
            </w:r>
          </w:p>
        </w:tc>
        <w:tc>
          <w:tcPr>
            <w:tcW w:w="2760" w:type="dxa"/>
            <w:vAlign w:val="bottom"/>
          </w:tcPr>
          <w:p>
            <w:pPr>
              <w:ind w:left="68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40" w:type="dxa"/>
            <w:vAlign w:val="bottom"/>
          </w:tcPr>
          <w:p>
            <w:pPr>
              <w:spacing w:after="0"/>
              <w:rPr>
                <w:sz w:val="16"/>
                <w:szCs w:val="16"/>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5"/>
              </w:rPr>
              <w:t>Date</w:t>
            </w:r>
          </w:p>
        </w:tc>
        <w:tc>
          <w:tcPr>
            <w:tcW w:w="740" w:type="dxa"/>
            <w:vAlign w:val="bottom"/>
          </w:tcPr>
          <w:p>
            <w:pPr>
              <w:jc w:val="right"/>
              <w:ind w:right="117"/>
              <w:spacing w:after="0"/>
              <w:rPr>
                <w:sz w:val="20"/>
                <w:szCs w:val="20"/>
                <w:color w:val="auto"/>
              </w:rPr>
            </w:pPr>
            <w:r>
              <w:rPr>
                <w:rFonts w:ascii="Arial" w:cs="Arial" w:eastAsia="Arial" w:hAnsi="Arial"/>
                <w:sz w:val="13"/>
                <w:szCs w:val="13"/>
                <w:b w:val="1"/>
                <w:bCs w:val="1"/>
                <w:color w:val="auto"/>
                <w:w w:val="98"/>
              </w:rPr>
              <w:t>Principal</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8"/>
              </w:rPr>
              <w:t>Fair Value</w:t>
            </w:r>
            <w:r>
              <w:rPr>
                <w:rFonts w:ascii="Arial" w:cs="Arial" w:eastAsia="Arial" w:hAnsi="Arial"/>
                <w:sz w:val="16"/>
                <w:szCs w:val="16"/>
                <w:b w:val="1"/>
                <w:bCs w:val="1"/>
                <w:color w:val="auto"/>
                <w:w w:val="88"/>
                <w:vertAlign w:val="superscript"/>
              </w:rPr>
              <w:t>2</w:t>
            </w: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276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3"/>
                <w:szCs w:val="13"/>
                <w:color w:val="auto"/>
                <w:w w:val="94"/>
              </w:rPr>
              <w:t>5.8% Cash, 3 Month Libor (1.00%) + 4.75%;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3"/>
                <w:szCs w:val="13"/>
                <w:color w:val="auto"/>
              </w:rPr>
              <w:t>Floor 1.00% , Due 8/27</w:t>
            </w:r>
          </w:p>
        </w:tc>
        <w:tc>
          <w:tcPr>
            <w:tcW w:w="1420" w:type="dxa"/>
            <w:vAlign w:val="bottom"/>
            <w:gridSpan w:val="4"/>
          </w:tcPr>
          <w:p>
            <w:pPr>
              <w:jc w:val="right"/>
              <w:ind w:right="60"/>
              <w:spacing w:after="0"/>
              <w:rPr>
                <w:sz w:val="20"/>
                <w:szCs w:val="20"/>
                <w:color w:val="auto"/>
              </w:rPr>
            </w:pPr>
            <w:r>
              <w:rPr>
                <w:rFonts w:ascii="Arial" w:cs="Arial" w:eastAsia="Arial" w:hAnsi="Arial"/>
                <w:sz w:val="13"/>
                <w:szCs w:val="13"/>
                <w:color w:val="auto"/>
              </w:rPr>
              <w:t>10/28/2020   $</w:t>
            </w:r>
          </w:p>
        </w:tc>
        <w:tc>
          <w:tcPr>
            <w:tcW w:w="740" w:type="dxa"/>
            <w:vAlign w:val="bottom"/>
          </w:tcPr>
          <w:p>
            <w:pPr>
              <w:jc w:val="right"/>
              <w:spacing w:after="0"/>
              <w:rPr>
                <w:sz w:val="20"/>
                <w:szCs w:val="20"/>
                <w:color w:val="auto"/>
              </w:rPr>
            </w:pPr>
            <w:r>
              <w:rPr>
                <w:rFonts w:ascii="Arial" w:cs="Arial" w:eastAsia="Arial" w:hAnsi="Arial"/>
                <w:sz w:val="13"/>
                <w:szCs w:val="13"/>
                <w:color w:val="auto"/>
              </w:rPr>
              <w:t>2,094,750</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1,837,151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2,102,176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880" w:type="dxa"/>
            <w:vAlign w:val="bottom"/>
          </w:tcPr>
          <w:p>
            <w:pPr>
              <w:spacing w:after="0"/>
              <w:rPr>
                <w:sz w:val="20"/>
                <w:szCs w:val="20"/>
                <w:color w:val="auto"/>
              </w:rPr>
            </w:pPr>
            <w:r>
              <w:rPr>
                <w:rFonts w:ascii="Arial" w:cs="Arial" w:eastAsia="Arial" w:hAnsi="Arial"/>
                <w:sz w:val="8"/>
                <w:szCs w:val="8"/>
                <w:color w:val="auto"/>
              </w:rPr>
              <w:t>(5)(8)(13)</w:t>
            </w:r>
          </w:p>
        </w:tc>
        <w:tc>
          <w:tcPr>
            <w:tcW w:w="2760" w:type="dxa"/>
            <w:vAlign w:val="bottom"/>
            <w:vMerge w:val="restart"/>
          </w:tcPr>
          <w:p>
            <w:pPr>
              <w:ind w:left="20"/>
              <w:spacing w:after="0"/>
              <w:rPr>
                <w:sz w:val="20"/>
                <w:szCs w:val="20"/>
                <w:color w:val="auto"/>
              </w:rPr>
            </w:pPr>
            <w:r>
              <w:rPr>
                <w:rFonts w:ascii="Arial" w:cs="Arial" w:eastAsia="Arial" w:hAnsi="Arial"/>
                <w:sz w:val="13"/>
                <w:szCs w:val="13"/>
                <w:color w:val="auto"/>
                <w:w w:val="92"/>
              </w:rPr>
              <w:t>Junior Secured Loan — Second Lien Notes, 10.0%</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3"/>
                <w:szCs w:val="13"/>
                <w:color w:val="auto"/>
                <w:w w:val="97"/>
              </w:rPr>
              <w:t>PIK, 3 Month Libor (1.00%) + 7.00%; Libor Floor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3"/>
                <w:szCs w:val="13"/>
                <w:color w:val="auto"/>
              </w:rPr>
              <w:t>1.00% , Due 10/23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6/13/2012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1,464,432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951,271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880" w:type="dxa"/>
            <w:vAlign w:val="bottom"/>
          </w:tcPr>
          <w:p>
            <w:pPr>
              <w:spacing w:after="0"/>
              <w:rPr>
                <w:sz w:val="20"/>
                <w:szCs w:val="20"/>
                <w:color w:val="auto"/>
              </w:rPr>
            </w:pPr>
            <w:r>
              <w:rPr>
                <w:rFonts w:ascii="Arial" w:cs="Arial" w:eastAsia="Arial" w:hAnsi="Arial"/>
                <w:sz w:val="8"/>
                <w:szCs w:val="8"/>
                <w:color w:val="auto"/>
              </w:rPr>
              <w:t>(8)(13)(14)(21)</w:t>
            </w:r>
          </w:p>
        </w:tc>
        <w:tc>
          <w:tcPr>
            <w:tcW w:w="2760" w:type="dxa"/>
            <w:vAlign w:val="bottom"/>
            <w:vMerge w:val="restart"/>
          </w:tcPr>
          <w:p>
            <w:pPr>
              <w:ind w:left="20"/>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9"/>
        </w:trPr>
        <w:tc>
          <w:tcPr>
            <w:tcW w:w="88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3"/>
                <w:szCs w:val="13"/>
                <w:color w:val="auto"/>
              </w:rPr>
              <w:t>5.0% Cash, 8.0% PIK, Due 1/25</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2/14/2020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2,422,152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2,422,152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2,425,301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880" w:type="dxa"/>
            <w:vAlign w:val="bottom"/>
          </w:tcPr>
          <w:p>
            <w:pPr>
              <w:spacing w:after="0"/>
              <w:rPr>
                <w:sz w:val="20"/>
                <w:szCs w:val="20"/>
                <w:color w:val="auto"/>
              </w:rPr>
            </w:pPr>
            <w:r>
              <w:rPr>
                <w:rFonts w:ascii="Arial" w:cs="Arial" w:eastAsia="Arial" w:hAnsi="Arial"/>
                <w:sz w:val="8"/>
                <w:szCs w:val="8"/>
                <w:color w:val="auto"/>
              </w:rPr>
              <w:t>(8)(13)(21)</w:t>
            </w:r>
          </w:p>
        </w:tc>
        <w:tc>
          <w:tcPr>
            <w:tcW w:w="2760" w:type="dxa"/>
            <w:vAlign w:val="bottom"/>
            <w:vMerge w:val="restart"/>
          </w:tcPr>
          <w:p>
            <w:pPr>
              <w:ind w:left="20"/>
              <w:spacing w:after="0"/>
              <w:rPr>
                <w:sz w:val="20"/>
                <w:szCs w:val="20"/>
                <w:color w:val="auto"/>
              </w:rPr>
            </w:pPr>
            <w:r>
              <w:rPr>
                <w:rFonts w:ascii="Arial" w:cs="Arial" w:eastAsia="Arial" w:hAnsi="Arial"/>
                <w:sz w:val="13"/>
                <w:szCs w:val="13"/>
                <w:color w:val="auto"/>
                <w:w w:val="93"/>
              </w:rPr>
              <w:t>Senior Secured Loan — Delayed Draw Term Loan</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9"/>
        </w:trPr>
        <w:tc>
          <w:tcPr>
            <w:tcW w:w="88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3"/>
                <w:szCs w:val="13"/>
                <w:color w:val="auto"/>
              </w:rPr>
              <w:t>5.0% Cash, 8.0% PIK, Due 1/25</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2/14/2020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1,735,880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1,735,880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1,738,137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880" w:type="dxa"/>
            <w:vAlign w:val="bottom"/>
          </w:tcPr>
          <w:p>
            <w:pPr>
              <w:spacing w:after="0"/>
              <w:rPr>
                <w:sz w:val="20"/>
                <w:szCs w:val="20"/>
                <w:color w:val="auto"/>
              </w:rPr>
            </w:pPr>
            <w:r>
              <w:rPr>
                <w:rFonts w:ascii="Arial" w:cs="Arial" w:eastAsia="Arial" w:hAnsi="Arial"/>
                <w:sz w:val="8"/>
                <w:szCs w:val="8"/>
                <w:color w:val="auto"/>
              </w:rPr>
              <w:t>(8)(13)(21)</w:t>
            </w:r>
          </w:p>
        </w:tc>
        <w:tc>
          <w:tcPr>
            <w:tcW w:w="2760" w:type="dxa"/>
            <w:vAlign w:val="bottom"/>
            <w:vMerge w:val="restart"/>
          </w:tcPr>
          <w:p>
            <w:pPr>
              <w:ind w:left="20"/>
              <w:spacing w:after="0"/>
              <w:rPr>
                <w:sz w:val="20"/>
                <w:szCs w:val="20"/>
                <w:color w:val="auto"/>
              </w:rPr>
            </w:pPr>
            <w:r>
              <w:rPr>
                <w:rFonts w:ascii="Arial" w:cs="Arial" w:eastAsia="Arial" w:hAnsi="Arial"/>
                <w:sz w:val="13"/>
                <w:szCs w:val="13"/>
                <w:color w:val="auto"/>
                <w:w w:val="93"/>
              </w:rPr>
              <w:t>Senior Secured Loan — Delayed Draw Term Loan</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9"/>
        </w:trPr>
        <w:tc>
          <w:tcPr>
            <w:tcW w:w="88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3"/>
                <w:szCs w:val="13"/>
                <w:color w:val="auto"/>
              </w:rPr>
              <w:t>5.0% Cash, 8.0% PIK, Due 1/25</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2/14/2020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880" w:type="dxa"/>
            <w:vAlign w:val="bottom"/>
          </w:tcPr>
          <w:p>
            <w:pPr>
              <w:spacing w:after="0"/>
              <w:rPr>
                <w:sz w:val="20"/>
                <w:szCs w:val="20"/>
                <w:color w:val="auto"/>
              </w:rPr>
            </w:pPr>
            <w:r>
              <w:rPr>
                <w:rFonts w:ascii="Arial" w:cs="Arial" w:eastAsia="Arial" w:hAnsi="Arial"/>
                <w:sz w:val="8"/>
                <w:szCs w:val="8"/>
                <w:color w:val="auto"/>
              </w:rPr>
              <w:t>(8)(13)(14)</w:t>
            </w:r>
          </w:p>
        </w:tc>
        <w:tc>
          <w:tcPr>
            <w:tcW w:w="2760" w:type="dxa"/>
            <w:vAlign w:val="bottom"/>
            <w:vMerge w:val="restart"/>
          </w:tcPr>
          <w:p>
            <w:pPr>
              <w:ind w:left="20"/>
              <w:spacing w:after="0"/>
              <w:rPr>
                <w:sz w:val="20"/>
                <w:szCs w:val="20"/>
                <w:color w:val="auto"/>
              </w:rPr>
            </w:pPr>
            <w:r>
              <w:rPr>
                <w:rFonts w:ascii="Arial" w:cs="Arial" w:eastAsia="Arial" w:hAnsi="Arial"/>
                <w:sz w:val="13"/>
                <w:szCs w:val="13"/>
                <w:color w:val="auto"/>
                <w:w w:val="99"/>
              </w:rPr>
              <w:t>Senior Secured Loan — First Lien Term Loan A</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9"/>
        </w:trPr>
        <w:tc>
          <w:tcPr>
            <w:tcW w:w="88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3"/>
                <w:szCs w:val="13"/>
                <w:color w:val="auto"/>
                <w:w w:val="95"/>
              </w:rPr>
              <w:t>5.2% Cash, 3 Month Libor (0.21%) + 5.00% , Due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3"/>
                <w:szCs w:val="13"/>
                <w:color w:val="auto"/>
              </w:rPr>
              <w:t>8/25</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2,562,205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2,054,605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2,341,855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8"/>
                <w:szCs w:val="8"/>
                <w:color w:val="auto"/>
              </w:rPr>
              <w:t>(8)(14)(21)</w:t>
            </w:r>
          </w:p>
        </w:tc>
        <w:tc>
          <w:tcPr>
            <w:tcW w:w="2760" w:type="dxa"/>
            <w:vAlign w:val="bottom"/>
            <w:vMerge w:val="restart"/>
          </w:tcPr>
          <w:p>
            <w:pPr>
              <w:ind w:left="20"/>
              <w:spacing w:after="0"/>
              <w:rPr>
                <w:sz w:val="20"/>
                <w:szCs w:val="20"/>
                <w:color w:val="auto"/>
              </w:rPr>
            </w:pPr>
            <w:r>
              <w:rPr>
                <w:rFonts w:ascii="Arial" w:cs="Arial" w:eastAsia="Arial" w:hAnsi="Arial"/>
                <w:sz w:val="13"/>
                <w:szCs w:val="13"/>
                <w:color w:val="auto"/>
              </w:rPr>
              <w:t>Senior Secured Loan — Initial Term Loan</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3"/>
                <w:szCs w:val="13"/>
                <w:color w:val="auto"/>
                <w:w w:val="95"/>
              </w:rPr>
              <w:t>4.4% Cash, 1 Month Libor (0.15%) + 4.25% , Due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3"/>
                <w:szCs w:val="13"/>
                <w:color w:val="auto"/>
              </w:rPr>
              <w:t>7/26</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3/23/2020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5,156,518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4,229,619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5,142,312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880" w:type="dxa"/>
            <w:vAlign w:val="bottom"/>
          </w:tcPr>
          <w:p>
            <w:pPr>
              <w:spacing w:after="0"/>
              <w:rPr>
                <w:sz w:val="20"/>
                <w:szCs w:val="20"/>
                <w:color w:val="auto"/>
              </w:rPr>
            </w:pPr>
            <w:r>
              <w:rPr>
                <w:rFonts w:ascii="Arial" w:cs="Arial" w:eastAsia="Arial" w:hAnsi="Arial"/>
                <w:sz w:val="8"/>
                <w:szCs w:val="8"/>
                <w:color w:val="auto"/>
              </w:rPr>
              <w:t>(8)(13)(14)(21)</w:t>
            </w:r>
          </w:p>
        </w:tc>
        <w:tc>
          <w:tcPr>
            <w:tcW w:w="2760" w:type="dxa"/>
            <w:vAlign w:val="bottom"/>
            <w:vMerge w:val="restart"/>
          </w:tcPr>
          <w:p>
            <w:pPr>
              <w:ind w:left="20"/>
              <w:spacing w:after="0"/>
              <w:rPr>
                <w:sz w:val="20"/>
                <w:szCs w:val="20"/>
                <w:color w:val="auto"/>
              </w:rPr>
            </w:pPr>
            <w:r>
              <w:rPr>
                <w:rFonts w:ascii="Arial" w:cs="Arial" w:eastAsia="Arial" w:hAnsi="Arial"/>
                <w:sz w:val="13"/>
                <w:szCs w:val="13"/>
                <w:color w:val="auto"/>
                <w:w w:val="93"/>
              </w:rPr>
              <w:t>Senior Secured Loan — Delayed Draw Term Loan</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3"/>
                <w:szCs w:val="13"/>
                <w:color w:val="auto"/>
              </w:rPr>
              <w:t>1.0% Cash, Due 10/26</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12/9/2020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(19,849 )</w:t>
            </w:r>
          </w:p>
        </w:tc>
        <w:tc>
          <w:tcPr>
            <w:tcW w:w="1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(20,000 )</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8"/>
                <w:szCs w:val="8"/>
                <w:color w:val="auto"/>
              </w:rPr>
              <w:t>(8)(13)(14)(21)</w:t>
            </w:r>
          </w:p>
        </w:tc>
        <w:tc>
          <w:tcPr>
            <w:tcW w:w="2760" w:type="dxa"/>
            <w:vAlign w:val="bottom"/>
            <w:vMerge w:val="restart"/>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3"/>
                <w:szCs w:val="13"/>
                <w:color w:val="auto"/>
                <w:w w:val="94"/>
              </w:rPr>
              <w:t>7.3% Cash, 3 Month Libor (1.00%) + 6.25%;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3"/>
                <w:szCs w:val="13"/>
                <w:color w:val="auto"/>
              </w:rPr>
              <w:t>Floor 1.00% , Due 10/26</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12/9/2020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5,000,000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4,900,755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8"/>
                <w:szCs w:val="8"/>
                <w:color w:val="auto"/>
              </w:rPr>
              <w:t>(8)(13)(21)</w:t>
            </w:r>
          </w:p>
        </w:tc>
        <w:tc>
          <w:tcPr>
            <w:tcW w:w="2760" w:type="dxa"/>
            <w:vAlign w:val="bottom"/>
            <w:vMerge w:val="restart"/>
          </w:tcPr>
          <w:p>
            <w:pPr>
              <w:ind w:left="20"/>
              <w:spacing w:after="0"/>
              <w:rPr>
                <w:sz w:val="20"/>
                <w:szCs w:val="20"/>
                <w:color w:val="auto"/>
              </w:rPr>
            </w:pPr>
            <w:r>
              <w:rPr>
                <w:rFonts w:ascii="Arial" w:cs="Arial" w:eastAsia="Arial" w:hAnsi="Arial"/>
                <w:sz w:val="13"/>
                <w:szCs w:val="13"/>
                <w:color w:val="auto"/>
              </w:rPr>
              <w:t>Senior Secured Loan — Revolving Loan</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3"/>
                <w:szCs w:val="13"/>
                <w:color w:val="auto"/>
              </w:rPr>
              <w:t>0.5% Cash, Due 10/26</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12/9/2020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(19,972 )</w:t>
            </w:r>
          </w:p>
        </w:tc>
        <w:tc>
          <w:tcPr>
            <w:tcW w:w="1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-3812540</wp:posOffset>
            </wp:positionV>
            <wp:extent cx="7132320" cy="3257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-3366770</wp:posOffset>
            </wp:positionV>
            <wp:extent cx="7132320" cy="3257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-2921000</wp:posOffset>
            </wp:positionV>
            <wp:extent cx="7132320" cy="2228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-2578100</wp:posOffset>
            </wp:positionV>
            <wp:extent cx="7132320" cy="2228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-2235200</wp:posOffset>
            </wp:positionV>
            <wp:extent cx="7132320" cy="2228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-1892300</wp:posOffset>
            </wp:positionV>
            <wp:extent cx="7132320" cy="3257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-1446530</wp:posOffset>
            </wp:positionV>
            <wp:extent cx="7132320" cy="3257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-1000760</wp:posOffset>
            </wp:positionV>
            <wp:extent cx="7132320" cy="2228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-657860</wp:posOffset>
            </wp:positionV>
            <wp:extent cx="7132320" cy="3257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-212090</wp:posOffset>
            </wp:positionV>
            <wp:extent cx="7132320" cy="2228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500" w:space="380"/>
            <w:col w:w="8300"/>
          </w:cols>
          <w:pgMar w:left="320" w:top="364" w:right="399" w:bottom="1440" w:gutter="0" w:footer="0" w:header="0"/>
        </w:sectPr>
      </w:pPr>
    </w:p>
    <w:bookmarkStart w:id="22" w:name="page23"/>
    <w:bookmarkEnd w:id="22"/>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8173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Analogic Corporation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Electronics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Analogic Corporation</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Electronics</w:t>
      </w:r>
    </w:p>
    <w:p>
      <w:pPr>
        <w:spacing w:after="0" w:line="391" w:lineRule="exact"/>
        <w:rPr>
          <w:sz w:val="20"/>
          <w:szCs w:val="20"/>
          <w:color w:val="auto"/>
        </w:rPr>
      </w:pPr>
    </w:p>
    <w:p>
      <w:pPr>
        <w:ind w:left="160" w:right="340" w:hanging="157"/>
        <w:spacing w:after="0" w:line="432" w:lineRule="auto"/>
        <w:rPr>
          <w:sz w:val="20"/>
          <w:szCs w:val="20"/>
          <w:color w:val="auto"/>
        </w:rPr>
      </w:pPr>
      <w:r>
        <w:rPr>
          <w:rFonts w:ascii="Arial" w:cs="Arial" w:eastAsia="Arial" w:hAnsi="Arial"/>
          <w:sz w:val="10"/>
          <w:szCs w:val="10"/>
          <w:color w:val="auto"/>
        </w:rPr>
        <w:t>Anthem Sports &amp; Entertainment Inc. Media: Broadcasting &amp; Subscription</w:t>
      </w: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Anthem Sports &amp; Entertainment Inc.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Media: Broadcasting &amp; Subscription</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Ascensus Specialties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Chemicals, Plastics &amp; Rubber</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Athos Merger Sub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BJ Services,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Energy: Oil &amp; Gas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BMC Acquisition,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Bristol Hospice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Bristol Hospice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C.P. Converters,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Chemicals, Plastics &amp; Rubber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Carestream Health,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7"/>
          <w:szCs w:val="7"/>
          <w:color w:val="auto"/>
        </w:rPr>
        <w:t>(8)(13)(14)(21)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7"/>
          <w:szCs w:val="7"/>
          <w:color w:val="auto"/>
        </w:rPr>
        <w:t>(8)(13)(14)(21)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7"/>
          <w:szCs w:val="7"/>
          <w:color w:val="auto"/>
        </w:rPr>
        <w:t>(8)(13)(14)(21)</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Initial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2480" w:type="dxa"/>
            <w:vAlign w:val="bottom"/>
          </w:tcPr>
          <w:p>
            <w:pPr>
              <w:ind w:left="800"/>
              <w:spacing w:after="0"/>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Amortized</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2480" w:type="dxa"/>
            <w:vAlign w:val="bottom"/>
          </w:tcPr>
          <w:p>
            <w:pPr>
              <w:ind w:left="4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Pr>
          <w:p>
            <w:pPr>
              <w:spacing w:after="0"/>
              <w:rPr>
                <w:sz w:val="16"/>
                <w:szCs w:val="16"/>
                <w:color w:val="auto"/>
              </w:rPr>
            </w:pPr>
          </w:p>
        </w:tc>
        <w:tc>
          <w:tcPr>
            <w:tcW w:w="880" w:type="dxa"/>
            <w:vAlign w:val="bottom"/>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40" w:type="dxa"/>
            <w:vAlign w:val="bottom"/>
          </w:tcPr>
          <w:p>
            <w:pPr>
              <w:spacing w:after="0"/>
              <w:rPr>
                <w:sz w:val="16"/>
                <w:szCs w:val="16"/>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Cost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248"/>
        </w:trPr>
        <w:tc>
          <w:tcPr>
            <w:tcW w:w="27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Senior Secured Loan — Revolver</w:t>
            </w:r>
          </w:p>
        </w:tc>
        <w:tc>
          <w:tcPr>
            <w:tcW w:w="14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0.5%</w:t>
            </w:r>
          </w:p>
        </w:tc>
        <w:tc>
          <w:tcPr>
            <w:tcW w:w="2480" w:type="dxa"/>
            <w:vAlign w:val="bottom"/>
          </w:tcPr>
          <w:p>
            <w:pPr>
              <w:ind w:left="20"/>
              <w:spacing w:after="0"/>
              <w:rPr>
                <w:sz w:val="20"/>
                <w:szCs w:val="20"/>
                <w:color w:val="auto"/>
              </w:rPr>
            </w:pPr>
            <w:r>
              <w:rPr>
                <w:rFonts w:ascii="Arial" w:cs="Arial" w:eastAsia="Arial" w:hAnsi="Arial"/>
                <w:sz w:val="13"/>
                <w:szCs w:val="13"/>
                <w:color w:val="auto"/>
              </w:rPr>
              <w:t>Cash, Due 6/23</w:t>
            </w:r>
          </w:p>
        </w:tc>
        <w:tc>
          <w:tcPr>
            <w:tcW w:w="1140" w:type="dxa"/>
            <w:vAlign w:val="bottom"/>
            <w:gridSpan w:val="2"/>
            <w:vMerge w:val="restart"/>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vMerge w:val="restart"/>
          </w:tcPr>
          <w:p>
            <w:pPr>
              <w:jc w:val="right"/>
              <w:spacing w:after="0"/>
              <w:rPr>
                <w:sz w:val="20"/>
                <w:szCs w:val="20"/>
                <w:color w:val="auto"/>
              </w:rPr>
            </w:pPr>
            <w:r>
              <w:rPr>
                <w:rFonts w:ascii="Arial" w:cs="Arial" w:eastAsia="Arial" w:hAnsi="Arial"/>
                <w:sz w:val="13"/>
                <w:szCs w:val="13"/>
                <w:color w:val="auto"/>
              </w:rPr>
              <w:t>0</w:t>
            </w:r>
          </w:p>
        </w:tc>
        <w:tc>
          <w:tcPr>
            <w:tcW w:w="22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3"/>
                <w:szCs w:val="13"/>
                <w:color w:val="auto"/>
              </w:rPr>
              <w:t>(3,033 )</w:t>
            </w:r>
          </w:p>
        </w:tc>
        <w:tc>
          <w:tcPr>
            <w:tcW w:w="0" w:type="dxa"/>
            <w:vAlign w:val="bottom"/>
          </w:tcPr>
          <w:p>
            <w:pPr>
              <w:spacing w:after="0"/>
              <w:rPr>
                <w:sz w:val="1"/>
                <w:szCs w:val="1"/>
                <w:color w:val="auto"/>
              </w:rPr>
            </w:pPr>
          </w:p>
        </w:tc>
      </w:tr>
      <w:tr>
        <w:trPr>
          <w:trHeight w:val="81"/>
        </w:trPr>
        <w:tc>
          <w:tcPr>
            <w:tcW w:w="28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w w:val="99"/>
              </w:rPr>
              <w:t>Senior Secured Loan — First Lien Term Loan A</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6.3%</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1 Month Libor (1.00%) + 5.25%;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6/24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3,555,811</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3,103,457</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3,502,474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7.8%</w:t>
            </w:r>
          </w:p>
        </w:tc>
        <w:tc>
          <w:tcPr>
            <w:tcW w:w="2480" w:type="dxa"/>
            <w:vAlign w:val="bottom"/>
          </w:tcPr>
          <w:p>
            <w:pPr>
              <w:ind w:left="20"/>
              <w:spacing w:after="0"/>
              <w:rPr>
                <w:sz w:val="20"/>
                <w:szCs w:val="20"/>
                <w:color w:val="auto"/>
              </w:rPr>
            </w:pPr>
            <w:r>
              <w:rPr>
                <w:rFonts w:ascii="Arial" w:cs="Arial" w:eastAsia="Arial" w:hAnsi="Arial"/>
                <w:sz w:val="13"/>
                <w:szCs w:val="13"/>
                <w:color w:val="auto"/>
              </w:rPr>
              <w:t>Cash, 2.8% PIK, 3 Month Libor (1.00%) +</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6.75%; Libor Floor 1.00% , Due 9/24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9/9/2019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3,592,120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3,495,363</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3,486,871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Revolving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w w:val="93"/>
              </w:rPr>
              <w:t>10.5% Cash, 3 Month Libor (1.00%) + 9.50%;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9/24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9/9/2019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416,667</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385,912</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384,925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4.9%</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1 Month Libor (0.15%) + 4.75% , Due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rPr>
              <w:t>9/26</w:t>
            </w:r>
          </w:p>
        </w:tc>
        <w:tc>
          <w:tcPr>
            <w:tcW w:w="24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1,703,780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1,435,922</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1,697,135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5.1%</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1 Month Libor (0.15%) + 5.00% , Due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rPr>
              <w:t>7/26</w:t>
            </w:r>
          </w:p>
        </w:tc>
        <w:tc>
          <w:tcPr>
            <w:tcW w:w="24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1,329,088</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1,142,784</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1,312,474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First Out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8.5%</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3 Month Libor (1.50%) + 7.00%;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1.50% , Due 1/23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3,573,631</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3,094,158</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3,540,397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Initial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6.3%</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6 month Libor (1.00%) + 5.25%;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12/24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1/2/2018</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2,910,000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2,909,020</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2,878,863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w w:val="94"/>
              </w:rPr>
              <w:t>Senior Secured Loan — Delayed Draw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1.0%</w:t>
            </w:r>
          </w:p>
        </w:tc>
        <w:tc>
          <w:tcPr>
            <w:tcW w:w="2480" w:type="dxa"/>
            <w:vAlign w:val="bottom"/>
          </w:tcPr>
          <w:p>
            <w:pPr>
              <w:ind w:left="20"/>
              <w:spacing w:after="0"/>
              <w:rPr>
                <w:sz w:val="20"/>
                <w:szCs w:val="20"/>
                <w:color w:val="auto"/>
              </w:rPr>
            </w:pPr>
            <w:r>
              <w:rPr>
                <w:rFonts w:ascii="Arial" w:cs="Arial" w:eastAsia="Arial" w:hAnsi="Arial"/>
                <w:sz w:val="13"/>
                <w:szCs w:val="13"/>
                <w:color w:val="auto"/>
              </w:rPr>
              <w:t>Cash, Due 12/26</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12/22/2020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ind w:right="160"/>
              <w:spacing w:after="0"/>
              <w:rPr>
                <w:sz w:val="20"/>
                <w:szCs w:val="20"/>
                <w:color w:val="auto"/>
              </w:rPr>
            </w:pPr>
            <w:r>
              <w:rPr>
                <w:rFonts w:ascii="Arial" w:cs="Arial" w:eastAsia="Arial" w:hAnsi="Arial"/>
                <w:sz w:val="13"/>
                <w:szCs w:val="13"/>
                <w:color w:val="auto"/>
              </w:rPr>
              <w:t>(8,182 )</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(8,219 )</w:t>
            </w:r>
          </w:p>
        </w:tc>
        <w:tc>
          <w:tcPr>
            <w:tcW w:w="0" w:type="dxa"/>
            <w:vAlign w:val="bottom"/>
          </w:tcPr>
          <w:p>
            <w:pPr>
              <w:spacing w:after="0"/>
              <w:rPr>
                <w:sz w:val="1"/>
                <w:szCs w:val="1"/>
                <w:color w:val="auto"/>
              </w:rPr>
            </w:pPr>
          </w:p>
        </w:tc>
      </w:tr>
      <w:tr>
        <w:trPr>
          <w:trHeight w:val="540"/>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Unitranche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6.5%</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3 Month Libor (1.00%) + 5.50%;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12/26</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12/22/2020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2,178,082</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2,134,719</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2,134,521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0"/>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Seventh Amendment</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Acquisition Loan</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7.5%</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1 Month Libor (1.00%) + 6.50%;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6/23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6/26/2020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2,962,500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2,901,315</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2,918,063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0"/>
        </w:trPr>
        <w:tc>
          <w:tcPr>
            <w:tcW w:w="2760" w:type="dxa"/>
            <w:vAlign w:val="bottom"/>
            <w:gridSpan w:val="2"/>
          </w:tcPr>
          <w:p>
            <w:pPr>
              <w:spacing w:after="0"/>
              <w:rPr>
                <w:sz w:val="20"/>
                <w:szCs w:val="20"/>
                <w:color w:val="auto"/>
              </w:rPr>
            </w:pPr>
            <w:r>
              <w:rPr>
                <w:rFonts w:ascii="Arial" w:cs="Arial" w:eastAsia="Arial" w:hAnsi="Arial"/>
                <w:sz w:val="13"/>
                <w:szCs w:val="13"/>
                <w:color w:val="auto"/>
                <w:w w:val="93"/>
              </w:rPr>
              <w:t>Junior Secured Loan — 2023 Extended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(Second Lien)</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5.5%</w:t>
            </w:r>
          </w:p>
        </w:tc>
        <w:tc>
          <w:tcPr>
            <w:tcW w:w="2480" w:type="dxa"/>
            <w:vAlign w:val="bottom"/>
          </w:tcPr>
          <w:p>
            <w:pPr>
              <w:ind w:left="20"/>
              <w:spacing w:after="0"/>
              <w:rPr>
                <w:sz w:val="20"/>
                <w:szCs w:val="20"/>
                <w:color w:val="auto"/>
              </w:rPr>
            </w:pPr>
            <w:r>
              <w:rPr>
                <w:rFonts w:ascii="Arial" w:cs="Arial" w:eastAsia="Arial" w:hAnsi="Arial"/>
                <w:sz w:val="13"/>
                <w:szCs w:val="13"/>
                <w:color w:val="auto"/>
              </w:rPr>
              <w:t>Cash, 8.0% PIK, 6 month Libor (1.00%) +</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4.50%; Libor Floor 1.00% , Due 8/23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5/8/2020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1,629,516</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1,454,610</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1,394,866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-5629910</wp:posOffset>
            </wp:positionV>
            <wp:extent cx="7132320" cy="3257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-5184140</wp:posOffset>
            </wp:positionV>
            <wp:extent cx="7132320" cy="3257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-4738370</wp:posOffset>
            </wp:positionV>
            <wp:extent cx="7132320" cy="3257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-4292600</wp:posOffset>
            </wp:positionV>
            <wp:extent cx="7132320" cy="3257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-3846830</wp:posOffset>
            </wp:positionV>
            <wp:extent cx="7132320" cy="3257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-3401060</wp:posOffset>
            </wp:positionV>
            <wp:extent cx="7132320" cy="3257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-2955290</wp:posOffset>
            </wp:positionV>
            <wp:extent cx="7132320" cy="3257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-2509520</wp:posOffset>
            </wp:positionV>
            <wp:extent cx="7132320" cy="3257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-2063750</wp:posOffset>
            </wp:positionV>
            <wp:extent cx="7132320" cy="2228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-1617980</wp:posOffset>
            </wp:positionV>
            <wp:extent cx="7132320" cy="3257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-1069340</wp:posOffset>
            </wp:positionV>
            <wp:extent cx="7132320" cy="4286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-417830</wp:posOffset>
            </wp:positionV>
            <wp:extent cx="7132320" cy="4286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2340" w:space="520"/>
            <w:col w:w="520" w:space="380"/>
            <w:col w:w="7400"/>
          </w:cols>
          <w:pgMar w:left="340" w:top="702" w:right="399" w:bottom="1440" w:gutter="0" w:footer="0" w:header="0"/>
        </w:sectPr>
      </w:pPr>
    </w:p>
    <w:bookmarkStart w:id="23" w:name="page24"/>
    <w:bookmarkEnd w:id="23"/>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Business</w:t>
      </w:r>
    </w:p>
    <w:p>
      <w:pPr>
        <w:ind w:left="2800"/>
        <w:spacing w:after="0" w:line="193" w:lineRule="auto"/>
        <w:rPr>
          <w:sz w:val="20"/>
          <w:szCs w:val="20"/>
          <w:color w:val="auto"/>
        </w:rPr>
      </w:pPr>
      <w:r>
        <w:rPr>
          <w:rFonts w:ascii="Arial" w:cs="Arial" w:eastAsia="Arial" w:hAnsi="Arial"/>
          <w:sz w:val="7"/>
          <w:szCs w:val="7"/>
          <w:color w:val="auto"/>
        </w:rPr>
        <w:t>(8)(13)(14)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17741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Centric Brands Inc.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Machinery (Non-Agrclt/Constr/Electr)</w:t>
      </w:r>
    </w:p>
    <w:p>
      <w:pPr>
        <w:spacing w:after="0" w:line="200" w:lineRule="exact"/>
        <w:rPr>
          <w:sz w:val="20"/>
          <w:szCs w:val="20"/>
          <w:color w:val="auto"/>
        </w:rPr>
      </w:pPr>
    </w:p>
    <w:p>
      <w:pPr>
        <w:spacing w:after="0" w:line="271" w:lineRule="exact"/>
        <w:rPr>
          <w:sz w:val="20"/>
          <w:szCs w:val="20"/>
          <w:color w:val="auto"/>
        </w:rPr>
      </w:pPr>
    </w:p>
    <w:p>
      <w:pPr>
        <w:ind w:left="2800"/>
        <w:spacing w:after="0"/>
        <w:rPr>
          <w:sz w:val="20"/>
          <w:szCs w:val="20"/>
          <w:color w:val="auto"/>
        </w:rPr>
      </w:pPr>
      <w:r>
        <w:rPr>
          <w:rFonts w:ascii="Arial" w:cs="Arial" w:eastAsia="Arial" w:hAnsi="Arial"/>
          <w:sz w:val="8"/>
          <w:szCs w:val="8"/>
          <w:color w:val="auto"/>
        </w:rPr>
        <w:t>(8)(13)(14)(20)</w:t>
      </w:r>
    </w:p>
    <w:p>
      <w:pPr>
        <w:spacing w:after="0"/>
        <w:rPr>
          <w:sz w:val="20"/>
          <w:szCs w:val="20"/>
          <w:color w:val="auto"/>
        </w:rPr>
      </w:pPr>
      <w:r>
        <w:rPr>
          <w:rFonts w:ascii="Arial" w:cs="Arial" w:eastAsia="Arial" w:hAnsi="Arial"/>
          <w:sz w:val="13"/>
          <w:szCs w:val="13"/>
          <w:color w:val="auto"/>
        </w:rPr>
        <w:t>Centric Brands Inc.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Machinery (Non-Agrclt/Constr/Electr)</w:t>
      </w:r>
    </w:p>
    <w:p>
      <w:pPr>
        <w:spacing w:after="0" w:line="309" w:lineRule="exact"/>
        <w:rPr>
          <w:sz w:val="20"/>
          <w:szCs w:val="20"/>
          <w:color w:val="auto"/>
        </w:rPr>
      </w:pPr>
    </w:p>
    <w:p>
      <w:pPr>
        <w:ind w:left="2800"/>
        <w:spacing w:after="0"/>
        <w:rPr>
          <w:sz w:val="20"/>
          <w:szCs w:val="20"/>
          <w:color w:val="auto"/>
        </w:rPr>
      </w:pPr>
      <w:r>
        <w:rPr>
          <w:rFonts w:ascii="Arial" w:cs="Arial" w:eastAsia="Arial" w:hAnsi="Arial"/>
          <w:sz w:val="8"/>
          <w:szCs w:val="8"/>
          <w:color w:val="auto"/>
        </w:rPr>
        <w:t>(8)(13)(14)</w:t>
      </w:r>
    </w:p>
    <w:p>
      <w:pPr>
        <w:spacing w:after="0"/>
        <w:rPr>
          <w:sz w:val="20"/>
          <w:szCs w:val="20"/>
          <w:color w:val="auto"/>
        </w:rPr>
      </w:pPr>
      <w:r>
        <w:rPr>
          <w:rFonts w:ascii="Arial" w:cs="Arial" w:eastAsia="Arial" w:hAnsi="Arial"/>
          <w:sz w:val="13"/>
          <w:szCs w:val="13"/>
          <w:color w:val="auto"/>
        </w:rPr>
        <w:t>Child Development Schools, Inc.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Consumer</w:t>
      </w:r>
    </w:p>
    <w:p>
      <w:pPr>
        <w:spacing w:after="0" w:line="200" w:lineRule="exact"/>
        <w:rPr>
          <w:sz w:val="20"/>
          <w:szCs w:val="20"/>
          <w:color w:val="auto"/>
        </w:rPr>
      </w:pPr>
    </w:p>
    <w:p>
      <w:pPr>
        <w:spacing w:after="0" w:line="271" w:lineRule="exact"/>
        <w:rPr>
          <w:sz w:val="20"/>
          <w:szCs w:val="20"/>
          <w:color w:val="auto"/>
        </w:rPr>
      </w:pPr>
    </w:p>
    <w:p>
      <w:pPr>
        <w:ind w:left="2800"/>
        <w:spacing w:after="0"/>
        <w:rPr>
          <w:sz w:val="20"/>
          <w:szCs w:val="20"/>
          <w:color w:val="auto"/>
        </w:rPr>
      </w:pPr>
      <w:r>
        <w:rPr>
          <w:rFonts w:ascii="Arial" w:cs="Arial" w:eastAsia="Arial" w:hAnsi="Arial"/>
          <w:sz w:val="8"/>
          <w:szCs w:val="8"/>
          <w:color w:val="auto"/>
        </w:rPr>
        <w:t>(8)(13)(14)</w:t>
      </w:r>
    </w:p>
    <w:p>
      <w:pPr>
        <w:jc w:val="right"/>
        <w:ind w:right="2320"/>
        <w:spacing w:after="0"/>
        <w:rPr>
          <w:sz w:val="20"/>
          <w:szCs w:val="20"/>
          <w:color w:val="auto"/>
        </w:rPr>
      </w:pPr>
      <w:r>
        <w:rPr>
          <w:rFonts w:ascii="Arial" w:cs="Arial" w:eastAsia="Arial" w:hAnsi="Arial"/>
          <w:sz w:val="10"/>
          <w:szCs w:val="10"/>
          <w:color w:val="auto"/>
        </w:rPr>
        <w:t>Chloe Ox Parent, LLC</w:t>
      </w:r>
    </w:p>
    <w:p>
      <w:pPr>
        <w:spacing w:after="0" w:line="37" w:lineRule="exact"/>
        <w:rPr>
          <w:sz w:val="20"/>
          <w:szCs w:val="20"/>
          <w:color w:val="auto"/>
        </w:rPr>
      </w:pPr>
    </w:p>
    <w:p>
      <w:pPr>
        <w:jc w:val="right"/>
        <w:ind w:right="2360"/>
        <w:spacing w:after="0"/>
        <w:rPr>
          <w:sz w:val="20"/>
          <w:szCs w:val="20"/>
          <w:color w:val="auto"/>
        </w:rPr>
      </w:pPr>
      <w:r>
        <w:rPr>
          <w:rFonts w:ascii="Arial" w:cs="Arial" w:eastAsia="Arial" w:hAnsi="Arial"/>
          <w:sz w:val="13"/>
          <w:szCs w:val="13"/>
          <w:color w:val="auto"/>
        </w:rPr>
        <w:t>Services: Business</w:t>
      </w:r>
    </w:p>
    <w:p>
      <w:pPr>
        <w:spacing w:after="0" w:line="200" w:lineRule="exact"/>
        <w:rPr>
          <w:sz w:val="20"/>
          <w:szCs w:val="20"/>
          <w:color w:val="auto"/>
        </w:rPr>
      </w:pPr>
    </w:p>
    <w:p>
      <w:pPr>
        <w:spacing w:after="0" w:line="271" w:lineRule="exact"/>
        <w:rPr>
          <w:sz w:val="20"/>
          <w:szCs w:val="20"/>
          <w:color w:val="auto"/>
        </w:rPr>
      </w:pPr>
    </w:p>
    <w:p>
      <w:pPr>
        <w:ind w:left="2800"/>
        <w:spacing w:after="0"/>
        <w:rPr>
          <w:sz w:val="20"/>
          <w:szCs w:val="20"/>
          <w:color w:val="auto"/>
        </w:rPr>
      </w:pPr>
      <w:r>
        <w:rPr>
          <w:rFonts w:ascii="Arial" w:cs="Arial" w:eastAsia="Arial" w:hAnsi="Arial"/>
          <w:sz w:val="8"/>
          <w:szCs w:val="8"/>
          <w:color w:val="auto"/>
        </w:rPr>
        <w:t>(8)(13)(14)</w:t>
      </w:r>
    </w:p>
    <w:p>
      <w:pPr>
        <w:spacing w:after="0"/>
        <w:rPr>
          <w:sz w:val="20"/>
          <w:szCs w:val="20"/>
          <w:color w:val="auto"/>
        </w:rPr>
      </w:pPr>
      <w:r>
        <w:rPr>
          <w:rFonts w:ascii="Arial" w:cs="Arial" w:eastAsia="Arial" w:hAnsi="Arial"/>
          <w:sz w:val="13"/>
          <w:szCs w:val="13"/>
          <w:color w:val="auto"/>
        </w:rPr>
        <w:t>Circustrix Holdings, LLC</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Banking, Finance, Insurance &amp; Real Estate</w:t>
      </w:r>
    </w:p>
    <w:p>
      <w:pPr>
        <w:spacing w:after="0" w:line="309" w:lineRule="exact"/>
        <w:rPr>
          <w:sz w:val="20"/>
          <w:szCs w:val="20"/>
          <w:color w:val="auto"/>
        </w:rPr>
      </w:pPr>
    </w:p>
    <w:p>
      <w:pPr>
        <w:ind w:left="2800"/>
        <w:spacing w:after="0"/>
        <w:rPr>
          <w:sz w:val="20"/>
          <w:szCs w:val="20"/>
          <w:color w:val="auto"/>
        </w:rPr>
      </w:pPr>
      <w:r>
        <w:rPr>
          <w:rFonts w:ascii="Arial" w:cs="Arial" w:eastAsia="Arial" w:hAnsi="Arial"/>
          <w:sz w:val="8"/>
          <w:szCs w:val="8"/>
          <w:color w:val="auto"/>
        </w:rPr>
        <w:t>(3)(13)(14)</w:t>
      </w:r>
    </w:p>
    <w:p>
      <w:pPr>
        <w:spacing w:after="0"/>
        <w:rPr>
          <w:sz w:val="20"/>
          <w:szCs w:val="20"/>
          <w:color w:val="auto"/>
        </w:rPr>
      </w:pPr>
      <w:r>
        <w:rPr>
          <w:rFonts w:ascii="Arial" w:cs="Arial" w:eastAsia="Arial" w:hAnsi="Arial"/>
          <w:sz w:val="13"/>
          <w:szCs w:val="13"/>
          <w:color w:val="auto"/>
        </w:rPr>
        <w:t>Coinamatic Canada Inc.</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Consumer goods: Durable</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8"/>
          <w:szCs w:val="8"/>
          <w:color w:val="auto"/>
        </w:rPr>
        <w:t>(8)(13)(14)(20)(21)</w:t>
      </w:r>
    </w:p>
    <w:p>
      <w:pPr>
        <w:spacing w:after="0"/>
        <w:rPr>
          <w:sz w:val="20"/>
          <w:szCs w:val="20"/>
          <w:color w:val="auto"/>
        </w:rPr>
      </w:pPr>
      <w:r>
        <w:rPr>
          <w:rFonts w:ascii="Arial" w:cs="Arial" w:eastAsia="Arial" w:hAnsi="Arial"/>
          <w:sz w:val="13"/>
          <w:szCs w:val="13"/>
          <w:color w:val="auto"/>
        </w:rPr>
        <w:t>Colibri Group, LLC</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Services: Business</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8"/>
          <w:szCs w:val="8"/>
          <w:color w:val="auto"/>
        </w:rPr>
        <w:t>(8)(13)(14)(20)(21)</w:t>
      </w:r>
    </w:p>
    <w:p>
      <w:pPr>
        <w:spacing w:after="0"/>
        <w:rPr>
          <w:sz w:val="20"/>
          <w:szCs w:val="20"/>
          <w:color w:val="auto"/>
        </w:rPr>
      </w:pPr>
      <w:r>
        <w:rPr>
          <w:rFonts w:ascii="Arial" w:cs="Arial" w:eastAsia="Arial" w:hAnsi="Arial"/>
          <w:sz w:val="13"/>
          <w:szCs w:val="13"/>
          <w:color w:val="auto"/>
        </w:rPr>
        <w:t>Colibri Group, LLC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8"/>
          <w:szCs w:val="8"/>
          <w:color w:val="auto"/>
        </w:rPr>
        <w:t>(8)(13)(14)(20)(21)</w:t>
      </w:r>
    </w:p>
    <w:p>
      <w:pPr>
        <w:spacing w:after="0"/>
        <w:rPr>
          <w:sz w:val="20"/>
          <w:szCs w:val="20"/>
          <w:color w:val="auto"/>
        </w:rPr>
      </w:pPr>
      <w:r>
        <w:rPr>
          <w:rFonts w:ascii="Arial" w:cs="Arial" w:eastAsia="Arial" w:hAnsi="Arial"/>
          <w:sz w:val="13"/>
          <w:szCs w:val="13"/>
          <w:color w:val="auto"/>
        </w:rPr>
        <w:t>Colibri Group, LLC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0"/>
        <w:spacing w:after="0"/>
        <w:rPr>
          <w:sz w:val="20"/>
          <w:szCs w:val="20"/>
          <w:color w:val="auto"/>
        </w:rPr>
      </w:pPr>
      <w:r>
        <w:rPr>
          <w:rFonts w:ascii="Arial" w:cs="Arial" w:eastAsia="Arial" w:hAnsi="Arial"/>
          <w:sz w:val="8"/>
          <w:szCs w:val="8"/>
          <w:color w:val="auto"/>
        </w:rPr>
        <w:t>(8)(14)</w:t>
      </w:r>
    </w:p>
    <w:p>
      <w:pPr>
        <w:spacing w:after="0"/>
        <w:rPr>
          <w:sz w:val="20"/>
          <w:szCs w:val="20"/>
          <w:color w:val="auto"/>
        </w:rPr>
      </w:pPr>
      <w:r>
        <w:rPr>
          <w:rFonts w:ascii="Arial" w:cs="Arial" w:eastAsia="Arial" w:hAnsi="Arial"/>
          <w:sz w:val="13"/>
          <w:szCs w:val="13"/>
          <w:color w:val="auto"/>
        </w:rPr>
        <w:t>Convergeone Holdings Corp.</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Electronics</w:t>
      </w:r>
    </w:p>
    <w:p>
      <w:pPr>
        <w:spacing w:after="0" w:line="200" w:lineRule="exact"/>
        <w:rPr>
          <w:sz w:val="20"/>
          <w:szCs w:val="20"/>
          <w:color w:val="auto"/>
        </w:rPr>
      </w:pPr>
    </w:p>
    <w:p>
      <w:pPr>
        <w:spacing w:after="0" w:line="271" w:lineRule="exact"/>
        <w:rPr>
          <w:sz w:val="20"/>
          <w:szCs w:val="20"/>
          <w:color w:val="auto"/>
        </w:rPr>
      </w:pPr>
    </w:p>
    <w:p>
      <w:pPr>
        <w:ind w:left="2800"/>
        <w:spacing w:after="0"/>
        <w:rPr>
          <w:sz w:val="20"/>
          <w:szCs w:val="20"/>
          <w:color w:val="auto"/>
        </w:rPr>
      </w:pPr>
      <w:r>
        <w:rPr>
          <w:rFonts w:ascii="Arial" w:cs="Arial" w:eastAsia="Arial" w:hAnsi="Arial"/>
          <w:sz w:val="8"/>
          <w:szCs w:val="8"/>
          <w:color w:val="auto"/>
        </w:rPr>
        <w:t>(8)(14)</w:t>
      </w:r>
    </w:p>
    <w:p>
      <w:pPr>
        <w:ind w:right="940"/>
        <w:spacing w:after="0" w:line="252" w:lineRule="auto"/>
        <w:rPr>
          <w:sz w:val="20"/>
          <w:szCs w:val="20"/>
          <w:color w:val="auto"/>
        </w:rPr>
      </w:pPr>
      <w:r>
        <w:rPr>
          <w:rFonts w:ascii="Arial" w:cs="Arial" w:eastAsia="Arial" w:hAnsi="Arial"/>
          <w:sz w:val="13"/>
          <w:szCs w:val="13"/>
          <w:color w:val="auto"/>
        </w:rPr>
        <w:t>CSM Bakery Solutions Limited (fka CSM Bakery Supplies Limited)</w:t>
      </w:r>
    </w:p>
    <w:p>
      <w:pPr>
        <w:ind w:left="160"/>
        <w:spacing w:after="0"/>
        <w:rPr>
          <w:sz w:val="20"/>
          <w:szCs w:val="20"/>
          <w:color w:val="auto"/>
        </w:rPr>
      </w:pPr>
      <w:r>
        <w:rPr>
          <w:rFonts w:ascii="Arial" w:cs="Arial" w:eastAsia="Arial" w:hAnsi="Arial"/>
          <w:sz w:val="13"/>
          <w:szCs w:val="13"/>
          <w:color w:val="auto"/>
        </w:rPr>
        <w:t>Beverage, Food and Tobacco</w:t>
      </w:r>
    </w:p>
    <w:p>
      <w:pPr>
        <w:spacing w:after="0" w:line="309" w:lineRule="exact"/>
        <w:rPr>
          <w:sz w:val="20"/>
          <w:szCs w:val="20"/>
          <w:color w:val="auto"/>
        </w:rPr>
      </w:pPr>
    </w:p>
    <w:p>
      <w:pPr>
        <w:ind w:left="2800"/>
        <w:spacing w:after="0"/>
        <w:rPr>
          <w:sz w:val="20"/>
          <w:szCs w:val="20"/>
          <w:color w:val="auto"/>
        </w:rPr>
      </w:pPr>
      <w:r>
        <w:rPr>
          <w:rFonts w:ascii="Arial" w:cs="Arial" w:eastAsia="Arial" w:hAnsi="Arial"/>
          <w:sz w:val="8"/>
          <w:szCs w:val="8"/>
          <w:color w:val="auto"/>
        </w:rPr>
        <w:t>(8)(13)(14)</w:t>
      </w:r>
    </w:p>
    <w:p>
      <w:pPr>
        <w:ind w:right="940"/>
        <w:spacing w:after="0" w:line="261" w:lineRule="auto"/>
        <w:rPr>
          <w:sz w:val="20"/>
          <w:szCs w:val="20"/>
          <w:color w:val="auto"/>
        </w:rPr>
      </w:pPr>
      <w:r>
        <w:rPr>
          <w:rFonts w:ascii="Arial" w:cs="Arial" w:eastAsia="Arial" w:hAnsi="Arial"/>
          <w:sz w:val="13"/>
          <w:szCs w:val="13"/>
          <w:color w:val="auto"/>
        </w:rPr>
        <w:t>CSM Bakery Solutions Limited (fka CSM Bakery Supplies Limited)</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Beverage, Food and Tobacco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4"/>
              </w:rPr>
              <w:t>Initial</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2400" w:type="dxa"/>
            <w:vAlign w:val="bottom"/>
          </w:tcPr>
          <w:p>
            <w:pPr>
              <w:ind w:left="760"/>
              <w:spacing w:after="0"/>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197"/>
              <w:spacing w:after="0"/>
              <w:rPr>
                <w:sz w:val="20"/>
                <w:szCs w:val="20"/>
                <w:color w:val="auto"/>
              </w:rPr>
            </w:pPr>
            <w:r>
              <w:rPr>
                <w:rFonts w:ascii="Arial" w:cs="Arial" w:eastAsia="Arial" w:hAnsi="Arial"/>
                <w:sz w:val="13"/>
                <w:szCs w:val="13"/>
                <w:b w:val="1"/>
                <w:bCs w:val="1"/>
                <w:color w:val="auto"/>
              </w:rPr>
              <w:t>Amortized</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4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240" w:type="dxa"/>
            <w:vAlign w:val="bottom"/>
          </w:tcPr>
          <w:p>
            <w:pPr>
              <w:spacing w:after="0"/>
              <w:rPr>
                <w:sz w:val="16"/>
                <w:szCs w:val="16"/>
                <w:color w:val="auto"/>
              </w:rPr>
            </w:pPr>
          </w:p>
        </w:tc>
        <w:tc>
          <w:tcPr>
            <w:tcW w:w="110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167"/>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Senior Secured Loan — Revolver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6.5%</w:t>
            </w:r>
          </w:p>
        </w:tc>
        <w:tc>
          <w:tcPr>
            <w:tcW w:w="2400" w:type="dxa"/>
            <w:vAlign w:val="bottom"/>
          </w:tcPr>
          <w:p>
            <w:pPr>
              <w:ind w:left="20"/>
              <w:spacing w:after="0"/>
              <w:rPr>
                <w:sz w:val="20"/>
                <w:szCs w:val="20"/>
                <w:color w:val="auto"/>
              </w:rPr>
            </w:pPr>
            <w:r>
              <w:rPr>
                <w:rFonts w:ascii="Arial" w:cs="Arial" w:eastAsia="Arial" w:hAnsi="Arial"/>
                <w:sz w:val="13"/>
                <w:szCs w:val="13"/>
                <w:color w:val="auto"/>
                <w:w w:val="92"/>
              </w:rPr>
              <w:t>Cash, 3 Month Libor (1.00%) + 5.50%;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Floor 1.00% , Due 10/24</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403,134</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333,931</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367,420</w:t>
            </w:r>
          </w:p>
        </w:tc>
        <w:tc>
          <w:tcPr>
            <w:tcW w:w="0" w:type="dxa"/>
            <w:vAlign w:val="bottom"/>
          </w:tcPr>
          <w:p>
            <w:pPr>
              <w:spacing w:after="0"/>
              <w:rPr>
                <w:sz w:val="1"/>
                <w:szCs w:val="1"/>
                <w:color w:val="auto"/>
              </w:rPr>
            </w:pPr>
          </w:p>
        </w:tc>
      </w:tr>
      <w:tr>
        <w:trPr>
          <w:trHeight w:val="540"/>
        </w:trPr>
        <w:tc>
          <w:tcPr>
            <w:tcW w:w="2700" w:type="dxa"/>
            <w:vAlign w:val="bottom"/>
            <w:gridSpan w:val="2"/>
          </w:tcPr>
          <w:p>
            <w:pPr>
              <w:ind w:left="20"/>
              <w:spacing w:after="0"/>
              <w:rPr>
                <w:sz w:val="20"/>
                <w:szCs w:val="20"/>
                <w:color w:val="auto"/>
              </w:rPr>
            </w:pPr>
            <w:r>
              <w:rPr>
                <w:rFonts w:ascii="Arial" w:cs="Arial" w:eastAsia="Arial" w:hAnsi="Arial"/>
                <w:sz w:val="13"/>
                <w:szCs w:val="13"/>
                <w:color w:val="auto"/>
                <w:w w:val="94"/>
              </w:rPr>
              <w:t>Senior Secured Loan — First Lien Last Out Term</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Loan, 10.0% PIK, Due 10/25</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7,989,577</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6,378,529</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6,825,496</w:t>
            </w:r>
          </w:p>
        </w:tc>
        <w:tc>
          <w:tcPr>
            <w:tcW w:w="0" w:type="dxa"/>
            <w:vAlign w:val="bottom"/>
          </w:tcPr>
          <w:p>
            <w:pPr>
              <w:spacing w:after="0"/>
              <w:rPr>
                <w:sz w:val="1"/>
                <w:szCs w:val="1"/>
                <w:color w:val="auto"/>
              </w:rPr>
            </w:pPr>
          </w:p>
        </w:tc>
      </w:tr>
      <w:tr>
        <w:trPr>
          <w:trHeight w:val="540"/>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5.3%</w:t>
            </w:r>
          </w:p>
        </w:tc>
        <w:tc>
          <w:tcPr>
            <w:tcW w:w="2400" w:type="dxa"/>
            <w:vAlign w:val="bottom"/>
          </w:tcPr>
          <w:p>
            <w:pPr>
              <w:ind w:left="20"/>
              <w:spacing w:after="0"/>
              <w:rPr>
                <w:sz w:val="20"/>
                <w:szCs w:val="20"/>
                <w:color w:val="auto"/>
              </w:rPr>
            </w:pPr>
            <w:r>
              <w:rPr>
                <w:rFonts w:ascii="Arial" w:cs="Arial" w:eastAsia="Arial" w:hAnsi="Arial"/>
                <w:sz w:val="13"/>
                <w:szCs w:val="13"/>
                <w:color w:val="auto"/>
                <w:w w:val="92"/>
              </w:rPr>
              <w:t>Cash, 3 Month Libor (1.00%) + 4.25%;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Floor 1.00% , Due 5/23</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6/6/2018</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4,246,226</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4,241,127</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4,198,243</w:t>
            </w:r>
          </w:p>
        </w:tc>
        <w:tc>
          <w:tcPr>
            <w:tcW w:w="0" w:type="dxa"/>
            <w:vAlign w:val="bottom"/>
          </w:tcPr>
          <w:p>
            <w:pPr>
              <w:spacing w:after="0"/>
              <w:rPr>
                <w:sz w:val="1"/>
                <w:szCs w:val="1"/>
                <w:color w:val="auto"/>
              </w:rPr>
            </w:pPr>
          </w:p>
        </w:tc>
      </w:tr>
      <w:tr>
        <w:trPr>
          <w:trHeight w:val="540"/>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5.5%</w:t>
            </w:r>
          </w:p>
        </w:tc>
        <w:tc>
          <w:tcPr>
            <w:tcW w:w="2400" w:type="dxa"/>
            <w:vAlign w:val="bottom"/>
          </w:tcPr>
          <w:p>
            <w:pPr>
              <w:ind w:left="20"/>
              <w:spacing w:after="0"/>
              <w:rPr>
                <w:sz w:val="20"/>
                <w:szCs w:val="20"/>
                <w:color w:val="auto"/>
              </w:rPr>
            </w:pPr>
            <w:r>
              <w:rPr>
                <w:rFonts w:ascii="Arial" w:cs="Arial" w:eastAsia="Arial" w:hAnsi="Arial"/>
                <w:sz w:val="13"/>
                <w:szCs w:val="13"/>
                <w:color w:val="auto"/>
                <w:w w:val="92"/>
              </w:rPr>
              <w:t>Cash, 3 Month Libor (1.00%) + 4.50%;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Floor 1.00% , Due 12/24</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1,837,439</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1,552,347</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1,752,917</w:t>
            </w:r>
          </w:p>
        </w:tc>
        <w:tc>
          <w:tcPr>
            <w:tcW w:w="0" w:type="dxa"/>
            <w:vAlign w:val="bottom"/>
          </w:tcPr>
          <w:p>
            <w:pPr>
              <w:spacing w:after="0"/>
              <w:rPr>
                <w:sz w:val="1"/>
                <w:szCs w:val="1"/>
                <w:color w:val="auto"/>
              </w:rPr>
            </w:pPr>
          </w:p>
        </w:tc>
      </w:tr>
      <w:tr>
        <w:trPr>
          <w:trHeight w:val="621"/>
        </w:trPr>
        <w:tc>
          <w:tcPr>
            <w:tcW w:w="2700" w:type="dxa"/>
            <w:vAlign w:val="bottom"/>
            <w:gridSpan w:val="2"/>
          </w:tcPr>
          <w:p>
            <w:pPr>
              <w:ind w:left="20"/>
              <w:spacing w:after="0"/>
              <w:rPr>
                <w:sz w:val="20"/>
                <w:szCs w:val="20"/>
                <w:color w:val="auto"/>
              </w:rPr>
            </w:pPr>
            <w:r>
              <w:rPr>
                <w:rFonts w:ascii="Arial" w:cs="Arial" w:eastAsia="Arial" w:hAnsi="Arial"/>
                <w:sz w:val="13"/>
                <w:szCs w:val="13"/>
                <w:color w:val="auto"/>
                <w:w w:val="95"/>
              </w:rPr>
              <w:t>Senior Secured Loan — First Lien Term Loan B,</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7.8%</w:t>
            </w:r>
          </w:p>
        </w:tc>
        <w:tc>
          <w:tcPr>
            <w:tcW w:w="2400" w:type="dxa"/>
            <w:vAlign w:val="bottom"/>
          </w:tcPr>
          <w:p>
            <w:pPr>
              <w:ind w:left="20"/>
              <w:spacing w:after="0"/>
              <w:rPr>
                <w:sz w:val="20"/>
                <w:szCs w:val="20"/>
                <w:color w:val="auto"/>
              </w:rPr>
            </w:pPr>
            <w:r>
              <w:rPr>
                <w:rFonts w:ascii="Arial" w:cs="Arial" w:eastAsia="Arial" w:hAnsi="Arial"/>
                <w:sz w:val="13"/>
                <w:szCs w:val="13"/>
                <w:color w:val="auto"/>
              </w:rPr>
              <w:t>PIK, Due 1/22</w:t>
            </w:r>
          </w:p>
        </w:tc>
        <w:tc>
          <w:tcPr>
            <w:tcW w:w="1120" w:type="dxa"/>
            <w:vAlign w:val="bottom"/>
            <w:gridSpan w:val="2"/>
            <w:vMerge w:val="restart"/>
          </w:tcPr>
          <w:p>
            <w:pPr>
              <w:jc w:val="right"/>
              <w:spacing w:after="0"/>
              <w:rPr>
                <w:sz w:val="20"/>
                <w:szCs w:val="20"/>
                <w:color w:val="auto"/>
              </w:rPr>
            </w:pPr>
            <w:r>
              <w:rPr>
                <w:rFonts w:ascii="Arial" w:cs="Arial" w:eastAsia="Arial" w:hAnsi="Arial"/>
                <w:sz w:val="13"/>
                <w:szCs w:val="13"/>
                <w:color w:val="auto"/>
              </w:rPr>
              <w:t>10/28/2020</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6,319,500</w:t>
            </w:r>
          </w:p>
        </w:tc>
        <w:tc>
          <w:tcPr>
            <w:tcW w:w="1340" w:type="dxa"/>
            <w:vAlign w:val="bottom"/>
            <w:gridSpan w:val="2"/>
            <w:vMerge w:val="restart"/>
          </w:tcPr>
          <w:p>
            <w:pPr>
              <w:jc w:val="right"/>
              <w:spacing w:after="0"/>
              <w:rPr>
                <w:sz w:val="20"/>
                <w:szCs w:val="20"/>
                <w:color w:val="auto"/>
              </w:rPr>
            </w:pPr>
            <w:r>
              <w:rPr>
                <w:rFonts w:ascii="Arial" w:cs="Arial" w:eastAsia="Arial" w:hAnsi="Arial"/>
                <w:sz w:val="13"/>
                <w:szCs w:val="13"/>
                <w:color w:val="auto"/>
              </w:rPr>
              <w:t>4,455,164</w:t>
            </w:r>
          </w:p>
        </w:tc>
        <w:tc>
          <w:tcPr>
            <w:tcW w:w="1040" w:type="dxa"/>
            <w:vAlign w:val="bottom"/>
            <w:gridSpan w:val="2"/>
            <w:vMerge w:val="restart"/>
          </w:tcPr>
          <w:p>
            <w:pPr>
              <w:jc w:val="right"/>
              <w:spacing w:after="0"/>
              <w:rPr>
                <w:sz w:val="20"/>
                <w:szCs w:val="20"/>
                <w:color w:val="auto"/>
              </w:rPr>
            </w:pPr>
            <w:r>
              <w:rPr>
                <w:rFonts w:ascii="Arial" w:cs="Arial" w:eastAsia="Arial" w:hAnsi="Arial"/>
                <w:sz w:val="13"/>
                <w:szCs w:val="13"/>
                <w:color w:val="auto"/>
              </w:rPr>
              <w:t>4,194,884</w:t>
            </w: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0"/>
        </w:trPr>
        <w:tc>
          <w:tcPr>
            <w:tcW w:w="2700" w:type="dxa"/>
            <w:vAlign w:val="bottom"/>
            <w:gridSpan w:val="2"/>
          </w:tcPr>
          <w:p>
            <w:pPr>
              <w:ind w:left="20"/>
              <w:spacing w:after="0"/>
              <w:rPr>
                <w:sz w:val="20"/>
                <w:szCs w:val="20"/>
                <w:color w:val="auto"/>
              </w:rPr>
            </w:pPr>
            <w:r>
              <w:rPr>
                <w:rFonts w:ascii="Arial" w:cs="Arial" w:eastAsia="Arial" w:hAnsi="Arial"/>
                <w:sz w:val="13"/>
                <w:szCs w:val="13"/>
                <w:color w:val="auto"/>
                <w:w w:val="89"/>
              </w:rPr>
              <w:t>Junior Secured Loan — Initial Canadian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(Second Lien)</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8.0%</w:t>
            </w:r>
          </w:p>
        </w:tc>
        <w:tc>
          <w:tcPr>
            <w:tcW w:w="2400" w:type="dxa"/>
            <w:vAlign w:val="bottom"/>
          </w:tcPr>
          <w:p>
            <w:pPr>
              <w:ind w:left="20"/>
              <w:spacing w:after="0"/>
              <w:rPr>
                <w:sz w:val="20"/>
                <w:szCs w:val="20"/>
                <w:color w:val="auto"/>
              </w:rPr>
            </w:pPr>
            <w:r>
              <w:rPr>
                <w:rFonts w:ascii="Arial" w:cs="Arial" w:eastAsia="Arial" w:hAnsi="Arial"/>
                <w:sz w:val="13"/>
                <w:szCs w:val="13"/>
                <w:color w:val="auto"/>
                <w:w w:val="92"/>
              </w:rPr>
              <w:t>Cash, 1 Month Libor (1.00%) + 7.00%;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Floor 1.00% , Due 5/23</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12/18/2019</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521,646</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467,075</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487,217</w:t>
            </w:r>
          </w:p>
        </w:tc>
        <w:tc>
          <w:tcPr>
            <w:tcW w:w="0" w:type="dxa"/>
            <w:vAlign w:val="bottom"/>
          </w:tcPr>
          <w:p>
            <w:pPr>
              <w:spacing w:after="0"/>
              <w:rPr>
                <w:sz w:val="1"/>
                <w:szCs w:val="1"/>
                <w:color w:val="auto"/>
              </w:rPr>
            </w:pPr>
          </w:p>
        </w:tc>
      </w:tr>
      <w:tr>
        <w:trPr>
          <w:trHeight w:val="540"/>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Senior Secured Loan — Last out DDTL</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9.1%</w:t>
            </w:r>
          </w:p>
        </w:tc>
        <w:tc>
          <w:tcPr>
            <w:tcW w:w="2400" w:type="dxa"/>
            <w:vAlign w:val="bottom"/>
          </w:tcPr>
          <w:p>
            <w:pPr>
              <w:ind w:left="20"/>
              <w:spacing w:after="0"/>
              <w:rPr>
                <w:sz w:val="20"/>
                <w:szCs w:val="20"/>
                <w:color w:val="auto"/>
              </w:rPr>
            </w:pPr>
            <w:r>
              <w:rPr>
                <w:rFonts w:ascii="Arial" w:cs="Arial" w:eastAsia="Arial" w:hAnsi="Arial"/>
                <w:sz w:val="13"/>
                <w:szCs w:val="13"/>
                <w:color w:val="auto"/>
                <w:w w:val="92"/>
              </w:rPr>
              <w:t>Cash, 3 Month Libor (1.00%) + 8.05%;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Floor 1.00% , Due 5/25</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3/31/2020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932,983</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927,022</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932,983</w:t>
            </w:r>
          </w:p>
        </w:tc>
        <w:tc>
          <w:tcPr>
            <w:tcW w:w="0" w:type="dxa"/>
            <w:vAlign w:val="bottom"/>
          </w:tcPr>
          <w:p>
            <w:pPr>
              <w:spacing w:after="0"/>
              <w:rPr>
                <w:sz w:val="1"/>
                <w:szCs w:val="1"/>
                <w:color w:val="auto"/>
              </w:rPr>
            </w:pPr>
          </w:p>
        </w:tc>
      </w:tr>
      <w:tr>
        <w:trPr>
          <w:trHeight w:val="540"/>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Senior Secured Loan — Last Out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9.1%</w:t>
            </w:r>
          </w:p>
        </w:tc>
        <w:tc>
          <w:tcPr>
            <w:tcW w:w="2400" w:type="dxa"/>
            <w:vAlign w:val="bottom"/>
          </w:tcPr>
          <w:p>
            <w:pPr>
              <w:ind w:left="20"/>
              <w:spacing w:after="0"/>
              <w:rPr>
                <w:sz w:val="20"/>
                <w:szCs w:val="20"/>
                <w:color w:val="auto"/>
              </w:rPr>
            </w:pPr>
            <w:r>
              <w:rPr>
                <w:rFonts w:ascii="Arial" w:cs="Arial" w:eastAsia="Arial" w:hAnsi="Arial"/>
                <w:sz w:val="13"/>
                <w:szCs w:val="13"/>
                <w:color w:val="auto"/>
                <w:w w:val="92"/>
              </w:rPr>
              <w:t>Cash, 3 Month Libor (1.00%) + 8.05%;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Floor 1.00% , Due 5/25</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3/31/2020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6,033,990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5,995,440</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6,033,990</w:t>
            </w:r>
          </w:p>
        </w:tc>
        <w:tc>
          <w:tcPr>
            <w:tcW w:w="0" w:type="dxa"/>
            <w:vAlign w:val="bottom"/>
          </w:tcPr>
          <w:p>
            <w:pPr>
              <w:spacing w:after="0"/>
              <w:rPr>
                <w:sz w:val="1"/>
                <w:szCs w:val="1"/>
                <w:color w:val="auto"/>
              </w:rPr>
            </w:pPr>
          </w:p>
        </w:tc>
      </w:tr>
      <w:tr>
        <w:trPr>
          <w:trHeight w:val="540"/>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Senior Secured Loan — Last Out Second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Amendment TL</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9.1%</w:t>
            </w:r>
          </w:p>
        </w:tc>
        <w:tc>
          <w:tcPr>
            <w:tcW w:w="2400" w:type="dxa"/>
            <w:vAlign w:val="bottom"/>
          </w:tcPr>
          <w:p>
            <w:pPr>
              <w:ind w:left="20"/>
              <w:spacing w:after="0"/>
              <w:rPr>
                <w:sz w:val="20"/>
                <w:szCs w:val="20"/>
                <w:color w:val="auto"/>
              </w:rPr>
            </w:pPr>
            <w:r>
              <w:rPr>
                <w:rFonts w:ascii="Arial" w:cs="Arial" w:eastAsia="Arial" w:hAnsi="Arial"/>
                <w:sz w:val="13"/>
                <w:szCs w:val="13"/>
                <w:color w:val="auto"/>
                <w:w w:val="92"/>
              </w:rPr>
              <w:t>Cash, 3 Month Libor (1.00%) + 8.05%;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Floor 1.00% , Due 5/25</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3/31/2020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690,407</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685,996</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690,407</w:t>
            </w:r>
          </w:p>
        </w:tc>
        <w:tc>
          <w:tcPr>
            <w:tcW w:w="0" w:type="dxa"/>
            <w:vAlign w:val="bottom"/>
          </w:tcPr>
          <w:p>
            <w:pPr>
              <w:spacing w:after="0"/>
              <w:rPr>
                <w:sz w:val="1"/>
                <w:szCs w:val="1"/>
                <w:color w:val="auto"/>
              </w:rPr>
            </w:pPr>
          </w:p>
        </w:tc>
      </w:tr>
      <w:tr>
        <w:trPr>
          <w:trHeight w:val="540"/>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5.1%</w:t>
            </w:r>
          </w:p>
        </w:tc>
        <w:tc>
          <w:tcPr>
            <w:tcW w:w="2400" w:type="dxa"/>
            <w:vAlign w:val="bottom"/>
          </w:tcPr>
          <w:p>
            <w:pPr>
              <w:ind w:left="20"/>
              <w:spacing w:after="0"/>
              <w:rPr>
                <w:sz w:val="20"/>
                <w:szCs w:val="20"/>
                <w:color w:val="auto"/>
              </w:rPr>
            </w:pPr>
            <w:r>
              <w:rPr>
                <w:rFonts w:ascii="Arial" w:cs="Arial" w:eastAsia="Arial" w:hAnsi="Arial"/>
                <w:sz w:val="13"/>
                <w:szCs w:val="13"/>
                <w:color w:val="auto"/>
                <w:w w:val="93"/>
              </w:rPr>
              <w:t>Cash, 1 Month Libor (0.15%) + 5.00% , Due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rPr>
              <w:t>1/26</w:t>
            </w:r>
          </w:p>
        </w:tc>
        <w:tc>
          <w:tcPr>
            <w:tcW w:w="24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2,168,026</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1,740,712</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2,054,204</w:t>
            </w:r>
          </w:p>
        </w:tc>
        <w:tc>
          <w:tcPr>
            <w:tcW w:w="0" w:type="dxa"/>
            <w:vAlign w:val="bottom"/>
          </w:tcPr>
          <w:p>
            <w:pPr>
              <w:spacing w:after="0"/>
              <w:rPr>
                <w:sz w:val="1"/>
                <w:szCs w:val="1"/>
                <w:color w:val="auto"/>
              </w:rPr>
            </w:pPr>
          </w:p>
        </w:tc>
      </w:tr>
      <w:tr>
        <w:trPr>
          <w:trHeight w:val="540"/>
        </w:trPr>
        <w:tc>
          <w:tcPr>
            <w:tcW w:w="2700" w:type="dxa"/>
            <w:vAlign w:val="bottom"/>
            <w:gridSpan w:val="2"/>
          </w:tcPr>
          <w:p>
            <w:pPr>
              <w:ind w:left="20"/>
              <w:spacing w:after="0"/>
              <w:rPr>
                <w:sz w:val="20"/>
                <w:szCs w:val="20"/>
                <w:color w:val="auto"/>
              </w:rPr>
            </w:pPr>
            <w:r>
              <w:rPr>
                <w:rFonts w:ascii="Arial" w:cs="Arial" w:eastAsia="Arial" w:hAnsi="Arial"/>
                <w:sz w:val="13"/>
                <w:szCs w:val="13"/>
                <w:color w:val="auto"/>
                <w:w w:val="98"/>
              </w:rPr>
              <w:t>Senior Secured Loan — Term Loan (First Lien)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7.3%</w:t>
            </w:r>
          </w:p>
        </w:tc>
        <w:tc>
          <w:tcPr>
            <w:tcW w:w="2400" w:type="dxa"/>
            <w:vAlign w:val="bottom"/>
          </w:tcPr>
          <w:p>
            <w:pPr>
              <w:ind w:left="20"/>
              <w:spacing w:after="0"/>
              <w:rPr>
                <w:sz w:val="20"/>
                <w:szCs w:val="20"/>
                <w:color w:val="auto"/>
              </w:rPr>
            </w:pPr>
            <w:r>
              <w:rPr>
                <w:rFonts w:ascii="Arial" w:cs="Arial" w:eastAsia="Arial" w:hAnsi="Arial"/>
                <w:sz w:val="13"/>
                <w:szCs w:val="13"/>
                <w:color w:val="auto"/>
                <w:w w:val="92"/>
              </w:rPr>
              <w:t>Cash, 3 Month Libor (1.00%) + 6.25%;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Floor 1.00% , Due 1/22</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6/11/2020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1,265,625</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1,248,537</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1,251,577</w:t>
            </w:r>
          </w:p>
        </w:tc>
        <w:tc>
          <w:tcPr>
            <w:tcW w:w="0" w:type="dxa"/>
            <w:vAlign w:val="bottom"/>
          </w:tcPr>
          <w:p>
            <w:pPr>
              <w:spacing w:after="0"/>
              <w:rPr>
                <w:sz w:val="1"/>
                <w:szCs w:val="1"/>
                <w:color w:val="auto"/>
              </w:rPr>
            </w:pPr>
          </w:p>
        </w:tc>
      </w:tr>
      <w:tr>
        <w:trPr>
          <w:trHeight w:val="621"/>
        </w:trPr>
        <w:tc>
          <w:tcPr>
            <w:tcW w:w="2700" w:type="dxa"/>
            <w:vAlign w:val="bottom"/>
            <w:gridSpan w:val="2"/>
          </w:tcPr>
          <w:p>
            <w:pPr>
              <w:ind w:left="20"/>
              <w:spacing w:after="0"/>
              <w:rPr>
                <w:sz w:val="20"/>
                <w:szCs w:val="20"/>
                <w:color w:val="auto"/>
              </w:rPr>
            </w:pPr>
            <w:r>
              <w:rPr>
                <w:rFonts w:ascii="Arial" w:cs="Arial" w:eastAsia="Arial" w:hAnsi="Arial"/>
                <w:sz w:val="13"/>
                <w:szCs w:val="13"/>
                <w:color w:val="auto"/>
                <w:w w:val="92"/>
              </w:rPr>
              <w:t>Junior Secured Loan — Term Loan (Second Lien)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8.8%</w:t>
            </w:r>
          </w:p>
        </w:tc>
        <w:tc>
          <w:tcPr>
            <w:tcW w:w="2400" w:type="dxa"/>
            <w:vAlign w:val="bottom"/>
          </w:tcPr>
          <w:p>
            <w:pPr>
              <w:ind w:left="20"/>
              <w:spacing w:after="0"/>
              <w:rPr>
                <w:sz w:val="20"/>
                <w:szCs w:val="20"/>
                <w:color w:val="auto"/>
              </w:rPr>
            </w:pPr>
            <w:r>
              <w:rPr>
                <w:rFonts w:ascii="Arial" w:cs="Arial" w:eastAsia="Arial" w:hAnsi="Arial"/>
                <w:sz w:val="13"/>
                <w:szCs w:val="13"/>
                <w:color w:val="auto"/>
                <w:w w:val="92"/>
              </w:rPr>
              <w:t>Cash, 3 Month Libor (1.00%) + 7.75%;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gridSpan w:val="2"/>
          </w:tcPr>
          <w:p>
            <w:pPr>
              <w:ind w:left="20"/>
              <w:spacing w:after="0"/>
              <w:rPr>
                <w:sz w:val="20"/>
                <w:szCs w:val="20"/>
                <w:color w:val="auto"/>
              </w:rPr>
            </w:pPr>
            <w:r>
              <w:rPr>
                <w:rFonts w:ascii="Arial" w:cs="Arial" w:eastAsia="Arial" w:hAnsi="Arial"/>
                <w:sz w:val="13"/>
                <w:szCs w:val="13"/>
                <w:color w:val="auto"/>
              </w:rPr>
              <w:t>Floor 1.00% , Due 2/22</w:t>
            </w:r>
          </w:p>
        </w:tc>
        <w:tc>
          <w:tcPr>
            <w:tcW w:w="1120" w:type="dxa"/>
            <w:vAlign w:val="bottom"/>
            <w:gridSpan w:val="2"/>
            <w:vMerge w:val="restart"/>
          </w:tcPr>
          <w:p>
            <w:pPr>
              <w:jc w:val="right"/>
              <w:spacing w:after="0"/>
              <w:rPr>
                <w:sz w:val="20"/>
                <w:szCs w:val="20"/>
                <w:color w:val="auto"/>
              </w:rPr>
            </w:pPr>
            <w:r>
              <w:rPr>
                <w:rFonts w:ascii="Arial" w:cs="Arial" w:eastAsia="Arial" w:hAnsi="Arial"/>
                <w:sz w:val="13"/>
                <w:szCs w:val="13"/>
                <w:color w:val="auto"/>
              </w:rPr>
              <w:t>6/11/2020</w:t>
            </w:r>
          </w:p>
        </w:tc>
        <w:tc>
          <w:tcPr>
            <w:tcW w:w="1000" w:type="dxa"/>
            <w:vAlign w:val="bottom"/>
            <w:gridSpan w:val="2"/>
            <w:vMerge w:val="restart"/>
          </w:tcPr>
          <w:p>
            <w:pPr>
              <w:jc w:val="right"/>
              <w:spacing w:after="0"/>
              <w:rPr>
                <w:sz w:val="20"/>
                <w:szCs w:val="20"/>
                <w:color w:val="auto"/>
              </w:rPr>
            </w:pPr>
            <w:r>
              <w:rPr>
                <w:rFonts w:ascii="Arial" w:cs="Arial" w:eastAsia="Arial" w:hAnsi="Arial"/>
                <w:sz w:val="13"/>
                <w:szCs w:val="13"/>
                <w:color w:val="auto"/>
              </w:rPr>
              <w:t>3,083,490</w:t>
            </w:r>
          </w:p>
        </w:tc>
        <w:tc>
          <w:tcPr>
            <w:tcW w:w="1340" w:type="dxa"/>
            <w:vAlign w:val="bottom"/>
            <w:gridSpan w:val="2"/>
            <w:vMerge w:val="restart"/>
          </w:tcPr>
          <w:p>
            <w:pPr>
              <w:jc w:val="right"/>
              <w:spacing w:after="0"/>
              <w:rPr>
                <w:sz w:val="20"/>
                <w:szCs w:val="20"/>
                <w:color w:val="auto"/>
              </w:rPr>
            </w:pPr>
            <w:r>
              <w:rPr>
                <w:rFonts w:ascii="Arial" w:cs="Arial" w:eastAsia="Arial" w:hAnsi="Arial"/>
                <w:sz w:val="13"/>
                <w:szCs w:val="13"/>
                <w:color w:val="auto"/>
              </w:rPr>
              <w:t>3,086,814</w:t>
            </w:r>
          </w:p>
        </w:tc>
        <w:tc>
          <w:tcPr>
            <w:tcW w:w="1040" w:type="dxa"/>
            <w:vAlign w:val="bottom"/>
            <w:gridSpan w:val="2"/>
            <w:vMerge w:val="restart"/>
          </w:tcPr>
          <w:p>
            <w:pPr>
              <w:jc w:val="right"/>
              <w:spacing w:after="0"/>
              <w:rPr>
                <w:sz w:val="20"/>
                <w:szCs w:val="20"/>
                <w:color w:val="auto"/>
              </w:rPr>
            </w:pPr>
            <w:r>
              <w:rPr>
                <w:rFonts w:ascii="Arial" w:cs="Arial" w:eastAsia="Arial" w:hAnsi="Arial"/>
                <w:sz w:val="13"/>
                <w:szCs w:val="13"/>
                <w:color w:val="auto"/>
              </w:rPr>
              <w:t>2,988,519</w:t>
            </w: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-6555740</wp:posOffset>
            </wp:positionV>
            <wp:extent cx="7132320" cy="3257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-6007100</wp:posOffset>
            </wp:positionV>
            <wp:extent cx="7132320" cy="2228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-5561330</wp:posOffset>
            </wp:positionV>
            <wp:extent cx="7132320" cy="3257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-5012690</wp:posOffset>
            </wp:positionV>
            <wp:extent cx="7132320" cy="3257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-4464050</wp:posOffset>
            </wp:positionV>
            <wp:extent cx="7132320" cy="3257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-3915410</wp:posOffset>
            </wp:positionV>
            <wp:extent cx="7132320" cy="4286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-3263900</wp:posOffset>
            </wp:positionV>
            <wp:extent cx="7132320" cy="3257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-2715260</wp:posOffset>
            </wp:positionV>
            <wp:extent cx="7132320" cy="3257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-2166620</wp:posOffset>
            </wp:positionV>
            <wp:extent cx="7132320" cy="4286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-1515110</wp:posOffset>
            </wp:positionV>
            <wp:extent cx="7132320" cy="3257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-966470</wp:posOffset>
            </wp:positionV>
            <wp:extent cx="7132320" cy="3257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-417830</wp:posOffset>
            </wp:positionV>
            <wp:extent cx="7132320" cy="4286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2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70485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460" w:space="460"/>
            <w:col w:w="7200"/>
          </w:cols>
          <w:pgMar w:left="340" w:top="702" w:right="439" w:bottom="1440" w:gutter="0" w:footer="0" w:header="0"/>
        </w:sectPr>
      </w:pPr>
    </w:p>
    <w:bookmarkStart w:id="24" w:name="page25"/>
    <w:bookmarkEnd w:id="24"/>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8173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Datalink, LLC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Healthcare &amp; Pharmaceuticals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Datalink,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Deliver Buyer,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Capital Equipment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Digitran Innovations B.V. (Pomeroy Solutions Holding Company, Inc.)</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High Tech Industries</w:t>
      </w:r>
    </w:p>
    <w:p>
      <w:pPr>
        <w:spacing w:after="0" w:line="391"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Digitran Innovations B.V. (Pomeroy Solutions Holding Company, Inc.)</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High Tech Industries</w:t>
      </w:r>
    </w:p>
    <w:p>
      <w:pPr>
        <w:spacing w:after="0" w:line="391"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Digitran Innovations B.V. (Pomeroy Solutions Holding Company, Inc.)</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High Tech Industries</w:t>
      </w:r>
    </w:p>
    <w:p>
      <w:pPr>
        <w:spacing w:after="0" w:line="391"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Digitran Innovations B.V. (Pomeroy Solutions Holding Company, Inc.)</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High Tech Industries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DMT Solutions Global Corporation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Electronics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Drilling Info Holdings, Inc.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High Tech Industries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Drilling Info Holdings,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High Tech Industries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Drilling Info Holdings, Inc.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High Tech Industries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Electronics for Imaging, Inc.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Electronics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ELO Touch Solutions, Inc.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High Tech Industries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8"/>
          <w:szCs w:val="8"/>
          <w:color w:val="auto"/>
        </w:rPr>
        <w:t>(5)(8)(13)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8"/>
          <w:szCs w:val="8"/>
          <w:color w:val="auto"/>
        </w:rPr>
        <w:t>(3)(13)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8"/>
          <w:szCs w:val="8"/>
          <w:color w:val="auto"/>
        </w:rPr>
        <w:t>(8)(14)(21)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8"/>
          <w:szCs w:val="8"/>
          <w:color w:val="auto"/>
        </w:rPr>
        <w:t>(8)(14)(21)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7"/>
          <w:szCs w:val="7"/>
          <w:color w:val="auto"/>
        </w:rPr>
        <w:t>(8)(13)(14)(21)</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Initial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1"/>
        </w:trPr>
        <w:tc>
          <w:tcPr>
            <w:tcW w:w="300" w:type="dxa"/>
            <w:vAlign w:val="bottom"/>
          </w:tcPr>
          <w:p>
            <w:pPr>
              <w:spacing w:after="0"/>
              <w:rPr>
                <w:sz w:val="13"/>
                <w:szCs w:val="13"/>
                <w:color w:val="auto"/>
              </w:rPr>
            </w:pPr>
          </w:p>
        </w:tc>
        <w:tc>
          <w:tcPr>
            <w:tcW w:w="2460" w:type="dxa"/>
            <w:vAlign w:val="bottom"/>
          </w:tcPr>
          <w:p>
            <w:pPr>
              <w:ind w:left="780"/>
              <w:spacing w:after="0"/>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Amortized</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1"/>
        </w:trPr>
        <w:tc>
          <w:tcPr>
            <w:tcW w:w="300" w:type="dxa"/>
            <w:vAlign w:val="bottom"/>
          </w:tcPr>
          <w:p>
            <w:pPr>
              <w:spacing w:after="0"/>
              <w:rPr>
                <w:sz w:val="16"/>
                <w:szCs w:val="16"/>
                <w:color w:val="auto"/>
              </w:rPr>
            </w:pPr>
          </w:p>
        </w:tc>
        <w:tc>
          <w:tcPr>
            <w:tcW w:w="2460" w:type="dxa"/>
            <w:vAlign w:val="bottom"/>
          </w:tcPr>
          <w:p>
            <w:pPr>
              <w:ind w:left="38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Pr>
          <w:p>
            <w:pPr>
              <w:spacing w:after="0"/>
              <w:rPr>
                <w:sz w:val="16"/>
                <w:szCs w:val="16"/>
                <w:color w:val="auto"/>
              </w:rPr>
            </w:pPr>
          </w:p>
        </w:tc>
        <w:tc>
          <w:tcPr>
            <w:tcW w:w="880" w:type="dxa"/>
            <w:vAlign w:val="bottom"/>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40" w:type="dxa"/>
            <w:vAlign w:val="bottom"/>
          </w:tcPr>
          <w:p>
            <w:pPr>
              <w:spacing w:after="0"/>
              <w:rPr>
                <w:sz w:val="16"/>
                <w:szCs w:val="16"/>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Cost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2</w:t>
            </w:r>
          </w:p>
        </w:tc>
      </w:tr>
      <w:tr>
        <w:trPr>
          <w:trHeight w:val="167"/>
        </w:trPr>
        <w:tc>
          <w:tcPr>
            <w:tcW w:w="27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7.3%</w:t>
            </w:r>
          </w:p>
        </w:tc>
        <w:tc>
          <w:tcPr>
            <w:tcW w:w="2460" w:type="dxa"/>
            <w:vAlign w:val="bottom"/>
          </w:tcPr>
          <w:p>
            <w:pPr>
              <w:spacing w:after="0"/>
              <w:rPr>
                <w:sz w:val="20"/>
                <w:szCs w:val="20"/>
                <w:color w:val="auto"/>
              </w:rPr>
            </w:pPr>
            <w:r>
              <w:rPr>
                <w:rFonts w:ascii="Arial" w:cs="Arial" w:eastAsia="Arial" w:hAnsi="Arial"/>
                <w:sz w:val="13"/>
                <w:szCs w:val="13"/>
                <w:color w:val="auto"/>
                <w:w w:val="96"/>
              </w:rPr>
              <w:t>Cash, 3 Month Libor (1.00%) + 6.25%;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11/26</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11/23/2020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2,975,000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2,894,347</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2,893,188</w:t>
            </w:r>
          </w:p>
        </w:tc>
        <w:tc>
          <w:tcPr>
            <w:tcW w:w="40" w:type="dxa"/>
            <w:vAlign w:val="bottom"/>
          </w:tcPr>
          <w:p>
            <w:pPr>
              <w:spacing w:after="0"/>
              <w:rPr>
                <w:sz w:val="14"/>
                <w:szCs w:val="14"/>
                <w:color w:val="auto"/>
              </w:rPr>
            </w:pPr>
          </w:p>
        </w:tc>
      </w:tr>
      <w:tr>
        <w:trPr>
          <w:trHeight w:val="540"/>
        </w:trPr>
        <w:tc>
          <w:tcPr>
            <w:tcW w:w="2760" w:type="dxa"/>
            <w:vAlign w:val="bottom"/>
            <w:gridSpan w:val="2"/>
          </w:tcPr>
          <w:p>
            <w:pPr>
              <w:spacing w:after="0"/>
              <w:rPr>
                <w:sz w:val="20"/>
                <w:szCs w:val="20"/>
                <w:color w:val="auto"/>
              </w:rPr>
            </w:pPr>
            <w:r>
              <w:rPr>
                <w:rFonts w:ascii="Arial" w:cs="Arial" w:eastAsia="Arial" w:hAnsi="Arial"/>
                <w:sz w:val="13"/>
                <w:szCs w:val="13"/>
                <w:color w:val="auto"/>
                <w:w w:val="94"/>
              </w:rPr>
              <w:t>Senior Secured Loan — Delayed Draw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(First Lien)</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1.0%</w:t>
            </w:r>
          </w:p>
        </w:tc>
        <w:tc>
          <w:tcPr>
            <w:tcW w:w="2460" w:type="dxa"/>
            <w:vAlign w:val="bottom"/>
          </w:tcPr>
          <w:p>
            <w:pPr>
              <w:spacing w:after="0"/>
              <w:rPr>
                <w:sz w:val="20"/>
                <w:szCs w:val="20"/>
                <w:color w:val="auto"/>
              </w:rPr>
            </w:pPr>
            <w:r>
              <w:rPr>
                <w:rFonts w:ascii="Arial" w:cs="Arial" w:eastAsia="Arial" w:hAnsi="Arial"/>
                <w:sz w:val="13"/>
                <w:szCs w:val="13"/>
                <w:color w:val="auto"/>
              </w:rPr>
              <w:t>Cash, Due 11/26</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11/23/2020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ind w:right="160"/>
              <w:spacing w:after="0"/>
              <w:rPr>
                <w:sz w:val="20"/>
                <w:szCs w:val="20"/>
                <w:color w:val="auto"/>
              </w:rPr>
            </w:pPr>
            <w:r>
              <w:rPr>
                <w:rFonts w:ascii="Arial" w:cs="Arial" w:eastAsia="Arial" w:hAnsi="Arial"/>
                <w:sz w:val="13"/>
                <w:szCs w:val="13"/>
                <w:color w:val="auto"/>
              </w:rPr>
              <w:t>(14,180 )</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(14,438 )</w:t>
            </w:r>
          </w:p>
        </w:tc>
      </w:tr>
      <w:tr>
        <w:trPr>
          <w:trHeight w:val="540"/>
        </w:trPr>
        <w:tc>
          <w:tcPr>
            <w:tcW w:w="2760" w:type="dxa"/>
            <w:vAlign w:val="bottom"/>
            <w:gridSpan w:val="2"/>
          </w:tcPr>
          <w:p>
            <w:pPr>
              <w:spacing w:after="0"/>
              <w:rPr>
                <w:sz w:val="20"/>
                <w:szCs w:val="20"/>
                <w:color w:val="auto"/>
              </w:rPr>
            </w:pPr>
            <w:r>
              <w:rPr>
                <w:rFonts w:ascii="Arial" w:cs="Arial" w:eastAsia="Arial" w:hAnsi="Arial"/>
                <w:sz w:val="13"/>
                <w:szCs w:val="13"/>
                <w:color w:val="auto"/>
                <w:w w:val="88"/>
              </w:rPr>
              <w:t>Senior Secured Loan — Incremental Term Loan (First</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6"/>
              </w:rPr>
              <w:t>Lien)</w:t>
            </w: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7.3%</w:t>
            </w:r>
          </w:p>
        </w:tc>
        <w:tc>
          <w:tcPr>
            <w:tcW w:w="2460" w:type="dxa"/>
            <w:vAlign w:val="bottom"/>
          </w:tcPr>
          <w:p>
            <w:pPr>
              <w:spacing w:after="0"/>
              <w:rPr>
                <w:sz w:val="20"/>
                <w:szCs w:val="20"/>
                <w:color w:val="auto"/>
              </w:rPr>
            </w:pPr>
            <w:r>
              <w:rPr>
                <w:rFonts w:ascii="Arial" w:cs="Arial" w:eastAsia="Arial" w:hAnsi="Arial"/>
                <w:sz w:val="13"/>
                <w:szCs w:val="13"/>
                <w:color w:val="auto"/>
                <w:w w:val="96"/>
              </w:rPr>
              <w:t>Cash, 3 Month Libor (1.00%) + 6.25%;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5/24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7/1/2020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2,892,750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2,816,722</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2,872,790</w:t>
            </w:r>
          </w:p>
        </w:tc>
        <w:tc>
          <w:tcPr>
            <w:tcW w:w="40" w:type="dxa"/>
            <w:vAlign w:val="bottom"/>
          </w:tcPr>
          <w:p>
            <w:pPr>
              <w:spacing w:after="0"/>
              <w:rPr>
                <w:sz w:val="14"/>
                <w:szCs w:val="14"/>
                <w:color w:val="auto"/>
              </w:rPr>
            </w:pPr>
          </w:p>
        </w:tc>
      </w:tr>
      <w:tr>
        <w:trPr>
          <w:trHeight w:val="702"/>
        </w:trPr>
        <w:tc>
          <w:tcPr>
            <w:tcW w:w="2760" w:type="dxa"/>
            <w:vAlign w:val="bottom"/>
            <w:gridSpan w:val="2"/>
          </w:tcPr>
          <w:p>
            <w:pPr>
              <w:spacing w:after="0"/>
              <w:rPr>
                <w:sz w:val="20"/>
                <w:szCs w:val="20"/>
                <w:color w:val="auto"/>
              </w:rPr>
            </w:pPr>
            <w:r>
              <w:rPr>
                <w:rFonts w:ascii="Arial" w:cs="Arial" w:eastAsia="Arial" w:hAnsi="Arial"/>
                <w:sz w:val="13"/>
                <w:szCs w:val="13"/>
                <w:color w:val="auto"/>
                <w:w w:val="92"/>
              </w:rPr>
              <w:t>Senior Secured Loan — Senior Term Loan B, 7.0%</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PIK, Due 5/25</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5/29/2020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1,484,979</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1,092,213</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748,132</w:t>
            </w:r>
          </w:p>
        </w:tc>
        <w:tc>
          <w:tcPr>
            <w:tcW w:w="40" w:type="dxa"/>
            <w:vAlign w:val="bottom"/>
          </w:tcPr>
          <w:p>
            <w:pPr>
              <w:spacing w:after="0"/>
              <w:rPr>
                <w:sz w:val="14"/>
                <w:szCs w:val="14"/>
                <w:color w:val="auto"/>
              </w:rPr>
            </w:pPr>
          </w:p>
        </w:tc>
      </w:tr>
      <w:tr>
        <w:trPr>
          <w:trHeight w:val="702"/>
        </w:trPr>
        <w:tc>
          <w:tcPr>
            <w:tcW w:w="2760" w:type="dxa"/>
            <w:vAlign w:val="bottom"/>
            <w:gridSpan w:val="2"/>
          </w:tcPr>
          <w:p>
            <w:pPr>
              <w:spacing w:after="0"/>
              <w:rPr>
                <w:sz w:val="20"/>
                <w:szCs w:val="20"/>
                <w:color w:val="auto"/>
              </w:rPr>
            </w:pPr>
            <w:r>
              <w:rPr>
                <w:rFonts w:ascii="Arial" w:cs="Arial" w:eastAsia="Arial" w:hAnsi="Arial"/>
                <w:sz w:val="13"/>
                <w:szCs w:val="13"/>
                <w:color w:val="auto"/>
                <w:w w:val="92"/>
              </w:rPr>
              <w:t>Senior Secured Loan — Super Senior Term Loan B</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2.0%</w:t>
            </w:r>
          </w:p>
        </w:tc>
        <w:tc>
          <w:tcPr>
            <w:tcW w:w="2460" w:type="dxa"/>
            <w:vAlign w:val="bottom"/>
          </w:tcPr>
          <w:p>
            <w:pPr>
              <w:spacing w:after="0"/>
              <w:rPr>
                <w:sz w:val="20"/>
                <w:szCs w:val="20"/>
                <w:color w:val="auto"/>
              </w:rPr>
            </w:pPr>
            <w:r>
              <w:rPr>
                <w:rFonts w:ascii="Arial" w:cs="Arial" w:eastAsia="Arial" w:hAnsi="Arial"/>
                <w:sz w:val="13"/>
                <w:szCs w:val="13"/>
                <w:color w:val="auto"/>
              </w:rPr>
              <w:t>Cash, 7.0% PIK, Due 5/25</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5/29/2020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959,944</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943,862</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940,745</w:t>
            </w:r>
          </w:p>
        </w:tc>
        <w:tc>
          <w:tcPr>
            <w:tcW w:w="40" w:type="dxa"/>
            <w:vAlign w:val="bottom"/>
          </w:tcPr>
          <w:p>
            <w:pPr>
              <w:spacing w:after="0"/>
              <w:rPr>
                <w:sz w:val="14"/>
                <w:szCs w:val="14"/>
                <w:color w:val="auto"/>
              </w:rPr>
            </w:pPr>
          </w:p>
        </w:tc>
      </w:tr>
      <w:tr>
        <w:trPr>
          <w:trHeight w:val="702"/>
        </w:trPr>
        <w:tc>
          <w:tcPr>
            <w:tcW w:w="2760" w:type="dxa"/>
            <w:vAlign w:val="bottom"/>
            <w:gridSpan w:val="2"/>
          </w:tcPr>
          <w:p>
            <w:pPr>
              <w:spacing w:after="0"/>
              <w:rPr>
                <w:sz w:val="20"/>
                <w:szCs w:val="20"/>
                <w:color w:val="auto"/>
              </w:rPr>
            </w:pPr>
            <w:r>
              <w:rPr>
                <w:rFonts w:ascii="Arial" w:cs="Arial" w:eastAsia="Arial" w:hAnsi="Arial"/>
                <w:sz w:val="13"/>
                <w:szCs w:val="13"/>
                <w:color w:val="auto"/>
                <w:w w:val="95"/>
              </w:rPr>
              <w:t>Senior Secured Loan — EUR Term Loan A, 5.0%</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PIK, Due 7/25</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5/11/2020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324,350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285,676</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268,222</w:t>
            </w:r>
          </w:p>
        </w:tc>
        <w:tc>
          <w:tcPr>
            <w:tcW w:w="40" w:type="dxa"/>
            <w:vAlign w:val="bottom"/>
          </w:tcPr>
          <w:p>
            <w:pPr>
              <w:spacing w:after="0"/>
              <w:rPr>
                <w:sz w:val="14"/>
                <w:szCs w:val="14"/>
                <w:color w:val="auto"/>
              </w:rPr>
            </w:pPr>
          </w:p>
        </w:tc>
      </w:tr>
      <w:tr>
        <w:trPr>
          <w:trHeight w:val="702"/>
        </w:trPr>
        <w:tc>
          <w:tcPr>
            <w:tcW w:w="2760" w:type="dxa"/>
            <w:vAlign w:val="bottom"/>
            <w:gridSpan w:val="2"/>
          </w:tcPr>
          <w:p>
            <w:pPr>
              <w:spacing w:after="0"/>
              <w:rPr>
                <w:sz w:val="20"/>
                <w:szCs w:val="20"/>
                <w:color w:val="auto"/>
              </w:rPr>
            </w:pPr>
            <w:r>
              <w:rPr>
                <w:rFonts w:ascii="Arial" w:cs="Arial" w:eastAsia="Arial" w:hAnsi="Arial"/>
                <w:sz w:val="13"/>
                <w:szCs w:val="13"/>
                <w:color w:val="auto"/>
                <w:w w:val="92"/>
              </w:rPr>
              <w:t>Senior Secured Loan — Senior Term Loan A, 5.0%</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PIK, Due 5/25</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5/29/2020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1,467,506</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1,074,740</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1,063,942</w:t>
            </w:r>
          </w:p>
        </w:tc>
        <w:tc>
          <w:tcPr>
            <w:tcW w:w="40" w:type="dxa"/>
            <w:vAlign w:val="bottom"/>
          </w:tcPr>
          <w:p>
            <w:pPr>
              <w:spacing w:after="0"/>
              <w:rPr>
                <w:sz w:val="14"/>
                <w:szCs w:val="14"/>
                <w:color w:val="auto"/>
              </w:rPr>
            </w:pPr>
          </w:p>
        </w:tc>
      </w:tr>
      <w:tr>
        <w:trPr>
          <w:trHeight w:val="540"/>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7.2%</w:t>
            </w:r>
          </w:p>
        </w:tc>
        <w:tc>
          <w:tcPr>
            <w:tcW w:w="2460" w:type="dxa"/>
            <w:vAlign w:val="bottom"/>
          </w:tcPr>
          <w:p>
            <w:pPr>
              <w:spacing w:after="0"/>
              <w:rPr>
                <w:sz w:val="20"/>
                <w:szCs w:val="20"/>
                <w:color w:val="auto"/>
              </w:rPr>
            </w:pPr>
            <w:r>
              <w:rPr>
                <w:rFonts w:ascii="Arial" w:cs="Arial" w:eastAsia="Arial" w:hAnsi="Arial"/>
                <w:sz w:val="13"/>
                <w:szCs w:val="13"/>
                <w:color w:val="auto"/>
                <w:w w:val="96"/>
              </w:rPr>
              <w:t>Cash, 3 Month Libor (0.24%) + 7.00% , Due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rPr>
              <w:t>7/24</w:t>
            </w:r>
          </w:p>
        </w:tc>
        <w:tc>
          <w:tcPr>
            <w:tcW w:w="24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6,381,442</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5,158,548</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6,142,138</w:t>
            </w:r>
          </w:p>
        </w:tc>
        <w:tc>
          <w:tcPr>
            <w:tcW w:w="40" w:type="dxa"/>
            <w:vAlign w:val="bottom"/>
          </w:tcPr>
          <w:p>
            <w:pPr>
              <w:spacing w:after="0"/>
              <w:rPr>
                <w:sz w:val="14"/>
                <w:szCs w:val="14"/>
                <w:color w:val="auto"/>
              </w:rPr>
            </w:pPr>
          </w:p>
        </w:tc>
      </w:tr>
      <w:tr>
        <w:trPr>
          <w:trHeight w:val="540"/>
        </w:trPr>
        <w:tc>
          <w:tcPr>
            <w:tcW w:w="2760" w:type="dxa"/>
            <w:vAlign w:val="bottom"/>
            <w:gridSpan w:val="2"/>
          </w:tcPr>
          <w:p>
            <w:pPr>
              <w:spacing w:after="0"/>
              <w:rPr>
                <w:sz w:val="20"/>
                <w:szCs w:val="20"/>
                <w:color w:val="auto"/>
              </w:rPr>
            </w:pPr>
            <w:r>
              <w:rPr>
                <w:rFonts w:ascii="Arial" w:cs="Arial" w:eastAsia="Arial" w:hAnsi="Arial"/>
                <w:sz w:val="13"/>
                <w:szCs w:val="13"/>
                <w:color w:val="auto"/>
                <w:w w:val="94"/>
              </w:rPr>
              <w:t>Senior Secured Loan — 2019 Delayed Draw Term</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Loan (First Lien)</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2.0%</w:t>
            </w:r>
          </w:p>
        </w:tc>
        <w:tc>
          <w:tcPr>
            <w:tcW w:w="2460" w:type="dxa"/>
            <w:vAlign w:val="bottom"/>
          </w:tcPr>
          <w:p>
            <w:pPr>
              <w:spacing w:after="0"/>
              <w:rPr>
                <w:sz w:val="20"/>
                <w:szCs w:val="20"/>
                <w:color w:val="auto"/>
              </w:rPr>
            </w:pPr>
            <w:r>
              <w:rPr>
                <w:rFonts w:ascii="Arial" w:cs="Arial" w:eastAsia="Arial" w:hAnsi="Arial"/>
                <w:sz w:val="13"/>
                <w:szCs w:val="13"/>
                <w:color w:val="auto"/>
              </w:rPr>
              <w:t>Cash, Due 7/25</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6/27/2019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ind w:right="160"/>
              <w:spacing w:after="0"/>
              <w:rPr>
                <w:sz w:val="20"/>
                <w:szCs w:val="20"/>
                <w:color w:val="auto"/>
              </w:rPr>
            </w:pPr>
            <w:r>
              <w:rPr>
                <w:rFonts w:ascii="Arial" w:cs="Arial" w:eastAsia="Arial" w:hAnsi="Arial"/>
                <w:sz w:val="13"/>
                <w:szCs w:val="13"/>
                <w:color w:val="auto"/>
              </w:rPr>
              <w:t>(1,375 )</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(10,621 )</w:t>
            </w:r>
          </w:p>
        </w:tc>
      </w:tr>
      <w:tr>
        <w:trPr>
          <w:trHeight w:val="540"/>
        </w:trPr>
        <w:tc>
          <w:tcPr>
            <w:tcW w:w="2760" w:type="dxa"/>
            <w:vAlign w:val="bottom"/>
            <w:gridSpan w:val="2"/>
          </w:tcPr>
          <w:p>
            <w:pPr>
              <w:spacing w:after="0"/>
              <w:rPr>
                <w:sz w:val="20"/>
                <w:szCs w:val="20"/>
                <w:color w:val="auto"/>
              </w:rPr>
            </w:pPr>
            <w:r>
              <w:rPr>
                <w:rFonts w:ascii="Arial" w:cs="Arial" w:eastAsia="Arial" w:hAnsi="Arial"/>
                <w:sz w:val="13"/>
                <w:szCs w:val="13"/>
                <w:color w:val="auto"/>
                <w:w w:val="89"/>
              </w:rPr>
              <w:t>Senior Secured Loan — Initial Term Loan (First Lien)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4.4%</w:t>
            </w:r>
          </w:p>
        </w:tc>
        <w:tc>
          <w:tcPr>
            <w:tcW w:w="2460" w:type="dxa"/>
            <w:vAlign w:val="bottom"/>
          </w:tcPr>
          <w:p>
            <w:pPr>
              <w:spacing w:after="0"/>
              <w:rPr>
                <w:sz w:val="20"/>
                <w:szCs w:val="20"/>
                <w:color w:val="auto"/>
              </w:rPr>
            </w:pPr>
            <w:r>
              <w:rPr>
                <w:rFonts w:ascii="Arial" w:cs="Arial" w:eastAsia="Arial" w:hAnsi="Arial"/>
                <w:sz w:val="13"/>
                <w:szCs w:val="13"/>
                <w:color w:val="auto"/>
                <w:w w:val="96"/>
              </w:rPr>
              <w:t>Cash, 1 Month Libor (0.15%) + 4.25% , Due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rPr>
              <w:t>7/25</w:t>
            </w:r>
          </w:p>
        </w:tc>
        <w:tc>
          <w:tcPr>
            <w:tcW w:w="24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6/27/2019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465,621</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465,621</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452,042</w:t>
            </w:r>
          </w:p>
        </w:tc>
        <w:tc>
          <w:tcPr>
            <w:tcW w:w="40" w:type="dxa"/>
            <w:vAlign w:val="bottom"/>
          </w:tcPr>
          <w:p>
            <w:pPr>
              <w:spacing w:after="0"/>
              <w:rPr>
                <w:sz w:val="14"/>
                <w:szCs w:val="14"/>
                <w:color w:val="auto"/>
              </w:rPr>
            </w:pPr>
          </w:p>
        </w:tc>
      </w:tr>
      <w:tr>
        <w:trPr>
          <w:trHeight w:val="540"/>
        </w:trPr>
        <w:tc>
          <w:tcPr>
            <w:tcW w:w="2760" w:type="dxa"/>
            <w:vAlign w:val="bottom"/>
            <w:gridSpan w:val="2"/>
          </w:tcPr>
          <w:p>
            <w:pPr>
              <w:spacing w:after="0"/>
              <w:rPr>
                <w:sz w:val="20"/>
                <w:szCs w:val="20"/>
                <w:color w:val="auto"/>
              </w:rPr>
            </w:pPr>
            <w:r>
              <w:rPr>
                <w:rFonts w:ascii="Arial" w:cs="Arial" w:eastAsia="Arial" w:hAnsi="Arial"/>
                <w:sz w:val="13"/>
                <w:szCs w:val="13"/>
                <w:color w:val="auto"/>
                <w:w w:val="90"/>
              </w:rPr>
              <w:t>Senior Secured Loan — 2020 Term Loan (First Lien)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4.7%</w:t>
            </w:r>
          </w:p>
        </w:tc>
        <w:tc>
          <w:tcPr>
            <w:tcW w:w="2460" w:type="dxa"/>
            <w:vAlign w:val="bottom"/>
          </w:tcPr>
          <w:p>
            <w:pPr>
              <w:spacing w:after="0"/>
              <w:rPr>
                <w:sz w:val="20"/>
                <w:szCs w:val="20"/>
                <w:color w:val="auto"/>
              </w:rPr>
            </w:pPr>
            <w:r>
              <w:rPr>
                <w:rFonts w:ascii="Arial" w:cs="Arial" w:eastAsia="Arial" w:hAnsi="Arial"/>
                <w:sz w:val="13"/>
                <w:szCs w:val="13"/>
                <w:color w:val="auto"/>
                <w:w w:val="96"/>
              </w:rPr>
              <w:t>Cash, 1 Month Libor (0.15%) + 4.50% , Due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rPr>
              <w:t>7/25</w:t>
            </w:r>
          </w:p>
        </w:tc>
        <w:tc>
          <w:tcPr>
            <w:tcW w:w="24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2/14/2020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992,500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988,340</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947,838</w:t>
            </w:r>
          </w:p>
        </w:tc>
        <w:tc>
          <w:tcPr>
            <w:tcW w:w="40" w:type="dxa"/>
            <w:vAlign w:val="bottom"/>
          </w:tcPr>
          <w:p>
            <w:pPr>
              <w:spacing w:after="0"/>
              <w:rPr>
                <w:sz w:val="14"/>
                <w:szCs w:val="14"/>
                <w:color w:val="auto"/>
              </w:rPr>
            </w:pPr>
          </w:p>
        </w:tc>
      </w:tr>
      <w:tr>
        <w:trPr>
          <w:trHeight w:val="540"/>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5.2%</w:t>
            </w:r>
          </w:p>
        </w:tc>
        <w:tc>
          <w:tcPr>
            <w:tcW w:w="2460" w:type="dxa"/>
            <w:vAlign w:val="bottom"/>
          </w:tcPr>
          <w:p>
            <w:pPr>
              <w:spacing w:after="0"/>
              <w:rPr>
                <w:sz w:val="20"/>
                <w:szCs w:val="20"/>
                <w:color w:val="auto"/>
              </w:rPr>
            </w:pPr>
            <w:r>
              <w:rPr>
                <w:rFonts w:ascii="Arial" w:cs="Arial" w:eastAsia="Arial" w:hAnsi="Arial"/>
                <w:sz w:val="13"/>
                <w:szCs w:val="13"/>
                <w:color w:val="auto"/>
                <w:w w:val="96"/>
              </w:rPr>
              <w:t>Cash, 1 Month Libor (0.15%) + 5.00% , Due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rPr>
              <w:t>7/26</w:t>
            </w:r>
          </w:p>
        </w:tc>
        <w:tc>
          <w:tcPr>
            <w:tcW w:w="24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2,181,735</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1,639,163</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1,875,605</w:t>
            </w:r>
          </w:p>
        </w:tc>
        <w:tc>
          <w:tcPr>
            <w:tcW w:w="40" w:type="dxa"/>
            <w:vAlign w:val="bottom"/>
          </w:tcPr>
          <w:p>
            <w:pPr>
              <w:spacing w:after="0"/>
              <w:rPr>
                <w:sz w:val="14"/>
                <w:szCs w:val="14"/>
                <w:color w:val="auto"/>
              </w:rPr>
            </w:pPr>
          </w:p>
        </w:tc>
      </w:tr>
      <w:tr>
        <w:trPr>
          <w:trHeight w:val="540"/>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6.6%</w:t>
            </w:r>
          </w:p>
        </w:tc>
        <w:tc>
          <w:tcPr>
            <w:tcW w:w="2460" w:type="dxa"/>
            <w:vAlign w:val="bottom"/>
          </w:tcPr>
          <w:p>
            <w:pPr>
              <w:spacing w:after="0"/>
              <w:rPr>
                <w:sz w:val="20"/>
                <w:szCs w:val="20"/>
                <w:color w:val="auto"/>
              </w:rPr>
            </w:pPr>
            <w:r>
              <w:rPr>
                <w:rFonts w:ascii="Arial" w:cs="Arial" w:eastAsia="Arial" w:hAnsi="Arial"/>
                <w:sz w:val="13"/>
                <w:szCs w:val="13"/>
                <w:color w:val="auto"/>
                <w:w w:val="96"/>
              </w:rPr>
              <w:t>Cash, 1 Month Libor (0.15%) + 6.50% , Due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85"/>
              </w:rPr>
              <w:t>12/25</w:t>
            </w:r>
          </w:p>
        </w:tc>
        <w:tc>
          <w:tcPr>
            <w:tcW w:w="24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2,665,527</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2,267,328</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2,632,741</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-7412990</wp:posOffset>
            </wp:positionV>
            <wp:extent cx="7132320" cy="3257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-6864350</wp:posOffset>
            </wp:positionV>
            <wp:extent cx="7132320" cy="3257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-6315710</wp:posOffset>
            </wp:positionV>
            <wp:extent cx="7132320" cy="4286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-5664200</wp:posOffset>
            </wp:positionV>
            <wp:extent cx="7132320" cy="4286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-5012690</wp:posOffset>
            </wp:positionV>
            <wp:extent cx="7132320" cy="4286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-4361180</wp:posOffset>
            </wp:positionV>
            <wp:extent cx="7132320" cy="4286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-3709670</wp:posOffset>
            </wp:positionV>
            <wp:extent cx="7132320" cy="4286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-3058160</wp:posOffset>
            </wp:positionV>
            <wp:extent cx="7132320" cy="3257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-2509520</wp:posOffset>
            </wp:positionV>
            <wp:extent cx="7132320" cy="3257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-1960880</wp:posOffset>
            </wp:positionV>
            <wp:extent cx="7132320" cy="3257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-1412240</wp:posOffset>
            </wp:positionV>
            <wp:extent cx="7132320" cy="3257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-863600</wp:posOffset>
            </wp:positionV>
            <wp:extent cx="7132320" cy="3257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-314960</wp:posOffset>
            </wp:positionV>
            <wp:extent cx="7132320" cy="3257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780" w:space="80"/>
            <w:col w:w="520" w:space="380"/>
            <w:col w:w="7400"/>
          </w:cols>
          <w:pgMar w:left="340" w:top="607" w:right="399" w:bottom="1440" w:gutter="0" w:footer="0" w:header="0"/>
        </w:sectPr>
      </w:pP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607" w:right="399" w:bottom="1440" w:gutter="0" w:footer="0" w:header="0"/>
          <w:type w:val="continuous"/>
        </w:sectPr>
      </w:pPr>
    </w:p>
    <w:bookmarkStart w:id="25" w:name="page26"/>
    <w:bookmarkEnd w:id="25"/>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8256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Emtec, Inc.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Emtec, Inc.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Energy Acquisition Lp</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Electronics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Ensono, LP</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Telecommunications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2"/>
          <w:szCs w:val="12"/>
          <w:color w:val="auto"/>
        </w:rPr>
        <w:t>Evergreen North America Acquisition, LLC</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Environmental Industries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Firstlight Holdco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Telecommunications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Fusion Connect,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Telecommunications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Geo Parent Corporation</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Media: Advertising, Printing &amp; Publishing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8"/>
          <w:szCs w:val="8"/>
          <w:color w:val="auto"/>
        </w:rPr>
        <w:t>(5)(8)(13)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8"/>
          <w:szCs w:val="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7"/>
          <w:szCs w:val="7"/>
          <w:color w:val="auto"/>
        </w:rPr>
        <w:t>(8)(13)(14)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780" w:type="dxa"/>
            <w:vAlign w:val="bottom"/>
          </w:tcPr>
          <w:p>
            <w:pPr>
              <w:ind w:left="1100"/>
              <w:spacing w:after="0"/>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197"/>
              <w:spacing w:after="0"/>
              <w:rPr>
                <w:sz w:val="20"/>
                <w:szCs w:val="20"/>
                <w:color w:val="auto"/>
              </w:rPr>
            </w:pPr>
            <w:r>
              <w:rPr>
                <w:rFonts w:ascii="Arial" w:cs="Arial" w:eastAsia="Arial" w:hAnsi="Arial"/>
                <w:sz w:val="13"/>
                <w:szCs w:val="13"/>
                <w:b w:val="1"/>
                <w:bCs w:val="1"/>
                <w:color w:val="auto"/>
              </w:rPr>
              <w:t>Amortized</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780" w:type="dxa"/>
            <w:vAlign w:val="bottom"/>
            <w:tcBorders>
              <w:bottom w:val="single" w:sz="8" w:color="auto"/>
            </w:tcBorders>
          </w:tcPr>
          <w:p>
            <w:pPr>
              <w:ind w:left="68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4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240" w:type="dxa"/>
            <w:vAlign w:val="bottom"/>
          </w:tcPr>
          <w:p>
            <w:pPr>
              <w:spacing w:after="0"/>
              <w:rPr>
                <w:sz w:val="16"/>
                <w:szCs w:val="16"/>
                <w:color w:val="auto"/>
              </w:rPr>
            </w:pPr>
          </w:p>
        </w:tc>
        <w:tc>
          <w:tcPr>
            <w:tcW w:w="110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167"/>
        </w:trPr>
        <w:tc>
          <w:tcPr>
            <w:tcW w:w="2780" w:type="dxa"/>
            <w:vAlign w:val="bottom"/>
          </w:tcPr>
          <w:p>
            <w:pPr>
              <w:ind w:left="20"/>
              <w:spacing w:after="0"/>
              <w:rPr>
                <w:sz w:val="20"/>
                <w:szCs w:val="20"/>
                <w:color w:val="auto"/>
              </w:rPr>
            </w:pPr>
            <w:r>
              <w:rPr>
                <w:rFonts w:ascii="Arial" w:cs="Arial" w:eastAsia="Arial" w:hAnsi="Arial"/>
                <w:sz w:val="13"/>
                <w:szCs w:val="13"/>
                <w:color w:val="auto"/>
                <w:w w:val="99"/>
              </w:rPr>
              <w:t>Senior Secured Loan — First Lien Term Loan A</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w w:val="93"/>
              </w:rPr>
              <w:t>10.0% Cash, 1 Month Libor (1.50%) + 8.50%;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Floor 1.50% , Due 8/21</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2,395,175</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2,138,552</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2,377,690</w:t>
            </w:r>
          </w:p>
        </w:tc>
        <w:tc>
          <w:tcPr>
            <w:tcW w:w="0" w:type="dxa"/>
            <w:vAlign w:val="bottom"/>
          </w:tcPr>
          <w:p>
            <w:pPr>
              <w:spacing w:after="0"/>
              <w:rPr>
                <w:sz w:val="1"/>
                <w:szCs w:val="1"/>
                <w:color w:val="auto"/>
              </w:rPr>
            </w:pPr>
          </w:p>
        </w:tc>
      </w:tr>
      <w:tr>
        <w:trPr>
          <w:trHeight w:val="621"/>
        </w:trPr>
        <w:tc>
          <w:tcPr>
            <w:tcW w:w="2780" w:type="dxa"/>
            <w:vAlign w:val="bottom"/>
          </w:tcPr>
          <w:p>
            <w:pPr>
              <w:ind w:left="20"/>
              <w:spacing w:after="0"/>
              <w:rPr>
                <w:sz w:val="20"/>
                <w:szCs w:val="20"/>
                <w:color w:val="auto"/>
              </w:rPr>
            </w:pPr>
            <w:r>
              <w:rPr>
                <w:rFonts w:ascii="Arial" w:cs="Arial" w:eastAsia="Arial" w:hAnsi="Arial"/>
                <w:sz w:val="13"/>
                <w:szCs w:val="13"/>
                <w:color w:val="auto"/>
                <w:w w:val="98"/>
              </w:rPr>
              <w:t>Senior Secured Loan — First Lien Term Loan B,</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10.3% PIK, Due 8/21</w:t>
            </w:r>
          </w:p>
        </w:tc>
        <w:tc>
          <w:tcPr>
            <w:tcW w:w="1120" w:type="dxa"/>
            <w:vAlign w:val="bottom"/>
            <w:gridSpan w:val="2"/>
            <w:vMerge w:val="restart"/>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vMerge w:val="restart"/>
          </w:tcPr>
          <w:p>
            <w:pPr>
              <w:jc w:val="right"/>
              <w:spacing w:after="0"/>
              <w:rPr>
                <w:sz w:val="20"/>
                <w:szCs w:val="20"/>
                <w:color w:val="auto"/>
              </w:rPr>
            </w:pPr>
            <w:r>
              <w:rPr>
                <w:rFonts w:ascii="Arial" w:cs="Arial" w:eastAsia="Arial" w:hAnsi="Arial"/>
                <w:sz w:val="13"/>
                <w:szCs w:val="13"/>
                <w:color w:val="auto"/>
              </w:rPr>
              <w:t>1,734,498</w:t>
            </w:r>
          </w:p>
        </w:tc>
        <w:tc>
          <w:tcPr>
            <w:tcW w:w="1340" w:type="dxa"/>
            <w:vAlign w:val="bottom"/>
            <w:gridSpan w:val="2"/>
            <w:vMerge w:val="restart"/>
          </w:tcPr>
          <w:p>
            <w:pPr>
              <w:jc w:val="right"/>
              <w:spacing w:after="0"/>
              <w:rPr>
                <w:sz w:val="20"/>
                <w:szCs w:val="20"/>
                <w:color w:val="auto"/>
              </w:rPr>
            </w:pPr>
            <w:r>
              <w:rPr>
                <w:rFonts w:ascii="Arial" w:cs="Arial" w:eastAsia="Arial" w:hAnsi="Arial"/>
                <w:sz w:val="13"/>
                <w:szCs w:val="13"/>
                <w:color w:val="auto"/>
              </w:rPr>
              <w:t>1,394,239</w:t>
            </w:r>
          </w:p>
        </w:tc>
        <w:tc>
          <w:tcPr>
            <w:tcW w:w="1100" w:type="dxa"/>
            <w:vAlign w:val="bottom"/>
            <w:gridSpan w:val="2"/>
            <w:vMerge w:val="restart"/>
          </w:tcPr>
          <w:p>
            <w:pPr>
              <w:jc w:val="right"/>
              <w:spacing w:after="0"/>
              <w:rPr>
                <w:sz w:val="20"/>
                <w:szCs w:val="20"/>
                <w:color w:val="auto"/>
              </w:rPr>
            </w:pPr>
            <w:r>
              <w:rPr>
                <w:rFonts w:ascii="Arial" w:cs="Arial" w:eastAsia="Arial" w:hAnsi="Arial"/>
                <w:sz w:val="13"/>
                <w:szCs w:val="13"/>
                <w:color w:val="auto"/>
              </w:rPr>
              <w:t>1,620,368</w:t>
            </w:r>
          </w:p>
        </w:tc>
        <w:tc>
          <w:tcPr>
            <w:tcW w:w="0" w:type="dxa"/>
            <w:vAlign w:val="bottom"/>
          </w:tcPr>
          <w:p>
            <w:pPr>
              <w:spacing w:after="0"/>
              <w:rPr>
                <w:sz w:val="1"/>
                <w:szCs w:val="1"/>
                <w:color w:val="auto"/>
              </w:rPr>
            </w:pPr>
          </w:p>
        </w:tc>
      </w:tr>
      <w:tr>
        <w:trPr>
          <w:trHeight w:val="81"/>
        </w:trPr>
        <w:tc>
          <w:tcPr>
            <w:tcW w:w="27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0"/>
        </w:trPr>
        <w:tc>
          <w:tcPr>
            <w:tcW w:w="2780" w:type="dxa"/>
            <w:vAlign w:val="bottom"/>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w w:val="95"/>
              </w:rPr>
              <w:t>4.4% Cash, 1 Month Libor (0.15%) + 4.25% , Due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6/25</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4,887,218</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3,940,620</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4,752,820</w:t>
            </w:r>
          </w:p>
        </w:tc>
        <w:tc>
          <w:tcPr>
            <w:tcW w:w="0" w:type="dxa"/>
            <w:vAlign w:val="bottom"/>
          </w:tcPr>
          <w:p>
            <w:pPr>
              <w:spacing w:after="0"/>
              <w:rPr>
                <w:sz w:val="1"/>
                <w:szCs w:val="1"/>
                <w:color w:val="auto"/>
              </w:rPr>
            </w:pPr>
          </w:p>
        </w:tc>
      </w:tr>
      <w:tr>
        <w:trPr>
          <w:trHeight w:val="540"/>
        </w:trPr>
        <w:tc>
          <w:tcPr>
            <w:tcW w:w="2780" w:type="dxa"/>
            <w:vAlign w:val="bottom"/>
          </w:tcPr>
          <w:p>
            <w:pPr>
              <w:ind w:left="20"/>
              <w:spacing w:after="0"/>
              <w:rPr>
                <w:sz w:val="20"/>
                <w:szCs w:val="20"/>
                <w:color w:val="auto"/>
              </w:rPr>
            </w:pPr>
            <w:r>
              <w:rPr>
                <w:rFonts w:ascii="Arial" w:cs="Arial" w:eastAsia="Arial" w:hAnsi="Arial"/>
                <w:sz w:val="13"/>
                <w:szCs w:val="13"/>
                <w:color w:val="auto"/>
                <w:w w:val="95"/>
              </w:rPr>
              <w:t>Junior Secured Loan — Term Loan (Second Lien)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w w:val="95"/>
              </w:rPr>
              <w:t>9.4% Cash, 1 Month Libor (0.15%) + 9.25% , Due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6/26</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12/18/2019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1,700,000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1,530,845</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1,648,660</w:t>
            </w:r>
          </w:p>
        </w:tc>
        <w:tc>
          <w:tcPr>
            <w:tcW w:w="0" w:type="dxa"/>
            <w:vAlign w:val="bottom"/>
          </w:tcPr>
          <w:p>
            <w:pPr>
              <w:spacing w:after="0"/>
              <w:rPr>
                <w:sz w:val="1"/>
                <w:szCs w:val="1"/>
                <w:color w:val="auto"/>
              </w:rPr>
            </w:pPr>
          </w:p>
        </w:tc>
      </w:tr>
      <w:tr>
        <w:trPr>
          <w:trHeight w:val="540"/>
        </w:trPr>
        <w:tc>
          <w:tcPr>
            <w:tcW w:w="2780" w:type="dxa"/>
            <w:vAlign w:val="bottom"/>
          </w:tcPr>
          <w:p>
            <w:pPr>
              <w:ind w:left="20"/>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w w:val="95"/>
              </w:rPr>
              <w:t>6.0% Cash, 6 month Libor (1.00%) + 5.00%;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Floor 1.00% , Due 6/22</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6/21/2016</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975,366</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976,863</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963,174</w:t>
            </w:r>
          </w:p>
        </w:tc>
        <w:tc>
          <w:tcPr>
            <w:tcW w:w="0" w:type="dxa"/>
            <w:vAlign w:val="bottom"/>
          </w:tcPr>
          <w:p>
            <w:pPr>
              <w:spacing w:after="0"/>
              <w:rPr>
                <w:sz w:val="1"/>
                <w:szCs w:val="1"/>
                <w:color w:val="auto"/>
              </w:rPr>
            </w:pPr>
          </w:p>
        </w:tc>
      </w:tr>
      <w:tr>
        <w:trPr>
          <w:trHeight w:val="540"/>
        </w:trPr>
        <w:tc>
          <w:tcPr>
            <w:tcW w:w="2780" w:type="dxa"/>
            <w:vAlign w:val="bottom"/>
          </w:tcPr>
          <w:p>
            <w:pPr>
              <w:ind w:left="20"/>
              <w:spacing w:after="0"/>
              <w:rPr>
                <w:sz w:val="20"/>
                <w:szCs w:val="20"/>
                <w:color w:val="auto"/>
              </w:rPr>
            </w:pPr>
            <w:r>
              <w:rPr>
                <w:rFonts w:ascii="Arial" w:cs="Arial" w:eastAsia="Arial" w:hAnsi="Arial"/>
                <w:sz w:val="13"/>
                <w:szCs w:val="13"/>
                <w:color w:val="auto"/>
                <w:w w:val="94"/>
              </w:rPr>
              <w:t>Junior Secured Loan — Initial Term Loan (Second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Lien)</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w w:val="95"/>
              </w:rPr>
              <w:t>7.7% Cash, 1 Month Libor (0.15%) + 7.50% , Due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7/26</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12/18/2019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400,000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362,000</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383,000</w:t>
            </w:r>
          </w:p>
        </w:tc>
        <w:tc>
          <w:tcPr>
            <w:tcW w:w="0" w:type="dxa"/>
            <w:vAlign w:val="bottom"/>
          </w:tcPr>
          <w:p>
            <w:pPr>
              <w:spacing w:after="0"/>
              <w:rPr>
                <w:sz w:val="1"/>
                <w:szCs w:val="1"/>
                <w:color w:val="auto"/>
              </w:rPr>
            </w:pPr>
          </w:p>
        </w:tc>
      </w:tr>
      <w:tr>
        <w:trPr>
          <w:trHeight w:val="540"/>
        </w:trPr>
        <w:tc>
          <w:tcPr>
            <w:tcW w:w="2780" w:type="dxa"/>
            <w:vAlign w:val="bottom"/>
          </w:tcPr>
          <w:p>
            <w:pPr>
              <w:ind w:left="20"/>
              <w:spacing w:after="0"/>
              <w:rPr>
                <w:sz w:val="20"/>
                <w:szCs w:val="20"/>
                <w:color w:val="auto"/>
              </w:rPr>
            </w:pPr>
            <w:r>
              <w:rPr>
                <w:rFonts w:ascii="Arial" w:cs="Arial" w:eastAsia="Arial" w:hAnsi="Arial"/>
                <w:sz w:val="13"/>
                <w:szCs w:val="13"/>
                <w:color w:val="auto"/>
                <w:w w:val="99"/>
              </w:rPr>
              <w:t>Senior Secured Loan — First Lien Term Loan B</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w w:val="93"/>
              </w:rPr>
              <w:t>10.0% Cash, 6 month Libor (2.00%) + 8.00%;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Floor 2.00% , Due 7/25</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2,964,925</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1,730,558</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1,885,989</w:t>
            </w:r>
          </w:p>
        </w:tc>
        <w:tc>
          <w:tcPr>
            <w:tcW w:w="0" w:type="dxa"/>
            <w:vAlign w:val="bottom"/>
          </w:tcPr>
          <w:p>
            <w:pPr>
              <w:spacing w:after="0"/>
              <w:rPr>
                <w:sz w:val="1"/>
                <w:szCs w:val="1"/>
                <w:color w:val="auto"/>
              </w:rPr>
            </w:pPr>
          </w:p>
        </w:tc>
      </w:tr>
      <w:tr>
        <w:trPr>
          <w:trHeight w:val="540"/>
        </w:trPr>
        <w:tc>
          <w:tcPr>
            <w:tcW w:w="2780" w:type="dxa"/>
            <w:vAlign w:val="bottom"/>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w w:val="95"/>
              </w:rPr>
              <w:t>5.4% Cash, 1 Month Libor (0.15%) + 5.25% , Due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12/25</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3,290,011</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2,830,592</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3,170,254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-4258310</wp:posOffset>
            </wp:positionV>
            <wp:extent cx="7132320" cy="3257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-3709670</wp:posOffset>
            </wp:positionV>
            <wp:extent cx="7132320" cy="3257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-3161030</wp:posOffset>
            </wp:positionV>
            <wp:extent cx="7132320" cy="3257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-2612390</wp:posOffset>
            </wp:positionV>
            <wp:extent cx="7132320" cy="3257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-2063750</wp:posOffset>
            </wp:positionV>
            <wp:extent cx="7132320" cy="3257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-1515110</wp:posOffset>
            </wp:positionV>
            <wp:extent cx="7132320" cy="4286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-863600</wp:posOffset>
            </wp:positionV>
            <wp:extent cx="7132320" cy="3257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-314960</wp:posOffset>
            </wp:positionV>
            <wp:extent cx="7132320" cy="3257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320" w:space="560"/>
            <w:col w:w="380" w:space="500"/>
            <w:col w:w="7400"/>
          </w:cols>
          <w:pgMar w:left="340" w:top="634" w:right="39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GI Revelation Acquisition LLC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Services: Business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GK Holdings, Inc.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0"/>
          <w:szCs w:val="10"/>
          <w:color w:val="auto"/>
        </w:rPr>
        <w:t>Global Integrated Flooring Systems Inc.</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Consumer goods: Durable</w:t>
      </w:r>
    </w:p>
    <w:p>
      <w:pPr>
        <w:spacing w:after="0" w:line="229" w:lineRule="exact"/>
        <w:rPr>
          <w:sz w:val="20"/>
          <w:szCs w:val="20"/>
          <w:color w:val="auto"/>
        </w:rPr>
      </w:pPr>
    </w:p>
    <w:p>
      <w:pPr>
        <w:spacing w:after="0"/>
        <w:rPr>
          <w:sz w:val="20"/>
          <w:szCs w:val="20"/>
          <w:color w:val="auto"/>
        </w:rPr>
      </w:pPr>
      <w:r>
        <w:rPr>
          <w:rFonts w:ascii="Arial" w:cs="Arial" w:eastAsia="Arial" w:hAnsi="Arial"/>
          <w:sz w:val="10"/>
          <w:szCs w:val="10"/>
          <w:color w:val="auto"/>
        </w:rPr>
        <w:t>Global Integrated Flooring Systems Inc.</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Consumer goods: Durable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7"/>
          <w:szCs w:val="7"/>
          <w:color w:val="auto"/>
        </w:rPr>
        <w:t>(8)(13)(14)(21)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8"/>
          <w:szCs w:val="8"/>
          <w:color w:val="auto"/>
        </w:rPr>
        <w:t>(5)(8)(13)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268" w:lineRule="auto"/>
        <w:rPr>
          <w:sz w:val="20"/>
          <w:szCs w:val="20"/>
          <w:color w:val="auto"/>
        </w:rPr>
      </w:pPr>
      <w:r>
        <w:rPr>
          <w:rFonts w:ascii="Arial" w:cs="Arial" w:eastAsia="Arial" w:hAnsi="Arial"/>
          <w:sz w:val="13"/>
          <w:szCs w:val="13"/>
          <w:color w:val="auto"/>
        </w:rPr>
        <w:t>Senior Secured Loan — Initial Term Loan (First Lien) 5.2% Cash, 1 Month Libor (0.15%) + 5.00% , Due 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-325755</wp:posOffset>
            </wp:positionV>
            <wp:extent cx="7132320" cy="3257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119380</wp:posOffset>
            </wp:positionV>
            <wp:extent cx="7132320" cy="4286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181" w:lineRule="exact"/>
        <w:rPr>
          <w:sz w:val="20"/>
          <w:szCs w:val="20"/>
          <w:color w:val="auto"/>
        </w:rPr>
      </w:pPr>
    </w:p>
    <w:p>
      <w:pPr>
        <w:ind w:right="180"/>
        <w:spacing w:after="0" w:line="260" w:lineRule="auto"/>
        <w:rPr>
          <w:sz w:val="20"/>
          <w:szCs w:val="20"/>
          <w:color w:val="auto"/>
        </w:rPr>
      </w:pPr>
      <w:r>
        <w:rPr>
          <w:rFonts w:ascii="Arial" w:cs="Arial" w:eastAsia="Arial" w:hAnsi="Arial"/>
          <w:sz w:val="13"/>
          <w:szCs w:val="13"/>
          <w:color w:val="auto"/>
        </w:rPr>
        <w:t>Junior Secured Loan — Initial Term Loan (Second Lien)</w:t>
      </w:r>
    </w:p>
    <w:p>
      <w:pPr>
        <w:ind w:right="20"/>
        <w:spacing w:after="0" w:line="277" w:lineRule="auto"/>
        <w:rPr>
          <w:sz w:val="20"/>
          <w:szCs w:val="20"/>
          <w:color w:val="auto"/>
        </w:rPr>
      </w:pPr>
      <w:r>
        <w:rPr>
          <w:rFonts w:ascii="Arial" w:cs="Arial" w:eastAsia="Arial" w:hAnsi="Arial"/>
          <w:sz w:val="13"/>
          <w:szCs w:val="13"/>
          <w:color w:val="auto"/>
        </w:rPr>
        <w:t>13.3% Cash, 3 Month Libor (1.00%) + 12.25%; Libor Floor 1.00% , Due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115570</wp:posOffset>
            </wp:positionV>
            <wp:extent cx="7132320" cy="3257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Senior Secured Loan — Revolver</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0.8% Cash, Due 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188595</wp:posOffset>
            </wp:positionV>
            <wp:extent cx="7132320" cy="3257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3"/>
          <w:szCs w:val="13"/>
          <w:color w:val="auto"/>
        </w:rPr>
        <w:t>Senior Secured Loan — First Lien Term Loan</w:t>
      </w:r>
    </w:p>
    <w:p>
      <w:pPr>
        <w:spacing w:after="0" w:line="13" w:lineRule="exact"/>
        <w:rPr>
          <w:sz w:val="20"/>
          <w:szCs w:val="20"/>
          <w:color w:val="auto"/>
        </w:rPr>
      </w:pPr>
    </w:p>
    <w:p>
      <w:pPr>
        <w:ind w:right="140"/>
        <w:spacing w:after="0" w:line="277" w:lineRule="auto"/>
        <w:rPr>
          <w:sz w:val="20"/>
          <w:szCs w:val="20"/>
          <w:color w:val="auto"/>
        </w:rPr>
      </w:pPr>
      <w:r>
        <w:rPr>
          <w:rFonts w:ascii="Arial" w:cs="Arial" w:eastAsia="Arial" w:hAnsi="Arial"/>
          <w:sz w:val="13"/>
          <w:szCs w:val="13"/>
          <w:color w:val="auto"/>
        </w:rPr>
        <w:t>9.5% Cash, 3 Month Libor (1.25%) + 8.25%; Libor Floor 1.25% , Due 2/23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840" w:type="dxa"/>
            <w:vAlign w:val="bottom"/>
          </w:tcPr>
          <w:p>
            <w:pPr>
              <w:jc w:val="right"/>
              <w:ind w:right="197"/>
              <w:spacing w:after="0"/>
              <w:rPr>
                <w:sz w:val="20"/>
                <w:szCs w:val="20"/>
                <w:color w:val="auto"/>
              </w:rPr>
            </w:pPr>
            <w:r>
              <w:rPr>
                <w:rFonts w:ascii="Arial" w:cs="Arial" w:eastAsia="Arial" w:hAnsi="Arial"/>
                <w:sz w:val="13"/>
                <w:szCs w:val="13"/>
                <w:color w:val="auto"/>
                <w:w w:val="96"/>
              </w:rPr>
              <w:t>5/22/2020</w:t>
            </w:r>
          </w:p>
        </w:tc>
        <w:tc>
          <w:tcPr>
            <w:tcW w:w="1160" w:type="dxa"/>
            <w:vAlign w:val="bottom"/>
          </w:tcPr>
          <w:p>
            <w:pPr>
              <w:jc w:val="right"/>
              <w:ind w:right="357"/>
              <w:spacing w:after="0"/>
              <w:rPr>
                <w:sz w:val="20"/>
                <w:szCs w:val="20"/>
                <w:color w:val="auto"/>
              </w:rPr>
            </w:pPr>
            <w:r>
              <w:rPr>
                <w:rFonts w:ascii="Arial" w:cs="Arial" w:eastAsia="Arial" w:hAnsi="Arial"/>
                <w:sz w:val="13"/>
                <w:szCs w:val="13"/>
                <w:color w:val="auto"/>
              </w:rPr>
              <w:t>3,902,444</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3,490,451</w:t>
            </w:r>
          </w:p>
        </w:tc>
        <w:tc>
          <w:tcPr>
            <w:tcW w:w="820" w:type="dxa"/>
            <w:vAlign w:val="bottom"/>
          </w:tcPr>
          <w:p>
            <w:pPr>
              <w:jc w:val="right"/>
              <w:spacing w:after="0"/>
              <w:rPr>
                <w:sz w:val="20"/>
                <w:szCs w:val="20"/>
                <w:color w:val="auto"/>
              </w:rPr>
            </w:pPr>
            <w:r>
              <w:rPr>
                <w:rFonts w:ascii="Arial" w:cs="Arial" w:eastAsia="Arial" w:hAnsi="Arial"/>
                <w:sz w:val="13"/>
                <w:szCs w:val="13"/>
                <w:color w:val="auto"/>
              </w:rPr>
              <w:t>3,629,663</w:t>
            </w:r>
          </w:p>
        </w:tc>
      </w:tr>
      <w:tr>
        <w:trPr>
          <w:trHeight w:val="864"/>
        </w:trPr>
        <w:tc>
          <w:tcPr>
            <w:tcW w:w="840" w:type="dxa"/>
            <w:vAlign w:val="bottom"/>
          </w:tcPr>
          <w:p>
            <w:pPr>
              <w:jc w:val="right"/>
              <w:ind w:right="197"/>
              <w:spacing w:after="0"/>
              <w:rPr>
                <w:sz w:val="20"/>
                <w:szCs w:val="20"/>
                <w:color w:val="auto"/>
              </w:rPr>
            </w:pPr>
            <w:r>
              <w:rPr>
                <w:rFonts w:ascii="Arial" w:cs="Arial" w:eastAsia="Arial" w:hAnsi="Arial"/>
                <w:sz w:val="13"/>
                <w:szCs w:val="13"/>
                <w:color w:val="auto"/>
                <w:w w:val="96"/>
              </w:rPr>
              <w:t>1/30/2015</w:t>
            </w:r>
          </w:p>
        </w:tc>
        <w:tc>
          <w:tcPr>
            <w:tcW w:w="1160" w:type="dxa"/>
            <w:vAlign w:val="bottom"/>
          </w:tcPr>
          <w:p>
            <w:pPr>
              <w:jc w:val="right"/>
              <w:ind w:right="357"/>
              <w:spacing w:after="0"/>
              <w:rPr>
                <w:sz w:val="20"/>
                <w:szCs w:val="20"/>
                <w:color w:val="auto"/>
              </w:rPr>
            </w:pPr>
            <w:r>
              <w:rPr>
                <w:rFonts w:ascii="Arial" w:cs="Arial" w:eastAsia="Arial" w:hAnsi="Arial"/>
                <w:sz w:val="13"/>
                <w:szCs w:val="13"/>
                <w:color w:val="auto"/>
              </w:rPr>
              <w:t>1,500,000</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1,495,464</w:t>
            </w:r>
          </w:p>
        </w:tc>
        <w:tc>
          <w:tcPr>
            <w:tcW w:w="820" w:type="dxa"/>
            <w:vAlign w:val="bottom"/>
          </w:tcPr>
          <w:p>
            <w:pPr>
              <w:jc w:val="right"/>
              <w:spacing w:after="0"/>
              <w:rPr>
                <w:sz w:val="20"/>
                <w:szCs w:val="20"/>
                <w:color w:val="auto"/>
              </w:rPr>
            </w:pPr>
            <w:r>
              <w:rPr>
                <w:rFonts w:ascii="Arial" w:cs="Arial" w:eastAsia="Arial" w:hAnsi="Arial"/>
                <w:sz w:val="13"/>
                <w:szCs w:val="13"/>
                <w:color w:val="auto"/>
              </w:rPr>
              <w:t>839,100</w:t>
            </w:r>
          </w:p>
        </w:tc>
      </w:tr>
      <w:tr>
        <w:trPr>
          <w:trHeight w:val="702"/>
        </w:trPr>
        <w:tc>
          <w:tcPr>
            <w:tcW w:w="840" w:type="dxa"/>
            <w:vAlign w:val="bottom"/>
          </w:tcPr>
          <w:p>
            <w:pPr>
              <w:jc w:val="right"/>
              <w:ind w:right="197"/>
              <w:spacing w:after="0"/>
              <w:rPr>
                <w:sz w:val="20"/>
                <w:szCs w:val="20"/>
                <w:color w:val="auto"/>
              </w:rPr>
            </w:pPr>
            <w:r>
              <w:rPr>
                <w:rFonts w:ascii="Arial" w:cs="Arial" w:eastAsia="Arial" w:hAnsi="Arial"/>
                <w:sz w:val="13"/>
                <w:szCs w:val="13"/>
                <w:color w:val="auto"/>
                <w:w w:val="86"/>
              </w:rPr>
              <w:t>10/28/2020</w:t>
            </w:r>
          </w:p>
        </w:tc>
        <w:tc>
          <w:tcPr>
            <w:tcW w:w="11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7"/>
              <w:spacing w:after="0"/>
              <w:rPr>
                <w:sz w:val="20"/>
                <w:szCs w:val="20"/>
                <w:color w:val="auto"/>
              </w:rPr>
            </w:pPr>
            <w:r>
              <w:rPr>
                <w:rFonts w:ascii="Arial" w:cs="Arial" w:eastAsia="Arial" w:hAnsi="Arial"/>
                <w:sz w:val="13"/>
                <w:szCs w:val="13"/>
                <w:color w:val="auto"/>
              </w:rPr>
              <w:t>(0 )</w:t>
            </w:r>
          </w:p>
        </w:tc>
        <w:tc>
          <w:tcPr>
            <w:tcW w:w="820" w:type="dxa"/>
            <w:vAlign w:val="bottom"/>
          </w:tcPr>
          <w:p>
            <w:pPr>
              <w:jc w:val="right"/>
              <w:spacing w:after="0"/>
              <w:rPr>
                <w:sz w:val="20"/>
                <w:szCs w:val="20"/>
                <w:color w:val="auto"/>
              </w:rPr>
            </w:pPr>
            <w:r>
              <w:rPr>
                <w:rFonts w:ascii="Arial" w:cs="Arial" w:eastAsia="Arial" w:hAnsi="Arial"/>
                <w:sz w:val="13"/>
                <w:szCs w:val="13"/>
                <w:color w:val="auto"/>
              </w:rPr>
              <w:t>(42,857 )</w:t>
            </w:r>
          </w:p>
        </w:tc>
      </w:tr>
      <w:tr>
        <w:trPr>
          <w:trHeight w:val="702"/>
        </w:trPr>
        <w:tc>
          <w:tcPr>
            <w:tcW w:w="840" w:type="dxa"/>
            <w:vAlign w:val="bottom"/>
          </w:tcPr>
          <w:p>
            <w:pPr>
              <w:jc w:val="right"/>
              <w:ind w:right="197"/>
              <w:spacing w:after="0"/>
              <w:rPr>
                <w:sz w:val="20"/>
                <w:szCs w:val="20"/>
                <w:color w:val="auto"/>
              </w:rPr>
            </w:pPr>
            <w:r>
              <w:rPr>
                <w:rFonts w:ascii="Arial" w:cs="Arial" w:eastAsia="Arial" w:hAnsi="Arial"/>
                <w:sz w:val="13"/>
                <w:szCs w:val="13"/>
                <w:color w:val="auto"/>
                <w:w w:val="86"/>
              </w:rPr>
              <w:t>10/28/2020</w:t>
            </w:r>
          </w:p>
        </w:tc>
        <w:tc>
          <w:tcPr>
            <w:tcW w:w="1160" w:type="dxa"/>
            <w:vAlign w:val="bottom"/>
          </w:tcPr>
          <w:p>
            <w:pPr>
              <w:jc w:val="right"/>
              <w:ind w:right="357"/>
              <w:spacing w:after="0"/>
              <w:rPr>
                <w:sz w:val="20"/>
                <w:szCs w:val="20"/>
                <w:color w:val="auto"/>
              </w:rPr>
            </w:pPr>
            <w:r>
              <w:rPr>
                <w:rFonts w:ascii="Arial" w:cs="Arial" w:eastAsia="Arial" w:hAnsi="Arial"/>
                <w:sz w:val="13"/>
                <w:szCs w:val="13"/>
                <w:color w:val="auto"/>
              </w:rPr>
              <w:t>6,412,500</w:t>
            </w:r>
          </w:p>
        </w:tc>
        <w:tc>
          <w:tcPr>
            <w:tcW w:w="1260" w:type="dxa"/>
            <w:vAlign w:val="bottom"/>
          </w:tcPr>
          <w:p>
            <w:pPr>
              <w:jc w:val="right"/>
              <w:ind w:right="277"/>
              <w:spacing w:after="0"/>
              <w:rPr>
                <w:sz w:val="20"/>
                <w:szCs w:val="20"/>
                <w:color w:val="auto"/>
              </w:rPr>
            </w:pPr>
            <w:r>
              <w:rPr>
                <w:rFonts w:ascii="Arial" w:cs="Arial" w:eastAsia="Arial" w:hAnsi="Arial"/>
                <w:sz w:val="13"/>
                <w:szCs w:val="13"/>
                <w:color w:val="auto"/>
              </w:rPr>
              <w:t>4,110,863</w:t>
            </w:r>
          </w:p>
        </w:tc>
        <w:tc>
          <w:tcPr>
            <w:tcW w:w="820" w:type="dxa"/>
            <w:vAlign w:val="bottom"/>
          </w:tcPr>
          <w:p>
            <w:pPr>
              <w:jc w:val="right"/>
              <w:spacing w:after="0"/>
              <w:rPr>
                <w:sz w:val="20"/>
                <w:szCs w:val="20"/>
                <w:color w:val="auto"/>
              </w:rPr>
            </w:pPr>
            <w:r>
              <w:rPr>
                <w:rFonts w:ascii="Arial" w:cs="Arial" w:eastAsia="Arial" w:hAnsi="Arial"/>
                <w:sz w:val="13"/>
                <w:szCs w:val="13"/>
                <w:color w:val="auto"/>
              </w:rPr>
              <w:t>3,851,348</w:t>
            </w:r>
          </w:p>
        </w:tc>
      </w:tr>
    </w:tbl>
    <w:p>
      <w:pPr>
        <w:spacing w:after="0" w:line="222" w:lineRule="exact"/>
        <w:rPr>
          <w:sz w:val="20"/>
          <w:szCs w:val="20"/>
          <w:color w:val="auto"/>
        </w:rPr>
      </w:pPr>
    </w:p>
    <w:p>
      <w:pPr>
        <w:sectPr>
          <w:pgSz w:w="11900" w:h="16838" w:orient="portrait"/>
          <w:cols w:equalWidth="0" w:num="4">
            <w:col w:w="2160" w:space="720"/>
            <w:col w:w="520" w:space="380"/>
            <w:col w:w="2740" w:space="560"/>
            <w:col w:w="4080"/>
          </w:cols>
          <w:pgMar w:left="340" w:top="634" w:right="399" w:bottom="1440" w:gutter="0" w:footer="0" w:header="0"/>
          <w:type w:val="continuous"/>
        </w:sectPr>
      </w:pP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634" w:right="399" w:bottom="1440" w:gutter="0" w:footer="0" w:header="0"/>
          <w:type w:val="continuous"/>
        </w:sectPr>
      </w:pPr>
    </w:p>
    <w:bookmarkStart w:id="26" w:name="page27"/>
    <w:bookmarkEnd w:id="26"/>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8256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Global Tel*Link Corporation</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Telecommunications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Gruden Acquisition, Inc.</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Transportation: Cargo</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Grupo HIMA San Pablo, Inc.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Grupo HIMA San Pablo, Inc.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Hayward Industries,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Consumer goods: Durable</w:t>
      </w:r>
    </w:p>
    <w:p>
      <w:pPr>
        <w:spacing w:after="0" w:line="391" w:lineRule="exact"/>
        <w:rPr>
          <w:sz w:val="20"/>
          <w:szCs w:val="20"/>
          <w:color w:val="auto"/>
        </w:rPr>
      </w:pPr>
    </w:p>
    <w:p>
      <w:pPr>
        <w:ind w:left="160" w:right="360" w:hanging="157"/>
        <w:spacing w:after="0" w:line="277" w:lineRule="auto"/>
        <w:rPr>
          <w:sz w:val="20"/>
          <w:szCs w:val="20"/>
          <w:color w:val="auto"/>
        </w:rPr>
      </w:pPr>
      <w:r>
        <w:rPr>
          <w:rFonts w:ascii="Arial" w:cs="Arial" w:eastAsia="Arial" w:hAnsi="Arial"/>
          <w:sz w:val="13"/>
          <w:szCs w:val="13"/>
          <w:color w:val="auto"/>
        </w:rPr>
        <w:t>HDC/HW Intermediate Holdings, LLC High Tech Industries</w:t>
      </w: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auto"/>
        </w:rPr>
        <w:t>HDC/HW Intermediate Holdings, LLC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High Tech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Helix Acquisition Holdings,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Metals &amp; Mining</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Hoffmaster Group, Inc.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Forest Products &amp; Paper</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Holley Purchaser,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Idera, Inc.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High Tech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Infobase Holdings, Inc.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High Tech Industries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80"/>
        <w:spacing w:after="0"/>
        <w:rPr>
          <w:sz w:val="20"/>
          <w:szCs w:val="20"/>
          <w:color w:val="auto"/>
        </w:rPr>
      </w:pPr>
      <w:r>
        <w:rPr>
          <w:rFonts w:ascii="Arial" w:cs="Arial" w:eastAsia="Arial" w:hAnsi="Arial"/>
          <w:sz w:val="8"/>
          <w:szCs w:val="8"/>
          <w:color w:val="auto"/>
        </w:rPr>
        <w:t>(5)(8)(13)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7"/>
          <w:szCs w:val="7"/>
          <w:color w:val="auto"/>
        </w:rPr>
        <w:t>(8)(13)(14)(21)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780" w:type="dxa"/>
            <w:vAlign w:val="bottom"/>
          </w:tcPr>
          <w:p>
            <w:pPr>
              <w:ind w:left="1100"/>
              <w:spacing w:after="0"/>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197"/>
              <w:spacing w:after="0"/>
              <w:rPr>
                <w:sz w:val="20"/>
                <w:szCs w:val="20"/>
                <w:color w:val="auto"/>
              </w:rPr>
            </w:pPr>
            <w:r>
              <w:rPr>
                <w:rFonts w:ascii="Arial" w:cs="Arial" w:eastAsia="Arial" w:hAnsi="Arial"/>
                <w:sz w:val="13"/>
                <w:szCs w:val="13"/>
                <w:b w:val="1"/>
                <w:bCs w:val="1"/>
                <w:color w:val="auto"/>
              </w:rPr>
              <w:t>Amortized</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780" w:type="dxa"/>
            <w:vAlign w:val="bottom"/>
            <w:tcBorders>
              <w:bottom w:val="single" w:sz="8" w:color="auto"/>
            </w:tcBorders>
          </w:tcPr>
          <w:p>
            <w:pPr>
              <w:ind w:left="68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4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240" w:type="dxa"/>
            <w:vAlign w:val="bottom"/>
          </w:tcPr>
          <w:p>
            <w:pPr>
              <w:spacing w:after="0"/>
              <w:rPr>
                <w:sz w:val="16"/>
                <w:szCs w:val="16"/>
                <w:color w:val="auto"/>
              </w:rPr>
            </w:pPr>
          </w:p>
        </w:tc>
        <w:tc>
          <w:tcPr>
            <w:tcW w:w="110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167"/>
        </w:trPr>
        <w:tc>
          <w:tcPr>
            <w:tcW w:w="2780" w:type="dxa"/>
            <w:vAlign w:val="bottom"/>
          </w:tcPr>
          <w:p>
            <w:pPr>
              <w:ind w:left="20"/>
              <w:spacing w:after="0"/>
              <w:rPr>
                <w:sz w:val="20"/>
                <w:szCs w:val="20"/>
                <w:color w:val="auto"/>
              </w:rPr>
            </w:pPr>
            <w:r>
              <w:rPr>
                <w:rFonts w:ascii="Arial" w:cs="Arial" w:eastAsia="Arial" w:hAnsi="Arial"/>
                <w:sz w:val="13"/>
                <w:szCs w:val="13"/>
                <w:color w:val="auto"/>
              </w:rPr>
              <w:t>Junior Secured Loan — Loan (Second Lien)</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w w:val="95"/>
              </w:rPr>
              <w:t>8.4% Cash, 1 Month Libor (0.15%) + 8.25% , Due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11/26</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5/21/2013</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1,500,000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1,481,015</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1,062,000</w:t>
            </w:r>
          </w:p>
        </w:tc>
        <w:tc>
          <w:tcPr>
            <w:tcW w:w="0" w:type="dxa"/>
            <w:vAlign w:val="bottom"/>
          </w:tcPr>
          <w:p>
            <w:pPr>
              <w:spacing w:after="0"/>
              <w:rPr>
                <w:sz w:val="1"/>
                <w:szCs w:val="1"/>
                <w:color w:val="auto"/>
              </w:rPr>
            </w:pPr>
          </w:p>
        </w:tc>
      </w:tr>
      <w:tr>
        <w:trPr>
          <w:trHeight w:val="378"/>
        </w:trPr>
        <w:tc>
          <w:tcPr>
            <w:tcW w:w="2780" w:type="dxa"/>
            <w:vAlign w:val="bottom"/>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w w:val="95"/>
              </w:rPr>
              <w:t>6.5% Cash, 3 Month Libor (1.00%) + 5.50%;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Floor 1.00% , Due 8/22</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2,414,315</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2,071,047</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2,404,658</w:t>
            </w:r>
          </w:p>
        </w:tc>
        <w:tc>
          <w:tcPr>
            <w:tcW w:w="0" w:type="dxa"/>
            <w:vAlign w:val="bottom"/>
          </w:tcPr>
          <w:p>
            <w:pPr>
              <w:spacing w:after="0"/>
              <w:rPr>
                <w:sz w:val="1"/>
                <w:szCs w:val="1"/>
                <w:color w:val="auto"/>
              </w:rPr>
            </w:pPr>
          </w:p>
        </w:tc>
      </w:tr>
      <w:tr>
        <w:trPr>
          <w:trHeight w:val="378"/>
        </w:trPr>
        <w:tc>
          <w:tcPr>
            <w:tcW w:w="2780" w:type="dxa"/>
            <w:vAlign w:val="bottom"/>
          </w:tcPr>
          <w:p>
            <w:pPr>
              <w:ind w:left="20"/>
              <w:spacing w:after="0"/>
              <w:rPr>
                <w:sz w:val="20"/>
                <w:szCs w:val="20"/>
                <w:color w:val="auto"/>
              </w:rPr>
            </w:pPr>
            <w:r>
              <w:rPr>
                <w:rFonts w:ascii="Arial" w:cs="Arial" w:eastAsia="Arial" w:hAnsi="Arial"/>
                <w:sz w:val="13"/>
                <w:szCs w:val="13"/>
                <w:color w:val="auto"/>
                <w:w w:val="96"/>
              </w:rPr>
              <w:t>Senior Secured Loan — Term B Loan (First Lien)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w w:val="93"/>
              </w:rPr>
              <w:t>10.5% Cash, 3 Month Libor (1.50%) + 9.00%;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Floor 1.50% , Due 1/18</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1/30/2013</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2,702,232</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2,702,232</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2,418,498</w:t>
            </w:r>
          </w:p>
        </w:tc>
        <w:tc>
          <w:tcPr>
            <w:tcW w:w="0" w:type="dxa"/>
            <w:vAlign w:val="bottom"/>
          </w:tcPr>
          <w:p>
            <w:pPr>
              <w:spacing w:after="0"/>
              <w:rPr>
                <w:sz w:val="1"/>
                <w:szCs w:val="1"/>
                <w:color w:val="auto"/>
              </w:rPr>
            </w:pPr>
          </w:p>
        </w:tc>
      </w:tr>
      <w:tr>
        <w:trPr>
          <w:trHeight w:val="459"/>
        </w:trPr>
        <w:tc>
          <w:tcPr>
            <w:tcW w:w="2780" w:type="dxa"/>
            <w:vAlign w:val="bottom"/>
          </w:tcPr>
          <w:p>
            <w:pPr>
              <w:ind w:left="20"/>
              <w:spacing w:after="0"/>
              <w:rPr>
                <w:sz w:val="20"/>
                <w:szCs w:val="20"/>
                <w:color w:val="auto"/>
              </w:rPr>
            </w:pPr>
            <w:r>
              <w:rPr>
                <w:rFonts w:ascii="Arial" w:cs="Arial" w:eastAsia="Arial" w:hAnsi="Arial"/>
                <w:sz w:val="13"/>
                <w:szCs w:val="13"/>
                <w:color w:val="auto"/>
                <w:w w:val="95"/>
              </w:rPr>
              <w:t>Junior Secured Loan — Term Loan (Second Lien)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13.8% Cash, Due 7/18</w:t>
            </w:r>
          </w:p>
        </w:tc>
        <w:tc>
          <w:tcPr>
            <w:tcW w:w="1120" w:type="dxa"/>
            <w:vAlign w:val="bottom"/>
            <w:gridSpan w:val="2"/>
            <w:vMerge w:val="restart"/>
          </w:tcPr>
          <w:p>
            <w:pPr>
              <w:jc w:val="right"/>
              <w:spacing w:after="0"/>
              <w:rPr>
                <w:sz w:val="20"/>
                <w:szCs w:val="20"/>
                <w:color w:val="auto"/>
              </w:rPr>
            </w:pPr>
            <w:r>
              <w:rPr>
                <w:rFonts w:ascii="Arial" w:cs="Arial" w:eastAsia="Arial" w:hAnsi="Arial"/>
                <w:sz w:val="13"/>
                <w:szCs w:val="13"/>
                <w:color w:val="auto"/>
              </w:rPr>
              <w:t>1/30/2013</w:t>
            </w:r>
          </w:p>
        </w:tc>
        <w:tc>
          <w:tcPr>
            <w:tcW w:w="1020" w:type="dxa"/>
            <w:vAlign w:val="bottom"/>
            <w:gridSpan w:val="2"/>
            <w:vMerge w:val="restart"/>
          </w:tcPr>
          <w:p>
            <w:pPr>
              <w:jc w:val="right"/>
              <w:spacing w:after="0"/>
              <w:rPr>
                <w:sz w:val="20"/>
                <w:szCs w:val="20"/>
                <w:color w:val="auto"/>
              </w:rPr>
            </w:pPr>
            <w:r>
              <w:rPr>
                <w:rFonts w:ascii="Arial" w:cs="Arial" w:eastAsia="Arial" w:hAnsi="Arial"/>
                <w:sz w:val="13"/>
                <w:szCs w:val="13"/>
                <w:color w:val="auto"/>
              </w:rPr>
              <w:t>7,191,667</w:t>
            </w:r>
          </w:p>
        </w:tc>
        <w:tc>
          <w:tcPr>
            <w:tcW w:w="1340" w:type="dxa"/>
            <w:vAlign w:val="bottom"/>
            <w:gridSpan w:val="2"/>
            <w:vMerge w:val="restart"/>
          </w:tcPr>
          <w:p>
            <w:pPr>
              <w:jc w:val="right"/>
              <w:spacing w:after="0"/>
              <w:rPr>
                <w:sz w:val="20"/>
                <w:szCs w:val="20"/>
                <w:color w:val="auto"/>
              </w:rPr>
            </w:pPr>
            <w:r>
              <w:rPr>
                <w:rFonts w:ascii="Arial" w:cs="Arial" w:eastAsia="Arial" w:hAnsi="Arial"/>
                <w:sz w:val="13"/>
                <w:szCs w:val="13"/>
                <w:color w:val="auto"/>
              </w:rPr>
              <w:t>7,191,667</w:t>
            </w:r>
          </w:p>
        </w:tc>
        <w:tc>
          <w:tcPr>
            <w:tcW w:w="1100" w:type="dxa"/>
            <w:vAlign w:val="bottom"/>
            <w:gridSpan w:val="2"/>
            <w:vMerge w:val="restart"/>
          </w:tcPr>
          <w:p>
            <w:pPr>
              <w:jc w:val="right"/>
              <w:spacing w:after="0"/>
              <w:rPr>
                <w:sz w:val="20"/>
                <w:szCs w:val="20"/>
                <w:color w:val="auto"/>
              </w:rPr>
            </w:pPr>
            <w:r>
              <w:rPr>
                <w:rFonts w:ascii="Arial" w:cs="Arial" w:eastAsia="Arial" w:hAnsi="Arial"/>
                <w:sz w:val="13"/>
                <w:szCs w:val="13"/>
                <w:color w:val="auto"/>
              </w:rPr>
              <w:t>199,209</w:t>
            </w:r>
          </w:p>
        </w:tc>
        <w:tc>
          <w:tcPr>
            <w:tcW w:w="0" w:type="dxa"/>
            <w:vAlign w:val="bottom"/>
          </w:tcPr>
          <w:p>
            <w:pPr>
              <w:spacing w:after="0"/>
              <w:rPr>
                <w:sz w:val="1"/>
                <w:szCs w:val="1"/>
                <w:color w:val="auto"/>
              </w:rPr>
            </w:pPr>
          </w:p>
        </w:tc>
      </w:tr>
      <w:tr>
        <w:trPr>
          <w:trHeight w:val="81"/>
        </w:trPr>
        <w:tc>
          <w:tcPr>
            <w:tcW w:w="27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2780" w:type="dxa"/>
            <w:vAlign w:val="bottom"/>
          </w:tcPr>
          <w:p>
            <w:pPr>
              <w:ind w:left="20"/>
              <w:spacing w:after="0"/>
              <w:rPr>
                <w:sz w:val="20"/>
                <w:szCs w:val="20"/>
                <w:color w:val="auto"/>
              </w:rPr>
            </w:pPr>
            <w:r>
              <w:rPr>
                <w:rFonts w:ascii="Arial" w:cs="Arial" w:eastAsia="Arial" w:hAnsi="Arial"/>
                <w:sz w:val="13"/>
                <w:szCs w:val="13"/>
                <w:color w:val="auto"/>
                <w:w w:val="95"/>
              </w:rPr>
              <w:t>Junior Secured Loan — Initial Loan (Second Lien)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w w:val="95"/>
              </w:rPr>
              <w:t>8.4% Cash, 1 Month Libor (0.15%) + 8.25%;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Floor 0.00% , Due 8/25</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12/18/2019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2,159,333</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1,893,917</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2,107,077</w:t>
            </w:r>
          </w:p>
        </w:tc>
        <w:tc>
          <w:tcPr>
            <w:tcW w:w="0" w:type="dxa"/>
            <w:vAlign w:val="bottom"/>
          </w:tcPr>
          <w:p>
            <w:pPr>
              <w:spacing w:after="0"/>
              <w:rPr>
                <w:sz w:val="1"/>
                <w:szCs w:val="1"/>
                <w:color w:val="auto"/>
              </w:rPr>
            </w:pPr>
          </w:p>
        </w:tc>
      </w:tr>
      <w:tr>
        <w:trPr>
          <w:trHeight w:val="378"/>
        </w:trPr>
        <w:tc>
          <w:tcPr>
            <w:tcW w:w="2780" w:type="dxa"/>
            <w:vAlign w:val="bottom"/>
          </w:tcPr>
          <w:p>
            <w:pPr>
              <w:ind w:left="20"/>
              <w:spacing w:after="0"/>
              <w:rPr>
                <w:sz w:val="20"/>
                <w:szCs w:val="20"/>
                <w:color w:val="auto"/>
              </w:rPr>
            </w:pPr>
            <w:r>
              <w:rPr>
                <w:rFonts w:ascii="Arial" w:cs="Arial" w:eastAsia="Arial" w:hAnsi="Arial"/>
                <w:sz w:val="13"/>
                <w:szCs w:val="13"/>
                <w:color w:val="auto"/>
              </w:rPr>
              <w:t>Senior Secured Loan — Revolver</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w w:val="95"/>
              </w:rPr>
              <w:t>8.5% Cash, 3 Month Libor (1.00%) + 7.50%;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Floor 1.00% , Due 12/23</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669,722</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561,785</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632,486</w:t>
            </w:r>
          </w:p>
        </w:tc>
        <w:tc>
          <w:tcPr>
            <w:tcW w:w="0" w:type="dxa"/>
            <w:vAlign w:val="bottom"/>
          </w:tcPr>
          <w:p>
            <w:pPr>
              <w:spacing w:after="0"/>
              <w:rPr>
                <w:sz w:val="1"/>
                <w:szCs w:val="1"/>
                <w:color w:val="auto"/>
              </w:rPr>
            </w:pPr>
          </w:p>
        </w:tc>
      </w:tr>
      <w:tr>
        <w:trPr>
          <w:trHeight w:val="378"/>
        </w:trPr>
        <w:tc>
          <w:tcPr>
            <w:tcW w:w="2780" w:type="dxa"/>
            <w:vAlign w:val="bottom"/>
          </w:tcPr>
          <w:p>
            <w:pPr>
              <w:ind w:left="20"/>
              <w:spacing w:after="0"/>
              <w:rPr>
                <w:sz w:val="20"/>
                <w:szCs w:val="20"/>
                <w:color w:val="auto"/>
              </w:rPr>
            </w:pPr>
            <w:r>
              <w:rPr>
                <w:rFonts w:ascii="Arial" w:cs="Arial" w:eastAsia="Arial" w:hAnsi="Arial"/>
                <w:sz w:val="13"/>
                <w:szCs w:val="13"/>
                <w:color w:val="auto"/>
                <w:w w:val="99"/>
              </w:rPr>
              <w:t>Senior Secured Loan — First Lien Term Loan A</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w w:val="95"/>
              </w:rPr>
              <w:t>8.5% Cash, 3 Month Libor (1.00%) + 7.50%;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Floor 1.00% , Due 12/23</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6,596,764</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5,533,583</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6,229,984</w:t>
            </w:r>
          </w:p>
        </w:tc>
        <w:tc>
          <w:tcPr>
            <w:tcW w:w="0" w:type="dxa"/>
            <w:vAlign w:val="bottom"/>
          </w:tcPr>
          <w:p>
            <w:pPr>
              <w:spacing w:after="0"/>
              <w:rPr>
                <w:sz w:val="1"/>
                <w:szCs w:val="1"/>
                <w:color w:val="auto"/>
              </w:rPr>
            </w:pPr>
          </w:p>
        </w:tc>
      </w:tr>
      <w:tr>
        <w:trPr>
          <w:trHeight w:val="378"/>
        </w:trPr>
        <w:tc>
          <w:tcPr>
            <w:tcW w:w="2780" w:type="dxa"/>
            <w:vAlign w:val="bottom"/>
          </w:tcPr>
          <w:p>
            <w:pPr>
              <w:ind w:left="20"/>
              <w:spacing w:after="0"/>
              <w:rPr>
                <w:sz w:val="20"/>
                <w:szCs w:val="20"/>
                <w:color w:val="auto"/>
              </w:rPr>
            </w:pPr>
            <w:r>
              <w:rPr>
                <w:rFonts w:ascii="Arial" w:cs="Arial" w:eastAsia="Arial" w:hAnsi="Arial"/>
                <w:sz w:val="13"/>
                <w:szCs w:val="13"/>
                <w:color w:val="auto"/>
                <w:w w:val="94"/>
              </w:rPr>
              <w:t>Junior Secured Loan — Initial Term Loan (Second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Lien)</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w w:val="95"/>
              </w:rPr>
              <w:t>8.3% Cash, 3 Month Libor (0.25%) + 8.00% , Due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9/25</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12/18/2019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1,400,000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1,219,188</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1,326,500</w:t>
            </w:r>
          </w:p>
        </w:tc>
        <w:tc>
          <w:tcPr>
            <w:tcW w:w="0" w:type="dxa"/>
            <w:vAlign w:val="bottom"/>
          </w:tcPr>
          <w:p>
            <w:pPr>
              <w:spacing w:after="0"/>
              <w:rPr>
                <w:sz w:val="1"/>
                <w:szCs w:val="1"/>
                <w:color w:val="auto"/>
              </w:rPr>
            </w:pPr>
          </w:p>
        </w:tc>
      </w:tr>
      <w:tr>
        <w:trPr>
          <w:trHeight w:val="378"/>
        </w:trPr>
        <w:tc>
          <w:tcPr>
            <w:tcW w:w="2780" w:type="dxa"/>
            <w:vAlign w:val="bottom"/>
          </w:tcPr>
          <w:p>
            <w:pPr>
              <w:ind w:left="20"/>
              <w:spacing w:after="0"/>
              <w:rPr>
                <w:sz w:val="20"/>
                <w:szCs w:val="20"/>
                <w:color w:val="auto"/>
              </w:rPr>
            </w:pPr>
            <w:r>
              <w:rPr>
                <w:rFonts w:ascii="Arial" w:cs="Arial" w:eastAsia="Arial" w:hAnsi="Arial"/>
                <w:sz w:val="13"/>
                <w:szCs w:val="13"/>
                <w:color w:val="auto"/>
                <w:w w:val="94"/>
              </w:rPr>
              <w:t>Junior Secured Loan — Initial Term Loan (Second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Lien)</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w w:val="93"/>
              </w:rPr>
              <w:t>10.5% Cash, 3 Month Libor (1.00%) + 9.50%;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Floor 1.00% , Due 11/24</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5/6/2014</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1,600,000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1,576,633</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1,270,880</w:t>
            </w:r>
          </w:p>
        </w:tc>
        <w:tc>
          <w:tcPr>
            <w:tcW w:w="0" w:type="dxa"/>
            <w:vAlign w:val="bottom"/>
          </w:tcPr>
          <w:p>
            <w:pPr>
              <w:spacing w:after="0"/>
              <w:rPr>
                <w:sz w:val="1"/>
                <w:szCs w:val="1"/>
                <w:color w:val="auto"/>
              </w:rPr>
            </w:pPr>
          </w:p>
        </w:tc>
      </w:tr>
      <w:tr>
        <w:trPr>
          <w:trHeight w:val="378"/>
        </w:trPr>
        <w:tc>
          <w:tcPr>
            <w:tcW w:w="2780" w:type="dxa"/>
            <w:vAlign w:val="bottom"/>
          </w:tcPr>
          <w:p>
            <w:pPr>
              <w:ind w:left="20"/>
              <w:spacing w:after="0"/>
              <w:rPr>
                <w:sz w:val="20"/>
                <w:szCs w:val="20"/>
                <w:color w:val="auto"/>
              </w:rPr>
            </w:pPr>
            <w:r>
              <w:rPr>
                <w:rFonts w:ascii="Arial" w:cs="Arial" w:eastAsia="Arial" w:hAnsi="Arial"/>
                <w:sz w:val="13"/>
                <w:szCs w:val="13"/>
                <w:color w:val="auto"/>
                <w:w w:val="99"/>
              </w:rPr>
              <w:t>Senior Secured Loan — First Lien Term Loan A</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w w:val="95"/>
              </w:rPr>
              <w:t>5.2% Cash, 3 Month Libor (0.21%) + 5.00% , Due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10/25</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6,487,528</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5,528,001</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6,339,547</w:t>
            </w:r>
          </w:p>
        </w:tc>
        <w:tc>
          <w:tcPr>
            <w:tcW w:w="0" w:type="dxa"/>
            <w:vAlign w:val="bottom"/>
          </w:tcPr>
          <w:p>
            <w:pPr>
              <w:spacing w:after="0"/>
              <w:rPr>
                <w:sz w:val="1"/>
                <w:szCs w:val="1"/>
                <w:color w:val="auto"/>
              </w:rPr>
            </w:pPr>
          </w:p>
        </w:tc>
      </w:tr>
      <w:tr>
        <w:trPr>
          <w:trHeight w:val="378"/>
        </w:trPr>
        <w:tc>
          <w:tcPr>
            <w:tcW w:w="2780" w:type="dxa"/>
            <w:vAlign w:val="bottom"/>
          </w:tcPr>
          <w:p>
            <w:pPr>
              <w:ind w:left="20"/>
              <w:spacing w:after="0"/>
              <w:rPr>
                <w:sz w:val="20"/>
                <w:szCs w:val="20"/>
                <w:color w:val="auto"/>
              </w:rPr>
            </w:pPr>
            <w:r>
              <w:rPr>
                <w:rFonts w:ascii="Arial" w:cs="Arial" w:eastAsia="Arial" w:hAnsi="Arial"/>
                <w:sz w:val="13"/>
                <w:szCs w:val="13"/>
                <w:color w:val="auto"/>
              </w:rPr>
              <w:t>Junior Secured Loan — Loan (Second Lien)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w w:val="93"/>
              </w:rPr>
              <w:t>10.0% Cash, 6 Month Libor (1.00%) + 9.00%;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Floor 1.00% , Due 6/27</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6/27/2019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7,500,000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7,408,450</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7,344,000</w:t>
            </w:r>
          </w:p>
        </w:tc>
        <w:tc>
          <w:tcPr>
            <w:tcW w:w="0" w:type="dxa"/>
            <w:vAlign w:val="bottom"/>
          </w:tcPr>
          <w:p>
            <w:pPr>
              <w:spacing w:after="0"/>
              <w:rPr>
                <w:sz w:val="1"/>
                <w:szCs w:val="1"/>
                <w:color w:val="auto"/>
              </w:rPr>
            </w:pPr>
          </w:p>
        </w:tc>
      </w:tr>
      <w:tr>
        <w:trPr>
          <w:trHeight w:val="378"/>
        </w:trPr>
        <w:tc>
          <w:tcPr>
            <w:tcW w:w="2780" w:type="dxa"/>
            <w:vAlign w:val="bottom"/>
          </w:tcPr>
          <w:p>
            <w:pPr>
              <w:ind w:left="20"/>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w w:val="95"/>
              </w:rPr>
              <w:t>5.5% Cash, 3 Month Libor (1.00%) + 4.50%;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Arial" w:cs="Arial" w:eastAsia="Arial" w:hAnsi="Arial"/>
                <w:sz w:val="13"/>
                <w:szCs w:val="13"/>
                <w:color w:val="auto"/>
              </w:rPr>
              <w:t>Floor 1.00% , Due 12/22</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12/13/2017</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1,850,000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1,841,858</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1,850,000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-5424170</wp:posOffset>
            </wp:positionV>
            <wp:extent cx="7132320" cy="3257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-4978400</wp:posOffset>
            </wp:positionV>
            <wp:extent cx="7132320" cy="3257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-4532630</wp:posOffset>
            </wp:positionV>
            <wp:extent cx="7132320" cy="3257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-4086860</wp:posOffset>
            </wp:positionV>
            <wp:extent cx="7132320" cy="3257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-3641090</wp:posOffset>
            </wp:positionV>
            <wp:extent cx="7132320" cy="3257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-3195320</wp:posOffset>
            </wp:positionV>
            <wp:extent cx="7132320" cy="3257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-2749550</wp:posOffset>
            </wp:positionV>
            <wp:extent cx="7132320" cy="3257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-2303780</wp:posOffset>
            </wp:positionV>
            <wp:extent cx="7132320" cy="4286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-1755140</wp:posOffset>
            </wp:positionV>
            <wp:extent cx="7132320" cy="42862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-1206500</wp:posOffset>
            </wp:positionV>
            <wp:extent cx="7132320" cy="3257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-760730</wp:posOffset>
            </wp:positionV>
            <wp:extent cx="7132320" cy="3257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-314960</wp:posOffset>
            </wp:positionV>
            <wp:extent cx="7132320" cy="3257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70485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2340" w:space="540"/>
            <w:col w:w="520" w:space="360"/>
            <w:col w:w="7360"/>
          </w:cols>
          <w:pgMar w:left="340" w:top="378" w:right="439" w:bottom="1440" w:gutter="0" w:footer="0" w:header="0"/>
        </w:sectPr>
      </w:pPr>
    </w:p>
    <w:bookmarkStart w:id="27" w:name="page28"/>
    <w:bookmarkEnd w:id="27"/>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8173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5" w:lineRule="exact"/>
        <w:rPr>
          <w:sz w:val="20"/>
          <w:szCs w:val="20"/>
          <w:color w:val="auto"/>
        </w:rPr>
      </w:pPr>
    </w:p>
    <w:p>
      <w:pPr>
        <w:jc w:val="right"/>
        <w:ind w:right="1180"/>
        <w:spacing w:after="0"/>
        <w:rPr>
          <w:sz w:val="20"/>
          <w:szCs w:val="20"/>
          <w:color w:val="auto"/>
        </w:rPr>
      </w:pPr>
      <w:r>
        <w:rPr>
          <w:rFonts w:ascii="Arial" w:cs="Arial" w:eastAsia="Arial" w:hAnsi="Arial"/>
          <w:sz w:val="10"/>
          <w:szCs w:val="10"/>
          <w:color w:val="auto"/>
        </w:rPr>
        <w:t>Infobase Holdings, Inc.</w:t>
      </w:r>
    </w:p>
    <w:p>
      <w:pPr>
        <w:spacing w:after="0" w:line="47" w:lineRule="exact"/>
        <w:rPr>
          <w:sz w:val="20"/>
          <w:szCs w:val="20"/>
          <w:color w:val="auto"/>
        </w:rPr>
      </w:pPr>
    </w:p>
    <w:p>
      <w:pPr>
        <w:jc w:val="right"/>
        <w:ind w:right="1140"/>
        <w:spacing w:after="0"/>
        <w:rPr>
          <w:sz w:val="20"/>
          <w:szCs w:val="20"/>
          <w:color w:val="auto"/>
        </w:rPr>
      </w:pPr>
      <w:r>
        <w:rPr>
          <w:rFonts w:ascii="Arial" w:cs="Arial" w:eastAsia="Arial" w:hAnsi="Arial"/>
          <w:sz w:val="13"/>
          <w:szCs w:val="13"/>
          <w:color w:val="auto"/>
        </w:rPr>
        <w:t>High Tech Industries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Institutional Shareholder Services Inc.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0"/>
          <w:szCs w:val="10"/>
          <w:color w:val="auto"/>
        </w:rPr>
        <w:t>Banking, Finance, Insurance &amp; Real Estate</w:t>
      </w: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Intermedia Holdings, Inc.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High Tech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Janus International Group,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Construction &amp; Building</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Keeco, LLC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Consumer goods: Durable</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Lifescan Global Corporation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Location Services Holdings,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Luminii LLC</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Construction &amp; Building</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Luminii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Construction &amp; Building</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Mag Ds Corp.</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Aerospace and Defense</w:t>
      </w:r>
    </w:p>
    <w:p>
      <w:pPr>
        <w:spacing w:after="0" w:line="391" w:lineRule="exact"/>
        <w:rPr>
          <w:sz w:val="20"/>
          <w:szCs w:val="20"/>
          <w:color w:val="auto"/>
        </w:rPr>
      </w:pPr>
    </w:p>
    <w:p>
      <w:pPr>
        <w:ind w:left="160" w:right="260" w:hanging="157"/>
        <w:spacing w:after="0" w:line="320" w:lineRule="auto"/>
        <w:rPr>
          <w:sz w:val="20"/>
          <w:szCs w:val="20"/>
          <w:color w:val="auto"/>
        </w:rPr>
      </w:pPr>
      <w:r>
        <w:rPr>
          <w:rFonts w:ascii="Arial" w:cs="Arial" w:eastAsia="Arial" w:hAnsi="Arial"/>
          <w:sz w:val="12"/>
          <w:szCs w:val="12"/>
          <w:color w:val="auto"/>
        </w:rPr>
        <w:t>Maxor National Pharmacy Services, LLC Healthcare &amp; Pharmaceuticals</w:t>
      </w:r>
    </w:p>
    <w:p>
      <w:pPr>
        <w:spacing w:after="0" w:line="334" w:lineRule="exact"/>
        <w:rPr>
          <w:sz w:val="20"/>
          <w:szCs w:val="20"/>
          <w:color w:val="auto"/>
        </w:rPr>
      </w:pPr>
    </w:p>
    <w:p>
      <w:pPr>
        <w:ind w:left="160" w:right="260" w:hanging="157"/>
        <w:spacing w:after="0" w:line="320" w:lineRule="auto"/>
        <w:rPr>
          <w:sz w:val="20"/>
          <w:szCs w:val="20"/>
          <w:color w:val="auto"/>
        </w:rPr>
      </w:pPr>
      <w:r>
        <w:rPr>
          <w:rFonts w:ascii="Arial" w:cs="Arial" w:eastAsia="Arial" w:hAnsi="Arial"/>
          <w:sz w:val="12"/>
          <w:szCs w:val="12"/>
          <w:color w:val="auto"/>
        </w:rPr>
        <w:t>Maxor National Pharmacy Services, LLC Healthcare &amp; Pharmaceuticals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7"/>
          <w:szCs w:val="7"/>
          <w:color w:val="auto"/>
        </w:rPr>
        <w:t>(8)(13)(14)(21)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7"/>
          <w:szCs w:val="7"/>
          <w:color w:val="auto"/>
        </w:rPr>
        <w:t>(8)(13)(14)(21)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Initial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1"/>
        </w:trPr>
        <w:tc>
          <w:tcPr>
            <w:tcW w:w="300" w:type="dxa"/>
            <w:vAlign w:val="bottom"/>
          </w:tcPr>
          <w:p>
            <w:pPr>
              <w:spacing w:after="0"/>
              <w:rPr>
                <w:sz w:val="13"/>
                <w:szCs w:val="13"/>
                <w:color w:val="auto"/>
              </w:rPr>
            </w:pPr>
          </w:p>
        </w:tc>
        <w:tc>
          <w:tcPr>
            <w:tcW w:w="2460" w:type="dxa"/>
            <w:vAlign w:val="bottom"/>
          </w:tcPr>
          <w:p>
            <w:pPr>
              <w:ind w:left="780"/>
              <w:spacing w:after="0"/>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Amortized</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1"/>
        </w:trPr>
        <w:tc>
          <w:tcPr>
            <w:tcW w:w="300" w:type="dxa"/>
            <w:vAlign w:val="bottom"/>
          </w:tcPr>
          <w:p>
            <w:pPr>
              <w:spacing w:after="0"/>
              <w:rPr>
                <w:sz w:val="16"/>
                <w:szCs w:val="16"/>
                <w:color w:val="auto"/>
              </w:rPr>
            </w:pPr>
          </w:p>
        </w:tc>
        <w:tc>
          <w:tcPr>
            <w:tcW w:w="2460" w:type="dxa"/>
            <w:vAlign w:val="bottom"/>
          </w:tcPr>
          <w:p>
            <w:pPr>
              <w:ind w:left="38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Pr>
          <w:p>
            <w:pPr>
              <w:spacing w:after="0"/>
              <w:rPr>
                <w:sz w:val="16"/>
                <w:szCs w:val="16"/>
                <w:color w:val="auto"/>
              </w:rPr>
            </w:pPr>
          </w:p>
        </w:tc>
        <w:tc>
          <w:tcPr>
            <w:tcW w:w="880" w:type="dxa"/>
            <w:vAlign w:val="bottom"/>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40" w:type="dxa"/>
            <w:vAlign w:val="bottom"/>
          </w:tcPr>
          <w:p>
            <w:pPr>
              <w:spacing w:after="0"/>
              <w:rPr>
                <w:sz w:val="16"/>
                <w:szCs w:val="16"/>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Cost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2</w:t>
            </w:r>
          </w:p>
        </w:tc>
      </w:tr>
      <w:tr>
        <w:trPr>
          <w:trHeight w:val="167"/>
        </w:trPr>
        <w:tc>
          <w:tcPr>
            <w:tcW w:w="27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Senior Secured Loan — Term Loan (add on)</w:t>
            </w:r>
          </w:p>
        </w:tc>
        <w:tc>
          <w:tcPr>
            <w:tcW w:w="1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5.5%</w:t>
            </w:r>
          </w:p>
        </w:tc>
        <w:tc>
          <w:tcPr>
            <w:tcW w:w="2460" w:type="dxa"/>
            <w:vAlign w:val="bottom"/>
          </w:tcPr>
          <w:p>
            <w:pPr>
              <w:spacing w:after="0"/>
              <w:rPr>
                <w:sz w:val="20"/>
                <w:szCs w:val="20"/>
                <w:color w:val="auto"/>
              </w:rPr>
            </w:pPr>
            <w:r>
              <w:rPr>
                <w:rFonts w:ascii="Arial" w:cs="Arial" w:eastAsia="Arial" w:hAnsi="Arial"/>
                <w:sz w:val="13"/>
                <w:szCs w:val="13"/>
                <w:color w:val="auto"/>
                <w:w w:val="96"/>
              </w:rPr>
              <w:t>Cash, 3 Month Libor (1.00%) + 4.50%;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12/22</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12/13/2017</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1,961,372</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1,952,741</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1,961,373</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4.8%</w:t>
            </w:r>
          </w:p>
        </w:tc>
        <w:tc>
          <w:tcPr>
            <w:tcW w:w="2460" w:type="dxa"/>
            <w:vAlign w:val="bottom"/>
          </w:tcPr>
          <w:p>
            <w:pPr>
              <w:spacing w:after="0"/>
              <w:rPr>
                <w:sz w:val="20"/>
                <w:szCs w:val="20"/>
                <w:color w:val="auto"/>
              </w:rPr>
            </w:pPr>
            <w:r>
              <w:rPr>
                <w:rFonts w:ascii="Arial" w:cs="Arial" w:eastAsia="Arial" w:hAnsi="Arial"/>
                <w:sz w:val="13"/>
                <w:szCs w:val="13"/>
                <w:color w:val="auto"/>
                <w:w w:val="96"/>
              </w:rPr>
              <w:t>Cash, 3 Month Libor (0.25%) + 4.50% , Due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rPr>
              <w:t>3/26</w:t>
            </w:r>
          </w:p>
        </w:tc>
        <w:tc>
          <w:tcPr>
            <w:tcW w:w="24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4,769,657</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4,022,186</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4,751,771</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w w:val="99"/>
              </w:rPr>
              <w:t>Senior Secured Loan — First Lien Term Loan A</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7.0%</w:t>
            </w:r>
          </w:p>
        </w:tc>
        <w:tc>
          <w:tcPr>
            <w:tcW w:w="2460" w:type="dxa"/>
            <w:vAlign w:val="bottom"/>
          </w:tcPr>
          <w:p>
            <w:pPr>
              <w:spacing w:after="0"/>
              <w:rPr>
                <w:sz w:val="20"/>
                <w:szCs w:val="20"/>
                <w:color w:val="auto"/>
              </w:rPr>
            </w:pPr>
            <w:r>
              <w:rPr>
                <w:rFonts w:ascii="Arial" w:cs="Arial" w:eastAsia="Arial" w:hAnsi="Arial"/>
                <w:sz w:val="13"/>
                <w:szCs w:val="13"/>
                <w:color w:val="auto"/>
                <w:w w:val="96"/>
              </w:rPr>
              <w:t>Cash, 1 Month Libor (1.00%) + 6.00%;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7/25</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2,695,439</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2,349,230</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2,693,336</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w w:val="99"/>
              </w:rPr>
              <w:t>Senior Secured Loan — First Lien Term Loan B</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5.5%</w:t>
            </w:r>
          </w:p>
        </w:tc>
        <w:tc>
          <w:tcPr>
            <w:tcW w:w="2460" w:type="dxa"/>
            <w:vAlign w:val="bottom"/>
          </w:tcPr>
          <w:p>
            <w:pPr>
              <w:spacing w:after="0"/>
              <w:rPr>
                <w:sz w:val="20"/>
                <w:szCs w:val="20"/>
                <w:color w:val="auto"/>
              </w:rPr>
            </w:pPr>
            <w:r>
              <w:rPr>
                <w:rFonts w:ascii="Arial" w:cs="Arial" w:eastAsia="Arial" w:hAnsi="Arial"/>
                <w:sz w:val="13"/>
                <w:szCs w:val="13"/>
                <w:color w:val="auto"/>
                <w:w w:val="96"/>
              </w:rPr>
              <w:t>Cash, 3 Month Libor (1.00%) + 4.50%;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2/25</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2,193,340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1,889,233</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2,152,544</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w w:val="99"/>
              </w:rPr>
              <w:t>Senior Secured Loan — First Lien Term Loan A</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9.5%</w:t>
            </w:r>
          </w:p>
        </w:tc>
        <w:tc>
          <w:tcPr>
            <w:tcW w:w="2460" w:type="dxa"/>
            <w:vAlign w:val="bottom"/>
          </w:tcPr>
          <w:p>
            <w:pPr>
              <w:spacing w:after="0"/>
              <w:rPr>
                <w:sz w:val="20"/>
                <w:szCs w:val="20"/>
                <w:color w:val="auto"/>
              </w:rPr>
            </w:pPr>
            <w:r>
              <w:rPr>
                <w:rFonts w:ascii="Arial" w:cs="Arial" w:eastAsia="Arial" w:hAnsi="Arial"/>
                <w:sz w:val="13"/>
                <w:szCs w:val="13"/>
                <w:color w:val="auto"/>
              </w:rPr>
              <w:t>Cash, 0.5% PIK, 1 Month Libor (1.75%) +</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7.75%; Libor Floor 1.75% , Due 3/24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5,627,336</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4,717,415</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5,571,062</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w w:val="99"/>
              </w:rPr>
              <w:t>Senior Secured Loan — First Lien Term Loan A</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6.2%</w:t>
            </w:r>
          </w:p>
        </w:tc>
        <w:tc>
          <w:tcPr>
            <w:tcW w:w="2460" w:type="dxa"/>
            <w:vAlign w:val="bottom"/>
          </w:tcPr>
          <w:p>
            <w:pPr>
              <w:spacing w:after="0"/>
              <w:rPr>
                <w:sz w:val="20"/>
                <w:szCs w:val="20"/>
                <w:color w:val="auto"/>
              </w:rPr>
            </w:pPr>
            <w:r>
              <w:rPr>
                <w:rFonts w:ascii="Arial" w:cs="Arial" w:eastAsia="Arial" w:hAnsi="Arial"/>
                <w:sz w:val="13"/>
                <w:szCs w:val="13"/>
                <w:color w:val="auto"/>
                <w:w w:val="96"/>
              </w:rPr>
              <w:t>Cash, 3 Month Libor (0.24%) + 6.00% , Due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85"/>
              </w:rPr>
              <w:t>10/24</w:t>
            </w:r>
          </w:p>
        </w:tc>
        <w:tc>
          <w:tcPr>
            <w:tcW w:w="24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3,233,554</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2,674,220</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3,089,063</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Revolving Credit</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7.8%</w:t>
            </w:r>
          </w:p>
        </w:tc>
        <w:tc>
          <w:tcPr>
            <w:tcW w:w="2460" w:type="dxa"/>
            <w:vAlign w:val="bottom"/>
          </w:tcPr>
          <w:p>
            <w:pPr>
              <w:spacing w:after="0"/>
              <w:rPr>
                <w:sz w:val="20"/>
                <w:szCs w:val="20"/>
                <w:color w:val="auto"/>
              </w:rPr>
            </w:pPr>
            <w:r>
              <w:rPr>
                <w:rFonts w:ascii="Arial" w:cs="Arial" w:eastAsia="Arial" w:hAnsi="Arial"/>
                <w:sz w:val="13"/>
                <w:szCs w:val="13"/>
                <w:color w:val="auto"/>
                <w:w w:val="96"/>
              </w:rPr>
              <w:t>Cash, 1 Month Libor (1.00%) + 6.75%;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5/21</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11/7/2019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2,291,667</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2,270,203</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2,197,917</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Revolver</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7.3%</w:t>
            </w:r>
          </w:p>
        </w:tc>
        <w:tc>
          <w:tcPr>
            <w:tcW w:w="2460" w:type="dxa"/>
            <w:vAlign w:val="bottom"/>
          </w:tcPr>
          <w:p>
            <w:pPr>
              <w:spacing w:after="0"/>
              <w:rPr>
                <w:sz w:val="20"/>
                <w:szCs w:val="20"/>
                <w:color w:val="auto"/>
              </w:rPr>
            </w:pPr>
            <w:r>
              <w:rPr>
                <w:rFonts w:ascii="Arial" w:cs="Arial" w:eastAsia="Arial" w:hAnsi="Arial"/>
                <w:sz w:val="13"/>
                <w:szCs w:val="13"/>
                <w:color w:val="auto"/>
                <w:w w:val="96"/>
              </w:rPr>
              <w:t>Cash, 3 Month Libor (1.00%) + 6.25%;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4/23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343,473</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300,180</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326,729</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w w:val="99"/>
              </w:rPr>
              <w:t>Senior Secured Loan — First Lien Term Loan B</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7.3%</w:t>
            </w:r>
          </w:p>
        </w:tc>
        <w:tc>
          <w:tcPr>
            <w:tcW w:w="2460" w:type="dxa"/>
            <w:vAlign w:val="bottom"/>
          </w:tcPr>
          <w:p>
            <w:pPr>
              <w:spacing w:after="0"/>
              <w:rPr>
                <w:sz w:val="20"/>
                <w:szCs w:val="20"/>
                <w:color w:val="auto"/>
              </w:rPr>
            </w:pPr>
            <w:r>
              <w:rPr>
                <w:rFonts w:ascii="Arial" w:cs="Arial" w:eastAsia="Arial" w:hAnsi="Arial"/>
                <w:sz w:val="13"/>
                <w:szCs w:val="13"/>
                <w:color w:val="auto"/>
                <w:w w:val="96"/>
              </w:rPr>
              <w:t>Cash, 3 Month Libor (1.00%) + 6.25%;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4/23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7,134,945</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6,235,604</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6,903,059</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6.5%</w:t>
            </w:r>
          </w:p>
        </w:tc>
        <w:tc>
          <w:tcPr>
            <w:tcW w:w="2460" w:type="dxa"/>
            <w:vAlign w:val="bottom"/>
          </w:tcPr>
          <w:p>
            <w:pPr>
              <w:spacing w:after="0"/>
              <w:rPr>
                <w:sz w:val="20"/>
                <w:szCs w:val="20"/>
                <w:color w:val="auto"/>
              </w:rPr>
            </w:pPr>
            <w:r>
              <w:rPr>
                <w:rFonts w:ascii="Arial" w:cs="Arial" w:eastAsia="Arial" w:hAnsi="Arial"/>
                <w:sz w:val="13"/>
                <w:szCs w:val="13"/>
                <w:color w:val="auto"/>
                <w:w w:val="96"/>
              </w:rPr>
              <w:t>Cash, 3 Month Libor (1.00%) + 5.50%;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4/27</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3,990,000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3,327,258</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3,803,268</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w w:val="99"/>
              </w:rPr>
              <w:t>Senior Secured Loan — First Lien Term Loan B</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6.5%</w:t>
            </w:r>
          </w:p>
        </w:tc>
        <w:tc>
          <w:tcPr>
            <w:tcW w:w="2460" w:type="dxa"/>
            <w:vAlign w:val="bottom"/>
          </w:tcPr>
          <w:p>
            <w:pPr>
              <w:spacing w:after="0"/>
              <w:rPr>
                <w:sz w:val="20"/>
                <w:szCs w:val="20"/>
                <w:color w:val="auto"/>
              </w:rPr>
            </w:pPr>
            <w:r>
              <w:rPr>
                <w:rFonts w:ascii="Arial" w:cs="Arial" w:eastAsia="Arial" w:hAnsi="Arial"/>
                <w:sz w:val="13"/>
                <w:szCs w:val="13"/>
                <w:color w:val="auto"/>
                <w:w w:val="96"/>
              </w:rPr>
              <w:t>Cash, 3 Month Libor (1.00%) + 5.50%;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11/23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8,532,796</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7,439,057</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8,453,441</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Revolver</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0.5%</w:t>
            </w:r>
          </w:p>
        </w:tc>
        <w:tc>
          <w:tcPr>
            <w:tcW w:w="2460" w:type="dxa"/>
            <w:vAlign w:val="bottom"/>
          </w:tcPr>
          <w:p>
            <w:pPr>
              <w:spacing w:after="0"/>
              <w:rPr>
                <w:sz w:val="20"/>
                <w:szCs w:val="20"/>
                <w:color w:val="auto"/>
              </w:rPr>
            </w:pPr>
            <w:r>
              <w:rPr>
                <w:rFonts w:ascii="Arial" w:cs="Arial" w:eastAsia="Arial" w:hAnsi="Arial"/>
                <w:sz w:val="13"/>
                <w:szCs w:val="13"/>
                <w:color w:val="auto"/>
              </w:rPr>
              <w:t>Cash, Due 11/22</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ind w:right="160"/>
              <w:spacing w:after="0"/>
              <w:rPr>
                <w:sz w:val="20"/>
                <w:szCs w:val="20"/>
                <w:color w:val="auto"/>
              </w:rPr>
            </w:pPr>
            <w:r>
              <w:rPr>
                <w:rFonts w:ascii="Arial" w:cs="Arial" w:eastAsia="Arial" w:hAnsi="Arial"/>
                <w:sz w:val="13"/>
                <w:szCs w:val="13"/>
                <w:color w:val="auto"/>
              </w:rPr>
              <w:t>(0 )</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(5,441 )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-5115560</wp:posOffset>
            </wp:positionV>
            <wp:extent cx="7132320" cy="3257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-4669790</wp:posOffset>
            </wp:positionV>
            <wp:extent cx="7132320" cy="3257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-4224020</wp:posOffset>
            </wp:positionV>
            <wp:extent cx="7132320" cy="3257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-3778250</wp:posOffset>
            </wp:positionV>
            <wp:extent cx="7132320" cy="3257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-3332480</wp:posOffset>
            </wp:positionV>
            <wp:extent cx="7132320" cy="3257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-2886710</wp:posOffset>
            </wp:positionV>
            <wp:extent cx="7132320" cy="3257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-2440940</wp:posOffset>
            </wp:positionV>
            <wp:extent cx="7132320" cy="3257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-1995170</wp:posOffset>
            </wp:positionV>
            <wp:extent cx="7132320" cy="3257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-1549400</wp:posOffset>
            </wp:positionV>
            <wp:extent cx="7132320" cy="3257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-1103630</wp:posOffset>
            </wp:positionV>
            <wp:extent cx="7132320" cy="3257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-657860</wp:posOffset>
            </wp:positionV>
            <wp:extent cx="7132320" cy="3257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-212090</wp:posOffset>
            </wp:positionV>
            <wp:extent cx="7132320" cy="2228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3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70485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2360" w:space="500"/>
            <w:col w:w="520" w:space="380"/>
            <w:col w:w="7400"/>
          </w:cols>
          <w:pgMar w:left="340" w:top="378" w:right="399" w:bottom="1440" w:gutter="0" w:footer="0" w:header="0"/>
        </w:sectPr>
      </w:pPr>
    </w:p>
    <w:bookmarkStart w:id="28" w:name="page29"/>
    <w:bookmarkEnd w:id="28"/>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7659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McNally Industries,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Consumer goods: Durable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McNally Industries,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Consumer goods: Durable</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McNally Industries,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Consumer goods: Durable</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Ministry Brands,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Electronics</w:t>
      </w:r>
    </w:p>
    <w:p>
      <w:pPr>
        <w:spacing w:after="0" w:line="200" w:lineRule="exact"/>
        <w:rPr>
          <w:sz w:val="20"/>
          <w:szCs w:val="20"/>
          <w:color w:val="auto"/>
        </w:rPr>
      </w:pPr>
    </w:p>
    <w:p>
      <w:pPr>
        <w:spacing w:after="0" w:line="353" w:lineRule="exact"/>
        <w:rPr>
          <w:sz w:val="20"/>
          <w:szCs w:val="20"/>
          <w:color w:val="auto"/>
        </w:rPr>
      </w:pPr>
    </w:p>
    <w:p>
      <w:pPr>
        <w:jc w:val="right"/>
        <w:ind w:right="360"/>
        <w:spacing w:after="0" w:line="320" w:lineRule="auto"/>
        <w:rPr>
          <w:sz w:val="20"/>
          <w:szCs w:val="20"/>
          <w:color w:val="auto"/>
        </w:rPr>
      </w:pPr>
      <w:r>
        <w:rPr>
          <w:rFonts w:ascii="Arial" w:cs="Arial" w:eastAsia="Arial" w:hAnsi="Arial"/>
          <w:sz w:val="12"/>
          <w:szCs w:val="12"/>
          <w:color w:val="auto"/>
        </w:rPr>
        <w:t>Mother's Market &amp; Kitchen, Inc. Healthcare &amp; Pharmaceuticals</w:t>
      </w: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color w:val="auto"/>
        </w:rPr>
        <w:t>MountainTop Financial,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Transportation: Cargo</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MSM Acquisitions,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MSM Acquisitions,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Nasco Healthcare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Healthcare, Education and Childcare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Navex Topco,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Electronics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Naviga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Naviga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8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8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8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8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8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8"/>
          <w:szCs w:val="8"/>
          <w:color w:val="auto"/>
        </w:rPr>
        <w:t>(8)(13)(14)(21)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7"/>
          <w:szCs w:val="7"/>
          <w:color w:val="auto"/>
        </w:rPr>
        <w:t>(8)(13)(14)(18)(21)</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8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80"/>
        <w:spacing w:after="0"/>
        <w:rPr>
          <w:sz w:val="20"/>
          <w:szCs w:val="20"/>
          <w:color w:val="auto"/>
        </w:rPr>
      </w:pPr>
      <w:r>
        <w:rPr>
          <w:rFonts w:ascii="Arial" w:cs="Arial" w:eastAsia="Arial" w:hAnsi="Arial"/>
          <w:sz w:val="7"/>
          <w:szCs w:val="7"/>
          <w:color w:val="auto"/>
        </w:rPr>
        <w:t>(8)(13)(14)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1"/>
        </w:trPr>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80" w:type="dxa"/>
            <w:vAlign w:val="bottom"/>
          </w:tcPr>
          <w:p>
            <w:pPr>
              <w:ind w:left="440"/>
              <w:spacing w:after="0"/>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Amortized</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1"/>
        </w:trPr>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tcPr>
          <w:p>
            <w:pPr>
              <w:ind w:left="4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Pr>
          <w:p>
            <w:pPr>
              <w:spacing w:after="0"/>
              <w:rPr>
                <w:sz w:val="16"/>
                <w:szCs w:val="16"/>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240" w:type="dxa"/>
            <w:vAlign w:val="bottom"/>
          </w:tcPr>
          <w:p>
            <w:pPr>
              <w:spacing w:after="0"/>
              <w:rPr>
                <w:sz w:val="16"/>
                <w:szCs w:val="16"/>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Cost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2</w:t>
            </w:r>
          </w:p>
        </w:tc>
      </w:tr>
      <w:tr>
        <w:trPr>
          <w:trHeight w:val="167"/>
        </w:trPr>
        <w:tc>
          <w:tcPr>
            <w:tcW w:w="2680" w:type="dxa"/>
            <w:vAlign w:val="bottom"/>
            <w:tcBorders>
              <w:top w:val="single" w:sz="8" w:color="auto"/>
            </w:tcBorders>
            <w:gridSpan w:val="3"/>
          </w:tcPr>
          <w:p>
            <w:pPr>
              <w:ind w:left="20"/>
              <w:spacing w:after="0"/>
              <w:rPr>
                <w:sz w:val="20"/>
                <w:szCs w:val="20"/>
                <w:color w:val="auto"/>
              </w:rPr>
            </w:pPr>
            <w:r>
              <w:rPr>
                <w:rFonts w:ascii="Arial" w:cs="Arial" w:eastAsia="Arial" w:hAnsi="Arial"/>
                <w:sz w:val="13"/>
                <w:szCs w:val="13"/>
                <w:color w:val="auto"/>
                <w:w w:val="90"/>
              </w:rPr>
              <w:t>Senior Secured Loan — Delayed Draw Term Loan</w:t>
            </w:r>
          </w:p>
        </w:tc>
        <w:tc>
          <w:tcPr>
            <w:tcW w:w="1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0" w:type="dxa"/>
            <w:vAlign w:val="bottom"/>
            <w:gridSpan w:val="2"/>
          </w:tcPr>
          <w:p>
            <w:pPr>
              <w:ind w:left="20"/>
              <w:spacing w:after="0"/>
              <w:rPr>
                <w:sz w:val="20"/>
                <w:szCs w:val="20"/>
                <w:color w:val="auto"/>
              </w:rPr>
            </w:pPr>
            <w:r>
              <w:rPr>
                <w:rFonts w:ascii="Arial" w:cs="Arial" w:eastAsia="Arial" w:hAnsi="Arial"/>
                <w:sz w:val="13"/>
                <w:szCs w:val="13"/>
                <w:color w:val="auto"/>
                <w:w w:val="90"/>
              </w:rPr>
              <w:t>(First Lien)</w:t>
            </w: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7.3%</w:t>
            </w:r>
          </w:p>
        </w:tc>
        <w:tc>
          <w:tcPr>
            <w:tcW w:w="300" w:type="dxa"/>
            <w:vAlign w:val="bottom"/>
          </w:tcPr>
          <w:p>
            <w:pPr>
              <w:spacing w:after="0"/>
              <w:rPr>
                <w:sz w:val="20"/>
                <w:szCs w:val="20"/>
                <w:color w:val="auto"/>
              </w:rPr>
            </w:pPr>
            <w:r>
              <w:rPr>
                <w:rFonts w:ascii="Arial" w:cs="Arial" w:eastAsia="Arial" w:hAnsi="Arial"/>
                <w:sz w:val="13"/>
                <w:szCs w:val="13"/>
                <w:color w:val="auto"/>
                <w:w w:val="82"/>
              </w:rPr>
              <w:t>Cash,</w:t>
            </w:r>
          </w:p>
        </w:tc>
        <w:tc>
          <w:tcPr>
            <w:tcW w:w="2080" w:type="dxa"/>
            <w:vAlign w:val="bottom"/>
          </w:tcPr>
          <w:p>
            <w:pPr>
              <w:ind w:left="20"/>
              <w:spacing w:after="0"/>
              <w:rPr>
                <w:sz w:val="20"/>
                <w:szCs w:val="20"/>
                <w:color w:val="auto"/>
              </w:rPr>
            </w:pPr>
            <w:r>
              <w:rPr>
                <w:rFonts w:ascii="Arial" w:cs="Arial" w:eastAsia="Arial" w:hAnsi="Arial"/>
                <w:sz w:val="13"/>
                <w:szCs w:val="13"/>
                <w:color w:val="auto"/>
                <w:w w:val="94"/>
              </w:rPr>
              <w:t>1 Month Libor (1.50%) + 5.75%;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680" w:type="dxa"/>
            <w:vAlign w:val="bottom"/>
            <w:gridSpan w:val="3"/>
          </w:tcPr>
          <w:p>
            <w:pPr>
              <w:ind w:left="20"/>
              <w:spacing w:after="0"/>
              <w:rPr>
                <w:sz w:val="20"/>
                <w:szCs w:val="20"/>
                <w:color w:val="auto"/>
              </w:rPr>
            </w:pPr>
            <w:r>
              <w:rPr>
                <w:rFonts w:ascii="Arial" w:cs="Arial" w:eastAsia="Arial" w:hAnsi="Arial"/>
                <w:sz w:val="13"/>
                <w:szCs w:val="13"/>
                <w:color w:val="auto"/>
              </w:rPr>
              <w:t>Floor 1.50% , Due 8/24</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49,147</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42,989</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49,024</w:t>
            </w:r>
          </w:p>
        </w:tc>
        <w:tc>
          <w:tcPr>
            <w:tcW w:w="40" w:type="dxa"/>
            <w:vAlign w:val="bottom"/>
          </w:tcPr>
          <w:p>
            <w:pPr>
              <w:spacing w:after="0"/>
              <w:rPr>
                <w:sz w:val="14"/>
                <w:szCs w:val="14"/>
                <w:color w:val="auto"/>
              </w:rPr>
            </w:pPr>
          </w:p>
        </w:tc>
      </w:tr>
      <w:tr>
        <w:trPr>
          <w:trHeight w:val="378"/>
        </w:trPr>
        <w:tc>
          <w:tcPr>
            <w:tcW w:w="2680" w:type="dxa"/>
            <w:vAlign w:val="bottom"/>
            <w:gridSpan w:val="3"/>
          </w:tcPr>
          <w:p>
            <w:pPr>
              <w:ind w:left="20"/>
              <w:spacing w:after="0"/>
              <w:rPr>
                <w:sz w:val="20"/>
                <w:szCs w:val="20"/>
                <w:color w:val="auto"/>
              </w:rPr>
            </w:pPr>
            <w:r>
              <w:rPr>
                <w:rFonts w:ascii="Arial" w:cs="Arial" w:eastAsia="Arial" w:hAnsi="Arial"/>
                <w:sz w:val="13"/>
                <w:szCs w:val="13"/>
                <w:color w:val="auto"/>
              </w:rPr>
              <w:t>Senior Secured Loan — Revolver</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0.5%</w:t>
            </w:r>
          </w:p>
        </w:tc>
        <w:tc>
          <w:tcPr>
            <w:tcW w:w="2380" w:type="dxa"/>
            <w:vAlign w:val="bottom"/>
            <w:gridSpan w:val="2"/>
          </w:tcPr>
          <w:p>
            <w:pPr>
              <w:spacing w:after="0"/>
              <w:rPr>
                <w:sz w:val="20"/>
                <w:szCs w:val="20"/>
                <w:color w:val="auto"/>
              </w:rPr>
            </w:pPr>
            <w:r>
              <w:rPr>
                <w:rFonts w:ascii="Arial" w:cs="Arial" w:eastAsia="Arial" w:hAnsi="Arial"/>
                <w:sz w:val="13"/>
                <w:szCs w:val="13"/>
                <w:color w:val="auto"/>
              </w:rPr>
              <w:t>Cash, Due 8/24</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ind w:right="180"/>
              <w:spacing w:after="0"/>
              <w:rPr>
                <w:sz w:val="20"/>
                <w:szCs w:val="20"/>
                <w:color w:val="auto"/>
              </w:rPr>
            </w:pPr>
            <w:r>
              <w:rPr>
                <w:rFonts w:ascii="Arial" w:cs="Arial" w:eastAsia="Arial" w:hAnsi="Arial"/>
                <w:sz w:val="13"/>
                <w:szCs w:val="13"/>
                <w:color w:val="auto"/>
              </w:rPr>
              <w:t>(5,507 )</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(125 )</w:t>
            </w:r>
          </w:p>
        </w:tc>
      </w:tr>
      <w:tr>
        <w:trPr>
          <w:trHeight w:val="378"/>
        </w:trPr>
        <w:tc>
          <w:tcPr>
            <w:tcW w:w="2680" w:type="dxa"/>
            <w:vAlign w:val="bottom"/>
            <w:gridSpan w:val="3"/>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7.3%</w:t>
            </w:r>
          </w:p>
        </w:tc>
        <w:tc>
          <w:tcPr>
            <w:tcW w:w="300" w:type="dxa"/>
            <w:vAlign w:val="bottom"/>
          </w:tcPr>
          <w:p>
            <w:pPr>
              <w:spacing w:after="0"/>
              <w:rPr>
                <w:sz w:val="20"/>
                <w:szCs w:val="20"/>
                <w:color w:val="auto"/>
              </w:rPr>
            </w:pPr>
            <w:r>
              <w:rPr>
                <w:rFonts w:ascii="Arial" w:cs="Arial" w:eastAsia="Arial" w:hAnsi="Arial"/>
                <w:sz w:val="13"/>
                <w:szCs w:val="13"/>
                <w:color w:val="auto"/>
                <w:w w:val="82"/>
              </w:rPr>
              <w:t>Cash,</w:t>
            </w:r>
          </w:p>
        </w:tc>
        <w:tc>
          <w:tcPr>
            <w:tcW w:w="2080" w:type="dxa"/>
            <w:vAlign w:val="bottom"/>
          </w:tcPr>
          <w:p>
            <w:pPr>
              <w:ind w:left="20"/>
              <w:spacing w:after="0"/>
              <w:rPr>
                <w:sz w:val="20"/>
                <w:szCs w:val="20"/>
                <w:color w:val="auto"/>
              </w:rPr>
            </w:pPr>
            <w:r>
              <w:rPr>
                <w:rFonts w:ascii="Arial" w:cs="Arial" w:eastAsia="Arial" w:hAnsi="Arial"/>
                <w:sz w:val="13"/>
                <w:szCs w:val="13"/>
                <w:color w:val="auto"/>
                <w:w w:val="94"/>
              </w:rPr>
              <w:t>1 Month Libor (1.50%) + 5.75%;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680" w:type="dxa"/>
            <w:vAlign w:val="bottom"/>
            <w:gridSpan w:val="3"/>
          </w:tcPr>
          <w:p>
            <w:pPr>
              <w:ind w:left="20"/>
              <w:spacing w:after="0"/>
              <w:rPr>
                <w:sz w:val="20"/>
                <w:szCs w:val="20"/>
                <w:color w:val="auto"/>
              </w:rPr>
            </w:pPr>
            <w:r>
              <w:rPr>
                <w:rFonts w:ascii="Arial" w:cs="Arial" w:eastAsia="Arial" w:hAnsi="Arial"/>
                <w:sz w:val="13"/>
                <w:szCs w:val="13"/>
                <w:color w:val="auto"/>
              </w:rPr>
              <w:t>Floor 1.50% , Due 8/24</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6,770,625</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5,922,332</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6,753,698</w:t>
            </w:r>
          </w:p>
        </w:tc>
        <w:tc>
          <w:tcPr>
            <w:tcW w:w="40" w:type="dxa"/>
            <w:vAlign w:val="bottom"/>
          </w:tcPr>
          <w:p>
            <w:pPr>
              <w:spacing w:after="0"/>
              <w:rPr>
                <w:sz w:val="14"/>
                <w:szCs w:val="14"/>
                <w:color w:val="auto"/>
              </w:rPr>
            </w:pPr>
          </w:p>
        </w:tc>
      </w:tr>
      <w:tr>
        <w:trPr>
          <w:trHeight w:val="378"/>
        </w:trPr>
        <w:tc>
          <w:tcPr>
            <w:tcW w:w="2680" w:type="dxa"/>
            <w:vAlign w:val="bottom"/>
            <w:gridSpan w:val="3"/>
          </w:tcPr>
          <w:p>
            <w:pPr>
              <w:ind w:left="20"/>
              <w:spacing w:after="0"/>
              <w:rPr>
                <w:sz w:val="20"/>
                <w:szCs w:val="20"/>
                <w:color w:val="auto"/>
              </w:rPr>
            </w:pPr>
            <w:r>
              <w:rPr>
                <w:rFonts w:ascii="Arial" w:cs="Arial" w:eastAsia="Arial" w:hAnsi="Arial"/>
                <w:sz w:val="13"/>
                <w:szCs w:val="13"/>
                <w:color w:val="auto"/>
                <w:w w:val="97"/>
              </w:rPr>
              <w:t>Junior Secured Loan — April 2018 Incremental</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680" w:type="dxa"/>
            <w:vAlign w:val="bottom"/>
            <w:gridSpan w:val="3"/>
          </w:tcPr>
          <w:p>
            <w:pPr>
              <w:ind w:left="20"/>
              <w:spacing w:after="0"/>
              <w:rPr>
                <w:sz w:val="20"/>
                <w:szCs w:val="20"/>
                <w:color w:val="auto"/>
              </w:rPr>
            </w:pPr>
            <w:r>
              <w:rPr>
                <w:rFonts w:ascii="Arial" w:cs="Arial" w:eastAsia="Arial" w:hAnsi="Arial"/>
                <w:sz w:val="13"/>
                <w:szCs w:val="13"/>
                <w:color w:val="auto"/>
              </w:rPr>
              <w:t>Term Loan (Second Lien)</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9.0%</w:t>
            </w:r>
          </w:p>
        </w:tc>
        <w:tc>
          <w:tcPr>
            <w:tcW w:w="300" w:type="dxa"/>
            <w:vAlign w:val="bottom"/>
          </w:tcPr>
          <w:p>
            <w:pPr>
              <w:spacing w:after="0"/>
              <w:rPr>
                <w:sz w:val="20"/>
                <w:szCs w:val="20"/>
                <w:color w:val="auto"/>
              </w:rPr>
            </w:pPr>
            <w:r>
              <w:rPr>
                <w:rFonts w:ascii="Arial" w:cs="Arial" w:eastAsia="Arial" w:hAnsi="Arial"/>
                <w:sz w:val="13"/>
                <w:szCs w:val="13"/>
                <w:color w:val="auto"/>
                <w:w w:val="82"/>
              </w:rPr>
              <w:t>Cash,</w:t>
            </w:r>
          </w:p>
        </w:tc>
        <w:tc>
          <w:tcPr>
            <w:tcW w:w="2080" w:type="dxa"/>
            <w:vAlign w:val="bottom"/>
          </w:tcPr>
          <w:p>
            <w:pPr>
              <w:ind w:left="20"/>
              <w:spacing w:after="0"/>
              <w:rPr>
                <w:sz w:val="20"/>
                <w:szCs w:val="20"/>
                <w:color w:val="auto"/>
              </w:rPr>
            </w:pPr>
            <w:r>
              <w:rPr>
                <w:rFonts w:ascii="Arial" w:cs="Arial" w:eastAsia="Arial" w:hAnsi="Arial"/>
                <w:sz w:val="13"/>
                <w:szCs w:val="13"/>
                <w:color w:val="auto"/>
                <w:w w:val="94"/>
              </w:rPr>
              <w:t>3 Month Libor (1.00%) + 8.00%;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680" w:type="dxa"/>
            <w:vAlign w:val="bottom"/>
            <w:gridSpan w:val="3"/>
          </w:tcPr>
          <w:p>
            <w:pPr>
              <w:ind w:left="20"/>
              <w:spacing w:after="0"/>
              <w:rPr>
                <w:sz w:val="20"/>
                <w:szCs w:val="20"/>
                <w:color w:val="auto"/>
              </w:rPr>
            </w:pPr>
            <w:r>
              <w:rPr>
                <w:rFonts w:ascii="Arial" w:cs="Arial" w:eastAsia="Arial" w:hAnsi="Arial"/>
                <w:sz w:val="13"/>
                <w:szCs w:val="13"/>
                <w:color w:val="auto"/>
              </w:rPr>
              <w:t>Floor 1.00% , Due 6/23</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12/18/2019</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6,000,000</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5,555,131</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5,722,800</w:t>
            </w:r>
          </w:p>
        </w:tc>
        <w:tc>
          <w:tcPr>
            <w:tcW w:w="40" w:type="dxa"/>
            <w:vAlign w:val="bottom"/>
          </w:tcPr>
          <w:p>
            <w:pPr>
              <w:spacing w:after="0"/>
              <w:rPr>
                <w:sz w:val="14"/>
                <w:szCs w:val="14"/>
                <w:color w:val="auto"/>
              </w:rPr>
            </w:pPr>
          </w:p>
        </w:tc>
      </w:tr>
      <w:tr>
        <w:trPr>
          <w:trHeight w:val="378"/>
        </w:trPr>
        <w:tc>
          <w:tcPr>
            <w:tcW w:w="2680" w:type="dxa"/>
            <w:vAlign w:val="bottom"/>
            <w:gridSpan w:val="3"/>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6.8%</w:t>
            </w:r>
          </w:p>
        </w:tc>
        <w:tc>
          <w:tcPr>
            <w:tcW w:w="300" w:type="dxa"/>
            <w:vAlign w:val="bottom"/>
          </w:tcPr>
          <w:p>
            <w:pPr>
              <w:spacing w:after="0"/>
              <w:rPr>
                <w:sz w:val="20"/>
                <w:szCs w:val="20"/>
                <w:color w:val="auto"/>
              </w:rPr>
            </w:pPr>
            <w:r>
              <w:rPr>
                <w:rFonts w:ascii="Arial" w:cs="Arial" w:eastAsia="Arial" w:hAnsi="Arial"/>
                <w:sz w:val="13"/>
                <w:szCs w:val="13"/>
                <w:color w:val="auto"/>
                <w:w w:val="82"/>
              </w:rPr>
              <w:t>Cash,</w:t>
            </w:r>
          </w:p>
        </w:tc>
        <w:tc>
          <w:tcPr>
            <w:tcW w:w="2080" w:type="dxa"/>
            <w:vAlign w:val="bottom"/>
          </w:tcPr>
          <w:p>
            <w:pPr>
              <w:ind w:left="20"/>
              <w:spacing w:after="0"/>
              <w:rPr>
                <w:sz w:val="20"/>
                <w:szCs w:val="20"/>
                <w:color w:val="auto"/>
              </w:rPr>
            </w:pPr>
            <w:r>
              <w:rPr>
                <w:rFonts w:ascii="Arial" w:cs="Arial" w:eastAsia="Arial" w:hAnsi="Arial"/>
                <w:sz w:val="13"/>
                <w:szCs w:val="13"/>
                <w:color w:val="auto"/>
                <w:w w:val="94"/>
              </w:rPr>
              <w:t>3 Month Libor (1.25%) + 5.50%;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680" w:type="dxa"/>
            <w:vAlign w:val="bottom"/>
            <w:gridSpan w:val="3"/>
          </w:tcPr>
          <w:p>
            <w:pPr>
              <w:ind w:left="20"/>
              <w:spacing w:after="0"/>
              <w:rPr>
                <w:sz w:val="20"/>
                <w:szCs w:val="20"/>
                <w:color w:val="auto"/>
              </w:rPr>
            </w:pPr>
            <w:r>
              <w:rPr>
                <w:rFonts w:ascii="Arial" w:cs="Arial" w:eastAsia="Arial" w:hAnsi="Arial"/>
                <w:sz w:val="13"/>
                <w:szCs w:val="13"/>
                <w:color w:val="auto"/>
              </w:rPr>
              <w:t>Floor 1.25% , Due 7/23</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6,954,470</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6,070,606</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6,841,807</w:t>
            </w:r>
          </w:p>
        </w:tc>
        <w:tc>
          <w:tcPr>
            <w:tcW w:w="40" w:type="dxa"/>
            <w:vAlign w:val="bottom"/>
          </w:tcPr>
          <w:p>
            <w:pPr>
              <w:spacing w:after="0"/>
              <w:rPr>
                <w:sz w:val="14"/>
                <w:szCs w:val="14"/>
                <w:color w:val="auto"/>
              </w:rPr>
            </w:pPr>
          </w:p>
        </w:tc>
      </w:tr>
      <w:tr>
        <w:trPr>
          <w:trHeight w:val="378"/>
        </w:trPr>
        <w:tc>
          <w:tcPr>
            <w:tcW w:w="2680" w:type="dxa"/>
            <w:vAlign w:val="bottom"/>
            <w:gridSpan w:val="3"/>
          </w:tcPr>
          <w:p>
            <w:pPr>
              <w:ind w:left="20"/>
              <w:spacing w:after="0"/>
              <w:rPr>
                <w:sz w:val="20"/>
                <w:szCs w:val="20"/>
                <w:color w:val="auto"/>
              </w:rPr>
            </w:pPr>
            <w:r>
              <w:rPr>
                <w:rFonts w:ascii="Arial" w:cs="Arial" w:eastAsia="Arial" w:hAnsi="Arial"/>
                <w:sz w:val="13"/>
                <w:szCs w:val="13"/>
                <w:color w:val="auto"/>
                <w:w w:val="96"/>
              </w:rPr>
              <w:t>Senior Secured Loan — First Lien Term Loan A</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8.5%</w:t>
            </w:r>
          </w:p>
        </w:tc>
        <w:tc>
          <w:tcPr>
            <w:tcW w:w="300" w:type="dxa"/>
            <w:vAlign w:val="bottom"/>
          </w:tcPr>
          <w:p>
            <w:pPr>
              <w:spacing w:after="0"/>
              <w:rPr>
                <w:sz w:val="20"/>
                <w:szCs w:val="20"/>
                <w:color w:val="auto"/>
              </w:rPr>
            </w:pPr>
            <w:r>
              <w:rPr>
                <w:rFonts w:ascii="Arial" w:cs="Arial" w:eastAsia="Arial" w:hAnsi="Arial"/>
                <w:sz w:val="13"/>
                <w:szCs w:val="13"/>
                <w:color w:val="auto"/>
                <w:w w:val="82"/>
              </w:rPr>
              <w:t>Cash,</w:t>
            </w:r>
          </w:p>
        </w:tc>
        <w:tc>
          <w:tcPr>
            <w:tcW w:w="2080" w:type="dxa"/>
            <w:vAlign w:val="bottom"/>
          </w:tcPr>
          <w:p>
            <w:pPr>
              <w:ind w:left="20"/>
              <w:spacing w:after="0"/>
              <w:rPr>
                <w:sz w:val="20"/>
                <w:szCs w:val="20"/>
                <w:color w:val="auto"/>
              </w:rPr>
            </w:pPr>
            <w:r>
              <w:rPr>
                <w:rFonts w:ascii="Arial" w:cs="Arial" w:eastAsia="Arial" w:hAnsi="Arial"/>
                <w:sz w:val="13"/>
                <w:szCs w:val="13"/>
                <w:color w:val="auto"/>
                <w:w w:val="94"/>
              </w:rPr>
              <w:t>3 Month Libor (1.50%) + 7.00%;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680" w:type="dxa"/>
            <w:vAlign w:val="bottom"/>
            <w:gridSpan w:val="3"/>
          </w:tcPr>
          <w:p>
            <w:pPr>
              <w:ind w:left="20"/>
              <w:spacing w:after="0"/>
              <w:rPr>
                <w:sz w:val="20"/>
                <w:szCs w:val="20"/>
                <w:color w:val="auto"/>
              </w:rPr>
            </w:pPr>
            <w:r>
              <w:rPr>
                <w:rFonts w:ascii="Arial" w:cs="Arial" w:eastAsia="Arial" w:hAnsi="Arial"/>
                <w:sz w:val="13"/>
                <w:szCs w:val="13"/>
                <w:color w:val="auto"/>
              </w:rPr>
              <w:t>Floor 1.50% , Due 3/24</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6,379,954</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5,584,923</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6,353,158</w:t>
            </w:r>
          </w:p>
        </w:tc>
        <w:tc>
          <w:tcPr>
            <w:tcW w:w="40" w:type="dxa"/>
            <w:vAlign w:val="bottom"/>
          </w:tcPr>
          <w:p>
            <w:pPr>
              <w:spacing w:after="0"/>
              <w:rPr>
                <w:sz w:val="14"/>
                <w:szCs w:val="14"/>
                <w:color w:val="auto"/>
              </w:rPr>
            </w:pPr>
          </w:p>
        </w:tc>
      </w:tr>
      <w:tr>
        <w:trPr>
          <w:trHeight w:val="378"/>
        </w:trPr>
        <w:tc>
          <w:tcPr>
            <w:tcW w:w="2680" w:type="dxa"/>
            <w:vAlign w:val="bottom"/>
            <w:gridSpan w:val="3"/>
          </w:tcPr>
          <w:p>
            <w:pPr>
              <w:ind w:left="20"/>
              <w:spacing w:after="0"/>
              <w:rPr>
                <w:sz w:val="20"/>
                <w:szCs w:val="20"/>
                <w:color w:val="auto"/>
              </w:rPr>
            </w:pPr>
            <w:r>
              <w:rPr>
                <w:rFonts w:ascii="Arial" w:cs="Arial" w:eastAsia="Arial" w:hAnsi="Arial"/>
                <w:sz w:val="13"/>
                <w:szCs w:val="13"/>
                <w:color w:val="auto"/>
                <w:w w:val="90"/>
              </w:rPr>
              <w:t>Senior Secured Loan — Delayed Draw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600" w:type="dxa"/>
            <w:vAlign w:val="bottom"/>
            <w:gridSpan w:val="2"/>
          </w:tcPr>
          <w:p>
            <w:pPr>
              <w:ind w:left="20"/>
              <w:spacing w:after="0"/>
              <w:rPr>
                <w:sz w:val="20"/>
                <w:szCs w:val="20"/>
                <w:color w:val="auto"/>
              </w:rPr>
            </w:pPr>
            <w:r>
              <w:rPr>
                <w:rFonts w:ascii="Arial" w:cs="Arial" w:eastAsia="Arial" w:hAnsi="Arial"/>
                <w:sz w:val="13"/>
                <w:szCs w:val="13"/>
                <w:color w:val="auto"/>
                <w:w w:val="90"/>
              </w:rPr>
              <w:t>(First Lien)</w:t>
            </w: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1.0%</w:t>
            </w:r>
          </w:p>
        </w:tc>
        <w:tc>
          <w:tcPr>
            <w:tcW w:w="2380" w:type="dxa"/>
            <w:vAlign w:val="bottom"/>
            <w:gridSpan w:val="2"/>
          </w:tcPr>
          <w:p>
            <w:pPr>
              <w:spacing w:after="0"/>
              <w:rPr>
                <w:sz w:val="20"/>
                <w:szCs w:val="20"/>
                <w:color w:val="auto"/>
              </w:rPr>
            </w:pPr>
            <w:r>
              <w:rPr>
                <w:rFonts w:ascii="Arial" w:cs="Arial" w:eastAsia="Arial" w:hAnsi="Arial"/>
                <w:sz w:val="13"/>
                <w:szCs w:val="13"/>
                <w:color w:val="auto"/>
              </w:rPr>
              <w:t>Cash, Due 6/22</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12/31/2020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7,339</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7,353</w:t>
            </w:r>
          </w:p>
        </w:tc>
        <w:tc>
          <w:tcPr>
            <w:tcW w:w="40" w:type="dxa"/>
            <w:vAlign w:val="bottom"/>
          </w:tcPr>
          <w:p>
            <w:pPr>
              <w:spacing w:after="0"/>
              <w:rPr>
                <w:sz w:val="14"/>
                <w:szCs w:val="14"/>
                <w:color w:val="auto"/>
              </w:rPr>
            </w:pPr>
          </w:p>
        </w:tc>
      </w:tr>
      <w:tr>
        <w:trPr>
          <w:trHeight w:val="378"/>
        </w:trPr>
        <w:tc>
          <w:tcPr>
            <w:tcW w:w="2680" w:type="dxa"/>
            <w:vAlign w:val="bottom"/>
            <w:gridSpan w:val="3"/>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7.0%</w:t>
            </w:r>
          </w:p>
        </w:tc>
        <w:tc>
          <w:tcPr>
            <w:tcW w:w="300" w:type="dxa"/>
            <w:vAlign w:val="bottom"/>
          </w:tcPr>
          <w:p>
            <w:pPr>
              <w:spacing w:after="0"/>
              <w:rPr>
                <w:sz w:val="20"/>
                <w:szCs w:val="20"/>
                <w:color w:val="auto"/>
              </w:rPr>
            </w:pPr>
            <w:r>
              <w:rPr>
                <w:rFonts w:ascii="Arial" w:cs="Arial" w:eastAsia="Arial" w:hAnsi="Arial"/>
                <w:sz w:val="13"/>
                <w:szCs w:val="13"/>
                <w:color w:val="auto"/>
                <w:w w:val="82"/>
              </w:rPr>
              <w:t>Cash,</w:t>
            </w:r>
          </w:p>
        </w:tc>
        <w:tc>
          <w:tcPr>
            <w:tcW w:w="2080" w:type="dxa"/>
            <w:vAlign w:val="bottom"/>
          </w:tcPr>
          <w:p>
            <w:pPr>
              <w:ind w:left="20"/>
              <w:spacing w:after="0"/>
              <w:rPr>
                <w:sz w:val="20"/>
                <w:szCs w:val="20"/>
                <w:color w:val="auto"/>
              </w:rPr>
            </w:pPr>
            <w:r>
              <w:rPr>
                <w:rFonts w:ascii="Arial" w:cs="Arial" w:eastAsia="Arial" w:hAnsi="Arial"/>
                <w:sz w:val="13"/>
                <w:szCs w:val="13"/>
                <w:color w:val="auto"/>
                <w:w w:val="94"/>
              </w:rPr>
              <w:t>1 Month Libor (1.00%) + 6.00%;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680" w:type="dxa"/>
            <w:vAlign w:val="bottom"/>
            <w:gridSpan w:val="3"/>
          </w:tcPr>
          <w:p>
            <w:pPr>
              <w:ind w:left="20"/>
              <w:spacing w:after="0"/>
              <w:rPr>
                <w:sz w:val="20"/>
                <w:szCs w:val="20"/>
                <w:color w:val="auto"/>
              </w:rPr>
            </w:pPr>
            <w:r>
              <w:rPr>
                <w:rFonts w:ascii="Arial" w:cs="Arial" w:eastAsia="Arial" w:hAnsi="Arial"/>
                <w:sz w:val="13"/>
                <w:szCs w:val="13"/>
                <w:color w:val="auto"/>
              </w:rPr>
              <w:t>Floor 1.00% , Due 1/26</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12/31/2020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7,058,824</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6,970,629</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6,970,588</w:t>
            </w:r>
          </w:p>
        </w:tc>
        <w:tc>
          <w:tcPr>
            <w:tcW w:w="40" w:type="dxa"/>
            <w:vAlign w:val="bottom"/>
          </w:tcPr>
          <w:p>
            <w:pPr>
              <w:spacing w:after="0"/>
              <w:rPr>
                <w:sz w:val="14"/>
                <w:szCs w:val="14"/>
                <w:color w:val="auto"/>
              </w:rPr>
            </w:pPr>
          </w:p>
        </w:tc>
      </w:tr>
      <w:tr>
        <w:trPr>
          <w:trHeight w:val="378"/>
        </w:trPr>
        <w:tc>
          <w:tcPr>
            <w:tcW w:w="2680" w:type="dxa"/>
            <w:vAlign w:val="bottom"/>
            <w:gridSpan w:val="3"/>
          </w:tcPr>
          <w:p>
            <w:pPr>
              <w:ind w:left="20"/>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5.5%</w:t>
            </w:r>
          </w:p>
        </w:tc>
        <w:tc>
          <w:tcPr>
            <w:tcW w:w="300" w:type="dxa"/>
            <w:vAlign w:val="bottom"/>
          </w:tcPr>
          <w:p>
            <w:pPr>
              <w:spacing w:after="0"/>
              <w:rPr>
                <w:sz w:val="20"/>
                <w:szCs w:val="20"/>
                <w:color w:val="auto"/>
              </w:rPr>
            </w:pPr>
            <w:r>
              <w:rPr>
                <w:rFonts w:ascii="Arial" w:cs="Arial" w:eastAsia="Arial" w:hAnsi="Arial"/>
                <w:sz w:val="13"/>
                <w:szCs w:val="13"/>
                <w:color w:val="auto"/>
                <w:w w:val="82"/>
              </w:rPr>
              <w:t>Cash,</w:t>
            </w:r>
          </w:p>
        </w:tc>
        <w:tc>
          <w:tcPr>
            <w:tcW w:w="2080" w:type="dxa"/>
            <w:vAlign w:val="bottom"/>
          </w:tcPr>
          <w:p>
            <w:pPr>
              <w:ind w:left="20"/>
              <w:spacing w:after="0"/>
              <w:rPr>
                <w:sz w:val="20"/>
                <w:szCs w:val="20"/>
                <w:color w:val="auto"/>
              </w:rPr>
            </w:pPr>
            <w:r>
              <w:rPr>
                <w:rFonts w:ascii="Arial" w:cs="Arial" w:eastAsia="Arial" w:hAnsi="Arial"/>
                <w:sz w:val="13"/>
                <w:szCs w:val="13"/>
                <w:color w:val="auto"/>
                <w:w w:val="94"/>
              </w:rPr>
              <w:t>3 Month Libor (1.00%) + 4.50%;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680" w:type="dxa"/>
            <w:vAlign w:val="bottom"/>
            <w:gridSpan w:val="3"/>
          </w:tcPr>
          <w:p>
            <w:pPr>
              <w:ind w:left="20"/>
              <w:spacing w:after="0"/>
              <w:rPr>
                <w:sz w:val="20"/>
                <w:szCs w:val="20"/>
                <w:color w:val="auto"/>
              </w:rPr>
            </w:pPr>
            <w:r>
              <w:rPr>
                <w:rFonts w:ascii="Arial" w:cs="Arial" w:eastAsia="Arial" w:hAnsi="Arial"/>
                <w:sz w:val="13"/>
                <w:szCs w:val="13"/>
                <w:color w:val="auto"/>
              </w:rPr>
              <w:t>Floor 1.00% , Due 6/21</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5/22/2020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4,509,119</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4,220,080</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4,285,015</w:t>
            </w:r>
          </w:p>
        </w:tc>
        <w:tc>
          <w:tcPr>
            <w:tcW w:w="40" w:type="dxa"/>
            <w:vAlign w:val="bottom"/>
          </w:tcPr>
          <w:p>
            <w:pPr>
              <w:spacing w:after="0"/>
              <w:rPr>
                <w:sz w:val="14"/>
                <w:szCs w:val="14"/>
                <w:color w:val="auto"/>
              </w:rPr>
            </w:pPr>
          </w:p>
        </w:tc>
      </w:tr>
      <w:tr>
        <w:trPr>
          <w:trHeight w:val="378"/>
        </w:trPr>
        <w:tc>
          <w:tcPr>
            <w:tcW w:w="2680" w:type="dxa"/>
            <w:vAlign w:val="bottom"/>
            <w:gridSpan w:val="3"/>
          </w:tcPr>
          <w:p>
            <w:pPr>
              <w:ind w:left="20"/>
              <w:spacing w:after="0"/>
              <w:rPr>
                <w:sz w:val="20"/>
                <w:szCs w:val="20"/>
                <w:color w:val="auto"/>
              </w:rPr>
            </w:pPr>
            <w:r>
              <w:rPr>
                <w:rFonts w:ascii="Arial" w:cs="Arial" w:eastAsia="Arial" w:hAnsi="Arial"/>
                <w:sz w:val="13"/>
                <w:szCs w:val="13"/>
                <w:color w:val="auto"/>
                <w:w w:val="91"/>
              </w:rPr>
              <w:t>Junior Secured Loan — Initial Term Loan (Second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9"/>
              </w:rPr>
              <w:t>Lien)</w:t>
            </w:r>
          </w:p>
        </w:tc>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7.2%</w:t>
            </w:r>
          </w:p>
        </w:tc>
        <w:tc>
          <w:tcPr>
            <w:tcW w:w="300" w:type="dxa"/>
            <w:vAlign w:val="bottom"/>
          </w:tcPr>
          <w:p>
            <w:pPr>
              <w:spacing w:after="0"/>
              <w:rPr>
                <w:sz w:val="20"/>
                <w:szCs w:val="20"/>
                <w:color w:val="auto"/>
              </w:rPr>
            </w:pPr>
            <w:r>
              <w:rPr>
                <w:rFonts w:ascii="Arial" w:cs="Arial" w:eastAsia="Arial" w:hAnsi="Arial"/>
                <w:sz w:val="13"/>
                <w:szCs w:val="13"/>
                <w:color w:val="auto"/>
                <w:w w:val="82"/>
              </w:rPr>
              <w:t>Cash,</w:t>
            </w:r>
          </w:p>
        </w:tc>
        <w:tc>
          <w:tcPr>
            <w:tcW w:w="2080" w:type="dxa"/>
            <w:vAlign w:val="bottom"/>
          </w:tcPr>
          <w:p>
            <w:pPr>
              <w:ind w:left="20"/>
              <w:spacing w:after="0"/>
              <w:rPr>
                <w:sz w:val="20"/>
                <w:szCs w:val="20"/>
                <w:color w:val="auto"/>
              </w:rPr>
            </w:pPr>
            <w:r>
              <w:rPr>
                <w:rFonts w:ascii="Arial" w:cs="Arial" w:eastAsia="Arial" w:hAnsi="Arial"/>
                <w:sz w:val="13"/>
                <w:szCs w:val="13"/>
                <w:color w:val="auto"/>
                <w:w w:val="94"/>
              </w:rPr>
              <w:t>1 Month Libor (0.15%) + 7.00% , Due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rPr>
              <w:t>9/26</w:t>
            </w:r>
          </w:p>
        </w:tc>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12/4/2018</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7,700,000</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7,222,712</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7,488,250</w:t>
            </w:r>
          </w:p>
        </w:tc>
        <w:tc>
          <w:tcPr>
            <w:tcW w:w="40" w:type="dxa"/>
            <w:vAlign w:val="bottom"/>
          </w:tcPr>
          <w:p>
            <w:pPr>
              <w:spacing w:after="0"/>
              <w:rPr>
                <w:sz w:val="14"/>
                <w:szCs w:val="14"/>
                <w:color w:val="auto"/>
              </w:rPr>
            </w:pPr>
          </w:p>
        </w:tc>
      </w:tr>
      <w:tr>
        <w:trPr>
          <w:trHeight w:val="378"/>
        </w:trPr>
        <w:tc>
          <w:tcPr>
            <w:tcW w:w="2680" w:type="dxa"/>
            <w:vAlign w:val="bottom"/>
            <w:gridSpan w:val="3"/>
          </w:tcPr>
          <w:p>
            <w:pPr>
              <w:ind w:left="20"/>
              <w:spacing w:after="0"/>
              <w:rPr>
                <w:sz w:val="20"/>
                <w:szCs w:val="20"/>
                <w:color w:val="auto"/>
              </w:rPr>
            </w:pPr>
            <w:r>
              <w:rPr>
                <w:rFonts w:ascii="Arial" w:cs="Arial" w:eastAsia="Arial" w:hAnsi="Arial"/>
                <w:sz w:val="13"/>
                <w:szCs w:val="13"/>
                <w:color w:val="auto"/>
                <w:w w:val="90"/>
              </w:rPr>
              <w:t>Senior Secured Loan — Delayed Draw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8.0%</w:t>
            </w:r>
          </w:p>
        </w:tc>
        <w:tc>
          <w:tcPr>
            <w:tcW w:w="300" w:type="dxa"/>
            <w:vAlign w:val="bottom"/>
          </w:tcPr>
          <w:p>
            <w:pPr>
              <w:spacing w:after="0"/>
              <w:rPr>
                <w:sz w:val="20"/>
                <w:szCs w:val="20"/>
                <w:color w:val="auto"/>
              </w:rPr>
            </w:pPr>
            <w:r>
              <w:rPr>
                <w:rFonts w:ascii="Arial" w:cs="Arial" w:eastAsia="Arial" w:hAnsi="Arial"/>
                <w:sz w:val="13"/>
                <w:szCs w:val="13"/>
                <w:color w:val="auto"/>
                <w:w w:val="82"/>
              </w:rPr>
              <w:t>Cash,</w:t>
            </w:r>
          </w:p>
        </w:tc>
        <w:tc>
          <w:tcPr>
            <w:tcW w:w="2080" w:type="dxa"/>
            <w:vAlign w:val="bottom"/>
          </w:tcPr>
          <w:p>
            <w:pPr>
              <w:ind w:left="20"/>
              <w:spacing w:after="0"/>
              <w:rPr>
                <w:sz w:val="20"/>
                <w:szCs w:val="20"/>
                <w:color w:val="auto"/>
              </w:rPr>
            </w:pPr>
            <w:r>
              <w:rPr>
                <w:rFonts w:ascii="Arial" w:cs="Arial" w:eastAsia="Arial" w:hAnsi="Arial"/>
                <w:sz w:val="13"/>
                <w:szCs w:val="13"/>
                <w:color w:val="auto"/>
                <w:w w:val="94"/>
              </w:rPr>
              <w:t>3 Month Libor (1.00%) + 7.00%;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680" w:type="dxa"/>
            <w:vAlign w:val="bottom"/>
            <w:gridSpan w:val="3"/>
          </w:tcPr>
          <w:p>
            <w:pPr>
              <w:ind w:left="20"/>
              <w:spacing w:after="0"/>
              <w:rPr>
                <w:sz w:val="20"/>
                <w:szCs w:val="20"/>
                <w:color w:val="auto"/>
              </w:rPr>
            </w:pPr>
            <w:r>
              <w:rPr>
                <w:rFonts w:ascii="Arial" w:cs="Arial" w:eastAsia="Arial" w:hAnsi="Arial"/>
                <w:sz w:val="13"/>
                <w:szCs w:val="13"/>
                <w:color w:val="auto"/>
              </w:rPr>
              <w:t>Floor 1.00% , Due 12/22</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461,859</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401,461</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455,532</w:t>
            </w:r>
          </w:p>
        </w:tc>
        <w:tc>
          <w:tcPr>
            <w:tcW w:w="40" w:type="dxa"/>
            <w:vAlign w:val="bottom"/>
          </w:tcPr>
          <w:p>
            <w:pPr>
              <w:spacing w:after="0"/>
              <w:rPr>
                <w:sz w:val="14"/>
                <w:szCs w:val="14"/>
                <w:color w:val="auto"/>
              </w:rPr>
            </w:pPr>
          </w:p>
        </w:tc>
      </w:tr>
      <w:tr>
        <w:trPr>
          <w:trHeight w:val="378"/>
        </w:trPr>
        <w:tc>
          <w:tcPr>
            <w:tcW w:w="2680" w:type="dxa"/>
            <w:vAlign w:val="bottom"/>
            <w:gridSpan w:val="3"/>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8.0%</w:t>
            </w:r>
          </w:p>
        </w:tc>
        <w:tc>
          <w:tcPr>
            <w:tcW w:w="300" w:type="dxa"/>
            <w:vAlign w:val="bottom"/>
          </w:tcPr>
          <w:p>
            <w:pPr>
              <w:spacing w:after="0"/>
              <w:rPr>
                <w:sz w:val="20"/>
                <w:szCs w:val="20"/>
                <w:color w:val="auto"/>
              </w:rPr>
            </w:pPr>
            <w:r>
              <w:rPr>
                <w:rFonts w:ascii="Arial" w:cs="Arial" w:eastAsia="Arial" w:hAnsi="Arial"/>
                <w:sz w:val="13"/>
                <w:szCs w:val="13"/>
                <w:color w:val="auto"/>
                <w:w w:val="82"/>
              </w:rPr>
              <w:t>Cash,</w:t>
            </w:r>
          </w:p>
        </w:tc>
        <w:tc>
          <w:tcPr>
            <w:tcW w:w="2080" w:type="dxa"/>
            <w:vAlign w:val="bottom"/>
          </w:tcPr>
          <w:p>
            <w:pPr>
              <w:ind w:left="20"/>
              <w:spacing w:after="0"/>
              <w:rPr>
                <w:sz w:val="20"/>
                <w:szCs w:val="20"/>
                <w:color w:val="auto"/>
              </w:rPr>
            </w:pPr>
            <w:r>
              <w:rPr>
                <w:rFonts w:ascii="Arial" w:cs="Arial" w:eastAsia="Arial" w:hAnsi="Arial"/>
                <w:sz w:val="13"/>
                <w:szCs w:val="13"/>
                <w:color w:val="auto"/>
                <w:w w:val="94"/>
              </w:rPr>
              <w:t>3 Month Libor (1.00%) + 7.00%;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680" w:type="dxa"/>
            <w:vAlign w:val="bottom"/>
            <w:gridSpan w:val="3"/>
          </w:tcPr>
          <w:p>
            <w:pPr>
              <w:ind w:left="20"/>
              <w:spacing w:after="0"/>
              <w:rPr>
                <w:sz w:val="20"/>
                <w:szCs w:val="20"/>
                <w:color w:val="auto"/>
              </w:rPr>
            </w:pPr>
            <w:r>
              <w:rPr>
                <w:rFonts w:ascii="Arial" w:cs="Arial" w:eastAsia="Arial" w:hAnsi="Arial"/>
                <w:sz w:val="13"/>
                <w:szCs w:val="13"/>
                <w:color w:val="auto"/>
              </w:rPr>
              <w:t>Floor 1.00% , Due 12/22</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411,227</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321,598</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401,837</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-5424170</wp:posOffset>
            </wp:positionV>
            <wp:extent cx="7132320" cy="4286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-4875530</wp:posOffset>
            </wp:positionV>
            <wp:extent cx="7132320" cy="2228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-4532630</wp:posOffset>
            </wp:positionV>
            <wp:extent cx="7132320" cy="3257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-4086860</wp:posOffset>
            </wp:positionV>
            <wp:extent cx="7132320" cy="4286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-3538220</wp:posOffset>
            </wp:positionV>
            <wp:extent cx="7132320" cy="3257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-3092450</wp:posOffset>
            </wp:positionV>
            <wp:extent cx="7132320" cy="3257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-2646680</wp:posOffset>
            </wp:positionV>
            <wp:extent cx="7132320" cy="3257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-2200910</wp:posOffset>
            </wp:positionV>
            <wp:extent cx="7132320" cy="3257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-1755140</wp:posOffset>
            </wp:positionV>
            <wp:extent cx="7132320" cy="3257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-1309370</wp:posOffset>
            </wp:positionV>
            <wp:extent cx="7132320" cy="4286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-760730</wp:posOffset>
            </wp:positionV>
            <wp:extent cx="7132320" cy="3257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-314960</wp:posOffset>
            </wp:positionV>
            <wp:extent cx="7132320" cy="3257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70485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2060" w:space="720"/>
            <w:col w:w="660" w:space="480"/>
            <w:col w:w="7240"/>
          </w:cols>
          <w:pgMar w:left="340" w:top="378" w:right="399" w:bottom="1440" w:gutter="0" w:footer="0" w:header="0"/>
        </w:sectPr>
      </w:pPr>
    </w:p>
    <w:bookmarkStart w:id="29" w:name="page30"/>
    <w:bookmarkEnd w:id="29"/>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81737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Naviga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jc w:val="right"/>
        <w:ind w:right="1140"/>
        <w:spacing w:after="0"/>
        <w:rPr>
          <w:sz w:val="20"/>
          <w:szCs w:val="20"/>
          <w:color w:val="auto"/>
        </w:rPr>
      </w:pPr>
      <w:r>
        <w:rPr>
          <w:rFonts w:ascii="Arial" w:cs="Arial" w:eastAsia="Arial" w:hAnsi="Arial"/>
          <w:sz w:val="10"/>
          <w:szCs w:val="10"/>
          <w:color w:val="auto"/>
        </w:rPr>
        <w:t>Novetta Solutions, LLC</w:t>
      </w:r>
    </w:p>
    <w:p>
      <w:pPr>
        <w:spacing w:after="0" w:line="47" w:lineRule="exact"/>
        <w:rPr>
          <w:sz w:val="20"/>
          <w:szCs w:val="20"/>
          <w:color w:val="auto"/>
        </w:rPr>
      </w:pPr>
    </w:p>
    <w:p>
      <w:pPr>
        <w:jc w:val="right"/>
        <w:ind w:right="1120"/>
        <w:spacing w:after="0"/>
        <w:rPr>
          <w:sz w:val="20"/>
          <w:szCs w:val="20"/>
          <w:color w:val="auto"/>
        </w:rPr>
      </w:pPr>
      <w:r>
        <w:rPr>
          <w:rFonts w:ascii="Arial" w:cs="Arial" w:eastAsia="Arial" w:hAnsi="Arial"/>
          <w:sz w:val="13"/>
          <w:szCs w:val="13"/>
          <w:color w:val="auto"/>
        </w:rPr>
        <w:t>High Tech Industries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Orbit Purchaser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3"/>
          <w:szCs w:val="13"/>
          <w:color w:val="auto"/>
        </w:rPr>
        <w:t>Orbit Purchaser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Orbit Purchaser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Phoenix Guarantor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391" w:lineRule="exact"/>
        <w:rPr>
          <w:sz w:val="20"/>
          <w:szCs w:val="20"/>
          <w:color w:val="auto"/>
        </w:rPr>
      </w:pPr>
    </w:p>
    <w:p>
      <w:pPr>
        <w:jc w:val="center"/>
        <w:ind w:right="1100"/>
        <w:spacing w:after="0"/>
        <w:rPr>
          <w:sz w:val="20"/>
          <w:szCs w:val="20"/>
          <w:color w:val="auto"/>
        </w:rPr>
      </w:pPr>
      <w:r>
        <w:rPr>
          <w:rFonts w:ascii="Arial" w:cs="Arial" w:eastAsia="Arial" w:hAnsi="Arial"/>
          <w:sz w:val="10"/>
          <w:szCs w:val="10"/>
          <w:color w:val="auto"/>
        </w:rPr>
        <w:t>Pinstripe Holdings, LLC</w:t>
      </w:r>
    </w:p>
    <w:p>
      <w:pPr>
        <w:spacing w:after="0" w:line="47" w:lineRule="exact"/>
        <w:rPr>
          <w:sz w:val="20"/>
          <w:szCs w:val="20"/>
          <w:color w:val="auto"/>
        </w:rPr>
      </w:pPr>
    </w:p>
    <w:p>
      <w:pPr>
        <w:jc w:val="center"/>
        <w:ind w:right="108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PromptCare Companies, The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PromptCare Companies, The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PromptCare Companies, The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PSC Industrial Holdings Corp.</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Environmental Industries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PVHC Holding Corp</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Containers, Packaging and Glass</w:t>
      </w:r>
    </w:p>
    <w:p>
      <w:pPr>
        <w:spacing w:after="0" w:line="391" w:lineRule="exact"/>
        <w:rPr>
          <w:sz w:val="20"/>
          <w:szCs w:val="20"/>
          <w:color w:val="auto"/>
        </w:rPr>
      </w:pPr>
    </w:p>
    <w:p>
      <w:pPr>
        <w:ind w:left="160" w:hanging="157"/>
        <w:spacing w:after="0" w:line="277" w:lineRule="auto"/>
        <w:rPr>
          <w:sz w:val="20"/>
          <w:szCs w:val="20"/>
          <w:color w:val="auto"/>
        </w:rPr>
      </w:pPr>
      <w:r>
        <w:rPr>
          <w:rFonts w:ascii="Arial" w:cs="Arial" w:eastAsia="Arial" w:hAnsi="Arial"/>
          <w:sz w:val="13"/>
          <w:szCs w:val="13"/>
          <w:color w:val="auto"/>
        </w:rPr>
        <w:t>Q Holding Company (fka Lex Precision Corp) Chemicals, Plastics &amp; Rubber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7"/>
          <w:szCs w:val="7"/>
          <w:color w:val="auto"/>
        </w:rPr>
        <w:t>(8)(13)(14)(21)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7"/>
          <w:szCs w:val="7"/>
          <w:color w:val="auto"/>
        </w:rPr>
        <w:t>(8)(13)(14)(21)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Initial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1"/>
        </w:trPr>
        <w:tc>
          <w:tcPr>
            <w:tcW w:w="280" w:type="dxa"/>
            <w:vAlign w:val="bottom"/>
          </w:tcPr>
          <w:p>
            <w:pPr>
              <w:spacing w:after="0"/>
              <w:rPr>
                <w:sz w:val="13"/>
                <w:szCs w:val="13"/>
                <w:color w:val="auto"/>
              </w:rPr>
            </w:pPr>
          </w:p>
        </w:tc>
        <w:tc>
          <w:tcPr>
            <w:tcW w:w="2480" w:type="dxa"/>
            <w:vAlign w:val="bottom"/>
          </w:tcPr>
          <w:p>
            <w:pPr>
              <w:ind w:left="800"/>
              <w:spacing w:after="0"/>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Amortized</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1"/>
        </w:trPr>
        <w:tc>
          <w:tcPr>
            <w:tcW w:w="280" w:type="dxa"/>
            <w:vAlign w:val="bottom"/>
          </w:tcPr>
          <w:p>
            <w:pPr>
              <w:spacing w:after="0"/>
              <w:rPr>
                <w:sz w:val="16"/>
                <w:szCs w:val="16"/>
                <w:color w:val="auto"/>
              </w:rPr>
            </w:pPr>
          </w:p>
        </w:tc>
        <w:tc>
          <w:tcPr>
            <w:tcW w:w="2480" w:type="dxa"/>
            <w:vAlign w:val="bottom"/>
          </w:tcPr>
          <w:p>
            <w:pPr>
              <w:ind w:left="4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Pr>
          <w:p>
            <w:pPr>
              <w:spacing w:after="0"/>
              <w:rPr>
                <w:sz w:val="16"/>
                <w:szCs w:val="16"/>
                <w:color w:val="auto"/>
              </w:rPr>
            </w:pPr>
          </w:p>
        </w:tc>
        <w:tc>
          <w:tcPr>
            <w:tcW w:w="880" w:type="dxa"/>
            <w:vAlign w:val="bottom"/>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40" w:type="dxa"/>
            <w:vAlign w:val="bottom"/>
          </w:tcPr>
          <w:p>
            <w:pPr>
              <w:spacing w:after="0"/>
              <w:rPr>
                <w:sz w:val="16"/>
                <w:szCs w:val="16"/>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Cost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2</w:t>
            </w:r>
          </w:p>
        </w:tc>
      </w:tr>
      <w:tr>
        <w:trPr>
          <w:trHeight w:val="167"/>
        </w:trPr>
        <w:tc>
          <w:tcPr>
            <w:tcW w:w="27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8.0%</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3 Month Libor (1.00%) + 7.00%;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12/22</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5,050,283</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4,389,994</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4,981,094</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6.0%</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3 Month Libor (1.00%) + 5.00%;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10/22</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1,943,730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1,677,869</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1,939,678</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w w:val="90"/>
              </w:rPr>
              <w:t>Senior Secured Loan — Incremental First Lien Term</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9"/>
              </w:rPr>
              <w:t>Loan</w:t>
            </w: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5.5%</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3 Month Libor (1.00%) + 4.50%;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10/24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1,539,869</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1,339,929</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1,527,242</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5.5%</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3 Month Libor (1.00%) + 4.50%;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10/24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2,548,122</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2,211,950</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2,527,227</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w w:val="94"/>
              </w:rPr>
              <w:t>Senior Secured Loan — Delayed Draw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5.5%</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3 Month Libor (1.00%) + 4.50%;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10/24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745,098</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648,353</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738,988</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w w:val="98"/>
              </w:rPr>
              <w:t>Junior Secured Loan — Term Loan Second Lien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9.3%</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1 Month Libor (1.00%) + 8.25%;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3/27</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12/18/2019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1,200,000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1,100,239</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1,179,480</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Initial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6.3%</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6 month Libor (0.27%) + 6.00% , Due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rPr>
              <w:t>1/25</w:t>
            </w:r>
          </w:p>
        </w:tc>
        <w:tc>
          <w:tcPr>
            <w:tcW w:w="24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1/17/2019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4,912,500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4,845,938</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4,620,206</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w w:val="89"/>
              </w:rPr>
              <w:t>Senior Secured Loan — Second Delayed Draw Term</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9"/>
              </w:rPr>
              <w:t>Loan</w:t>
            </w: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1.0%</w:t>
            </w:r>
          </w:p>
        </w:tc>
        <w:tc>
          <w:tcPr>
            <w:tcW w:w="2480" w:type="dxa"/>
            <w:vAlign w:val="bottom"/>
          </w:tcPr>
          <w:p>
            <w:pPr>
              <w:ind w:left="20"/>
              <w:spacing w:after="0"/>
              <w:rPr>
                <w:sz w:val="20"/>
                <w:szCs w:val="20"/>
                <w:color w:val="auto"/>
              </w:rPr>
            </w:pPr>
            <w:r>
              <w:rPr>
                <w:rFonts w:ascii="Arial" w:cs="Arial" w:eastAsia="Arial" w:hAnsi="Arial"/>
                <w:sz w:val="13"/>
                <w:szCs w:val="13"/>
                <w:color w:val="auto"/>
              </w:rPr>
              <w:t>Cash, Due 12/25</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2/20/2020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ind w:right="160"/>
              <w:spacing w:after="0"/>
              <w:rPr>
                <w:sz w:val="20"/>
                <w:szCs w:val="20"/>
                <w:color w:val="auto"/>
              </w:rPr>
            </w:pPr>
            <w:r>
              <w:rPr>
                <w:rFonts w:ascii="Arial" w:cs="Arial" w:eastAsia="Arial" w:hAnsi="Arial"/>
                <w:sz w:val="13"/>
                <w:szCs w:val="13"/>
                <w:color w:val="auto"/>
              </w:rPr>
              <w:t>(2,326 )</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(4,091 )</w:t>
            </w: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6.3%</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1 Month Libor (1.00%) + 5.25%;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12/25</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2/20/2020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3,870,000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3,837,015</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3,840,975</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w w:val="95"/>
              </w:rPr>
              <w:t>Senior Secured Loan — First Delayed Draw Term</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9"/>
              </w:rPr>
              <w:t>Loan</w:t>
            </w: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6.3%</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1 Month Libor (1.00%) + 5.25%;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12/25</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2/20/2020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540,000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535,398</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535,950</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w w:val="94"/>
              </w:rPr>
              <w:t>Junior Secured Loan — Initial Term Loan (Second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Lien)</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9.5%</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1 Month Libor (1.00%) + 8.50%;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10/25</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10/5/2017</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3,000,000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2,962,901</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2,622,495</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Initial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5.8%</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3 Month Libor (1.00%) + 4.75%;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8/24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8/10/2018</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2,815,200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2,806,740</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2,502,994</w:t>
            </w:r>
          </w:p>
        </w:tc>
        <w:tc>
          <w:tcPr>
            <w:tcW w:w="40" w:type="dxa"/>
            <w:vAlign w:val="bottom"/>
          </w:tcPr>
          <w:p>
            <w:pPr>
              <w:spacing w:after="0"/>
              <w:rPr>
                <w:sz w:val="14"/>
                <w:szCs w:val="14"/>
                <w:color w:val="auto"/>
              </w:rPr>
            </w:pP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3"/>
                <w:szCs w:val="13"/>
                <w:color w:val="auto"/>
                <w:w w:val="87"/>
              </w:rPr>
              <w:t>6.0%</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3 Month Libor (1.00%) + 5.00%;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12/23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2,379,005</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1,917,038</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2,234,599</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-5972810</wp:posOffset>
            </wp:positionV>
            <wp:extent cx="7132320" cy="3257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-5527040</wp:posOffset>
            </wp:positionV>
            <wp:extent cx="7132320" cy="3257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-5081270</wp:posOffset>
            </wp:positionV>
            <wp:extent cx="7132320" cy="42862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-4532630</wp:posOffset>
            </wp:positionV>
            <wp:extent cx="7132320" cy="3257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-4086860</wp:posOffset>
            </wp:positionV>
            <wp:extent cx="7132320" cy="3257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-3641090</wp:posOffset>
            </wp:positionV>
            <wp:extent cx="7132320" cy="3257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-3195320</wp:posOffset>
            </wp:positionV>
            <wp:extent cx="7132320" cy="3257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-2749550</wp:posOffset>
            </wp:positionV>
            <wp:extent cx="7132320" cy="3257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-2303780</wp:posOffset>
            </wp:positionV>
            <wp:extent cx="7132320" cy="3257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-1858010</wp:posOffset>
            </wp:positionV>
            <wp:extent cx="7132320" cy="42862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-1309370</wp:posOffset>
            </wp:positionV>
            <wp:extent cx="7132320" cy="4286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-760730</wp:posOffset>
            </wp:positionV>
            <wp:extent cx="7132320" cy="3257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-314960</wp:posOffset>
            </wp:positionV>
            <wp:extent cx="7132320" cy="3257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70485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2340" w:space="520"/>
            <w:col w:w="520" w:space="380"/>
            <w:col w:w="7400"/>
          </w:cols>
          <w:pgMar w:left="340" w:top="378" w:right="399" w:bottom="1440" w:gutter="0" w:footer="0" w:header="0"/>
        </w:sectPr>
      </w:pPr>
    </w:p>
    <w:bookmarkStart w:id="30" w:name="page31"/>
    <w:bookmarkEnd w:id="30"/>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8256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Qualtek USA,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High Tech Industries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RA Outdoors,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Radiology Partners,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Radius Aerospace,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Aerospace and Defense</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Ravn Air Group,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Aerospace and Defense</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Ritedose Holdings I,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Ritedose Holdings I,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Riverside Fund V, L.P.</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Robertshaw US Holding Corp.</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Capital Equipment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Roscoe Medical,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Safe Fleet Holdings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Automotive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San Vicente Capital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Telecommunications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(8)(14)(21)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80"/>
        <w:spacing w:after="0"/>
        <w:rPr>
          <w:sz w:val="20"/>
          <w:szCs w:val="20"/>
          <w:color w:val="auto"/>
        </w:rPr>
      </w:pPr>
      <w:r>
        <w:rPr>
          <w:rFonts w:ascii="Arial" w:cs="Arial" w:eastAsia="Arial" w:hAnsi="Arial"/>
          <w:sz w:val="8"/>
          <w:szCs w:val="8"/>
          <w:color w:val="auto"/>
        </w:rPr>
        <w:t>(5)(8)(13)</w:t>
      </w:r>
    </w:p>
    <w:p>
      <w:pPr>
        <w:spacing w:after="0" w:line="200" w:lineRule="exact"/>
        <w:rPr>
          <w:sz w:val="20"/>
          <w:szCs w:val="20"/>
          <w:color w:val="auto"/>
        </w:rPr>
      </w:pPr>
    </w:p>
    <w:p>
      <w:pPr>
        <w:spacing w:after="0" w:line="248"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60"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8"/>
          <w:szCs w:val="8"/>
          <w:color w:val="auto"/>
        </w:rPr>
        <w:t>(13)(21)</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8"/>
          <w:szCs w:val="8"/>
          <w:color w:val="auto"/>
        </w:rPr>
        <w:t>(8)(13)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7"/>
          <w:szCs w:val="7"/>
          <w:color w:val="auto"/>
        </w:rPr>
        <w:t>(8)(13)(14)(21)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1"/>
        </w:trPr>
        <w:tc>
          <w:tcPr>
            <w:tcW w:w="300" w:type="dxa"/>
            <w:vAlign w:val="bottom"/>
          </w:tcPr>
          <w:p>
            <w:pPr>
              <w:spacing w:after="0"/>
              <w:rPr>
                <w:sz w:val="13"/>
                <w:szCs w:val="13"/>
                <w:color w:val="auto"/>
              </w:rPr>
            </w:pPr>
          </w:p>
        </w:tc>
        <w:tc>
          <w:tcPr>
            <w:tcW w:w="2480" w:type="dxa"/>
            <w:vAlign w:val="bottom"/>
          </w:tcPr>
          <w:p>
            <w:pPr>
              <w:ind w:left="800"/>
              <w:spacing w:after="0"/>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Amortized</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1"/>
        </w:trPr>
        <w:tc>
          <w:tcPr>
            <w:tcW w:w="300" w:type="dxa"/>
            <w:vAlign w:val="bottom"/>
          </w:tcPr>
          <w:p>
            <w:pPr>
              <w:spacing w:after="0"/>
              <w:rPr>
                <w:sz w:val="16"/>
                <w:szCs w:val="16"/>
                <w:color w:val="auto"/>
              </w:rPr>
            </w:pPr>
          </w:p>
        </w:tc>
        <w:tc>
          <w:tcPr>
            <w:tcW w:w="2480" w:type="dxa"/>
            <w:vAlign w:val="bottom"/>
          </w:tcPr>
          <w:p>
            <w:pPr>
              <w:ind w:left="38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Pr>
          <w:p>
            <w:pPr>
              <w:spacing w:after="0"/>
              <w:rPr>
                <w:sz w:val="16"/>
                <w:szCs w:val="16"/>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240" w:type="dxa"/>
            <w:vAlign w:val="bottom"/>
          </w:tcPr>
          <w:p>
            <w:pPr>
              <w:spacing w:after="0"/>
              <w:rPr>
                <w:sz w:val="16"/>
                <w:szCs w:val="16"/>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Cost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2</w:t>
            </w:r>
          </w:p>
        </w:tc>
      </w:tr>
      <w:tr>
        <w:trPr>
          <w:trHeight w:val="167"/>
        </w:trPr>
        <w:tc>
          <w:tcPr>
            <w:tcW w:w="27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7.3%</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3 Month Libor (1.00%) + 6.25%;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Floor 1.00% , Due 7/25</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5,660,358</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4,507,974</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5,358,491</w:t>
            </w:r>
          </w:p>
        </w:tc>
        <w:tc>
          <w:tcPr>
            <w:tcW w:w="40" w:type="dxa"/>
            <w:vAlign w:val="bottom"/>
          </w:tcPr>
          <w:p>
            <w:pPr>
              <w:spacing w:after="0"/>
              <w:rPr>
                <w:sz w:val="14"/>
                <w:szCs w:val="14"/>
                <w:color w:val="auto"/>
              </w:rPr>
            </w:pPr>
          </w:p>
        </w:tc>
      </w:tr>
      <w:tr>
        <w:trPr>
          <w:trHeight w:val="378"/>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5.8%</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3 Month Libor (1.00%) + 4.75%;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Floor 1.00% , Due 9/24</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7,206,556</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6,272,077</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7,139,535</w:t>
            </w:r>
          </w:p>
        </w:tc>
        <w:tc>
          <w:tcPr>
            <w:tcW w:w="40" w:type="dxa"/>
            <w:vAlign w:val="bottom"/>
          </w:tcPr>
          <w:p>
            <w:pPr>
              <w:spacing w:after="0"/>
              <w:rPr>
                <w:sz w:val="14"/>
                <w:szCs w:val="14"/>
                <w:color w:val="auto"/>
              </w:rPr>
            </w:pPr>
          </w:p>
        </w:tc>
      </w:tr>
      <w:tr>
        <w:trPr>
          <w:trHeight w:val="378"/>
        </w:trPr>
        <w:tc>
          <w:tcPr>
            <w:tcW w:w="2780" w:type="dxa"/>
            <w:vAlign w:val="bottom"/>
            <w:gridSpan w:val="2"/>
          </w:tcPr>
          <w:p>
            <w:pPr>
              <w:ind w:left="20"/>
              <w:spacing w:after="0"/>
              <w:rPr>
                <w:sz w:val="20"/>
                <w:szCs w:val="20"/>
                <w:color w:val="auto"/>
              </w:rPr>
            </w:pPr>
            <w:r>
              <w:rPr>
                <w:rFonts w:ascii="Arial" w:cs="Arial" w:eastAsia="Arial" w:hAnsi="Arial"/>
                <w:sz w:val="13"/>
                <w:szCs w:val="13"/>
                <w:color w:val="auto"/>
                <w:w w:val="96"/>
              </w:rPr>
              <w:t>Senior Secured Loan — Term B Loan (First Lien)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5.3%</w:t>
            </w:r>
          </w:p>
        </w:tc>
        <w:tc>
          <w:tcPr>
            <w:tcW w:w="2480" w:type="dxa"/>
            <w:vAlign w:val="bottom"/>
          </w:tcPr>
          <w:p>
            <w:pPr>
              <w:ind w:left="20"/>
              <w:spacing w:after="0"/>
              <w:rPr>
                <w:sz w:val="20"/>
                <w:szCs w:val="20"/>
                <w:color w:val="auto"/>
              </w:rPr>
            </w:pPr>
            <w:r>
              <w:rPr>
                <w:rFonts w:ascii="Arial" w:cs="Arial" w:eastAsia="Arial" w:hAnsi="Arial"/>
                <w:sz w:val="13"/>
                <w:szCs w:val="13"/>
                <w:color w:val="auto"/>
                <w:w w:val="93"/>
              </w:rPr>
              <w:t>Cash, 12 Month Libor (1.04%) + 4.25% , Due</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rPr>
              <w:t>7/25</w:t>
            </w:r>
          </w:p>
        </w:tc>
        <w:tc>
          <w:tcPr>
            <w:tcW w:w="24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3/24/2020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7,000,000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5,845,451</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6,900,845</w:t>
            </w:r>
          </w:p>
        </w:tc>
        <w:tc>
          <w:tcPr>
            <w:tcW w:w="40" w:type="dxa"/>
            <w:vAlign w:val="bottom"/>
          </w:tcPr>
          <w:p>
            <w:pPr>
              <w:spacing w:after="0"/>
              <w:rPr>
                <w:sz w:val="14"/>
                <w:szCs w:val="14"/>
                <w:color w:val="auto"/>
              </w:rPr>
            </w:pPr>
          </w:p>
        </w:tc>
      </w:tr>
      <w:tr>
        <w:trPr>
          <w:trHeight w:val="378"/>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Senior Secured Loan — Initial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6.8%</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3 Month Libor (1.00%) + 5.75%;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Floor 1.00% , Due 3/25</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6/27/2019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6,877,500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6,801,385</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6,351,371</w:t>
            </w:r>
          </w:p>
        </w:tc>
        <w:tc>
          <w:tcPr>
            <w:tcW w:w="40" w:type="dxa"/>
            <w:vAlign w:val="bottom"/>
          </w:tcPr>
          <w:p>
            <w:pPr>
              <w:spacing w:after="0"/>
              <w:rPr>
                <w:sz w:val="14"/>
                <w:szCs w:val="14"/>
                <w:color w:val="auto"/>
              </w:rPr>
            </w:pPr>
          </w:p>
        </w:tc>
      </w:tr>
      <w:tr>
        <w:trPr>
          <w:trHeight w:val="378"/>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Senior Secured Loan — Initial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6.0%</w:t>
            </w:r>
          </w:p>
        </w:tc>
        <w:tc>
          <w:tcPr>
            <w:tcW w:w="2480" w:type="dxa"/>
            <w:vAlign w:val="bottom"/>
          </w:tcPr>
          <w:p>
            <w:pPr>
              <w:ind w:left="20"/>
              <w:spacing w:after="0"/>
              <w:rPr>
                <w:sz w:val="20"/>
                <w:szCs w:val="20"/>
                <w:color w:val="auto"/>
              </w:rPr>
            </w:pPr>
            <w:r>
              <w:rPr>
                <w:rFonts w:ascii="Arial" w:cs="Arial" w:eastAsia="Arial" w:hAnsi="Arial"/>
                <w:sz w:val="13"/>
                <w:szCs w:val="13"/>
                <w:color w:val="auto"/>
              </w:rPr>
              <w:t>Cash, Due 7/21</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7/29/2015</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1,015,351</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247,543</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225,306</w:t>
            </w:r>
          </w:p>
        </w:tc>
        <w:tc>
          <w:tcPr>
            <w:tcW w:w="40" w:type="dxa"/>
            <w:vAlign w:val="bottom"/>
          </w:tcPr>
          <w:p>
            <w:pPr>
              <w:spacing w:after="0"/>
              <w:rPr>
                <w:sz w:val="14"/>
                <w:szCs w:val="14"/>
                <w:color w:val="auto"/>
              </w:rPr>
            </w:pPr>
          </w:p>
        </w:tc>
      </w:tr>
      <w:tr>
        <w:trPr>
          <w:trHeight w:val="378"/>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Senior Secured Loan — Revolver</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0.5%</w:t>
            </w:r>
          </w:p>
        </w:tc>
        <w:tc>
          <w:tcPr>
            <w:tcW w:w="2480" w:type="dxa"/>
            <w:vAlign w:val="bottom"/>
          </w:tcPr>
          <w:p>
            <w:pPr>
              <w:ind w:left="20"/>
              <w:spacing w:after="0"/>
              <w:rPr>
                <w:sz w:val="20"/>
                <w:szCs w:val="20"/>
                <w:color w:val="auto"/>
              </w:rPr>
            </w:pPr>
            <w:r>
              <w:rPr>
                <w:rFonts w:ascii="Arial" w:cs="Arial" w:eastAsia="Arial" w:hAnsi="Arial"/>
                <w:sz w:val="13"/>
                <w:szCs w:val="13"/>
                <w:color w:val="auto"/>
              </w:rPr>
              <w:t>Cash, Due 9/23</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ind w:right="160"/>
              <w:spacing w:after="0"/>
              <w:rPr>
                <w:sz w:val="20"/>
                <w:szCs w:val="20"/>
                <w:color w:val="auto"/>
              </w:rPr>
            </w:pPr>
            <w:r>
              <w:rPr>
                <w:rFonts w:ascii="Arial" w:cs="Arial" w:eastAsia="Arial" w:hAnsi="Arial"/>
                <w:sz w:val="13"/>
                <w:szCs w:val="13"/>
                <w:color w:val="auto"/>
              </w:rPr>
              <w:t>(0 )</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(1,988 )</w:t>
            </w:r>
          </w:p>
        </w:tc>
      </w:tr>
      <w:tr>
        <w:trPr>
          <w:trHeight w:val="378"/>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7.5%</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3 Month Libor (1.00%) + 6.50%;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Floor 1.00% , Due 9/23</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7,457,779</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6,506,876</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7,430,185</w:t>
            </w:r>
          </w:p>
        </w:tc>
        <w:tc>
          <w:tcPr>
            <w:tcW w:w="40" w:type="dxa"/>
            <w:vAlign w:val="bottom"/>
          </w:tcPr>
          <w:p>
            <w:pPr>
              <w:spacing w:after="0"/>
              <w:rPr>
                <w:sz w:val="14"/>
                <w:szCs w:val="14"/>
                <w:color w:val="auto"/>
              </w:rPr>
            </w:pPr>
          </w:p>
        </w:tc>
      </w:tr>
      <w:tr>
        <w:trPr>
          <w:trHeight w:val="378"/>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9.5%</w:t>
            </w:r>
          </w:p>
        </w:tc>
        <w:tc>
          <w:tcPr>
            <w:tcW w:w="2480" w:type="dxa"/>
            <w:vAlign w:val="bottom"/>
          </w:tcPr>
          <w:p>
            <w:pPr>
              <w:ind w:left="20"/>
              <w:spacing w:after="0"/>
              <w:rPr>
                <w:sz w:val="20"/>
                <w:szCs w:val="20"/>
                <w:color w:val="auto"/>
              </w:rPr>
            </w:pPr>
            <w:r>
              <w:rPr>
                <w:rFonts w:ascii="Arial" w:cs="Arial" w:eastAsia="Arial" w:hAnsi="Arial"/>
                <w:sz w:val="13"/>
                <w:szCs w:val="13"/>
                <w:color w:val="auto"/>
              </w:rPr>
              <w:t>Cash, Due 3/21</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2,500,000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2,475,000</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2,475,000</w:t>
            </w:r>
          </w:p>
        </w:tc>
        <w:tc>
          <w:tcPr>
            <w:tcW w:w="40" w:type="dxa"/>
            <w:vAlign w:val="bottom"/>
          </w:tcPr>
          <w:p>
            <w:pPr>
              <w:spacing w:after="0"/>
              <w:rPr>
                <w:sz w:val="14"/>
                <w:szCs w:val="14"/>
                <w:color w:val="auto"/>
              </w:rPr>
            </w:pPr>
          </w:p>
        </w:tc>
      </w:tr>
      <w:tr>
        <w:trPr>
          <w:trHeight w:val="378"/>
        </w:trPr>
        <w:tc>
          <w:tcPr>
            <w:tcW w:w="2780" w:type="dxa"/>
            <w:vAlign w:val="bottom"/>
            <w:gridSpan w:val="2"/>
          </w:tcPr>
          <w:p>
            <w:pPr>
              <w:ind w:left="20"/>
              <w:spacing w:after="0"/>
              <w:rPr>
                <w:sz w:val="20"/>
                <w:szCs w:val="20"/>
                <w:color w:val="auto"/>
              </w:rPr>
            </w:pPr>
            <w:r>
              <w:rPr>
                <w:rFonts w:ascii="Arial" w:cs="Arial" w:eastAsia="Arial" w:hAnsi="Arial"/>
                <w:sz w:val="13"/>
                <w:szCs w:val="13"/>
                <w:color w:val="auto"/>
                <w:w w:val="94"/>
              </w:rPr>
              <w:t>Junior Secured Loan — Initial Term Loan (Second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9"/>
              </w:rPr>
              <w:t>Lien)</w:t>
            </w: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9.0%</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1 Month Libor (1.00%) + 8.00%;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Floor 1.00% , Due 2/26</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2/15/2018</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3,000,000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2,980,618</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2,393,100</w:t>
            </w:r>
          </w:p>
        </w:tc>
        <w:tc>
          <w:tcPr>
            <w:tcW w:w="40" w:type="dxa"/>
            <w:vAlign w:val="bottom"/>
          </w:tcPr>
          <w:p>
            <w:pPr>
              <w:spacing w:after="0"/>
              <w:rPr>
                <w:sz w:val="14"/>
                <w:szCs w:val="14"/>
                <w:color w:val="auto"/>
              </w:rPr>
            </w:pPr>
          </w:p>
        </w:tc>
      </w:tr>
      <w:tr>
        <w:trPr>
          <w:trHeight w:val="378"/>
        </w:trPr>
        <w:tc>
          <w:tcPr>
            <w:tcW w:w="2780" w:type="dxa"/>
            <w:vAlign w:val="bottom"/>
            <w:gridSpan w:val="2"/>
          </w:tcPr>
          <w:p>
            <w:pPr>
              <w:ind w:left="20"/>
              <w:spacing w:after="0"/>
              <w:rPr>
                <w:sz w:val="20"/>
                <w:szCs w:val="20"/>
                <w:color w:val="auto"/>
              </w:rPr>
            </w:pPr>
            <w:r>
              <w:rPr>
                <w:rFonts w:ascii="Arial" w:cs="Arial" w:eastAsia="Arial" w:hAnsi="Arial"/>
                <w:sz w:val="13"/>
                <w:szCs w:val="13"/>
                <w:color w:val="auto"/>
                <w:w w:val="95"/>
              </w:rPr>
              <w:t>Junior Secured Loan — Term Loan (Second Lien)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11.3% Cash, Due 3/21</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3/26/2014</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8,201,777</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8,199,552</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7,894,210</w:t>
            </w:r>
          </w:p>
        </w:tc>
        <w:tc>
          <w:tcPr>
            <w:tcW w:w="40" w:type="dxa"/>
            <w:vAlign w:val="bottom"/>
          </w:tcPr>
          <w:p>
            <w:pPr>
              <w:spacing w:after="0"/>
              <w:rPr>
                <w:sz w:val="14"/>
                <w:szCs w:val="14"/>
                <w:color w:val="auto"/>
              </w:rPr>
            </w:pPr>
          </w:p>
        </w:tc>
      </w:tr>
      <w:tr>
        <w:trPr>
          <w:trHeight w:val="378"/>
        </w:trPr>
        <w:tc>
          <w:tcPr>
            <w:tcW w:w="2780" w:type="dxa"/>
            <w:vAlign w:val="bottom"/>
            <w:gridSpan w:val="2"/>
          </w:tcPr>
          <w:p>
            <w:pPr>
              <w:ind w:left="20"/>
              <w:spacing w:after="0"/>
              <w:rPr>
                <w:sz w:val="20"/>
                <w:szCs w:val="20"/>
                <w:color w:val="auto"/>
              </w:rPr>
            </w:pPr>
            <w:r>
              <w:rPr>
                <w:rFonts w:ascii="Arial" w:cs="Arial" w:eastAsia="Arial" w:hAnsi="Arial"/>
                <w:sz w:val="13"/>
                <w:szCs w:val="13"/>
                <w:color w:val="auto"/>
                <w:w w:val="94"/>
              </w:rPr>
              <w:t>Junior Secured Loan — Initial Term Loan (Second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9"/>
              </w:rPr>
              <w:t>Lien)</w:t>
            </w: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7.8%</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6 month Libor (1.00%) + 6.75%;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Floor 1.00% , Due 2/26</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12/18/2019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700,000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624,061</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616,875</w:t>
            </w:r>
          </w:p>
        </w:tc>
        <w:tc>
          <w:tcPr>
            <w:tcW w:w="40" w:type="dxa"/>
            <w:vAlign w:val="bottom"/>
          </w:tcPr>
          <w:p>
            <w:pPr>
              <w:spacing w:after="0"/>
              <w:rPr>
                <w:sz w:val="14"/>
                <w:szCs w:val="14"/>
                <w:color w:val="auto"/>
              </w:rPr>
            </w:pPr>
          </w:p>
        </w:tc>
      </w:tr>
      <w:tr>
        <w:trPr>
          <w:trHeight w:val="378"/>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Senior Secured Loan — Term Loan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00" w:type="dxa"/>
            <w:vAlign w:val="bottom"/>
          </w:tcPr>
          <w:p>
            <w:pPr>
              <w:ind w:left="20"/>
              <w:spacing w:after="0"/>
              <w:rPr>
                <w:sz w:val="20"/>
                <w:szCs w:val="20"/>
                <w:color w:val="auto"/>
              </w:rPr>
            </w:pPr>
            <w:r>
              <w:rPr>
                <w:rFonts w:ascii="Arial" w:cs="Arial" w:eastAsia="Arial" w:hAnsi="Arial"/>
                <w:sz w:val="13"/>
                <w:szCs w:val="13"/>
                <w:color w:val="auto"/>
                <w:w w:val="87"/>
              </w:rPr>
              <w:t>9.5%</w:t>
            </w:r>
          </w:p>
        </w:tc>
        <w:tc>
          <w:tcPr>
            <w:tcW w:w="2480" w:type="dxa"/>
            <w:vAlign w:val="bottom"/>
          </w:tcPr>
          <w:p>
            <w:pPr>
              <w:ind w:left="20"/>
              <w:spacing w:after="0"/>
              <w:rPr>
                <w:sz w:val="20"/>
                <w:szCs w:val="20"/>
                <w:color w:val="auto"/>
              </w:rPr>
            </w:pPr>
            <w:r>
              <w:rPr>
                <w:rFonts w:ascii="Arial" w:cs="Arial" w:eastAsia="Arial" w:hAnsi="Arial"/>
                <w:sz w:val="13"/>
                <w:szCs w:val="13"/>
                <w:color w:val="auto"/>
                <w:w w:val="96"/>
              </w:rPr>
              <w:t>Cash, 3 Month Libor (1.50%) + 8.00%; Libor</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Floor 1.50% , Due 6/25</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6/10/2020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3,000,000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2,960,051</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3,003,900</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-5012690</wp:posOffset>
            </wp:positionV>
            <wp:extent cx="7132320" cy="3257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-4566920</wp:posOffset>
            </wp:positionV>
            <wp:extent cx="7132320" cy="3257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-4121150</wp:posOffset>
            </wp:positionV>
            <wp:extent cx="7132320" cy="3257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-3675380</wp:posOffset>
            </wp:positionV>
            <wp:extent cx="7132320" cy="3257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-3229610</wp:posOffset>
            </wp:positionV>
            <wp:extent cx="7132320" cy="2228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-2886710</wp:posOffset>
            </wp:positionV>
            <wp:extent cx="7132320" cy="2228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-2543810</wp:posOffset>
            </wp:positionV>
            <wp:extent cx="7132320" cy="3257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-2098040</wp:posOffset>
            </wp:positionV>
            <wp:extent cx="7132320" cy="2228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-1755140</wp:posOffset>
            </wp:positionV>
            <wp:extent cx="7132320" cy="42862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-1206500</wp:posOffset>
            </wp:positionV>
            <wp:extent cx="7132320" cy="2228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-863600</wp:posOffset>
            </wp:positionV>
            <wp:extent cx="7132320" cy="42862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-314960</wp:posOffset>
            </wp:positionV>
            <wp:extent cx="7132320" cy="3257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70485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2340" w:space="540"/>
            <w:col w:w="520" w:space="360"/>
            <w:col w:w="7400"/>
          </w:cols>
          <w:pgMar w:left="340" w:top="594" w:right="399" w:bottom="1440" w:gutter="0" w:footer="0" w:header="0"/>
        </w:sectPr>
      </w:pPr>
    </w:p>
    <w:bookmarkStart w:id="31" w:name="page32"/>
    <w:bookmarkEnd w:id="31"/>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8173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SCSG EA Acquisition Company,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Shipston Group, U.S.,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Automotive</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Smartronix,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Sundance Holdings Group,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Retail</w:t>
      </w:r>
    </w:p>
    <w:p>
      <w:pPr>
        <w:spacing w:after="0" w:line="391" w:lineRule="exact"/>
        <w:rPr>
          <w:sz w:val="20"/>
          <w:szCs w:val="20"/>
          <w:color w:val="auto"/>
        </w:rPr>
      </w:pPr>
    </w:p>
    <w:p>
      <w:pPr>
        <w:spacing w:after="0"/>
        <w:rPr>
          <w:sz w:val="20"/>
          <w:szCs w:val="20"/>
          <w:color w:val="auto"/>
        </w:rPr>
      </w:pPr>
      <w:r>
        <w:rPr>
          <w:rFonts w:ascii="Arial" w:cs="Arial" w:eastAsia="Arial" w:hAnsi="Arial"/>
          <w:sz w:val="12"/>
          <w:szCs w:val="12"/>
          <w:color w:val="auto"/>
        </w:rPr>
        <w:t>Surgical Specialties Corporation (Us), Inc.</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Tailwind Randys,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Automotive</w:t>
      </w:r>
    </w:p>
    <w:p>
      <w:pPr>
        <w:spacing w:after="0" w:line="391" w:lineRule="exact"/>
        <w:rPr>
          <w:sz w:val="20"/>
          <w:szCs w:val="20"/>
          <w:color w:val="auto"/>
        </w:rPr>
      </w:pPr>
    </w:p>
    <w:p>
      <w:pPr>
        <w:ind w:left="160" w:right="300" w:hanging="157"/>
        <w:spacing w:after="0" w:line="277" w:lineRule="auto"/>
        <w:rPr>
          <w:sz w:val="20"/>
          <w:szCs w:val="20"/>
          <w:color w:val="auto"/>
        </w:rPr>
      </w:pPr>
      <w:r>
        <w:rPr>
          <w:rFonts w:ascii="Arial" w:cs="Arial" w:eastAsia="Arial" w:hAnsi="Arial"/>
          <w:sz w:val="13"/>
          <w:szCs w:val="13"/>
          <w:color w:val="auto"/>
        </w:rPr>
        <w:t>Tank Partners Equipment Holdings LLC Energy: Oil &amp; Gas</w:t>
      </w: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auto"/>
        </w:rPr>
        <w:t>Tex-Tech Industries,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Textiles and Leather</w:t>
      </w:r>
    </w:p>
    <w:p>
      <w:pPr>
        <w:spacing w:after="0" w:line="391" w:lineRule="exact"/>
        <w:rPr>
          <w:sz w:val="20"/>
          <w:szCs w:val="20"/>
          <w:color w:val="auto"/>
        </w:rPr>
      </w:pPr>
    </w:p>
    <w:p>
      <w:pPr>
        <w:ind w:left="160" w:right="500" w:hanging="157"/>
        <w:spacing w:after="0" w:line="277" w:lineRule="auto"/>
        <w:rPr>
          <w:sz w:val="20"/>
          <w:szCs w:val="20"/>
          <w:color w:val="auto"/>
        </w:rPr>
      </w:pPr>
      <w:r>
        <w:rPr>
          <w:rFonts w:ascii="Arial" w:cs="Arial" w:eastAsia="Arial" w:hAnsi="Arial"/>
          <w:sz w:val="13"/>
          <w:szCs w:val="13"/>
          <w:color w:val="auto"/>
        </w:rPr>
        <w:t>The Cook &amp; Boardman Group, LLC Construction &amp; Building</w:t>
      </w:r>
    </w:p>
    <w:p>
      <w:pPr>
        <w:spacing w:after="0" w:line="357" w:lineRule="exact"/>
        <w:rPr>
          <w:sz w:val="20"/>
          <w:szCs w:val="20"/>
          <w:color w:val="auto"/>
        </w:rPr>
      </w:pPr>
    </w:p>
    <w:p>
      <w:pPr>
        <w:ind w:left="160" w:hanging="157"/>
        <w:spacing w:after="0" w:line="432" w:lineRule="auto"/>
        <w:rPr>
          <w:sz w:val="20"/>
          <w:szCs w:val="20"/>
          <w:color w:val="auto"/>
        </w:rPr>
      </w:pPr>
      <w:r>
        <w:rPr>
          <w:rFonts w:ascii="Arial" w:cs="Arial" w:eastAsia="Arial" w:hAnsi="Arial"/>
          <w:sz w:val="10"/>
          <w:szCs w:val="10"/>
          <w:color w:val="auto"/>
        </w:rPr>
        <w:t>The Edelman Financial Center, LLC Banking, Finance, Insurance &amp; Real Estate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color w:val="auto"/>
        </w:rPr>
        <w:t>Theragenics Corp</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&amp; Pharmaceuticals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TLE Holdings,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Education and Childcare</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TLE Holdings, LLC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Healthcare, Education and Childcare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7"/>
          <w:szCs w:val="7"/>
          <w:color w:val="auto"/>
        </w:rPr>
        <w:t>(8)(13)(14)(20)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7"/>
          <w:szCs w:val="7"/>
          <w:color w:val="auto"/>
        </w:rPr>
        <w:t>(8)(13)(14)(21)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7"/>
          <w:szCs w:val="7"/>
          <w:color w:val="auto"/>
        </w:rPr>
        <w:t>(8)(13)(14)(20)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(3)(13)(14)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80"/>
        <w:spacing w:after="0"/>
        <w:rPr>
          <w:sz w:val="20"/>
          <w:szCs w:val="20"/>
          <w:color w:val="auto"/>
        </w:rPr>
      </w:pPr>
      <w:r>
        <w:rPr>
          <w:rFonts w:ascii="Arial" w:cs="Arial" w:eastAsia="Arial" w:hAnsi="Arial"/>
          <w:sz w:val="8"/>
          <w:szCs w:val="8"/>
          <w:color w:val="auto"/>
        </w:rPr>
        <w:t>(5)(8)(13)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40"/>
        <w:spacing w:after="0"/>
        <w:rPr>
          <w:sz w:val="20"/>
          <w:szCs w:val="20"/>
          <w:color w:val="auto"/>
        </w:rPr>
      </w:pPr>
      <w:r>
        <w:rPr>
          <w:rFonts w:ascii="Arial" w:cs="Arial" w:eastAsia="Arial" w:hAnsi="Arial"/>
          <w:sz w:val="7"/>
          <w:szCs w:val="7"/>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7"/>
          <w:szCs w:val="7"/>
          <w:color w:val="auto"/>
        </w:rPr>
        <w:t>(8)(13)(14)(21)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7"/>
          <w:szCs w:val="7"/>
          <w:color w:val="auto"/>
        </w:rPr>
        <w:t>(8)(13)(14)(21)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Initial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1"/>
        </w:trPr>
        <w:tc>
          <w:tcPr>
            <w:tcW w:w="300" w:type="dxa"/>
            <w:vAlign w:val="bottom"/>
          </w:tcPr>
          <w:p>
            <w:pPr>
              <w:spacing w:after="0"/>
              <w:rPr>
                <w:sz w:val="13"/>
                <w:szCs w:val="13"/>
                <w:color w:val="auto"/>
              </w:rPr>
            </w:pPr>
          </w:p>
        </w:tc>
        <w:tc>
          <w:tcPr>
            <w:tcW w:w="2460" w:type="dxa"/>
            <w:vAlign w:val="bottom"/>
          </w:tcPr>
          <w:p>
            <w:pPr>
              <w:ind w:left="780"/>
              <w:spacing w:after="0"/>
              <w:rPr>
                <w:sz w:val="20"/>
                <w:szCs w:val="20"/>
                <w:color w:val="auto"/>
              </w:rPr>
            </w:pPr>
            <w:r>
              <w:rPr>
                <w:rFonts w:ascii="Arial" w:cs="Arial" w:eastAsia="Arial" w:hAnsi="Arial"/>
                <w:sz w:val="13"/>
                <w:szCs w:val="13"/>
                <w:b w:val="1"/>
                <w:bCs w:val="1"/>
                <w:color w:val="auto"/>
              </w:rPr>
              <w:t>Investment</w:t>
            </w:r>
          </w:p>
        </w:tc>
        <w:tc>
          <w:tcPr>
            <w:tcW w:w="1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197"/>
              <w:spacing w:after="0"/>
              <w:rPr>
                <w:sz w:val="20"/>
                <w:szCs w:val="20"/>
                <w:color w:val="auto"/>
              </w:rPr>
            </w:pPr>
            <w:r>
              <w:rPr>
                <w:rFonts w:ascii="Arial" w:cs="Arial" w:eastAsia="Arial" w:hAnsi="Arial"/>
                <w:sz w:val="13"/>
                <w:szCs w:val="13"/>
                <w:b w:val="1"/>
                <w:bCs w:val="1"/>
                <w:color w:val="auto"/>
              </w:rPr>
              <w:t>Amortized</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1"/>
        </w:trPr>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4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40" w:type="dxa"/>
            <w:vAlign w:val="bottom"/>
          </w:tcPr>
          <w:p>
            <w:pPr>
              <w:spacing w:after="0"/>
              <w:rPr>
                <w:sz w:val="16"/>
                <w:szCs w:val="16"/>
                <w:color w:val="auto"/>
              </w:rPr>
            </w:pPr>
          </w:p>
        </w:tc>
        <w:tc>
          <w:tcPr>
            <w:tcW w:w="110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2</w:t>
            </w:r>
          </w:p>
        </w:tc>
      </w:tr>
      <w:tr>
        <w:trPr>
          <w:trHeight w:val="167"/>
        </w:trPr>
        <w:tc>
          <w:tcPr>
            <w:tcW w:w="2760" w:type="dxa"/>
            <w:vAlign w:val="bottom"/>
            <w:gridSpan w:val="2"/>
          </w:tcPr>
          <w:p>
            <w:pPr>
              <w:spacing w:after="0"/>
              <w:rPr>
                <w:sz w:val="20"/>
                <w:szCs w:val="20"/>
                <w:color w:val="auto"/>
              </w:rPr>
            </w:pPr>
            <w:r>
              <w:rPr>
                <w:rFonts w:ascii="Arial" w:cs="Arial" w:eastAsia="Arial" w:hAnsi="Arial"/>
                <w:sz w:val="13"/>
                <w:szCs w:val="13"/>
                <w:color w:val="auto"/>
                <w:w w:val="94"/>
              </w:rPr>
              <w:t>Junior Secured Loan — Initial Term Loan (Second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6"/>
              </w:rPr>
              <w:t>Lien)</w:t>
            </w: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9.3%</w:t>
            </w:r>
          </w:p>
        </w:tc>
        <w:tc>
          <w:tcPr>
            <w:tcW w:w="2460" w:type="dxa"/>
            <w:vAlign w:val="bottom"/>
          </w:tcPr>
          <w:p>
            <w:pPr>
              <w:spacing w:after="0"/>
              <w:rPr>
                <w:sz w:val="20"/>
                <w:szCs w:val="20"/>
                <w:color w:val="auto"/>
              </w:rPr>
            </w:pPr>
            <w:r>
              <w:rPr>
                <w:rFonts w:ascii="Arial" w:cs="Arial" w:eastAsia="Arial" w:hAnsi="Arial"/>
                <w:sz w:val="13"/>
                <w:szCs w:val="13"/>
                <w:color w:val="auto"/>
                <w:w w:val="96"/>
              </w:rPr>
              <w:t>Cash, 3 Month Libor (1.00%) + 8.25%;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9/24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8/18/2017</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6,000,000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5,968,089</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5,761,200</w:t>
            </w: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7.5%</w:t>
            </w:r>
          </w:p>
        </w:tc>
        <w:tc>
          <w:tcPr>
            <w:tcW w:w="2460" w:type="dxa"/>
            <w:vAlign w:val="bottom"/>
          </w:tcPr>
          <w:p>
            <w:pPr>
              <w:spacing w:after="0"/>
              <w:rPr>
                <w:sz w:val="20"/>
                <w:szCs w:val="20"/>
                <w:color w:val="auto"/>
              </w:rPr>
            </w:pPr>
            <w:r>
              <w:rPr>
                <w:rFonts w:ascii="Arial" w:cs="Arial" w:eastAsia="Arial" w:hAnsi="Arial"/>
                <w:sz w:val="13"/>
                <w:szCs w:val="13"/>
                <w:color w:val="auto"/>
              </w:rPr>
              <w:t>Cash, 2.4% PIK, 1 Month Libor (1.25%) +</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8.65%; Libor Floor 1.25% , Due 9/23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6,299,241</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5,355,206</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6,124,122</w:t>
            </w: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Initial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7.5%</w:t>
            </w:r>
          </w:p>
        </w:tc>
        <w:tc>
          <w:tcPr>
            <w:tcW w:w="2460" w:type="dxa"/>
            <w:vAlign w:val="bottom"/>
          </w:tcPr>
          <w:p>
            <w:pPr>
              <w:spacing w:after="0"/>
              <w:rPr>
                <w:sz w:val="20"/>
                <w:szCs w:val="20"/>
                <w:color w:val="auto"/>
              </w:rPr>
            </w:pPr>
            <w:r>
              <w:rPr>
                <w:rFonts w:ascii="Arial" w:cs="Arial" w:eastAsia="Arial" w:hAnsi="Arial"/>
                <w:sz w:val="13"/>
                <w:szCs w:val="13"/>
                <w:color w:val="auto"/>
                <w:w w:val="96"/>
              </w:rPr>
              <w:t>Cash, 3 Month Libor (1.50%) + 6.00%;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1.50% , Due 12/25</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5/1/2020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4,962,406</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4,742,756</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4,815,519</w:t>
            </w: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7.2%</w:t>
            </w:r>
          </w:p>
        </w:tc>
        <w:tc>
          <w:tcPr>
            <w:tcW w:w="2460" w:type="dxa"/>
            <w:vAlign w:val="bottom"/>
          </w:tcPr>
          <w:p>
            <w:pPr>
              <w:spacing w:after="0"/>
              <w:rPr>
                <w:sz w:val="20"/>
                <w:szCs w:val="20"/>
                <w:color w:val="auto"/>
              </w:rPr>
            </w:pPr>
            <w:r>
              <w:rPr>
                <w:rFonts w:ascii="Arial" w:cs="Arial" w:eastAsia="Arial" w:hAnsi="Arial"/>
                <w:sz w:val="13"/>
                <w:szCs w:val="13"/>
                <w:color w:val="auto"/>
              </w:rPr>
              <w:t>Cash, 2.0% PIK, 3 Month Libor (1.00%) +</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6.23%; Libor Floor 1.00% , Due 5/24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6,768,583</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5,790,208</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6,597,338</w:t>
            </w: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5.2%</w:t>
            </w:r>
          </w:p>
        </w:tc>
        <w:tc>
          <w:tcPr>
            <w:tcW w:w="2460" w:type="dxa"/>
            <w:vAlign w:val="bottom"/>
          </w:tcPr>
          <w:p>
            <w:pPr>
              <w:spacing w:after="0"/>
              <w:rPr>
                <w:sz w:val="20"/>
                <w:szCs w:val="20"/>
                <w:color w:val="auto"/>
              </w:rPr>
            </w:pPr>
            <w:r>
              <w:rPr>
                <w:rFonts w:ascii="Arial" w:cs="Arial" w:eastAsia="Arial" w:hAnsi="Arial"/>
                <w:sz w:val="13"/>
                <w:szCs w:val="13"/>
                <w:color w:val="auto"/>
                <w:w w:val="96"/>
              </w:rPr>
              <w:t>Cash, 1 Month Libor (0.15%) + 5.00% , Due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rPr>
              <w:t>5/25</w:t>
            </w:r>
          </w:p>
        </w:tc>
        <w:tc>
          <w:tcPr>
            <w:tcW w:w="24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4,341,432</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3,483,355</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3,963,727</w:t>
            </w: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Initial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6.0%</w:t>
            </w:r>
          </w:p>
        </w:tc>
        <w:tc>
          <w:tcPr>
            <w:tcW w:w="2460" w:type="dxa"/>
            <w:vAlign w:val="bottom"/>
          </w:tcPr>
          <w:p>
            <w:pPr>
              <w:spacing w:after="0"/>
              <w:rPr>
                <w:sz w:val="20"/>
                <w:szCs w:val="20"/>
                <w:color w:val="auto"/>
              </w:rPr>
            </w:pPr>
            <w:r>
              <w:rPr>
                <w:rFonts w:ascii="Arial" w:cs="Arial" w:eastAsia="Arial" w:hAnsi="Arial"/>
                <w:sz w:val="13"/>
                <w:szCs w:val="13"/>
                <w:color w:val="auto"/>
                <w:w w:val="96"/>
              </w:rPr>
              <w:t>Cash, 3 Month Libor (1.00%) + 5.00%;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5/25</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6/27/2019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4,925,000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4,860,904</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4,910,717</w:t>
            </w: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w w:val="99"/>
              </w:rPr>
              <w:t>Senior Unsecured Bond — 10.000% - 02/2022 -</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TankConvert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0.0%</w:t>
            </w:r>
          </w:p>
        </w:tc>
        <w:tc>
          <w:tcPr>
            <w:tcW w:w="2460" w:type="dxa"/>
            <w:vAlign w:val="bottom"/>
          </w:tcPr>
          <w:p>
            <w:pPr>
              <w:spacing w:after="0"/>
              <w:rPr>
                <w:sz w:val="20"/>
                <w:szCs w:val="20"/>
                <w:color w:val="auto"/>
              </w:rPr>
            </w:pPr>
            <w:r>
              <w:rPr>
                <w:rFonts w:ascii="Arial" w:cs="Arial" w:eastAsia="Arial" w:hAnsi="Arial"/>
                <w:sz w:val="13"/>
                <w:szCs w:val="13"/>
                <w:color w:val="auto"/>
              </w:rPr>
              <w:t>Cash, 10.0% PIK, Due 2/22</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2/15/2019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481,051</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416,170</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207,766</w:t>
            </w: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w w:val="95"/>
              </w:rPr>
              <w:t>Junior Secured Loan — Term Loan (Second Lien)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w w:val="93"/>
              </w:rPr>
              <w:t>10.0% Cash, 1 Month Libor (1.00%) + 9.00%;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8/24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8/24/2017</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12,508,000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12,415,194</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10,860,696</w:t>
            </w: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First Lien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6.8%</w:t>
            </w:r>
          </w:p>
        </w:tc>
        <w:tc>
          <w:tcPr>
            <w:tcW w:w="2460" w:type="dxa"/>
            <w:vAlign w:val="bottom"/>
          </w:tcPr>
          <w:p>
            <w:pPr>
              <w:spacing w:after="0"/>
              <w:rPr>
                <w:sz w:val="20"/>
                <w:szCs w:val="20"/>
                <w:color w:val="auto"/>
              </w:rPr>
            </w:pPr>
            <w:r>
              <w:rPr>
                <w:rFonts w:ascii="Arial" w:cs="Arial" w:eastAsia="Arial" w:hAnsi="Arial"/>
                <w:sz w:val="13"/>
                <w:szCs w:val="13"/>
                <w:color w:val="auto"/>
                <w:w w:val="96"/>
              </w:rPr>
              <w:t>Cash, 3 Month Libor (1.00%) + 5.75%;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10/25</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1,635,880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1,377,740</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1,564,311</w:t>
            </w: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w w:val="94"/>
              </w:rPr>
              <w:t>Junior Secured Loan — Initial Term Loan (Second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6"/>
              </w:rPr>
              <w:t>Lien)</w:t>
            </w: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6.9%</w:t>
            </w:r>
          </w:p>
        </w:tc>
        <w:tc>
          <w:tcPr>
            <w:tcW w:w="2460" w:type="dxa"/>
            <w:vAlign w:val="bottom"/>
          </w:tcPr>
          <w:p>
            <w:pPr>
              <w:spacing w:after="0"/>
              <w:rPr>
                <w:sz w:val="20"/>
                <w:szCs w:val="20"/>
                <w:color w:val="auto"/>
              </w:rPr>
            </w:pPr>
            <w:r>
              <w:rPr>
                <w:rFonts w:ascii="Arial" w:cs="Arial" w:eastAsia="Arial" w:hAnsi="Arial"/>
                <w:sz w:val="13"/>
                <w:szCs w:val="13"/>
                <w:color w:val="auto"/>
                <w:w w:val="96"/>
              </w:rPr>
              <w:t>Cash, 1 Month Libor (0.11%) + 6.75% , Due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rPr>
              <w:t>7/26</w:t>
            </w:r>
          </w:p>
        </w:tc>
        <w:tc>
          <w:tcPr>
            <w:tcW w:w="24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12/18/2019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300,000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272,637</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302,250</w:t>
            </w: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w w:val="99"/>
              </w:rPr>
              <w:t>Senior Secured Loan — First Lien Term Loan B</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9.0%</w:t>
            </w:r>
          </w:p>
        </w:tc>
        <w:tc>
          <w:tcPr>
            <w:tcW w:w="2460" w:type="dxa"/>
            <w:vAlign w:val="bottom"/>
          </w:tcPr>
          <w:p>
            <w:pPr>
              <w:spacing w:after="0"/>
              <w:rPr>
                <w:sz w:val="20"/>
                <w:szCs w:val="20"/>
                <w:color w:val="auto"/>
              </w:rPr>
            </w:pPr>
            <w:r>
              <w:rPr>
                <w:rFonts w:ascii="Arial" w:cs="Arial" w:eastAsia="Arial" w:hAnsi="Arial"/>
                <w:sz w:val="13"/>
                <w:szCs w:val="13"/>
                <w:color w:val="auto"/>
                <w:w w:val="96"/>
              </w:rPr>
              <w:t>Cash, 3 Month Libor (1.00%) + 8.00%;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5/24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8,212,500</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7,015,358</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7,971,052</w:t>
            </w: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rPr>
              <w:t>Senior Secured Loan — Initial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7.0%</w:t>
            </w:r>
          </w:p>
        </w:tc>
        <w:tc>
          <w:tcPr>
            <w:tcW w:w="2460" w:type="dxa"/>
            <w:vAlign w:val="bottom"/>
          </w:tcPr>
          <w:p>
            <w:pPr>
              <w:spacing w:after="0"/>
              <w:rPr>
                <w:sz w:val="20"/>
                <w:szCs w:val="20"/>
                <w:color w:val="auto"/>
              </w:rPr>
            </w:pPr>
            <w:r>
              <w:rPr>
                <w:rFonts w:ascii="Arial" w:cs="Arial" w:eastAsia="Arial" w:hAnsi="Arial"/>
                <w:sz w:val="13"/>
                <w:szCs w:val="13"/>
                <w:color w:val="auto"/>
                <w:w w:val="96"/>
              </w:rPr>
              <w:t>Cash, 6 month Libor (1.00%) + 6.00%;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6/24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6/27/2019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5,631,157</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5,612,790</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5,490,378</w:t>
            </w:r>
          </w:p>
        </w:tc>
      </w:tr>
      <w:tr>
        <w:trPr>
          <w:trHeight w:val="378"/>
        </w:trPr>
        <w:tc>
          <w:tcPr>
            <w:tcW w:w="2760" w:type="dxa"/>
            <w:vAlign w:val="bottom"/>
            <w:gridSpan w:val="2"/>
          </w:tcPr>
          <w:p>
            <w:pPr>
              <w:spacing w:after="0"/>
              <w:rPr>
                <w:sz w:val="20"/>
                <w:szCs w:val="20"/>
                <w:color w:val="auto"/>
              </w:rPr>
            </w:pPr>
            <w:r>
              <w:rPr>
                <w:rFonts w:ascii="Arial" w:cs="Arial" w:eastAsia="Arial" w:hAnsi="Arial"/>
                <w:sz w:val="13"/>
                <w:szCs w:val="13"/>
                <w:color w:val="auto"/>
                <w:w w:val="94"/>
              </w:rPr>
              <w:t>Senior Secured Loan — Delayed Draw Term Loan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3"/>
                <w:szCs w:val="13"/>
                <w:color w:val="auto"/>
                <w:w w:val="94"/>
              </w:rPr>
              <w:t>7.0%</w:t>
            </w:r>
          </w:p>
        </w:tc>
        <w:tc>
          <w:tcPr>
            <w:tcW w:w="2460" w:type="dxa"/>
            <w:vAlign w:val="bottom"/>
          </w:tcPr>
          <w:p>
            <w:pPr>
              <w:spacing w:after="0"/>
              <w:rPr>
                <w:sz w:val="20"/>
                <w:szCs w:val="20"/>
                <w:color w:val="auto"/>
              </w:rPr>
            </w:pPr>
            <w:r>
              <w:rPr>
                <w:rFonts w:ascii="Arial" w:cs="Arial" w:eastAsia="Arial" w:hAnsi="Arial"/>
                <w:sz w:val="13"/>
                <w:szCs w:val="13"/>
                <w:color w:val="auto"/>
                <w:w w:val="96"/>
              </w:rPr>
              <w:t>Cash, 6 month Libor (1.00%) + 6.00%; Libor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gridSpan w:val="2"/>
          </w:tcPr>
          <w:p>
            <w:pPr>
              <w:spacing w:after="0"/>
              <w:rPr>
                <w:sz w:val="20"/>
                <w:szCs w:val="20"/>
                <w:color w:val="auto"/>
              </w:rPr>
            </w:pPr>
            <w:r>
              <w:rPr>
                <w:rFonts w:ascii="Arial" w:cs="Arial" w:eastAsia="Arial" w:hAnsi="Arial"/>
                <w:sz w:val="13"/>
                <w:szCs w:val="13"/>
                <w:color w:val="auto"/>
              </w:rPr>
              <w:t>Floor 1.00% , Due 6/24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6/27/2019</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742,874</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741,666</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724,255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-5869940</wp:posOffset>
            </wp:positionV>
            <wp:extent cx="7132320" cy="4286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-5321300</wp:posOffset>
            </wp:positionV>
            <wp:extent cx="7132320" cy="3257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-4875530</wp:posOffset>
            </wp:positionV>
            <wp:extent cx="7132320" cy="3257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-4429760</wp:posOffset>
            </wp:positionV>
            <wp:extent cx="7132320" cy="3257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-3983990</wp:posOffset>
            </wp:positionV>
            <wp:extent cx="7132320" cy="3257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-3538220</wp:posOffset>
            </wp:positionV>
            <wp:extent cx="7132320" cy="3257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-3092450</wp:posOffset>
            </wp:positionV>
            <wp:extent cx="7132320" cy="3257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-2646680</wp:posOffset>
            </wp:positionV>
            <wp:extent cx="7132320" cy="3257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-2200910</wp:posOffset>
            </wp:positionV>
            <wp:extent cx="7132320" cy="3257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-1755140</wp:posOffset>
            </wp:positionV>
            <wp:extent cx="7132320" cy="42862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-1206500</wp:posOffset>
            </wp:positionV>
            <wp:extent cx="7132320" cy="3257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-760730</wp:posOffset>
            </wp:positionV>
            <wp:extent cx="7132320" cy="3257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-314960</wp:posOffset>
            </wp:positionV>
            <wp:extent cx="7132320" cy="3257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70485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2340" w:space="520"/>
            <w:col w:w="520" w:space="380"/>
            <w:col w:w="7360"/>
          </w:cols>
          <w:pgMar w:left="340" w:top="648" w:right="439" w:bottom="1440" w:gutter="0" w:footer="0" w:header="0"/>
        </w:sectPr>
      </w:pPr>
    </w:p>
    <w:bookmarkStart w:id="32" w:name="page33"/>
    <w:bookmarkEnd w:id="32"/>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18084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5" w:lineRule="exact"/>
        <w:rPr>
          <w:sz w:val="20"/>
          <w:szCs w:val="20"/>
          <w:color w:val="auto"/>
        </w:rPr>
      </w:pPr>
    </w:p>
    <w:p>
      <w:pPr>
        <w:jc w:val="right"/>
        <w:ind w:right="620"/>
        <w:spacing w:after="0" w:line="432" w:lineRule="auto"/>
        <w:rPr>
          <w:sz w:val="20"/>
          <w:szCs w:val="20"/>
          <w:color w:val="auto"/>
        </w:rPr>
      </w:pPr>
      <w:r>
        <w:rPr>
          <w:rFonts w:ascii="Arial" w:cs="Arial" w:eastAsia="Arial" w:hAnsi="Arial"/>
          <w:sz w:val="10"/>
          <w:szCs w:val="10"/>
          <w:color w:val="auto"/>
        </w:rPr>
        <w:t>Triangle Home Fashions LLC Consumer goods: Durable</w:t>
      </w: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TronAir Parent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Aerospace and Defense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TRSO I,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Energy: Oil &amp; Gas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TRSO II,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Energy: Oil &amp; Gas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Vectra Co.</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Chemicals, Plastics &amp; Rubber</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Vero Parent,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 Business</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Wash MultiFamily Acquisition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Consumer goods: Durable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WireCo WorldGroup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Capital Equipment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Wonder Love,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Media: Diversified &amp; Production</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Zest Acquisition Corp.</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Healthcare, Education and Childcare</w:t>
      </w:r>
    </w:p>
    <w:p>
      <w:pPr>
        <w:spacing w:after="0" w:line="200" w:lineRule="exact"/>
        <w:rPr>
          <w:sz w:val="20"/>
          <w:szCs w:val="20"/>
          <w:color w:val="auto"/>
        </w:rPr>
      </w:pPr>
    </w:p>
    <w:p>
      <w:pPr>
        <w:spacing w:after="0" w:line="374" w:lineRule="exact"/>
        <w:rPr>
          <w:sz w:val="20"/>
          <w:szCs w:val="20"/>
          <w:color w:val="auto"/>
        </w:rPr>
      </w:pPr>
    </w:p>
    <w:p>
      <w:pPr>
        <w:ind w:left="100" w:right="20" w:hanging="94"/>
        <w:spacing w:after="0" w:line="440" w:lineRule="auto"/>
        <w:rPr>
          <w:sz w:val="20"/>
          <w:szCs w:val="20"/>
          <w:color w:val="auto"/>
        </w:rPr>
      </w:pPr>
      <w:r>
        <w:rPr>
          <w:rFonts w:ascii="Arial" w:cs="Arial" w:eastAsia="Arial" w:hAnsi="Arial"/>
          <w:sz w:val="10"/>
          <w:szCs w:val="10"/>
          <w:b w:val="1"/>
          <w:bCs w:val="1"/>
          <w:color w:val="auto"/>
        </w:rPr>
        <w:t>Total Investment in Debt Securities (187% of net asset value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7"/>
          <w:szCs w:val="7"/>
          <w:color w:val="auto"/>
        </w:rPr>
        <w:t>(8)(13)(14)(20)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(5)(8)(13)</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8"/>
          <w:szCs w:val="8"/>
          <w:color w:val="auto"/>
        </w:rPr>
        <w:t>(8)(13)(14)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7"/>
          <w:szCs w:val="7"/>
          <w:color w:val="auto"/>
        </w:rPr>
        <w:t>(8)(13)(14)(21)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7"/>
          <w:szCs w:val="7"/>
          <w:color w:val="auto"/>
        </w:rPr>
        <w:t>(8)(13)(14)(18)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197"/>
              <w:spacing w:after="0"/>
              <w:rPr>
                <w:sz w:val="20"/>
                <w:szCs w:val="20"/>
                <w:color w:val="auto"/>
              </w:rPr>
            </w:pPr>
            <w:r>
              <w:rPr>
                <w:rFonts w:ascii="Arial" w:cs="Arial" w:eastAsia="Arial" w:hAnsi="Arial"/>
                <w:sz w:val="13"/>
                <w:szCs w:val="13"/>
                <w:b w:val="1"/>
                <w:bCs w:val="1"/>
                <w:color w:val="auto"/>
                <w:w w:val="99"/>
              </w:rPr>
              <w:t>Initial</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1"/>
        </w:trPr>
        <w:tc>
          <w:tcPr>
            <w:tcW w:w="2760" w:type="dxa"/>
            <w:vAlign w:val="bottom"/>
          </w:tcPr>
          <w:p>
            <w:pPr>
              <w:ind w:left="1080"/>
              <w:spacing w:after="0"/>
              <w:rPr>
                <w:sz w:val="20"/>
                <w:szCs w:val="20"/>
                <w:color w:val="auto"/>
              </w:rPr>
            </w:pPr>
            <w:r>
              <w:rPr>
                <w:rFonts w:ascii="Arial" w:cs="Arial" w:eastAsia="Arial" w:hAnsi="Arial"/>
                <w:sz w:val="13"/>
                <w:szCs w:val="13"/>
                <w:b w:val="1"/>
                <w:bCs w:val="1"/>
                <w:color w:val="auto"/>
              </w:rPr>
              <w:t>Investment</w:t>
            </w:r>
          </w:p>
        </w:tc>
        <w:tc>
          <w:tcPr>
            <w:tcW w:w="120" w:type="dxa"/>
            <w:vAlign w:val="bottom"/>
          </w:tcPr>
          <w:p>
            <w:pPr>
              <w:spacing w:after="0"/>
              <w:rPr>
                <w:sz w:val="13"/>
                <w:szCs w:val="13"/>
                <w:color w:val="auto"/>
              </w:rPr>
            </w:pPr>
          </w:p>
        </w:tc>
        <w:tc>
          <w:tcPr>
            <w:tcW w:w="1280" w:type="dxa"/>
            <w:vAlign w:val="bottom"/>
            <w:gridSpan w:val="3"/>
          </w:tcPr>
          <w:p>
            <w:pPr>
              <w:jc w:val="center"/>
              <w:ind w:right="197"/>
              <w:spacing w:after="0"/>
              <w:rPr>
                <w:sz w:val="20"/>
                <w:szCs w:val="20"/>
                <w:color w:val="auto"/>
              </w:rPr>
            </w:pPr>
            <w:r>
              <w:rPr>
                <w:rFonts w:ascii="Arial" w:cs="Arial" w:eastAsia="Arial" w:hAnsi="Arial"/>
                <w:sz w:val="13"/>
                <w:szCs w:val="13"/>
                <w:b w:val="1"/>
                <w:bCs w:val="1"/>
                <w:color w:val="auto"/>
                <w:w w:val="87"/>
              </w:rPr>
              <w:t>Acquisition</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97"/>
              <w:spacing w:after="0"/>
              <w:rPr>
                <w:sz w:val="20"/>
                <w:szCs w:val="20"/>
                <w:color w:val="auto"/>
              </w:rPr>
            </w:pPr>
            <w:r>
              <w:rPr>
                <w:rFonts w:ascii="Arial" w:cs="Arial" w:eastAsia="Arial" w:hAnsi="Arial"/>
                <w:sz w:val="13"/>
                <w:szCs w:val="13"/>
                <w:b w:val="1"/>
                <w:bCs w:val="1"/>
                <w:color w:val="auto"/>
              </w:rPr>
              <w:t>Amortized</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1"/>
        </w:trPr>
        <w:tc>
          <w:tcPr>
            <w:tcW w:w="2760" w:type="dxa"/>
            <w:vAlign w:val="bottom"/>
          </w:tcPr>
          <w:p>
            <w:pPr>
              <w:ind w:left="68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6"/>
                <w:szCs w:val="16"/>
                <w:b w:val="1"/>
                <w:bCs w:val="1"/>
                <w:color w:val="auto"/>
                <w:vertAlign w:val="superscript"/>
              </w:rPr>
              <w:t>15</w:t>
            </w:r>
          </w:p>
        </w:tc>
        <w:tc>
          <w:tcPr>
            <w:tcW w:w="120" w:type="dxa"/>
            <w:vAlign w:val="bottom"/>
          </w:tcPr>
          <w:p>
            <w:pPr>
              <w:spacing w:after="0"/>
              <w:rPr>
                <w:sz w:val="16"/>
                <w:szCs w:val="16"/>
                <w:color w:val="auto"/>
              </w:rPr>
            </w:pPr>
          </w:p>
        </w:tc>
        <w:tc>
          <w:tcPr>
            <w:tcW w:w="1280" w:type="dxa"/>
            <w:vAlign w:val="bottom"/>
            <w:gridSpan w:val="3"/>
          </w:tcPr>
          <w:p>
            <w:pPr>
              <w:jc w:val="center"/>
              <w:ind w:right="197"/>
              <w:spacing w:after="0"/>
              <w:rPr>
                <w:sz w:val="20"/>
                <w:szCs w:val="20"/>
                <w:color w:val="auto"/>
              </w:rPr>
            </w:pPr>
            <w:r>
              <w:rPr>
                <w:rFonts w:ascii="Arial" w:cs="Arial" w:eastAsia="Arial" w:hAnsi="Arial"/>
                <w:sz w:val="13"/>
                <w:szCs w:val="13"/>
                <w:b w:val="1"/>
                <w:bCs w:val="1"/>
                <w:color w:val="auto"/>
                <w:w w:val="92"/>
              </w:rPr>
              <w:t>Date</w:t>
            </w:r>
          </w:p>
        </w:tc>
        <w:tc>
          <w:tcPr>
            <w:tcW w:w="760" w:type="dxa"/>
            <w:vAlign w:val="bottom"/>
          </w:tcPr>
          <w:p>
            <w:pPr>
              <w:jc w:val="right"/>
              <w:ind w:right="137"/>
              <w:spacing w:after="0"/>
              <w:rPr>
                <w:sz w:val="20"/>
                <w:szCs w:val="20"/>
                <w:color w:val="auto"/>
              </w:rPr>
            </w:pPr>
            <w:r>
              <w:rPr>
                <w:rFonts w:ascii="Arial" w:cs="Arial" w:eastAsia="Arial" w:hAnsi="Arial"/>
                <w:sz w:val="13"/>
                <w:szCs w:val="13"/>
                <w:b w:val="1"/>
                <w:bCs w:val="1"/>
                <w:color w:val="auto"/>
                <w:w w:val="98"/>
              </w:rPr>
              <w:t>Principal</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77"/>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6"/>
                <w:szCs w:val="16"/>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2</w:t>
            </w:r>
          </w:p>
        </w:tc>
      </w:tr>
      <w:tr>
        <w:trPr>
          <w:trHeight w:val="167"/>
        </w:trPr>
        <w:tc>
          <w:tcPr>
            <w:tcW w:w="27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w w:val="94"/>
              </w:rPr>
              <w:t>7.7% Cash, 1 Month Libor (1.00%) + 6.72%; Libor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rPr>
              <w:t>Floor 1.00% , Due 3/23</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10,500,000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9,222,836</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10,447,500</w:t>
            </w:r>
          </w:p>
        </w:tc>
      </w:tr>
      <w:tr>
        <w:trPr>
          <w:trHeight w:val="378"/>
        </w:trPr>
        <w:tc>
          <w:tcPr>
            <w:tcW w:w="2760" w:type="dxa"/>
            <w:vAlign w:val="bottom"/>
          </w:tcPr>
          <w:p>
            <w:pPr>
              <w:ind w:left="20"/>
              <w:spacing w:after="0"/>
              <w:rPr>
                <w:sz w:val="20"/>
                <w:szCs w:val="20"/>
                <w:color w:val="auto"/>
              </w:rPr>
            </w:pPr>
            <w:r>
              <w:rPr>
                <w:rFonts w:ascii="Arial" w:cs="Arial" w:eastAsia="Arial" w:hAnsi="Arial"/>
                <w:sz w:val="13"/>
                <w:szCs w:val="13"/>
                <w:color w:val="auto"/>
                <w:w w:val="99"/>
              </w:rPr>
              <w:t>Senior Secured Loan — Initial Term Loan (First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rPr>
              <w:t>Lien)</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w w:val="92"/>
              </w:rPr>
              <w:t>5.8% Cash, 12 Month Libor (1.00%) + 4.75%; Libor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rPr>
              <w:t>Floor 1.00% , Due 9/23</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9/30/2016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967,172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966,030</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838,248</w:t>
            </w:r>
          </w:p>
        </w:tc>
      </w:tr>
      <w:tr>
        <w:trPr>
          <w:trHeight w:val="378"/>
        </w:trPr>
        <w:tc>
          <w:tcPr>
            <w:tcW w:w="2760" w:type="dxa"/>
            <w:vAlign w:val="bottom"/>
          </w:tcPr>
          <w:p>
            <w:pPr>
              <w:ind w:left="20"/>
              <w:spacing w:after="0"/>
              <w:rPr>
                <w:sz w:val="20"/>
                <w:szCs w:val="20"/>
                <w:color w:val="auto"/>
              </w:rPr>
            </w:pPr>
            <w:r>
              <w:rPr>
                <w:rFonts w:ascii="Arial" w:cs="Arial" w:eastAsia="Arial" w:hAnsi="Arial"/>
                <w:sz w:val="13"/>
                <w:szCs w:val="13"/>
                <w:color w:val="auto"/>
                <w:w w:val="94"/>
              </w:rPr>
              <w:t>Junior Secured Loan — Term Loan (Second Lien)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w w:val="90"/>
              </w:rPr>
              <w:t>14.0% Cash, 3 Month Libor (1.00%) + 13.00%; Libor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rPr>
              <w:t>Floor 1.00% , Due 12/20</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12/24/2012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1,000,000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999,999</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1,000,000</w:t>
            </w:r>
          </w:p>
        </w:tc>
      </w:tr>
      <w:tr>
        <w:trPr>
          <w:trHeight w:val="378"/>
        </w:trPr>
        <w:tc>
          <w:tcPr>
            <w:tcW w:w="2760" w:type="dxa"/>
            <w:vAlign w:val="bottom"/>
          </w:tcPr>
          <w:p>
            <w:pPr>
              <w:ind w:left="20"/>
              <w:spacing w:after="0"/>
              <w:rPr>
                <w:sz w:val="20"/>
                <w:szCs w:val="20"/>
                <w:color w:val="auto"/>
              </w:rPr>
            </w:pPr>
            <w:r>
              <w:rPr>
                <w:rFonts w:ascii="Arial" w:cs="Arial" w:eastAsia="Arial" w:hAnsi="Arial"/>
                <w:sz w:val="13"/>
                <w:szCs w:val="13"/>
                <w:color w:val="auto"/>
                <w:w w:val="90"/>
              </w:rPr>
              <w:t>Junior Secured Loan — Promissory Note, 1.7% PIK,</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rPr>
              <w:t>Due 1/25</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1/24/2020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71,626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71,626</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w:t>
            </w:r>
          </w:p>
        </w:tc>
      </w:tr>
      <w:tr>
        <w:trPr>
          <w:trHeight w:val="378"/>
        </w:trPr>
        <w:tc>
          <w:tcPr>
            <w:tcW w:w="2760" w:type="dxa"/>
            <w:vAlign w:val="bottom"/>
          </w:tcPr>
          <w:p>
            <w:pPr>
              <w:ind w:left="20"/>
              <w:spacing w:after="0"/>
              <w:rPr>
                <w:sz w:val="20"/>
                <w:szCs w:val="20"/>
                <w:color w:val="auto"/>
              </w:rPr>
            </w:pPr>
            <w:r>
              <w:rPr>
                <w:rFonts w:ascii="Arial" w:cs="Arial" w:eastAsia="Arial" w:hAnsi="Arial"/>
                <w:sz w:val="13"/>
                <w:szCs w:val="13"/>
                <w:color w:val="auto"/>
                <w:w w:val="94"/>
              </w:rPr>
              <w:t>Junior Secured Loan — Initial Loan (Second Lien)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w w:val="95"/>
              </w:rPr>
              <w:t>7.4% Cash, 1 Month Libor (0.15%) + 7.25% , Due</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rPr>
              <w:t>3/26</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12/18/2019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354,613</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380,334</w:t>
            </w:r>
          </w:p>
        </w:tc>
      </w:tr>
      <w:tr>
        <w:trPr>
          <w:trHeight w:val="378"/>
        </w:trPr>
        <w:tc>
          <w:tcPr>
            <w:tcW w:w="2760" w:type="dxa"/>
            <w:vAlign w:val="bottom"/>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w w:val="95"/>
              </w:rPr>
              <w:t>6.5% Cash, 3 Month Libor (0.23%) + 6.25% , Due</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rPr>
              <w:t>8/24</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2,790,055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2,417,526</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2,789,009</w:t>
            </w:r>
          </w:p>
        </w:tc>
      </w:tr>
      <w:tr>
        <w:trPr>
          <w:trHeight w:val="378"/>
        </w:trPr>
        <w:tc>
          <w:tcPr>
            <w:tcW w:w="2760" w:type="dxa"/>
            <w:vAlign w:val="bottom"/>
          </w:tcPr>
          <w:p>
            <w:pPr>
              <w:ind w:left="20"/>
              <w:spacing w:after="0"/>
              <w:rPr>
                <w:sz w:val="20"/>
                <w:szCs w:val="20"/>
                <w:color w:val="auto"/>
              </w:rPr>
            </w:pPr>
            <w:r>
              <w:rPr>
                <w:rFonts w:ascii="Arial" w:cs="Arial" w:eastAsia="Arial" w:hAnsi="Arial"/>
                <w:sz w:val="13"/>
                <w:szCs w:val="13"/>
                <w:color w:val="auto"/>
              </w:rPr>
              <w:t>Junior Secured Loan — Initial US Term Loan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rPr>
              <w:t>(Second Lien)</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w w:val="94"/>
              </w:rPr>
              <w:t>8.0% Cash, 1 Month Libor (1.00%) + 7.00%; Libor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rPr>
              <w:t>Floor 1.00% , Due 5/23</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12/18/2019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2,978,354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2,666,444</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2,781,783</w:t>
            </w:r>
          </w:p>
        </w:tc>
      </w:tr>
      <w:tr>
        <w:trPr>
          <w:trHeight w:val="378"/>
        </w:trPr>
        <w:tc>
          <w:tcPr>
            <w:tcW w:w="2760" w:type="dxa"/>
            <w:vAlign w:val="bottom"/>
          </w:tcPr>
          <w:p>
            <w:pPr>
              <w:ind w:left="20"/>
              <w:spacing w:after="0"/>
              <w:rPr>
                <w:sz w:val="20"/>
                <w:szCs w:val="20"/>
                <w:color w:val="auto"/>
              </w:rPr>
            </w:pPr>
            <w:r>
              <w:rPr>
                <w:rFonts w:ascii="Arial" w:cs="Arial" w:eastAsia="Arial" w:hAnsi="Arial"/>
                <w:sz w:val="13"/>
                <w:szCs w:val="13"/>
                <w:color w:val="auto"/>
                <w:w w:val="94"/>
              </w:rPr>
              <w:t>Junior Secured Loan — Initial Term Loan (Second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rPr>
              <w:t>Lien)</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w w:val="92"/>
              </w:rPr>
              <w:t>10.0% Cash, 6 month Libor (1.00%) + 9.00%; Libor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rPr>
              <w:t>Floor 1.00% , Due 9/24</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8/9/2016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3,000,000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2,978,909</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2,458,500</w:t>
            </w:r>
          </w:p>
        </w:tc>
      </w:tr>
      <w:tr>
        <w:trPr>
          <w:trHeight w:val="378"/>
        </w:trPr>
        <w:tc>
          <w:tcPr>
            <w:tcW w:w="2760" w:type="dxa"/>
            <w:vAlign w:val="bottom"/>
          </w:tcPr>
          <w:p>
            <w:pPr>
              <w:ind w:left="20"/>
              <w:spacing w:after="0"/>
              <w:rPr>
                <w:sz w:val="20"/>
                <w:szCs w:val="20"/>
                <w:color w:val="auto"/>
              </w:rPr>
            </w:pPr>
            <w:r>
              <w:rPr>
                <w:rFonts w:ascii="Arial" w:cs="Arial" w:eastAsia="Arial" w:hAnsi="Arial"/>
                <w:sz w:val="13"/>
                <w:szCs w:val="13"/>
                <w:color w:val="auto"/>
              </w:rPr>
              <w:t>Senior Secured Loan — Term Loan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w w:val="94"/>
              </w:rPr>
              <w:t>6.0% Cash, 3 Month Libor (1.00%) + 5.00%; Libor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rPr>
              <w:t>Floor 1.00% , Due 11/24</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11/18/2019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2,700,000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2,658,914</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2,612,250</w:t>
            </w:r>
          </w:p>
        </w:tc>
      </w:tr>
      <w:tr>
        <w:trPr>
          <w:trHeight w:val="378"/>
        </w:trPr>
        <w:tc>
          <w:tcPr>
            <w:tcW w:w="2760" w:type="dxa"/>
            <w:vAlign w:val="bottom"/>
          </w:tcPr>
          <w:p>
            <w:pPr>
              <w:ind w:left="20"/>
              <w:spacing w:after="0"/>
              <w:rPr>
                <w:sz w:val="20"/>
                <w:szCs w:val="20"/>
                <w:color w:val="auto"/>
              </w:rPr>
            </w:pPr>
            <w:r>
              <w:rPr>
                <w:rFonts w:ascii="Arial" w:cs="Arial" w:eastAsia="Arial" w:hAnsi="Arial"/>
                <w:sz w:val="13"/>
                <w:szCs w:val="13"/>
                <w:color w:val="auto"/>
                <w:w w:val="94"/>
              </w:rPr>
              <w:t>Junior Secured Loan — Initial Term Loan (Second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rPr>
              <w:t>Lien)</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w w:val="94"/>
              </w:rPr>
              <w:t>8.5% Cash, 1 Month Libor (1.00%) + 7.50%; Libor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60" w:type="dxa"/>
            <w:vAlign w:val="bottom"/>
          </w:tcPr>
          <w:p>
            <w:pPr>
              <w:ind w:left="20"/>
              <w:spacing w:after="0"/>
              <w:rPr>
                <w:sz w:val="20"/>
                <w:szCs w:val="20"/>
                <w:color w:val="auto"/>
              </w:rPr>
            </w:pPr>
            <w:r>
              <w:rPr>
                <w:rFonts w:ascii="Arial" w:cs="Arial" w:eastAsia="Arial" w:hAnsi="Arial"/>
                <w:sz w:val="13"/>
                <w:szCs w:val="13"/>
                <w:color w:val="auto"/>
              </w:rPr>
              <w:t>Floor 1.00% , Due 3/26</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3/8/2018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3,500,000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3,485,385</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3,291,400</w:t>
            </w:r>
          </w:p>
        </w:tc>
      </w:tr>
      <w:tr>
        <w:trPr>
          <w:trHeight w:val="205"/>
        </w:trPr>
        <w:tc>
          <w:tcPr>
            <w:tcW w:w="2760" w:type="dxa"/>
            <w:vAlign w:val="bottom"/>
          </w:tcPr>
          <w:p>
            <w:pPr>
              <w:spacing w:after="0"/>
              <w:rPr>
                <w:sz w:val="17"/>
                <w:szCs w:val="17"/>
                <w:color w:val="auto"/>
              </w:rPr>
            </w:pPr>
          </w:p>
        </w:tc>
        <w:tc>
          <w:tcPr>
            <w:tcW w:w="1260" w:type="dxa"/>
            <w:vAlign w:val="bottom"/>
            <w:gridSpan w:val="3"/>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325"/>
        </w:trPr>
        <w:tc>
          <w:tcPr>
            <w:tcW w:w="2760" w:type="dxa"/>
            <w:vAlign w:val="bottom"/>
          </w:tcPr>
          <w:p>
            <w:pPr>
              <w:spacing w:after="0"/>
              <w:rPr>
                <w:sz w:val="24"/>
                <w:szCs w:val="24"/>
                <w:color w:val="auto"/>
              </w:rPr>
            </w:pPr>
          </w:p>
        </w:tc>
        <w:tc>
          <w:tcPr>
            <w:tcW w:w="1260" w:type="dxa"/>
            <w:vAlign w:val="bottom"/>
            <w:gridSpan w:val="3"/>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437,751,485</w:t>
            </w:r>
          </w:p>
        </w:tc>
        <w:tc>
          <w:tcPr>
            <w:tcW w:w="260" w:type="dxa"/>
            <w:vAlign w:val="bottom"/>
          </w:tcPr>
          <w:p>
            <w:pPr>
              <w:spacing w:after="0"/>
              <w:rPr>
                <w:sz w:val="24"/>
                <w:szCs w:val="24"/>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392,932,411</w:t>
            </w:r>
          </w:p>
        </w:tc>
        <w:tc>
          <w:tcPr>
            <w:tcW w:w="2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  404,860,855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-4996815</wp:posOffset>
            </wp:positionV>
            <wp:extent cx="7132320" cy="3257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-4551045</wp:posOffset>
            </wp:positionV>
            <wp:extent cx="7132320" cy="4286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-4002405</wp:posOffset>
            </wp:positionV>
            <wp:extent cx="7132320" cy="3257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-3556635</wp:posOffset>
            </wp:positionV>
            <wp:extent cx="7132320" cy="2228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-3213735</wp:posOffset>
            </wp:positionV>
            <wp:extent cx="7132320" cy="3257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-2767965</wp:posOffset>
            </wp:positionV>
            <wp:extent cx="7132320" cy="3257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-2322195</wp:posOffset>
            </wp:positionV>
            <wp:extent cx="7132320" cy="42862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-1773555</wp:posOffset>
            </wp:positionV>
            <wp:extent cx="7132320" cy="42862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-1224915</wp:posOffset>
            </wp:positionV>
            <wp:extent cx="7132320" cy="3257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-779145</wp:posOffset>
            </wp:positionV>
            <wp:extent cx="7132320" cy="42862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-222250</wp:posOffset>
            </wp:positionV>
            <wp:extent cx="7132320" cy="2228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70485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3">
            <w:col w:w="2140" w:space="720"/>
            <w:col w:w="520" w:space="360"/>
            <w:col w:w="7380"/>
          </w:cols>
          <w:pgMar w:left="340" w:top="648"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Equity Securities Portfolio</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20"/>
              <w:spacing w:after="0"/>
              <w:rPr>
                <w:sz w:val="20"/>
                <w:szCs w:val="20"/>
                <w:color w:val="auto"/>
              </w:rPr>
            </w:pPr>
            <w:r>
              <w:rPr>
                <w:rFonts w:ascii="Arial" w:cs="Arial" w:eastAsia="Arial" w:hAnsi="Arial"/>
                <w:sz w:val="13"/>
                <w:szCs w:val="13"/>
                <w:b w:val="1"/>
                <w:bCs w:val="1"/>
                <w:color w:val="auto"/>
              </w:rPr>
              <w:t>Portfolio Company /</w:t>
            </w:r>
          </w:p>
        </w:tc>
        <w:tc>
          <w:tcPr>
            <w:tcW w:w="180" w:type="dxa"/>
            <w:vAlign w:val="bottom"/>
          </w:tcPr>
          <w:p>
            <w:pPr>
              <w:spacing w:after="0"/>
              <w:rPr>
                <w:sz w:val="14"/>
                <w:szCs w:val="14"/>
                <w:color w:val="auto"/>
              </w:rPr>
            </w:pPr>
          </w:p>
        </w:tc>
        <w:tc>
          <w:tcPr>
            <w:tcW w:w="178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6"/>
                <w:szCs w:val="16"/>
                <w:b w:val="1"/>
                <w:bCs w:val="1"/>
                <w:color w:val="auto"/>
                <w:vertAlign w:val="superscript"/>
              </w:rPr>
              <w:t>15</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80" w:type="dxa"/>
            <w:vAlign w:val="bottom"/>
          </w:tcPr>
          <w:p>
            <w:pPr>
              <w:spacing w:after="0"/>
              <w:rPr>
                <w:sz w:val="14"/>
                <w:szCs w:val="14"/>
                <w:color w:val="auto"/>
              </w:rPr>
            </w:pPr>
          </w:p>
        </w:tc>
        <w:tc>
          <w:tcPr>
            <w:tcW w:w="1080" w:type="dxa"/>
            <w:vAlign w:val="bottom"/>
          </w:tcPr>
          <w:p>
            <w:pPr>
              <w:jc w:val="right"/>
              <w:ind w:right="137"/>
              <w:spacing w:after="0"/>
              <w:rPr>
                <w:sz w:val="20"/>
                <w:szCs w:val="20"/>
                <w:color w:val="auto"/>
              </w:rPr>
            </w:pPr>
            <w:r>
              <w:rPr>
                <w:rFonts w:ascii="Arial" w:cs="Arial" w:eastAsia="Arial" w:hAnsi="Arial"/>
                <w:sz w:val="13"/>
                <w:szCs w:val="13"/>
                <w:b w:val="1"/>
                <w:bCs w:val="1"/>
                <w:color w:val="auto"/>
              </w:rPr>
              <w:t>Quantity/Par</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Principal Business</w:t>
            </w:r>
          </w:p>
        </w:tc>
        <w:tc>
          <w:tcPr>
            <w:tcW w:w="18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5"/>
                <w:szCs w:val="15"/>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Cost</w:t>
            </w:r>
          </w:p>
        </w:tc>
        <w:tc>
          <w:tcPr>
            <w:tcW w:w="28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860" w:type="dxa"/>
            <w:vAlign w:val="bottom"/>
            <w:shd w:val="clear" w:color="auto" w:fill="CFF0FC"/>
          </w:tcPr>
          <w:p>
            <w:pPr>
              <w:ind w:left="20"/>
              <w:spacing w:after="0" w:line="168" w:lineRule="exact"/>
              <w:rPr>
                <w:sz w:val="20"/>
                <w:szCs w:val="20"/>
                <w:color w:val="auto"/>
              </w:rPr>
            </w:pPr>
            <w:r>
              <w:rPr>
                <w:rFonts w:ascii="Arial" w:cs="Arial" w:eastAsia="Arial" w:hAnsi="Arial"/>
                <w:sz w:val="13"/>
                <w:szCs w:val="13"/>
                <w:color w:val="auto"/>
              </w:rPr>
              <w:t>4L Technologies Inc.</w:t>
            </w:r>
            <w:r>
              <w:rPr>
                <w:rFonts w:ascii="Arial" w:cs="Arial" w:eastAsia="Arial" w:hAnsi="Arial"/>
                <w:sz w:val="16"/>
                <w:szCs w:val="16"/>
                <w:color w:val="auto"/>
                <w:vertAlign w:val="superscript"/>
              </w:rPr>
              <w:t>(8)(13)(19)</w:t>
            </w:r>
          </w:p>
        </w:tc>
        <w:tc>
          <w:tcPr>
            <w:tcW w:w="18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3"/>
                <w:szCs w:val="13"/>
                <w:color w:val="auto"/>
              </w:rPr>
              <w:t>Class A Preferred Units</w:t>
            </w: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5/29/2020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321</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29,277</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29,275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20"/>
              <w:spacing w:after="0" w:line="175" w:lineRule="exact"/>
              <w:rPr>
                <w:sz w:val="20"/>
                <w:szCs w:val="20"/>
                <w:color w:val="auto"/>
              </w:rPr>
            </w:pPr>
            <w:r>
              <w:rPr>
                <w:rFonts w:ascii="Arial" w:cs="Arial" w:eastAsia="Arial" w:hAnsi="Arial"/>
                <w:sz w:val="13"/>
                <w:szCs w:val="13"/>
                <w:color w:val="auto"/>
              </w:rPr>
              <w:t>AAPC Holdings LLC.</w:t>
            </w:r>
            <w:r>
              <w:rPr>
                <w:rFonts w:ascii="Arial" w:cs="Arial" w:eastAsia="Arial" w:hAnsi="Arial"/>
                <w:sz w:val="16"/>
                <w:szCs w:val="16"/>
                <w:color w:val="auto"/>
                <w:vertAlign w:val="superscript"/>
              </w:rPr>
              <w:t>(8)(13)(21)(22)</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3"/>
                <w:szCs w:val="13"/>
                <w:color w:val="auto"/>
              </w:rPr>
              <w:t>Class A Preferred Units; 18%</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3"/>
                <w:szCs w:val="13"/>
                <w:color w:val="auto"/>
              </w:rPr>
              <w:t>PIK; No maturity</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20"/>
              <w:spacing w:after="0" w:line="175"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6"/>
                <w:szCs w:val="16"/>
                <w:color w:val="auto"/>
                <w:vertAlign w:val="superscript"/>
              </w:rPr>
              <w:t>(8)(13)(19)</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3"/>
                <w:szCs w:val="13"/>
                <w:color w:val="auto"/>
              </w:rPr>
              <w:t>Warrant</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Consumer goods: Durable</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354</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20"/>
              <w:spacing w:after="0" w:line="175"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6"/>
                <w:szCs w:val="16"/>
                <w:color w:val="auto"/>
                <w:vertAlign w:val="superscript"/>
              </w:rPr>
              <w:t>(8)(13)(19)</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3"/>
                <w:szCs w:val="13"/>
                <w:color w:val="auto"/>
              </w:rPr>
              <w:t>Membership Interests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Consumer goods: Durable</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18,520</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182,000</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20"/>
              <w:spacing w:after="0" w:line="175" w:lineRule="exact"/>
              <w:rPr>
                <w:sz w:val="20"/>
                <w:szCs w:val="20"/>
                <w:color w:val="auto"/>
              </w:rPr>
            </w:pPr>
            <w:r>
              <w:rPr>
                <w:rFonts w:ascii="Arial" w:cs="Arial" w:eastAsia="Arial" w:hAnsi="Arial"/>
                <w:sz w:val="13"/>
                <w:szCs w:val="13"/>
                <w:color w:val="auto"/>
              </w:rPr>
              <w:t>Advantage Capital Holdings LLC</w:t>
            </w:r>
            <w:r>
              <w:rPr>
                <w:rFonts w:ascii="Arial" w:cs="Arial" w:eastAsia="Arial" w:hAnsi="Arial"/>
                <w:sz w:val="16"/>
                <w:szCs w:val="16"/>
                <w:color w:val="auto"/>
                <w:vertAlign w:val="superscript"/>
              </w:rPr>
              <w:t>(8)(13)(19)(22)</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3"/>
                <w:szCs w:val="13"/>
                <w:color w:val="auto"/>
              </w:rPr>
              <w:t>Class A Membership Units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Banking, Finance, Insurance &amp; Real Estate</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628</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20"/>
              <w:spacing w:after="0" w:line="175"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6"/>
                <w:szCs w:val="16"/>
                <w:color w:val="auto"/>
                <w:vertAlign w:val="superscript"/>
              </w:rPr>
              <w:t>(8)(13)(19)(21)</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3"/>
                <w:szCs w:val="13"/>
                <w:color w:val="auto"/>
                <w:w w:val="99"/>
              </w:rPr>
              <w:t>Warrant Class A, 9/29 maturity</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ind w:left="20"/>
              <w:spacing w:after="0"/>
              <w:rPr>
                <w:sz w:val="20"/>
                <w:szCs w:val="20"/>
                <w:color w:val="auto"/>
              </w:rPr>
            </w:pPr>
            <w:r>
              <w:rPr>
                <w:rFonts w:ascii="Arial" w:cs="Arial" w:eastAsia="Arial" w:hAnsi="Arial"/>
                <w:sz w:val="13"/>
                <w:szCs w:val="13"/>
                <w:color w:val="auto"/>
              </w:rPr>
              <w:t>Media: Broadcasting &amp; Subscription</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221</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43,887</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17,315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20"/>
              <w:spacing w:after="0" w:line="175"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6"/>
                <w:szCs w:val="16"/>
                <w:color w:val="auto"/>
                <w:vertAlign w:val="superscript"/>
              </w:rPr>
              <w:t>(8)(13)(19)(21)</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3"/>
                <w:szCs w:val="13"/>
                <w:color w:val="auto"/>
                <w:w w:val="99"/>
              </w:rPr>
              <w:t>Warrant Class B, 9/29 maturity</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ind w:left="20"/>
              <w:spacing w:after="0"/>
              <w:rPr>
                <w:sz w:val="20"/>
                <w:szCs w:val="20"/>
                <w:color w:val="auto"/>
              </w:rPr>
            </w:pPr>
            <w:r>
              <w:rPr>
                <w:rFonts w:ascii="Arial" w:cs="Arial" w:eastAsia="Arial" w:hAnsi="Arial"/>
                <w:sz w:val="13"/>
                <w:szCs w:val="13"/>
                <w:color w:val="auto"/>
              </w:rPr>
              <w:t>Media: Broadcasting &amp; Subscription</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20"/>
              <w:spacing w:after="0" w:line="175"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6"/>
                <w:szCs w:val="16"/>
                <w:color w:val="auto"/>
                <w:vertAlign w:val="superscript"/>
              </w:rPr>
              <w:t>(8)(13)(19)(21)</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3"/>
                <w:szCs w:val="13"/>
                <w:color w:val="auto"/>
              </w:rPr>
              <w:t>Warrant Common Stock, 9/29</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ind w:left="20"/>
              <w:spacing w:after="0"/>
              <w:rPr>
                <w:sz w:val="20"/>
                <w:szCs w:val="20"/>
                <w:color w:val="auto"/>
              </w:rPr>
            </w:pPr>
            <w:r>
              <w:rPr>
                <w:rFonts w:ascii="Arial" w:cs="Arial" w:eastAsia="Arial" w:hAnsi="Arial"/>
                <w:sz w:val="13"/>
                <w:szCs w:val="13"/>
                <w:color w:val="auto"/>
              </w:rPr>
              <w:t>Media: Broadcasting &amp; Subscription</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3"/>
                <w:szCs w:val="13"/>
                <w:color w:val="auto"/>
              </w:rPr>
              <w:t>maturity</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721</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20"/>
              <w:spacing w:after="0" w:line="175" w:lineRule="exact"/>
              <w:rPr>
                <w:sz w:val="20"/>
                <w:szCs w:val="20"/>
                <w:color w:val="auto"/>
              </w:rPr>
            </w:pPr>
            <w:r>
              <w:rPr>
                <w:rFonts w:ascii="Arial" w:cs="Arial" w:eastAsia="Arial" w:hAnsi="Arial"/>
                <w:sz w:val="13"/>
                <w:szCs w:val="13"/>
                <w:color w:val="auto"/>
              </w:rPr>
              <w:t>ATP Oil &amp; Gas Corporation</w:t>
            </w:r>
            <w:r>
              <w:rPr>
                <w:rFonts w:ascii="Arial" w:cs="Arial" w:eastAsia="Arial" w:hAnsi="Arial"/>
                <w:sz w:val="16"/>
                <w:szCs w:val="16"/>
                <w:color w:val="auto"/>
                <w:vertAlign w:val="superscript"/>
              </w:rPr>
              <w:t>(8)(12)(19)</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3"/>
                <w:szCs w:val="13"/>
                <w:color w:val="auto"/>
              </w:rPr>
              <w:t>Limited Term Royalty Interest</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ind w:left="60"/>
              <w:spacing w:after="0"/>
              <w:rPr>
                <w:sz w:val="20"/>
                <w:szCs w:val="20"/>
                <w:color w:val="auto"/>
              </w:rPr>
            </w:pPr>
            <w:r>
              <w:rPr>
                <w:rFonts w:ascii="Arial" w:cs="Arial" w:eastAsia="Arial" w:hAnsi="Arial"/>
                <w:sz w:val="13"/>
                <w:szCs w:val="13"/>
                <w:color w:val="auto"/>
              </w:rPr>
              <w:t>Energy: Oil &amp; Gas</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2,271,449</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2,271,449</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2,006,598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20"/>
              <w:spacing w:after="0" w:line="175" w:lineRule="exact"/>
              <w:rPr>
                <w:sz w:val="20"/>
                <w:szCs w:val="20"/>
                <w:color w:val="auto"/>
              </w:rPr>
            </w:pPr>
            <w:r>
              <w:rPr>
                <w:rFonts w:ascii="Arial" w:cs="Arial" w:eastAsia="Arial" w:hAnsi="Arial"/>
                <w:sz w:val="13"/>
                <w:szCs w:val="13"/>
                <w:color w:val="auto"/>
              </w:rPr>
              <w:t xml:space="preserve">Carestream Health Inc. </w:t>
            </w:r>
            <w:r>
              <w:rPr>
                <w:rFonts w:ascii="Arial" w:cs="Arial" w:eastAsia="Arial" w:hAnsi="Arial"/>
                <w:sz w:val="16"/>
                <w:szCs w:val="16"/>
                <w:color w:val="auto"/>
                <w:vertAlign w:val="superscript"/>
              </w:rPr>
              <w:t>(8)(13)(19)</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3"/>
                <w:szCs w:val="13"/>
                <w:color w:val="auto"/>
              </w:rPr>
              <w:t>Warrants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Healthcare &amp; Pharmaceuticals</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3/13/2019</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20"/>
              <w:spacing w:after="0" w:line="175" w:lineRule="exact"/>
              <w:rPr>
                <w:sz w:val="20"/>
                <w:szCs w:val="20"/>
                <w:color w:val="auto"/>
              </w:rPr>
            </w:pPr>
            <w:r>
              <w:rPr>
                <w:rFonts w:ascii="Arial" w:cs="Arial" w:eastAsia="Arial" w:hAnsi="Arial"/>
                <w:sz w:val="13"/>
                <w:szCs w:val="13"/>
                <w:color w:val="auto"/>
              </w:rPr>
              <w:t xml:space="preserve">Centric Brands Inc. </w:t>
            </w:r>
            <w:r>
              <w:rPr>
                <w:rFonts w:ascii="Arial" w:cs="Arial" w:eastAsia="Arial" w:hAnsi="Arial"/>
                <w:sz w:val="16"/>
                <w:szCs w:val="16"/>
                <w:color w:val="auto"/>
                <w:vertAlign w:val="superscript"/>
              </w:rPr>
              <w:t>(8)(13)(19)</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3"/>
                <w:szCs w:val="13"/>
                <w:color w:val="auto"/>
              </w:rPr>
              <w:t>Common</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ind w:left="20"/>
              <w:spacing w:after="0"/>
              <w:rPr>
                <w:sz w:val="20"/>
                <w:szCs w:val="20"/>
                <w:color w:val="auto"/>
              </w:rPr>
            </w:pPr>
            <w:r>
              <w:rPr>
                <w:rFonts w:ascii="Arial" w:cs="Arial" w:eastAsia="Arial" w:hAnsi="Arial"/>
                <w:sz w:val="13"/>
                <w:szCs w:val="13"/>
                <w:color w:val="auto"/>
              </w:rPr>
              <w:t>Machinery (Non-Agrclt/Constr/Electr)</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36,342</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34,525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20"/>
              <w:spacing w:after="0" w:line="175" w:lineRule="exact"/>
              <w:rPr>
                <w:sz w:val="20"/>
                <w:szCs w:val="20"/>
                <w:color w:val="auto"/>
              </w:rPr>
            </w:pPr>
            <w:r>
              <w:rPr>
                <w:rFonts w:ascii="Arial" w:cs="Arial" w:eastAsia="Arial" w:hAnsi="Arial"/>
                <w:sz w:val="13"/>
                <w:szCs w:val="13"/>
                <w:color w:val="auto"/>
              </w:rPr>
              <w:t>eInstruction Acquisition, LLC</w:t>
            </w:r>
            <w:r>
              <w:rPr>
                <w:rFonts w:ascii="Arial" w:cs="Arial" w:eastAsia="Arial" w:hAnsi="Arial"/>
                <w:sz w:val="16"/>
                <w:szCs w:val="16"/>
                <w:color w:val="auto"/>
                <w:vertAlign w:val="superscript"/>
              </w:rPr>
              <w:t>(8)(13)(19)</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3"/>
                <w:szCs w:val="13"/>
                <w:color w:val="auto"/>
              </w:rPr>
              <w:t>Membership Units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Services: Business</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7/2/2007</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1,076</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1,079,617</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20"/>
              <w:spacing w:after="0" w:line="175" w:lineRule="exact"/>
              <w:rPr>
                <w:sz w:val="20"/>
                <w:szCs w:val="20"/>
                <w:color w:val="auto"/>
              </w:rPr>
            </w:pPr>
            <w:r>
              <w:rPr>
                <w:rFonts w:ascii="Arial" w:cs="Arial" w:eastAsia="Arial" w:hAnsi="Arial"/>
                <w:sz w:val="13"/>
                <w:szCs w:val="13"/>
                <w:color w:val="auto"/>
              </w:rPr>
              <w:t>EJF Investments Ltd.</w:t>
            </w:r>
            <w:r>
              <w:rPr>
                <w:rFonts w:ascii="Arial" w:cs="Arial" w:eastAsia="Arial" w:hAnsi="Arial"/>
                <w:sz w:val="16"/>
                <w:szCs w:val="16"/>
                <w:color w:val="auto"/>
                <w:vertAlign w:val="superscript"/>
              </w:rPr>
              <w:t>(3)(19)</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3"/>
                <w:szCs w:val="13"/>
                <w:color w:val="auto"/>
              </w:rPr>
              <w:t>Preferred Equity, 0%; 6/25</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FF0FC"/>
          </w:tcPr>
          <w:p>
            <w:pPr>
              <w:ind w:left="60"/>
              <w:spacing w:after="0"/>
              <w:rPr>
                <w:sz w:val="20"/>
                <w:szCs w:val="20"/>
                <w:color w:val="auto"/>
              </w:rPr>
            </w:pPr>
            <w:r>
              <w:rPr>
                <w:rFonts w:ascii="Arial" w:cs="Arial" w:eastAsia="Arial" w:hAnsi="Arial"/>
                <w:sz w:val="13"/>
                <w:szCs w:val="13"/>
                <w:color w:val="auto"/>
              </w:rPr>
              <w:t>Services: Business</w:t>
            </w:r>
          </w:p>
        </w:tc>
        <w:tc>
          <w:tcPr>
            <w:tcW w:w="18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3"/>
                <w:szCs w:val="13"/>
                <w:color w:val="auto"/>
              </w:rPr>
              <w:t>maturity</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6/17/2020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1,366,900</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1,256,485</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1,407,907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760"/>
              <w:spacing w:after="0"/>
              <w:rPr>
                <w:sz w:val="20"/>
                <w:szCs w:val="20"/>
                <w:color w:val="auto"/>
              </w:rPr>
            </w:pPr>
            <w:r>
              <w:rPr>
                <w:rFonts w:ascii="Arial" w:cs="Arial" w:eastAsia="Arial" w:hAnsi="Arial"/>
                <w:sz w:val="13"/>
                <w:szCs w:val="13"/>
                <w:b w:val="1"/>
                <w:bCs w:val="1"/>
                <w:color w:val="auto"/>
                <w:w w:val="99"/>
              </w:rPr>
              <w:t>Initial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gridSpan w:val="2"/>
          </w:tcPr>
          <w:p>
            <w:pPr>
              <w:ind w:left="20"/>
              <w:spacing w:after="0"/>
              <w:rPr>
                <w:sz w:val="20"/>
                <w:szCs w:val="20"/>
                <w:color w:val="auto"/>
              </w:rPr>
            </w:pPr>
            <w:r>
              <w:rPr>
                <w:rFonts w:ascii="Arial" w:cs="Arial" w:eastAsia="Arial" w:hAnsi="Arial"/>
                <w:sz w:val="13"/>
                <w:szCs w:val="13"/>
                <w:b w:val="1"/>
                <w:bCs w:val="1"/>
                <w:color w:val="auto"/>
              </w:rPr>
              <w:t>Portfolio Company /</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6"/>
                <w:szCs w:val="16"/>
                <w:b w:val="1"/>
                <w:bCs w:val="1"/>
                <w:color w:val="auto"/>
                <w:vertAlign w:val="superscript"/>
              </w:rPr>
              <w:t>15</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4"/>
          </w:tcPr>
          <w:p>
            <w:pPr>
              <w:jc w:val="center"/>
              <w:ind w:right="620"/>
              <w:spacing w:after="0"/>
              <w:rPr>
                <w:sz w:val="20"/>
                <w:szCs w:val="20"/>
                <w:color w:val="auto"/>
              </w:rPr>
            </w:pPr>
            <w:r>
              <w:rPr>
                <w:rFonts w:ascii="Arial" w:cs="Arial" w:eastAsia="Arial" w:hAnsi="Arial"/>
                <w:sz w:val="13"/>
                <w:szCs w:val="13"/>
                <w:b w:val="1"/>
                <w:bCs w:val="1"/>
                <w:color w:val="auto"/>
                <w:w w:val="87"/>
              </w:rPr>
              <w:t>Acquisition</w:t>
            </w:r>
          </w:p>
        </w:tc>
        <w:tc>
          <w:tcPr>
            <w:tcW w:w="1200" w:type="dxa"/>
            <w:vAlign w:val="bottom"/>
            <w:gridSpan w:val="4"/>
          </w:tcPr>
          <w:p>
            <w:pPr>
              <w:jc w:val="center"/>
              <w:ind w:right="420"/>
              <w:spacing w:after="0"/>
              <w:rPr>
                <w:sz w:val="20"/>
                <w:szCs w:val="20"/>
                <w:color w:val="auto"/>
              </w:rPr>
            </w:pPr>
            <w:r>
              <w:rPr>
                <w:rFonts w:ascii="Arial" w:cs="Arial" w:eastAsia="Arial" w:hAnsi="Arial"/>
                <w:sz w:val="13"/>
                <w:szCs w:val="13"/>
                <w:b w:val="1"/>
                <w:bCs w:val="1"/>
                <w:color w:val="auto"/>
                <w:w w:val="90"/>
              </w:rPr>
              <w:t>Quantity/Par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ind w:right="194"/>
              <w:spacing w:after="0"/>
              <w:rPr>
                <w:sz w:val="20"/>
                <w:szCs w:val="20"/>
                <w:color w:val="auto"/>
              </w:rPr>
            </w:pPr>
            <w:r>
              <w:rPr>
                <w:rFonts w:ascii="Arial" w:cs="Arial" w:eastAsia="Arial" w:hAnsi="Arial"/>
                <w:sz w:val="13"/>
                <w:szCs w:val="13"/>
                <w:b w:val="1"/>
                <w:bCs w:val="1"/>
                <w:color w:val="auto"/>
                <w:w w:val="88"/>
              </w:rPr>
              <w:t>Fair Value</w:t>
            </w:r>
            <w:r>
              <w:rPr>
                <w:rFonts w:ascii="Arial" w:cs="Arial" w:eastAsia="Arial" w:hAnsi="Arial"/>
                <w:sz w:val="16"/>
                <w:szCs w:val="16"/>
                <w:b w:val="1"/>
                <w:bCs w:val="1"/>
                <w:color w:val="auto"/>
                <w:w w:val="88"/>
                <w:vertAlign w:val="superscript"/>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780" w:type="dxa"/>
            <w:vAlign w:val="bottom"/>
            <w:gridSpan w:val="2"/>
          </w:tcPr>
          <w:p>
            <w:pPr>
              <w:ind w:left="20"/>
              <w:spacing w:after="0"/>
              <w:rPr>
                <w:sz w:val="20"/>
                <w:szCs w:val="20"/>
                <w:color w:val="auto"/>
              </w:rPr>
            </w:pPr>
            <w:r>
              <w:rPr>
                <w:rFonts w:ascii="Arial" w:cs="Arial" w:eastAsia="Arial" w:hAnsi="Arial"/>
                <w:sz w:val="13"/>
                <w:szCs w:val="13"/>
                <w:b w:val="1"/>
                <w:bCs w:val="1"/>
                <w:color w:val="auto"/>
              </w:rPr>
              <w:t>Principal Business</w:t>
            </w: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center"/>
              <w:ind w:right="760"/>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Pr>
          <w:p>
            <w:pPr>
              <w:spacing w:after="0"/>
              <w:rPr>
                <w:sz w:val="15"/>
                <w:szCs w:val="15"/>
                <w:color w:val="auto"/>
              </w:rPr>
            </w:pPr>
          </w:p>
        </w:tc>
        <w:tc>
          <w:tcPr>
            <w:tcW w:w="106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w w:val="85"/>
              </w:rPr>
              <w:t>/Shares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80" w:type="dxa"/>
            <w:vAlign w:val="bottom"/>
            <w:tcBorders>
              <w:top w:val="single" w:sz="8" w:color="auto"/>
            </w:tcBorders>
            <w:gridSpan w:val="2"/>
            <w:shd w:val="clear" w:color="auto" w:fill="CFF0FC"/>
          </w:tcPr>
          <w:p>
            <w:pPr>
              <w:ind w:left="20"/>
              <w:spacing w:after="0" w:line="168" w:lineRule="exact"/>
              <w:rPr>
                <w:sz w:val="20"/>
                <w:szCs w:val="20"/>
                <w:color w:val="auto"/>
              </w:rPr>
            </w:pPr>
            <w:r>
              <w:rPr>
                <w:rFonts w:ascii="Arial" w:cs="Arial" w:eastAsia="Arial" w:hAnsi="Arial"/>
                <w:sz w:val="19"/>
                <w:szCs w:val="19"/>
                <w:color w:val="auto"/>
                <w:vertAlign w:val="subscript"/>
              </w:rPr>
              <w:t>Emtec, Inc.</w:t>
            </w:r>
            <w:r>
              <w:rPr>
                <w:rFonts w:ascii="Arial" w:cs="Arial" w:eastAsia="Arial" w:hAnsi="Arial"/>
                <w:sz w:val="7"/>
                <w:szCs w:val="7"/>
                <w:color w:val="auto"/>
              </w:rPr>
              <w:t>(8)(13)(19)</w:t>
            </w:r>
          </w:p>
        </w:tc>
        <w:tc>
          <w:tcPr>
            <w:tcW w:w="10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Preferred Equity</w:t>
            </w:r>
          </w:p>
        </w:tc>
        <w:tc>
          <w:tcPr>
            <w:tcW w:w="16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Services: Business</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319,357</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gridSpan w:val="3"/>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3"/>
                <w:szCs w:val="13"/>
                <w:color w:val="auto"/>
              </w:rPr>
              <w:t>Oneida Group, Inc.</w:t>
            </w:r>
            <w:r>
              <w:rPr>
                <w:rFonts w:ascii="Arial" w:cs="Arial" w:eastAsia="Arial" w:hAnsi="Arial"/>
                <w:sz w:val="16"/>
                <w:szCs w:val="16"/>
                <w:color w:val="auto"/>
                <w:vertAlign w:val="superscript"/>
              </w:rPr>
              <w:t>(8)(13)(19)</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Consumer goods: Durable</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1,085,565</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345,834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347,381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3"/>
                <w:szCs w:val="13"/>
                <w:color w:val="auto"/>
              </w:rPr>
              <w:t>Faraday Holdings LLC.</w:t>
            </w:r>
            <w:r>
              <w:rPr>
                <w:rFonts w:ascii="Arial" w:cs="Arial" w:eastAsia="Arial" w:hAnsi="Arial"/>
                <w:sz w:val="16"/>
                <w:szCs w:val="16"/>
                <w:color w:val="auto"/>
                <w:vertAlign w:val="superscript"/>
              </w:rPr>
              <w:t>(8)(13)(19)</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Class D Shares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Consumer goods: Durable</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2,752</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548,377</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865,493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3"/>
                <w:szCs w:val="13"/>
                <w:color w:val="auto"/>
                <w:w w:val="99"/>
              </w:rPr>
              <w:t>FP WRCA Coinvestment Fund VII, Ltd.</w:t>
            </w:r>
            <w:r>
              <w:rPr>
                <w:rFonts w:ascii="Arial" w:cs="Arial" w:eastAsia="Arial" w:hAnsi="Arial"/>
                <w:sz w:val="16"/>
                <w:szCs w:val="16"/>
                <w:color w:val="auto"/>
                <w:w w:val="99"/>
                <w:vertAlign w:val="superscript"/>
              </w:rPr>
              <w:t>(3)(13)(19)</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Class A Shares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Capital Equipment</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2/2/2007</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480,300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3"/>
                <w:szCs w:val="13"/>
                <w:color w:val="auto"/>
              </w:rPr>
              <w:t xml:space="preserve">Fusion Connect, Inc. </w:t>
            </w:r>
            <w:r>
              <w:rPr>
                <w:rFonts w:ascii="Arial" w:cs="Arial" w:eastAsia="Arial" w:hAnsi="Arial"/>
                <w:sz w:val="16"/>
                <w:szCs w:val="16"/>
                <w:color w:val="auto"/>
                <w:vertAlign w:val="superscript"/>
              </w:rPr>
              <w:t>(8)(13)(19)</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Telecommunications</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121,871</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865,854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1,039,560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3"/>
                <w:szCs w:val="13"/>
                <w:color w:val="auto"/>
              </w:rPr>
              <w:t xml:space="preserve">GIG Rooster Holdings I, LLC </w:t>
            </w:r>
            <w:r>
              <w:rPr>
                <w:rFonts w:ascii="Arial" w:cs="Arial" w:eastAsia="Arial" w:hAnsi="Arial"/>
                <w:sz w:val="16"/>
                <w:szCs w:val="16"/>
                <w:color w:val="auto"/>
                <w:vertAlign w:val="superscript"/>
              </w:rPr>
              <w:t>(8)(13)(18)(19)</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Energy: Oil &amp; Gas</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gridSpan w:val="3"/>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123,354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2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gridSpan w:val="3"/>
            <w:shd w:val="clear" w:color="auto" w:fill="CFF0FC"/>
          </w:tcPr>
          <w:p>
            <w:pPr>
              <w:ind w:left="20"/>
              <w:spacing w:after="0" w:line="175" w:lineRule="exact"/>
              <w:rPr>
                <w:sz w:val="20"/>
                <w:szCs w:val="20"/>
                <w:color w:val="auto"/>
              </w:rPr>
            </w:pPr>
            <w:r>
              <w:rPr>
                <w:rFonts w:ascii="Arial" w:cs="Arial" w:eastAsia="Arial" w:hAnsi="Arial"/>
                <w:sz w:val="13"/>
                <w:szCs w:val="13"/>
                <w:color w:val="auto"/>
              </w:rPr>
              <w:t>New Millennium Holdco, Inc. (Millennium Health, LLC)</w:t>
            </w:r>
            <w:r>
              <w:rPr>
                <w:rFonts w:ascii="Arial" w:cs="Arial" w:eastAsia="Arial" w:hAnsi="Arial"/>
                <w:sz w:val="16"/>
                <w:szCs w:val="16"/>
                <w:color w:val="auto"/>
                <w:vertAlign w:val="superscript"/>
              </w:rPr>
              <w:t>(8)(13)(19)</w:t>
            </w: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Healthcare &amp; Pharmaceuticals</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10/7/2014</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29,699</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1,953,300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3"/>
                <w:szCs w:val="13"/>
                <w:color w:val="auto"/>
              </w:rPr>
              <w:t>Ohene Holdings B.V.</w:t>
            </w:r>
            <w:r>
              <w:rPr>
                <w:rFonts w:ascii="Arial" w:cs="Arial" w:eastAsia="Arial" w:hAnsi="Arial"/>
                <w:sz w:val="16"/>
                <w:szCs w:val="16"/>
                <w:color w:val="auto"/>
                <w:vertAlign w:val="superscript"/>
              </w:rPr>
              <w:t>(3)(13)(19)</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Warrants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Services: Business</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3/31/2019</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gridSpan w:val="3"/>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3"/>
                <w:szCs w:val="13"/>
                <w:color w:val="auto"/>
              </w:rPr>
              <w:t xml:space="preserve">Prosper Marketplace </w:t>
            </w:r>
            <w:r>
              <w:rPr>
                <w:rFonts w:ascii="Arial" w:cs="Arial" w:eastAsia="Arial" w:hAnsi="Arial"/>
                <w:sz w:val="16"/>
                <w:szCs w:val="16"/>
                <w:color w:val="auto"/>
                <w:vertAlign w:val="superscript"/>
              </w:rPr>
              <w:t>(6)(13)(19)</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Class B Preferred Units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Consumer goods: Durable</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912,865</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278,865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365,146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3"/>
                <w:szCs w:val="13"/>
                <w:color w:val="auto"/>
              </w:rPr>
              <w:t>Roscoe Investors, LLC</w:t>
            </w:r>
            <w:r>
              <w:rPr>
                <w:rFonts w:ascii="Arial" w:cs="Arial" w:eastAsia="Arial" w:hAnsi="Arial"/>
                <w:sz w:val="16"/>
                <w:szCs w:val="16"/>
                <w:color w:val="auto"/>
                <w:vertAlign w:val="superscript"/>
              </w:rPr>
              <w:t>(8)(13)(19)</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Class A Units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10,000</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454,000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3"/>
                <w:szCs w:val="13"/>
                <w:color w:val="auto"/>
                <w:w w:val="86"/>
              </w:rPr>
              <w:t>Tank Partners Equipment Holdings, LLC</w:t>
            </w:r>
            <w:r>
              <w:rPr>
                <w:rFonts w:ascii="Arial" w:cs="Arial" w:eastAsia="Arial" w:hAnsi="Arial"/>
                <w:sz w:val="16"/>
                <w:szCs w:val="16"/>
                <w:color w:val="auto"/>
                <w:w w:val="86"/>
                <w:vertAlign w:val="superscript"/>
              </w:rPr>
              <w:t>(8)(9)(13)(16)(19)</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Class A Units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Energy: Oil &amp; Gas</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8/28/2014</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49,000</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6,228,000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FF0FC"/>
          </w:tcPr>
          <w:p>
            <w:pPr>
              <w:ind w:left="20"/>
              <w:spacing w:after="0" w:line="175" w:lineRule="exact"/>
              <w:rPr>
                <w:sz w:val="20"/>
                <w:szCs w:val="20"/>
                <w:color w:val="auto"/>
              </w:rPr>
            </w:pPr>
            <w:r>
              <w:rPr>
                <w:rFonts w:ascii="Arial" w:cs="Arial" w:eastAsia="Arial" w:hAnsi="Arial"/>
                <w:sz w:val="20"/>
                <w:szCs w:val="20"/>
                <w:color w:val="auto"/>
                <w:vertAlign w:val="subscript"/>
              </w:rPr>
              <w:t>TRSO II, Inc.</w:t>
            </w:r>
            <w:r>
              <w:rPr>
                <w:rFonts w:ascii="Arial" w:cs="Arial" w:eastAsia="Arial" w:hAnsi="Arial"/>
                <w:sz w:val="8"/>
                <w:szCs w:val="8"/>
                <w:color w:val="auto"/>
              </w:rPr>
              <w:t>(8)(13)(19)</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Stock</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Energy: Oil &amp; Gas</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1,228</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420,289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3"/>
                <w:szCs w:val="13"/>
                <w:color w:val="auto"/>
              </w:rPr>
              <w:t>Valterra Products Holdings, LLC</w:t>
            </w:r>
            <w:r>
              <w:rPr>
                <w:rFonts w:ascii="Arial" w:cs="Arial" w:eastAsia="Arial" w:hAnsi="Arial"/>
                <w:sz w:val="16"/>
                <w:szCs w:val="16"/>
                <w:color w:val="auto"/>
                <w:vertAlign w:val="superscript"/>
              </w:rPr>
              <w:t>(8)(13)(19)</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Class A Units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Consumer goods: Durable</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3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185,847</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981,365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1,144,818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3"/>
                <w:szCs w:val="13"/>
                <w:color w:val="auto"/>
              </w:rPr>
              <w:t>Valterra Products Holdings, LLC</w:t>
            </w:r>
            <w:r>
              <w:rPr>
                <w:rFonts w:ascii="Arial" w:cs="Arial" w:eastAsia="Arial" w:hAnsi="Arial"/>
                <w:sz w:val="16"/>
                <w:szCs w:val="16"/>
                <w:color w:val="auto"/>
                <w:vertAlign w:val="superscript"/>
              </w:rPr>
              <w:t>(8)(13)(19)</w:t>
            </w: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Class B Units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20,650</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109,040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127,205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7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color w:val="auto"/>
              </w:rPr>
              <w:t>Consumer goods: Durable</w:t>
            </w:r>
          </w:p>
        </w:tc>
        <w:tc>
          <w:tcPr>
            <w:tcW w:w="10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760" w:type="dxa"/>
            <w:vAlign w:val="bottom"/>
            <w:tcBorders>
              <w:bottom w:val="single" w:sz="8" w:color="CFF0FC"/>
            </w:tcBorders>
            <w:shd w:val="clear" w:color="auto" w:fill="CFF0FC"/>
          </w:tcPr>
          <w:p>
            <w:pPr>
              <w:spacing w:after="0"/>
              <w:rPr>
                <w:sz w:val="14"/>
                <w:szCs w:val="14"/>
                <w:color w:val="auto"/>
              </w:rPr>
            </w:pPr>
          </w:p>
        </w:tc>
        <w:tc>
          <w:tcPr>
            <w:tcW w:w="1360" w:type="dxa"/>
            <w:vAlign w:val="bottom"/>
            <w:tcBorders>
              <w:bottom w:val="single" w:sz="8" w:color="CFF0FC"/>
            </w:tcBorders>
            <w:gridSpan w:val="4"/>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gridSpan w:val="2"/>
            <w:vMerge w:val="continue"/>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8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Total Investment in Equity Securities</w:t>
            </w:r>
          </w:p>
        </w:tc>
        <w:tc>
          <w:tcPr>
            <w:tcW w:w="10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1700" w:type="dxa"/>
            <w:vAlign w:val="bottom"/>
            <w:gridSpan w:val="6"/>
            <w:vMerge w:val="restart"/>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13,435,508</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vMerge w:val="restart"/>
            <w:shd w:val="clear" w:color="auto" w:fill="CFF0FC"/>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0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24,593,639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8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13,944,876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780" w:type="dxa"/>
            <w:vAlign w:val="bottom"/>
            <w:gridSpan w:val="2"/>
            <w:shd w:val="clear" w:color="auto" w:fill="CFF0FC"/>
          </w:tcPr>
          <w:p>
            <w:pPr>
              <w:ind w:left="120"/>
              <w:spacing w:after="0"/>
              <w:rPr>
                <w:sz w:val="20"/>
                <w:szCs w:val="20"/>
                <w:color w:val="auto"/>
              </w:rPr>
            </w:pPr>
            <w:r>
              <w:rPr>
                <w:rFonts w:ascii="Arial" w:cs="Arial" w:eastAsia="Arial" w:hAnsi="Arial"/>
                <w:sz w:val="13"/>
                <w:szCs w:val="13"/>
                <w:b w:val="1"/>
                <w:bCs w:val="1"/>
                <w:color w:val="auto"/>
              </w:rPr>
              <w:t>(6% of net asset value at fair value)</w:t>
            </w:r>
          </w:p>
        </w:tc>
        <w:tc>
          <w:tcPr>
            <w:tcW w:w="10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1700" w:type="dxa"/>
            <w:vAlign w:val="bottom"/>
            <w:gridSpan w:val="6"/>
            <w:vMerge w:val="continue"/>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13"/>
        </w:trPr>
        <w:tc>
          <w:tcPr>
            <w:tcW w:w="2780" w:type="dxa"/>
            <w:vAlign w:val="bottom"/>
            <w:tcBorders>
              <w:top w:val="single" w:sz="8" w:color="CFF0FC"/>
            </w:tcBorders>
            <w:gridSpan w:val="2"/>
          </w:tcPr>
          <w:p>
            <w:pPr>
              <w:spacing w:after="0"/>
              <w:rPr>
                <w:sz w:val="20"/>
                <w:szCs w:val="20"/>
                <w:color w:val="auto"/>
              </w:rPr>
            </w:pPr>
            <w:r>
              <w:rPr>
                <w:rFonts w:ascii="Arial" w:cs="Arial" w:eastAsia="Arial" w:hAnsi="Arial"/>
                <w:sz w:val="18"/>
                <w:szCs w:val="18"/>
                <w:b w:val="1"/>
                <w:bCs w:val="1"/>
                <w:color w:val="auto"/>
              </w:rPr>
              <w:t>CLO Subordinated Investments</w:t>
            </w:r>
          </w:p>
        </w:tc>
        <w:tc>
          <w:tcPr>
            <w:tcW w:w="10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7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7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3"/>
                <w:szCs w:val="13"/>
                <w:color w:val="auto"/>
              </w:rPr>
            </w:pPr>
          </w:p>
        </w:tc>
        <w:tc>
          <w:tcPr>
            <w:tcW w:w="1060" w:type="dxa"/>
            <w:vAlign w:val="bottom"/>
            <w:gridSpan w:val="3"/>
          </w:tcPr>
          <w:p>
            <w:pPr>
              <w:ind w:left="160"/>
              <w:spacing w:after="0" w:line="157" w:lineRule="exact"/>
              <w:rPr>
                <w:sz w:val="20"/>
                <w:szCs w:val="20"/>
                <w:color w:val="auto"/>
              </w:rPr>
            </w:pPr>
            <w:r>
              <w:rPr>
                <w:rFonts w:ascii="Arial" w:cs="Arial" w:eastAsia="Arial" w:hAnsi="Arial"/>
                <w:sz w:val="14"/>
                <w:szCs w:val="14"/>
                <w:b w:val="1"/>
                <w:bCs w:val="1"/>
                <w:color w:val="auto"/>
              </w:rPr>
              <w:t>Percentage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ind w:left="40"/>
              <w:spacing w:after="0" w:line="157" w:lineRule="exact"/>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294"/>
              <w:spacing w:after="0" w:line="15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780" w:type="dxa"/>
            <w:vAlign w:val="bottom"/>
            <w:gridSpan w:val="2"/>
          </w:tcPr>
          <w:p>
            <w:pPr>
              <w:ind w:left="720"/>
              <w:spacing w:after="0"/>
              <w:rPr>
                <w:sz w:val="20"/>
                <w:szCs w:val="20"/>
                <w:color w:val="auto"/>
              </w:rPr>
            </w:pPr>
            <w:r>
              <w:rPr>
                <w:rFonts w:ascii="Arial" w:cs="Arial" w:eastAsia="Arial" w:hAnsi="Arial"/>
                <w:sz w:val="14"/>
                <w:szCs w:val="14"/>
                <w:b w:val="1"/>
                <w:bCs w:val="1"/>
                <w:color w:val="auto"/>
              </w:rPr>
              <w:t>Portfolio Company</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ind w:left="40"/>
              <w:spacing w:after="0" w:line="217" w:lineRule="exact"/>
              <w:rPr>
                <w:sz w:val="20"/>
                <w:szCs w:val="20"/>
                <w:color w:val="auto"/>
              </w:rPr>
            </w:pPr>
            <w:r>
              <w:rPr>
                <w:rFonts w:ascii="Arial" w:cs="Arial" w:eastAsia="Arial" w:hAnsi="Arial"/>
                <w:sz w:val="14"/>
                <w:szCs w:val="14"/>
                <w:b w:val="1"/>
                <w:bCs w:val="1"/>
                <w:color w:val="auto"/>
              </w:rPr>
              <w:t>Investment</w:t>
            </w:r>
            <w:r>
              <w:rPr>
                <w:rFonts w:ascii="Arial" w:cs="Arial" w:eastAsia="Arial" w:hAnsi="Arial"/>
                <w:sz w:val="19"/>
                <w:szCs w:val="19"/>
                <w:b w:val="1"/>
                <w:bCs w:val="1"/>
                <w:color w:val="auto"/>
                <w:vertAlign w:val="superscript"/>
              </w:rPr>
              <w:t>15,11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Arial" w:cs="Arial" w:eastAsia="Arial" w:hAnsi="Arial"/>
                <w:sz w:val="14"/>
                <w:szCs w:val="14"/>
                <w:b w:val="1"/>
                <w:bCs w:val="1"/>
                <w:color w:val="auto"/>
              </w:rPr>
              <w:t>Ownership</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2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214"/>
              <w:spacing w:after="0" w:line="217"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9"/>
                <w:szCs w:val="19"/>
                <w:b w:val="1"/>
                <w:bCs w:val="1"/>
                <w:color w:val="auto"/>
                <w:vertAlign w:val="superscript"/>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620" w:type="dxa"/>
            <w:vAlign w:val="bottom"/>
            <w:tcBorders>
              <w:top w:val="single" w:sz="8" w:color="auto"/>
            </w:tcBorders>
            <w:shd w:val="clear" w:color="auto" w:fill="CFF0FC"/>
          </w:tcPr>
          <w:p>
            <w:pPr>
              <w:ind w:left="20"/>
              <w:spacing w:after="0" w:line="177" w:lineRule="exact"/>
              <w:rPr>
                <w:sz w:val="20"/>
                <w:szCs w:val="20"/>
                <w:color w:val="auto"/>
              </w:rPr>
            </w:pPr>
            <w:r>
              <w:rPr>
                <w:rFonts w:ascii="Arial" w:cs="Arial" w:eastAsia="Arial" w:hAnsi="Arial"/>
                <w:sz w:val="14"/>
                <w:szCs w:val="14"/>
                <w:color w:val="auto"/>
              </w:rPr>
              <w:t>Catamaran CLO 2013- 1 Ltd.</w:t>
            </w:r>
            <w:r>
              <w:rPr>
                <w:rFonts w:ascii="Arial" w:cs="Arial" w:eastAsia="Arial" w:hAnsi="Arial"/>
                <w:sz w:val="19"/>
                <w:szCs w:val="19"/>
                <w:color w:val="auto"/>
                <w:vertAlign w:val="superscript"/>
              </w:rPr>
              <w:t>(3)(13)(21)</w:t>
            </w:r>
          </w:p>
        </w:tc>
        <w:tc>
          <w:tcPr>
            <w:tcW w:w="160" w:type="dxa"/>
            <w:vAlign w:val="bottom"/>
            <w:shd w:val="clear" w:color="auto" w:fill="CFF0FC"/>
          </w:tcPr>
          <w:p>
            <w:pPr>
              <w:spacing w:after="0"/>
              <w:rPr>
                <w:sz w:val="15"/>
                <w:szCs w:val="15"/>
                <w:color w:val="auto"/>
              </w:rPr>
            </w:pPr>
          </w:p>
        </w:tc>
        <w:tc>
          <w:tcPr>
            <w:tcW w:w="300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4"/>
                <w:szCs w:val="14"/>
                <w:color w:val="auto"/>
                <w:w w:val="97"/>
              </w:rPr>
              <w:t>Subordinated Securities, effective interest 10.7%,</w:t>
            </w:r>
          </w:p>
        </w:tc>
        <w:tc>
          <w:tcPr>
            <w:tcW w:w="16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20"/>
                <w:szCs w:val="20"/>
                <w:color w:val="auto"/>
              </w:rPr>
            </w:pPr>
            <w:r>
              <w:rPr>
                <w:rFonts w:ascii="Arial" w:cs="Arial" w:eastAsia="Arial" w:hAnsi="Arial"/>
                <w:sz w:val="14"/>
                <w:szCs w:val="14"/>
                <w:color w:val="auto"/>
              </w:rPr>
              <w:t>1/28 maturity</w:t>
            </w:r>
          </w:p>
        </w:tc>
        <w:tc>
          <w:tcPr>
            <w:tcW w:w="16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1700" w:type="dxa"/>
            <w:vAlign w:val="bottom"/>
            <w:gridSpan w:val="6"/>
            <w:shd w:val="clear" w:color="auto" w:fill="CFF0FC"/>
          </w:tcPr>
          <w:p>
            <w:pPr>
              <w:jc w:val="right"/>
              <w:ind w:right="20"/>
              <w:spacing w:after="0"/>
              <w:rPr>
                <w:sz w:val="20"/>
                <w:szCs w:val="20"/>
                <w:color w:val="auto"/>
              </w:rPr>
            </w:pPr>
            <w:r>
              <w:rPr>
                <w:rFonts w:ascii="Arial" w:cs="Arial" w:eastAsia="Arial" w:hAnsi="Arial"/>
                <w:sz w:val="14"/>
                <w:szCs w:val="14"/>
                <w:color w:val="auto"/>
              </w:rPr>
              <w:t>6/4/2013</w:t>
            </w:r>
          </w:p>
        </w:tc>
        <w:tc>
          <w:tcPr>
            <w:tcW w:w="1500" w:type="dxa"/>
            <w:vAlign w:val="bottom"/>
            <w:gridSpan w:val="5"/>
            <w:shd w:val="clear" w:color="auto" w:fill="CFF0FC"/>
          </w:tcPr>
          <w:p>
            <w:pPr>
              <w:jc w:val="right"/>
              <w:ind w:right="177"/>
              <w:spacing w:after="0"/>
              <w:rPr>
                <w:sz w:val="20"/>
                <w:szCs w:val="20"/>
                <w:color w:val="auto"/>
              </w:rPr>
            </w:pPr>
            <w:r>
              <w:rPr>
                <w:rFonts w:ascii="Arial" w:cs="Arial" w:eastAsia="Arial" w:hAnsi="Arial"/>
                <w:sz w:val="14"/>
                <w:szCs w:val="14"/>
                <w:color w:val="auto"/>
              </w:rPr>
              <w:t>23.3 %</w:t>
            </w: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6,219,310</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2,611,423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80" w:type="dxa"/>
            <w:vAlign w:val="bottom"/>
            <w:gridSpan w:val="2"/>
          </w:tcPr>
          <w:p>
            <w:pPr>
              <w:ind w:left="20"/>
              <w:spacing w:after="0" w:line="183" w:lineRule="exact"/>
              <w:rPr>
                <w:sz w:val="20"/>
                <w:szCs w:val="20"/>
                <w:color w:val="auto"/>
              </w:rPr>
            </w:pPr>
            <w:r>
              <w:rPr>
                <w:rFonts w:ascii="Arial" w:cs="Arial" w:eastAsia="Arial" w:hAnsi="Arial"/>
                <w:sz w:val="14"/>
                <w:szCs w:val="14"/>
                <w:color w:val="auto"/>
              </w:rPr>
              <w:t>Catamaran CLO 2014-1 Ltd.</w:t>
            </w:r>
            <w:r>
              <w:rPr>
                <w:rFonts w:ascii="Arial" w:cs="Arial" w:eastAsia="Arial" w:hAnsi="Arial"/>
                <w:sz w:val="19"/>
                <w:szCs w:val="19"/>
                <w:color w:val="auto"/>
                <w:vertAlign w:val="superscript"/>
              </w:rPr>
              <w:t>(3)(13)</w:t>
            </w:r>
          </w:p>
        </w:tc>
        <w:tc>
          <w:tcPr>
            <w:tcW w:w="3000" w:type="dxa"/>
            <w:vAlign w:val="bottom"/>
            <w:gridSpan w:val="3"/>
          </w:tcPr>
          <w:p>
            <w:pPr>
              <w:spacing w:after="0"/>
              <w:rPr>
                <w:sz w:val="20"/>
                <w:szCs w:val="20"/>
                <w:color w:val="auto"/>
              </w:rPr>
            </w:pPr>
            <w:r>
              <w:rPr>
                <w:rFonts w:ascii="Arial" w:cs="Arial" w:eastAsia="Arial" w:hAnsi="Arial"/>
                <w:sz w:val="14"/>
                <w:szCs w:val="14"/>
                <w:color w:val="auto"/>
                <w:w w:val="99"/>
              </w:rPr>
              <w:t>Subordinated Securities, effective interest 2.4%,</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4/30 maturity</w:t>
            </w: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00" w:type="dxa"/>
            <w:vAlign w:val="bottom"/>
            <w:gridSpan w:val="6"/>
          </w:tcPr>
          <w:p>
            <w:pPr>
              <w:jc w:val="right"/>
              <w:ind w:right="20"/>
              <w:spacing w:after="0"/>
              <w:rPr>
                <w:sz w:val="20"/>
                <w:szCs w:val="20"/>
                <w:color w:val="auto"/>
              </w:rPr>
            </w:pPr>
            <w:r>
              <w:rPr>
                <w:rFonts w:ascii="Arial" w:cs="Arial" w:eastAsia="Arial" w:hAnsi="Arial"/>
                <w:sz w:val="14"/>
                <w:szCs w:val="14"/>
                <w:color w:val="auto"/>
              </w:rPr>
              <w:t>5/6/2014</w:t>
            </w:r>
          </w:p>
        </w:tc>
        <w:tc>
          <w:tcPr>
            <w:tcW w:w="1500" w:type="dxa"/>
            <w:vAlign w:val="bottom"/>
            <w:gridSpan w:val="5"/>
          </w:tcPr>
          <w:p>
            <w:pPr>
              <w:jc w:val="right"/>
              <w:ind w:right="177"/>
              <w:spacing w:after="0"/>
              <w:rPr>
                <w:sz w:val="20"/>
                <w:szCs w:val="20"/>
                <w:color w:val="auto"/>
              </w:rPr>
            </w:pPr>
            <w:r>
              <w:rPr>
                <w:rFonts w:ascii="Arial" w:cs="Arial" w:eastAsia="Arial" w:hAnsi="Arial"/>
                <w:sz w:val="14"/>
                <w:szCs w:val="14"/>
                <w:color w:val="auto"/>
              </w:rPr>
              <w:t>22.2 %</w:t>
            </w:r>
          </w:p>
        </w:tc>
        <w:tc>
          <w:tcPr>
            <w:tcW w:w="1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9,998,258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3,835,632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80" w:type="dxa"/>
            <w:vAlign w:val="bottom"/>
            <w:gridSpan w:val="2"/>
            <w:shd w:val="clear" w:color="auto" w:fill="CFF0FC"/>
          </w:tcPr>
          <w:p>
            <w:pPr>
              <w:ind w:left="20"/>
              <w:spacing w:after="0" w:line="190" w:lineRule="exact"/>
              <w:rPr>
                <w:sz w:val="20"/>
                <w:szCs w:val="20"/>
                <w:color w:val="auto"/>
              </w:rPr>
            </w:pPr>
            <w:r>
              <w:rPr>
                <w:rFonts w:ascii="Arial" w:cs="Arial" w:eastAsia="Arial" w:hAnsi="Arial"/>
                <w:sz w:val="14"/>
                <w:szCs w:val="14"/>
                <w:color w:val="auto"/>
              </w:rPr>
              <w:t>Dryden 30 Senior Loan Fund</w:t>
            </w:r>
            <w:r>
              <w:rPr>
                <w:rFonts w:ascii="Arial" w:cs="Arial" w:eastAsia="Arial" w:hAnsi="Arial"/>
                <w:sz w:val="19"/>
                <w:szCs w:val="19"/>
                <w:color w:val="auto"/>
                <w:vertAlign w:val="superscript"/>
              </w:rPr>
              <w:t>(3)(13)</w:t>
            </w:r>
          </w:p>
        </w:tc>
        <w:tc>
          <w:tcPr>
            <w:tcW w:w="3000" w:type="dxa"/>
            <w:vAlign w:val="bottom"/>
            <w:gridSpan w:val="3"/>
            <w:shd w:val="clear" w:color="auto" w:fill="CFF0FC"/>
          </w:tcPr>
          <w:p>
            <w:pPr>
              <w:spacing w:after="0"/>
              <w:rPr>
                <w:sz w:val="20"/>
                <w:szCs w:val="20"/>
                <w:color w:val="auto"/>
              </w:rPr>
            </w:pPr>
            <w:r>
              <w:rPr>
                <w:rFonts w:ascii="Arial" w:cs="Arial" w:eastAsia="Arial" w:hAnsi="Arial"/>
                <w:sz w:val="14"/>
                <w:szCs w:val="14"/>
                <w:color w:val="auto"/>
                <w:w w:val="97"/>
              </w:rPr>
              <w:t>Subordinated Securities, effective interest 21.2%,</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20"/>
                <w:szCs w:val="20"/>
                <w:color w:val="auto"/>
              </w:rPr>
            </w:pPr>
            <w:r>
              <w:rPr>
                <w:rFonts w:ascii="Arial" w:cs="Arial" w:eastAsia="Arial" w:hAnsi="Arial"/>
                <w:sz w:val="14"/>
                <w:szCs w:val="14"/>
                <w:color w:val="auto"/>
              </w:rPr>
              <w:t>11/28 maturity</w:t>
            </w:r>
          </w:p>
        </w:tc>
        <w:tc>
          <w:tcPr>
            <w:tcW w:w="16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1700" w:type="dxa"/>
            <w:vAlign w:val="bottom"/>
            <w:gridSpan w:val="6"/>
            <w:shd w:val="clear" w:color="auto" w:fill="CFF0FC"/>
          </w:tcPr>
          <w:p>
            <w:pPr>
              <w:jc w:val="right"/>
              <w:ind w:right="20"/>
              <w:spacing w:after="0"/>
              <w:rPr>
                <w:sz w:val="20"/>
                <w:szCs w:val="20"/>
                <w:color w:val="auto"/>
              </w:rPr>
            </w:pPr>
            <w:r>
              <w:rPr>
                <w:rFonts w:ascii="Arial" w:cs="Arial" w:eastAsia="Arial" w:hAnsi="Arial"/>
                <w:sz w:val="14"/>
                <w:szCs w:val="14"/>
                <w:color w:val="auto"/>
              </w:rPr>
              <w:t>10/10/2013</w:t>
            </w:r>
          </w:p>
        </w:tc>
        <w:tc>
          <w:tcPr>
            <w:tcW w:w="1500" w:type="dxa"/>
            <w:vAlign w:val="bottom"/>
            <w:gridSpan w:val="5"/>
            <w:shd w:val="clear" w:color="auto" w:fill="CFF0FC"/>
          </w:tcPr>
          <w:p>
            <w:pPr>
              <w:jc w:val="right"/>
              <w:ind w:right="177"/>
              <w:spacing w:after="0"/>
              <w:rPr>
                <w:sz w:val="20"/>
                <w:szCs w:val="20"/>
                <w:color w:val="auto"/>
              </w:rPr>
            </w:pPr>
            <w:r>
              <w:rPr>
                <w:rFonts w:ascii="Arial" w:cs="Arial" w:eastAsia="Arial" w:hAnsi="Arial"/>
                <w:sz w:val="14"/>
                <w:szCs w:val="14"/>
                <w:color w:val="auto"/>
              </w:rPr>
              <w:t>6.8 %</w:t>
            </w: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1,272,501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1,322,100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80" w:type="dxa"/>
            <w:vAlign w:val="bottom"/>
            <w:gridSpan w:val="2"/>
          </w:tcPr>
          <w:p>
            <w:pPr>
              <w:ind w:left="20"/>
              <w:spacing w:after="0" w:line="183" w:lineRule="exact"/>
              <w:rPr>
                <w:sz w:val="20"/>
                <w:szCs w:val="20"/>
                <w:color w:val="auto"/>
              </w:rPr>
            </w:pPr>
            <w:r>
              <w:rPr>
                <w:rFonts w:ascii="Arial" w:cs="Arial" w:eastAsia="Arial" w:hAnsi="Arial"/>
                <w:sz w:val="14"/>
                <w:szCs w:val="14"/>
                <w:color w:val="auto"/>
              </w:rPr>
              <w:t>Catamaran CLO 2014-2 Ltd.</w:t>
            </w:r>
            <w:r>
              <w:rPr>
                <w:rFonts w:ascii="Arial" w:cs="Arial" w:eastAsia="Arial" w:hAnsi="Arial"/>
                <w:sz w:val="19"/>
                <w:szCs w:val="19"/>
                <w:color w:val="auto"/>
                <w:vertAlign w:val="superscript"/>
              </w:rPr>
              <w:t>(3)(13)(21)</w:t>
            </w:r>
          </w:p>
        </w:tc>
        <w:tc>
          <w:tcPr>
            <w:tcW w:w="3000" w:type="dxa"/>
            <w:vAlign w:val="bottom"/>
            <w:gridSpan w:val="3"/>
          </w:tcPr>
          <w:p>
            <w:pPr>
              <w:spacing w:after="0"/>
              <w:rPr>
                <w:sz w:val="20"/>
                <w:szCs w:val="20"/>
                <w:color w:val="auto"/>
              </w:rPr>
            </w:pPr>
            <w:r>
              <w:rPr>
                <w:rFonts w:ascii="Arial" w:cs="Arial" w:eastAsia="Arial" w:hAnsi="Arial"/>
                <w:sz w:val="14"/>
                <w:szCs w:val="14"/>
                <w:color w:val="auto"/>
                <w:w w:val="99"/>
              </w:rPr>
              <w:t>Subordinated Securities, effective interest 0.0%,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10/26 maturity</w:t>
            </w: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00" w:type="dxa"/>
            <w:vAlign w:val="bottom"/>
            <w:gridSpan w:val="6"/>
          </w:tcPr>
          <w:p>
            <w:pPr>
              <w:jc w:val="right"/>
              <w:ind w:right="20"/>
              <w:spacing w:after="0"/>
              <w:rPr>
                <w:sz w:val="20"/>
                <w:szCs w:val="20"/>
                <w:color w:val="auto"/>
              </w:rPr>
            </w:pPr>
            <w:r>
              <w:rPr>
                <w:rFonts w:ascii="Arial" w:cs="Arial" w:eastAsia="Arial" w:hAnsi="Arial"/>
                <w:sz w:val="14"/>
                <w:szCs w:val="14"/>
                <w:color w:val="auto"/>
              </w:rPr>
              <w:t>8/15/2014</w:t>
            </w:r>
          </w:p>
        </w:tc>
        <w:tc>
          <w:tcPr>
            <w:tcW w:w="1500" w:type="dxa"/>
            <w:vAlign w:val="bottom"/>
            <w:gridSpan w:val="5"/>
          </w:tcPr>
          <w:p>
            <w:pPr>
              <w:jc w:val="right"/>
              <w:ind w:right="177"/>
              <w:spacing w:after="0"/>
              <w:rPr>
                <w:sz w:val="20"/>
                <w:szCs w:val="20"/>
                <w:color w:val="auto"/>
              </w:rPr>
            </w:pPr>
            <w:r>
              <w:rPr>
                <w:rFonts w:ascii="Arial" w:cs="Arial" w:eastAsia="Arial" w:hAnsi="Arial"/>
                <w:sz w:val="14"/>
                <w:szCs w:val="14"/>
                <w:color w:val="auto"/>
              </w:rPr>
              <w:t>24.9 %</w:t>
            </w:r>
          </w:p>
        </w:tc>
        <w:tc>
          <w:tcPr>
            <w:tcW w:w="1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6,065,598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80" w:type="dxa"/>
            <w:vAlign w:val="bottom"/>
            <w:gridSpan w:val="2"/>
            <w:shd w:val="clear" w:color="auto" w:fill="CFF0FC"/>
          </w:tcPr>
          <w:p>
            <w:pPr>
              <w:ind w:left="20"/>
              <w:spacing w:after="0" w:line="190" w:lineRule="exact"/>
              <w:rPr>
                <w:sz w:val="20"/>
                <w:szCs w:val="20"/>
                <w:color w:val="auto"/>
              </w:rPr>
            </w:pPr>
            <w:r>
              <w:rPr>
                <w:rFonts w:ascii="Arial" w:cs="Arial" w:eastAsia="Arial" w:hAnsi="Arial"/>
                <w:sz w:val="14"/>
                <w:szCs w:val="14"/>
                <w:color w:val="auto"/>
              </w:rPr>
              <w:t>Catamaran CLO 2015-1 Ltd.</w:t>
            </w:r>
            <w:r>
              <w:rPr>
                <w:rFonts w:ascii="Arial" w:cs="Arial" w:eastAsia="Arial" w:hAnsi="Arial"/>
                <w:sz w:val="19"/>
                <w:szCs w:val="19"/>
                <w:color w:val="auto"/>
                <w:vertAlign w:val="superscript"/>
              </w:rPr>
              <w:t>(3)(6)(13)(21)</w:t>
            </w:r>
          </w:p>
        </w:tc>
        <w:tc>
          <w:tcPr>
            <w:tcW w:w="3000" w:type="dxa"/>
            <w:vAlign w:val="bottom"/>
            <w:gridSpan w:val="3"/>
            <w:shd w:val="clear" w:color="auto" w:fill="CFF0FC"/>
          </w:tcPr>
          <w:p>
            <w:pPr>
              <w:spacing w:after="0"/>
              <w:rPr>
                <w:sz w:val="20"/>
                <w:szCs w:val="20"/>
                <w:color w:val="auto"/>
              </w:rPr>
            </w:pPr>
            <w:r>
              <w:rPr>
                <w:rFonts w:ascii="Arial" w:cs="Arial" w:eastAsia="Arial" w:hAnsi="Arial"/>
                <w:sz w:val="14"/>
                <w:szCs w:val="14"/>
                <w:color w:val="auto"/>
                <w:w w:val="99"/>
              </w:rPr>
              <w:t>Subordinated Securities, effective interest 9.0%,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20"/>
                <w:szCs w:val="20"/>
                <w:color w:val="auto"/>
              </w:rPr>
            </w:pPr>
            <w:r>
              <w:rPr>
                <w:rFonts w:ascii="Arial" w:cs="Arial" w:eastAsia="Arial" w:hAnsi="Arial"/>
                <w:sz w:val="14"/>
                <w:szCs w:val="14"/>
                <w:color w:val="auto"/>
              </w:rPr>
              <w:t>4/27 maturity</w:t>
            </w:r>
          </w:p>
        </w:tc>
        <w:tc>
          <w:tcPr>
            <w:tcW w:w="16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1700" w:type="dxa"/>
            <w:vAlign w:val="bottom"/>
            <w:gridSpan w:val="6"/>
            <w:shd w:val="clear" w:color="auto" w:fill="CFF0FC"/>
          </w:tcPr>
          <w:p>
            <w:pPr>
              <w:jc w:val="right"/>
              <w:ind w:right="20"/>
              <w:spacing w:after="0"/>
              <w:rPr>
                <w:sz w:val="20"/>
                <w:szCs w:val="20"/>
                <w:color w:val="auto"/>
              </w:rPr>
            </w:pPr>
            <w:r>
              <w:rPr>
                <w:rFonts w:ascii="Arial" w:cs="Arial" w:eastAsia="Arial" w:hAnsi="Arial"/>
                <w:sz w:val="14"/>
                <w:szCs w:val="14"/>
                <w:color w:val="auto"/>
              </w:rPr>
              <w:t>5/5/2015</w:t>
            </w:r>
          </w:p>
        </w:tc>
        <w:tc>
          <w:tcPr>
            <w:tcW w:w="1500" w:type="dxa"/>
            <w:vAlign w:val="bottom"/>
            <w:gridSpan w:val="5"/>
            <w:shd w:val="clear" w:color="auto" w:fill="CFF0FC"/>
          </w:tcPr>
          <w:p>
            <w:pPr>
              <w:jc w:val="right"/>
              <w:ind w:right="177"/>
              <w:spacing w:after="0"/>
              <w:rPr>
                <w:sz w:val="20"/>
                <w:szCs w:val="20"/>
                <w:color w:val="auto"/>
              </w:rPr>
            </w:pPr>
            <w:r>
              <w:rPr>
                <w:rFonts w:ascii="Arial" w:cs="Arial" w:eastAsia="Arial" w:hAnsi="Arial"/>
                <w:sz w:val="14"/>
                <w:szCs w:val="14"/>
                <w:color w:val="auto"/>
              </w:rPr>
              <w:t>9.9 %</w:t>
            </w: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4,141,981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1,609,400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80" w:type="dxa"/>
            <w:vAlign w:val="bottom"/>
            <w:gridSpan w:val="2"/>
          </w:tcPr>
          <w:p>
            <w:pPr>
              <w:ind w:left="20"/>
              <w:spacing w:after="0" w:line="183" w:lineRule="exact"/>
              <w:rPr>
                <w:sz w:val="20"/>
                <w:szCs w:val="20"/>
                <w:color w:val="auto"/>
              </w:rPr>
            </w:pPr>
            <w:r>
              <w:rPr>
                <w:rFonts w:ascii="Arial" w:cs="Arial" w:eastAsia="Arial" w:hAnsi="Arial"/>
                <w:sz w:val="14"/>
                <w:szCs w:val="14"/>
                <w:color w:val="auto"/>
              </w:rPr>
              <w:t>Catamaran CLO 2016-1 Ltd.</w:t>
            </w:r>
            <w:r>
              <w:rPr>
                <w:rFonts w:ascii="Arial" w:cs="Arial" w:eastAsia="Arial" w:hAnsi="Arial"/>
                <w:sz w:val="19"/>
                <w:szCs w:val="19"/>
                <w:color w:val="auto"/>
                <w:vertAlign w:val="superscript"/>
              </w:rPr>
              <w:t>(3)(13)</w:t>
            </w:r>
          </w:p>
        </w:tc>
        <w:tc>
          <w:tcPr>
            <w:tcW w:w="3000" w:type="dxa"/>
            <w:vAlign w:val="bottom"/>
            <w:gridSpan w:val="3"/>
          </w:tcPr>
          <w:p>
            <w:pPr>
              <w:spacing w:after="0"/>
              <w:rPr>
                <w:sz w:val="20"/>
                <w:szCs w:val="20"/>
                <w:color w:val="auto"/>
              </w:rPr>
            </w:pPr>
            <w:r>
              <w:rPr>
                <w:rFonts w:ascii="Arial" w:cs="Arial" w:eastAsia="Arial" w:hAnsi="Arial"/>
                <w:sz w:val="14"/>
                <w:szCs w:val="14"/>
                <w:color w:val="auto"/>
                <w:w w:val="99"/>
              </w:rPr>
              <w:t>Subordinated Securities, effective interest 8.0%,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1/29 maturity</w:t>
            </w: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00" w:type="dxa"/>
            <w:vAlign w:val="bottom"/>
            <w:gridSpan w:val="6"/>
          </w:tcPr>
          <w:p>
            <w:pPr>
              <w:jc w:val="right"/>
              <w:ind w:right="20"/>
              <w:spacing w:after="0"/>
              <w:rPr>
                <w:sz w:val="20"/>
                <w:szCs w:val="20"/>
                <w:color w:val="auto"/>
              </w:rPr>
            </w:pPr>
            <w:r>
              <w:rPr>
                <w:rFonts w:ascii="Arial" w:cs="Arial" w:eastAsia="Arial" w:hAnsi="Arial"/>
                <w:sz w:val="14"/>
                <w:szCs w:val="14"/>
                <w:color w:val="auto"/>
              </w:rPr>
              <w:t>12/21/2016</w:t>
            </w:r>
          </w:p>
        </w:tc>
        <w:tc>
          <w:tcPr>
            <w:tcW w:w="1500" w:type="dxa"/>
            <w:vAlign w:val="bottom"/>
            <w:gridSpan w:val="5"/>
          </w:tcPr>
          <w:p>
            <w:pPr>
              <w:jc w:val="right"/>
              <w:ind w:right="177"/>
              <w:spacing w:after="0"/>
              <w:rPr>
                <w:sz w:val="20"/>
                <w:szCs w:val="20"/>
                <w:color w:val="auto"/>
              </w:rPr>
            </w:pPr>
            <w:r>
              <w:rPr>
                <w:rFonts w:ascii="Arial" w:cs="Arial" w:eastAsia="Arial" w:hAnsi="Arial"/>
                <w:sz w:val="14"/>
                <w:szCs w:val="14"/>
                <w:color w:val="auto"/>
              </w:rPr>
              <w:t>24.9 %</w:t>
            </w:r>
          </w:p>
        </w:tc>
        <w:tc>
          <w:tcPr>
            <w:tcW w:w="10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8,872,484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3,549,000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80" w:type="dxa"/>
            <w:vAlign w:val="bottom"/>
            <w:gridSpan w:val="2"/>
            <w:shd w:val="clear" w:color="auto" w:fill="CFF0FC"/>
          </w:tcPr>
          <w:p>
            <w:pPr>
              <w:ind w:left="20"/>
              <w:spacing w:after="0" w:line="190" w:lineRule="exact"/>
              <w:rPr>
                <w:sz w:val="20"/>
                <w:szCs w:val="20"/>
                <w:color w:val="auto"/>
              </w:rPr>
            </w:pPr>
            <w:r>
              <w:rPr>
                <w:rFonts w:ascii="Arial" w:cs="Arial" w:eastAsia="Arial" w:hAnsi="Arial"/>
                <w:sz w:val="14"/>
                <w:szCs w:val="14"/>
                <w:color w:val="auto"/>
              </w:rPr>
              <w:t>Catamaran CLO 2018-1 Ltd</w:t>
            </w:r>
            <w:r>
              <w:rPr>
                <w:rFonts w:ascii="Arial" w:cs="Arial" w:eastAsia="Arial" w:hAnsi="Arial"/>
                <w:sz w:val="19"/>
                <w:szCs w:val="19"/>
                <w:color w:val="auto"/>
                <w:vertAlign w:val="superscript"/>
              </w:rPr>
              <w:t>(3)(13)</w:t>
            </w:r>
          </w:p>
        </w:tc>
        <w:tc>
          <w:tcPr>
            <w:tcW w:w="3000" w:type="dxa"/>
            <w:vAlign w:val="bottom"/>
            <w:gridSpan w:val="3"/>
            <w:shd w:val="clear" w:color="auto" w:fill="CFF0FC"/>
          </w:tcPr>
          <w:p>
            <w:pPr>
              <w:spacing w:after="0"/>
              <w:rPr>
                <w:sz w:val="20"/>
                <w:szCs w:val="20"/>
                <w:color w:val="auto"/>
              </w:rPr>
            </w:pPr>
            <w:r>
              <w:rPr>
                <w:rFonts w:ascii="Arial" w:cs="Arial" w:eastAsia="Arial" w:hAnsi="Arial"/>
                <w:sz w:val="14"/>
                <w:szCs w:val="14"/>
                <w:color w:val="auto"/>
                <w:w w:val="97"/>
              </w:rPr>
              <w:t>Subordinated Securities, effective interest 10.0%,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9,157,681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6,655,000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6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10/31 maturity</w:t>
            </w:r>
          </w:p>
        </w:tc>
        <w:tc>
          <w:tcPr>
            <w:tcW w:w="160" w:type="dxa"/>
            <w:vAlign w:val="bottom"/>
            <w:tcBorders>
              <w:bottom w:val="single" w:sz="8" w:color="CFF0FC"/>
            </w:tcBorders>
            <w:shd w:val="clear" w:color="auto" w:fill="CFF0FC"/>
          </w:tcPr>
          <w:p>
            <w:pPr>
              <w:spacing w:after="0"/>
              <w:rPr>
                <w:sz w:val="15"/>
                <w:szCs w:val="15"/>
                <w:color w:val="auto"/>
              </w:rPr>
            </w:pPr>
          </w:p>
        </w:tc>
        <w:tc>
          <w:tcPr>
            <w:tcW w:w="1760" w:type="dxa"/>
            <w:vAlign w:val="bottom"/>
            <w:tcBorders>
              <w:bottom w:val="single" w:sz="8" w:color="CFF0FC"/>
            </w:tcBorders>
            <w:shd w:val="clear" w:color="auto" w:fill="CFF0FC"/>
          </w:tcPr>
          <w:p>
            <w:pPr>
              <w:spacing w:after="0"/>
              <w:rPr>
                <w:sz w:val="15"/>
                <w:szCs w:val="15"/>
                <w:color w:val="auto"/>
              </w:rPr>
            </w:pPr>
          </w:p>
        </w:tc>
        <w:tc>
          <w:tcPr>
            <w:tcW w:w="1700" w:type="dxa"/>
            <w:vAlign w:val="bottom"/>
            <w:tcBorders>
              <w:bottom w:val="single" w:sz="8" w:color="CFF0FC"/>
            </w:tcBorders>
            <w:gridSpan w:val="6"/>
            <w:shd w:val="clear" w:color="auto" w:fill="CFF0FC"/>
          </w:tcPr>
          <w:p>
            <w:pPr>
              <w:jc w:val="right"/>
              <w:ind w:right="20"/>
              <w:spacing w:after="0"/>
              <w:rPr>
                <w:sz w:val="20"/>
                <w:szCs w:val="20"/>
                <w:color w:val="auto"/>
              </w:rPr>
            </w:pPr>
            <w:r>
              <w:rPr>
                <w:rFonts w:ascii="Arial" w:cs="Arial" w:eastAsia="Arial" w:hAnsi="Arial"/>
                <w:sz w:val="14"/>
                <w:szCs w:val="14"/>
                <w:color w:val="auto"/>
              </w:rPr>
              <w:t>9/27/2018</w:t>
            </w:r>
          </w:p>
        </w:tc>
        <w:tc>
          <w:tcPr>
            <w:tcW w:w="1500" w:type="dxa"/>
            <w:vAlign w:val="bottom"/>
            <w:tcBorders>
              <w:bottom w:val="single" w:sz="8" w:color="CFF0FC"/>
            </w:tcBorders>
            <w:gridSpan w:val="5"/>
            <w:shd w:val="clear" w:color="auto" w:fill="CFF0FC"/>
          </w:tcPr>
          <w:p>
            <w:pPr>
              <w:jc w:val="right"/>
              <w:ind w:right="177"/>
              <w:spacing w:after="0"/>
              <w:rPr>
                <w:sz w:val="20"/>
                <w:szCs w:val="20"/>
                <w:color w:val="auto"/>
              </w:rPr>
            </w:pPr>
            <w:r>
              <w:rPr>
                <w:rFonts w:ascii="Arial" w:cs="Arial" w:eastAsia="Arial" w:hAnsi="Arial"/>
                <w:sz w:val="14"/>
                <w:szCs w:val="14"/>
                <w:color w:val="auto"/>
              </w:rPr>
              <w:t>24.8 %</w:t>
            </w:r>
          </w:p>
        </w:tc>
        <w:tc>
          <w:tcPr>
            <w:tcW w:w="1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gridSpan w:val="2"/>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8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78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Total Investment in CLO Fund</w:t>
            </w:r>
          </w:p>
        </w:tc>
        <w:tc>
          <w:tcPr>
            <w:tcW w:w="10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vMerge w:val="restart"/>
            <w:shd w:val="clear" w:color="auto" w:fill="CFF0FC"/>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45,727,813</w:t>
            </w:r>
          </w:p>
        </w:tc>
        <w:tc>
          <w:tcPr>
            <w:tcW w:w="100" w:type="dxa"/>
            <w:vAlign w:val="bottom"/>
            <w:shd w:val="clear" w:color="auto" w:fill="CFF0FC"/>
          </w:tcPr>
          <w:p>
            <w:pPr>
              <w:spacing w:after="0"/>
              <w:rPr>
                <w:sz w:val="14"/>
                <w:szCs w:val="14"/>
                <w:color w:val="auto"/>
              </w:rPr>
            </w:pPr>
          </w:p>
        </w:tc>
        <w:tc>
          <w:tcPr>
            <w:tcW w:w="140" w:type="dxa"/>
            <w:vAlign w:val="bottom"/>
            <w:vMerge w:val="restart"/>
            <w:shd w:val="clear" w:color="auto" w:fill="CFF0FC"/>
          </w:tcPr>
          <w:p>
            <w:pPr>
              <w:spacing w:after="0"/>
              <w:rPr>
                <w:sz w:val="14"/>
                <w:szCs w:val="14"/>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19,582,555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78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3"/>
                <w:szCs w:val="13"/>
                <w:b w:val="1"/>
                <w:bCs w:val="1"/>
                <w:color w:val="auto"/>
                <w:w w:val="93"/>
              </w:rPr>
              <w:t>Securities (9% of net asset value at fair value)</w:t>
            </w:r>
          </w:p>
        </w:tc>
        <w:tc>
          <w:tcPr>
            <w:tcW w:w="10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7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auto"/>
            </w:tcBorders>
            <w:gridSpan w:val="2"/>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vMerge w:val="continue"/>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-3176905</wp:posOffset>
            </wp:positionV>
            <wp:extent cx="163195"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-3176905</wp:posOffset>
            </wp:positionV>
            <wp:extent cx="16256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-3176905</wp:posOffset>
            </wp:positionV>
            <wp:extent cx="6858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-2834005</wp:posOffset>
            </wp:positionV>
            <wp:extent cx="163195"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-2834005</wp:posOffset>
            </wp:positionV>
            <wp:extent cx="162560"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-2834005</wp:posOffset>
            </wp:positionV>
            <wp:extent cx="6858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-356235</wp:posOffset>
            </wp:positionV>
            <wp:extent cx="154305"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-356235</wp:posOffset>
            </wp:positionV>
            <wp:extent cx="6858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-5080</wp:posOffset>
            </wp:positionV>
            <wp:extent cx="154305"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-5080</wp:posOffset>
            </wp:positionV>
            <wp:extent cx="6858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Asset Manager Affiliates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26"/>
        </w:trPr>
        <w:tc>
          <w:tcPr>
            <w:tcW w:w="26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Portfolio Company /</w:t>
            </w:r>
          </w:p>
        </w:tc>
        <w:tc>
          <w:tcPr>
            <w:tcW w:w="1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0"/>
                <w:szCs w:val="10"/>
                <w:color w:val="auto"/>
              </w:rPr>
            </w:pPr>
          </w:p>
        </w:tc>
        <w:tc>
          <w:tcPr>
            <w:tcW w:w="1320" w:type="dxa"/>
            <w:vAlign w:val="bottom"/>
            <w:gridSpan w:val="2"/>
          </w:tcPr>
          <w:p>
            <w:pPr>
              <w:jc w:val="right"/>
              <w:ind w:right="520"/>
              <w:spacing w:after="0" w:line="126" w:lineRule="exact"/>
              <w:rPr>
                <w:sz w:val="20"/>
                <w:szCs w:val="20"/>
                <w:color w:val="auto"/>
              </w:rPr>
            </w:pPr>
            <w:r>
              <w:rPr>
                <w:rFonts w:ascii="Arial" w:cs="Arial" w:eastAsia="Arial" w:hAnsi="Arial"/>
                <w:sz w:val="13"/>
                <w:szCs w:val="13"/>
                <w:b w:val="1"/>
                <w:bCs w:val="1"/>
                <w:color w:val="auto"/>
              </w:rPr>
              <w:t>Percentage</w:t>
            </w: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Principal Business</w:t>
            </w:r>
          </w:p>
        </w:tc>
        <w:tc>
          <w:tcPr>
            <w:tcW w:w="160" w:type="dxa"/>
            <w:vAlign w:val="bottom"/>
          </w:tcPr>
          <w:p>
            <w:pPr>
              <w:spacing w:after="0"/>
              <w:rPr>
                <w:sz w:val="18"/>
                <w:szCs w:val="18"/>
                <w:color w:val="auto"/>
              </w:rPr>
            </w:pPr>
          </w:p>
        </w:tc>
        <w:tc>
          <w:tcPr>
            <w:tcW w:w="2620" w:type="dxa"/>
            <w:vAlign w:val="bottom"/>
            <w:tcBorders>
              <w:bottom w:val="single" w:sz="8" w:color="auto"/>
            </w:tcBorders>
          </w:tcPr>
          <w:p>
            <w:pPr>
              <w:ind w:left="96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6"/>
                <w:szCs w:val="16"/>
                <w:b w:val="1"/>
                <w:bCs w:val="1"/>
                <w:color w:val="auto"/>
                <w:vertAlign w:val="superscript"/>
              </w:rPr>
              <w:t>15</w:t>
            </w:r>
          </w:p>
        </w:tc>
        <w:tc>
          <w:tcPr>
            <w:tcW w:w="14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Ownership</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33"/>
              <w:spacing w:after="0" w:line="216" w:lineRule="exact"/>
              <w:rPr>
                <w:sz w:val="20"/>
                <w:szCs w:val="20"/>
                <w:color w:val="auto"/>
              </w:rPr>
            </w:pPr>
            <w:r>
              <w:rPr>
                <w:rFonts w:ascii="Arial" w:cs="Arial" w:eastAsia="Arial" w:hAnsi="Arial"/>
                <w:sz w:val="14"/>
                <w:szCs w:val="14"/>
                <w:b w:val="1"/>
                <w:bCs w:val="1"/>
                <w:color w:val="auto"/>
                <w:w w:val="85"/>
              </w:rPr>
              <w:t>Value</w:t>
            </w:r>
            <w:r>
              <w:rPr>
                <w:rFonts w:ascii="Arial" w:cs="Arial" w:eastAsia="Arial" w:hAnsi="Arial"/>
                <w:sz w:val="19"/>
                <w:szCs w:val="19"/>
                <w:b w:val="1"/>
                <w:bCs w:val="1"/>
                <w:color w:val="auto"/>
                <w:w w:val="85"/>
                <w:vertAlign w:val="superscript"/>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620" w:type="dxa"/>
            <w:vAlign w:val="bottom"/>
            <w:shd w:val="clear" w:color="auto" w:fill="CFF0FC"/>
          </w:tcPr>
          <w:p>
            <w:pPr>
              <w:ind w:left="20"/>
              <w:spacing w:after="0" w:line="168"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16"/>
                <w:szCs w:val="16"/>
                <w:color w:val="auto"/>
                <w:vertAlign w:val="superscript"/>
              </w:rPr>
              <w:t>(8)(9)(13)(16)</w:t>
            </w:r>
          </w:p>
        </w:tc>
        <w:tc>
          <w:tcPr>
            <w:tcW w:w="160" w:type="dxa"/>
            <w:vAlign w:val="bottom"/>
            <w:shd w:val="clear" w:color="auto" w:fill="CFF0FC"/>
          </w:tcPr>
          <w:p>
            <w:pPr>
              <w:spacing w:after="0"/>
              <w:rPr>
                <w:sz w:val="14"/>
                <w:szCs w:val="14"/>
                <w:color w:val="auto"/>
              </w:rPr>
            </w:pPr>
          </w:p>
        </w:tc>
        <w:tc>
          <w:tcPr>
            <w:tcW w:w="2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20" w:type="dxa"/>
            <w:vAlign w:val="bottom"/>
            <w:vMerge w:val="restart"/>
            <w:shd w:val="clear" w:color="auto" w:fill="CFF0FC"/>
          </w:tcPr>
          <w:p>
            <w:pPr>
              <w:jc w:val="right"/>
              <w:ind w:right="177"/>
              <w:spacing w:after="0"/>
              <w:rPr>
                <w:sz w:val="20"/>
                <w:szCs w:val="20"/>
                <w:color w:val="auto"/>
              </w:rPr>
            </w:pPr>
            <w:r>
              <w:rPr>
                <w:rFonts w:ascii="Arial" w:cs="Arial" w:eastAsia="Arial" w:hAnsi="Arial"/>
                <w:sz w:val="13"/>
                <w:szCs w:val="13"/>
                <w:color w:val="auto"/>
                <w:w w:val="82"/>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17,791,230</w:t>
            </w:r>
          </w:p>
        </w:tc>
        <w:tc>
          <w:tcPr>
            <w:tcW w:w="54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Asset Management Company</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12/11/2006</w:t>
            </w:r>
          </w:p>
        </w:tc>
        <w:tc>
          <w:tcPr>
            <w:tcW w:w="146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100 %</w:t>
            </w:r>
          </w:p>
        </w:tc>
        <w:tc>
          <w:tcPr>
            <w:tcW w:w="320" w:type="dxa"/>
            <w:vAlign w:val="bottom"/>
            <w:vMerge w:val="continue"/>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540" w:type="dxa"/>
            <w:vAlign w:val="bottom"/>
            <w:gridSpan w:val="2"/>
            <w:vMerge w:val="continue"/>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2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26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Investment in Asset Manager</w:t>
            </w:r>
          </w:p>
        </w:tc>
        <w:tc>
          <w:tcPr>
            <w:tcW w:w="160" w:type="dxa"/>
            <w:vAlign w:val="bottom"/>
            <w:shd w:val="clear" w:color="auto" w:fill="CFF0FC"/>
          </w:tcPr>
          <w:p>
            <w:pPr>
              <w:spacing w:after="0"/>
              <w:rPr>
                <w:sz w:val="14"/>
                <w:szCs w:val="14"/>
                <w:color w:val="auto"/>
              </w:rPr>
            </w:pPr>
          </w:p>
        </w:tc>
        <w:tc>
          <w:tcPr>
            <w:tcW w:w="2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20" w:type="dxa"/>
            <w:vAlign w:val="bottom"/>
            <w:vMerge w:val="restart"/>
            <w:shd w:val="clear" w:color="auto" w:fill="CFF0FC"/>
          </w:tcPr>
          <w:p>
            <w:pPr>
              <w:jc w:val="right"/>
              <w:ind w:right="177"/>
              <w:spacing w:after="0"/>
              <w:rPr>
                <w:sz w:val="20"/>
                <w:szCs w:val="20"/>
                <w:color w:val="auto"/>
              </w:rPr>
            </w:pPr>
            <w:r>
              <w:rPr>
                <w:rFonts w:ascii="Arial" w:cs="Arial" w:eastAsia="Arial" w:hAnsi="Arial"/>
                <w:sz w:val="13"/>
                <w:szCs w:val="13"/>
                <w:b w:val="1"/>
                <w:bCs w:val="1"/>
                <w:color w:val="auto"/>
                <w:w w:val="82"/>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17,791,230</w:t>
            </w:r>
          </w:p>
        </w:tc>
        <w:tc>
          <w:tcPr>
            <w:tcW w:w="54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b w:val="1"/>
                <w:bCs w:val="1"/>
                <w:color w:val="auto"/>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20" w:type="dxa"/>
            <w:vAlign w:val="bottom"/>
            <w:shd w:val="clear" w:color="auto" w:fill="CFF0FC"/>
          </w:tcPr>
          <w:p>
            <w:pPr>
              <w:jc w:val="center"/>
              <w:spacing w:after="0"/>
              <w:rPr>
                <w:sz w:val="20"/>
                <w:szCs w:val="20"/>
                <w:color w:val="auto"/>
              </w:rPr>
            </w:pPr>
            <w:r>
              <w:rPr>
                <w:rFonts w:ascii="Arial" w:cs="Arial" w:eastAsia="Arial" w:hAnsi="Arial"/>
                <w:sz w:val="13"/>
                <w:szCs w:val="13"/>
                <w:b w:val="1"/>
                <w:bCs w:val="1"/>
                <w:color w:val="auto"/>
                <w:w w:val="88"/>
              </w:rPr>
              <w:t>Affiliates (0% of net asset value at fair value)</w:t>
            </w:r>
          </w:p>
        </w:tc>
        <w:tc>
          <w:tcPr>
            <w:tcW w:w="160" w:type="dxa"/>
            <w:vAlign w:val="bottom"/>
            <w:shd w:val="clear" w:color="auto" w:fill="CFF0FC"/>
          </w:tcPr>
          <w:p>
            <w:pPr>
              <w:spacing w:after="0"/>
              <w:rPr>
                <w:sz w:val="14"/>
                <w:szCs w:val="14"/>
                <w:color w:val="auto"/>
              </w:rPr>
            </w:pPr>
          </w:p>
        </w:tc>
        <w:tc>
          <w:tcPr>
            <w:tcW w:w="2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540" w:type="dxa"/>
            <w:vAlign w:val="bottom"/>
            <w:gridSpan w:val="2"/>
            <w:vMerge w:val="continue"/>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6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Derivatives</w:t>
            </w:r>
          </w:p>
        </w:tc>
        <w:tc>
          <w:tcPr>
            <w:tcW w:w="160" w:type="dxa"/>
            <w:vAlign w:val="bottom"/>
            <w:tcBorders>
              <w:top w:val="single" w:sz="8" w:color="CFF0FC"/>
            </w:tcBorders>
          </w:tcPr>
          <w:p>
            <w:pPr>
              <w:spacing w:after="0"/>
              <w:rPr>
                <w:sz w:val="20"/>
                <w:szCs w:val="20"/>
                <w:color w:val="auto"/>
              </w:rPr>
            </w:pPr>
          </w:p>
        </w:tc>
        <w:tc>
          <w:tcPr>
            <w:tcW w:w="26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000" w:type="dxa"/>
            <w:vAlign w:val="bottom"/>
            <w:tcBorders>
              <w:top w:val="single" w:sz="8" w:color="CFF0FC"/>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26"/>
        </w:trPr>
        <w:tc>
          <w:tcPr>
            <w:tcW w:w="26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Portfolio Company /</w:t>
            </w:r>
          </w:p>
        </w:tc>
        <w:tc>
          <w:tcPr>
            <w:tcW w:w="1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620" w:type="dxa"/>
            <w:vAlign w:val="bottom"/>
          </w:tcPr>
          <w:p>
            <w:pPr>
              <w:jc w:val="center"/>
              <w:spacing w:after="0"/>
              <w:rPr>
                <w:sz w:val="20"/>
                <w:szCs w:val="20"/>
                <w:color w:val="auto"/>
              </w:rPr>
            </w:pPr>
            <w:r>
              <w:rPr>
                <w:rFonts w:ascii="Arial" w:cs="Arial" w:eastAsia="Arial" w:hAnsi="Arial"/>
                <w:sz w:val="13"/>
                <w:szCs w:val="13"/>
                <w:b w:val="1"/>
                <w:bCs w:val="1"/>
                <w:color w:val="auto"/>
                <w:w w:val="85"/>
              </w:rPr>
              <w:t>Principal Business</w:t>
            </w:r>
          </w:p>
        </w:tc>
        <w:tc>
          <w:tcPr>
            <w:tcW w:w="160" w:type="dxa"/>
            <w:vAlign w:val="bottom"/>
          </w:tcPr>
          <w:p>
            <w:pPr>
              <w:spacing w:after="0"/>
              <w:rPr>
                <w:sz w:val="18"/>
                <w:szCs w:val="18"/>
                <w:color w:val="auto"/>
              </w:rPr>
            </w:pPr>
          </w:p>
        </w:tc>
        <w:tc>
          <w:tcPr>
            <w:tcW w:w="2620" w:type="dxa"/>
            <w:vAlign w:val="bottom"/>
          </w:tcPr>
          <w:p>
            <w:pPr>
              <w:ind w:left="96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6"/>
                <w:szCs w:val="16"/>
                <w:b w:val="1"/>
                <w:bCs w:val="1"/>
                <w:color w:val="auto"/>
                <w:vertAlign w:val="superscript"/>
              </w:rPr>
              <w:t>15</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77"/>
              <w:spacing w:after="0"/>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center"/>
              <w:ind w:right="400"/>
              <w:spacing w:after="0" w:line="216" w:lineRule="exact"/>
              <w:rPr>
                <w:sz w:val="20"/>
                <w:szCs w:val="20"/>
                <w:color w:val="auto"/>
              </w:rPr>
            </w:pPr>
            <w:r>
              <w:rPr>
                <w:rFonts w:ascii="Arial" w:cs="Arial" w:eastAsia="Arial" w:hAnsi="Arial"/>
                <w:sz w:val="14"/>
                <w:szCs w:val="14"/>
                <w:b w:val="1"/>
                <w:bCs w:val="1"/>
                <w:color w:val="auto"/>
                <w:w w:val="85"/>
              </w:rPr>
              <w:t>Value</w:t>
            </w:r>
            <w:r>
              <w:rPr>
                <w:rFonts w:ascii="Arial" w:cs="Arial" w:eastAsia="Arial" w:hAnsi="Arial"/>
                <w:sz w:val="19"/>
                <w:szCs w:val="19"/>
                <w:b w:val="1"/>
                <w:bCs w:val="1"/>
                <w:color w:val="auto"/>
                <w:w w:val="85"/>
                <w:vertAlign w:val="superscript"/>
              </w:rPr>
              <w:t>2</w:t>
            </w:r>
          </w:p>
        </w:tc>
        <w:tc>
          <w:tcPr>
            <w:tcW w:w="0" w:type="dxa"/>
            <w:vAlign w:val="bottom"/>
          </w:tcPr>
          <w:p>
            <w:pPr>
              <w:spacing w:after="0"/>
              <w:rPr>
                <w:sz w:val="1"/>
                <w:szCs w:val="1"/>
                <w:color w:val="auto"/>
              </w:rPr>
            </w:pPr>
          </w:p>
        </w:tc>
      </w:tr>
      <w:tr>
        <w:trPr>
          <w:trHeight w:val="168"/>
        </w:trPr>
        <w:tc>
          <w:tcPr>
            <w:tcW w:w="2620" w:type="dxa"/>
            <w:vAlign w:val="bottom"/>
            <w:tcBorders>
              <w:top w:val="single" w:sz="8" w:color="auto"/>
            </w:tcBorders>
            <w:shd w:val="clear" w:color="auto" w:fill="CFF0FC"/>
          </w:tcPr>
          <w:p>
            <w:pPr>
              <w:ind w:left="20"/>
              <w:spacing w:after="0" w:line="168" w:lineRule="exact"/>
              <w:rPr>
                <w:sz w:val="20"/>
                <w:szCs w:val="20"/>
                <w:color w:val="auto"/>
              </w:rPr>
            </w:pPr>
            <w:r>
              <w:rPr>
                <w:rFonts w:ascii="Arial" w:cs="Arial" w:eastAsia="Arial" w:hAnsi="Arial"/>
                <w:sz w:val="13"/>
                <w:szCs w:val="13"/>
                <w:color w:val="auto"/>
              </w:rPr>
              <w:t>AAPC Holdings LLC.</w:t>
            </w:r>
            <w:r>
              <w:rPr>
                <w:rFonts w:ascii="Arial" w:cs="Arial" w:eastAsia="Arial" w:hAnsi="Arial"/>
                <w:sz w:val="16"/>
                <w:szCs w:val="16"/>
                <w:color w:val="auto"/>
                <w:vertAlign w:val="superscript"/>
              </w:rPr>
              <w:t>(13)(21)(22)</w:t>
            </w:r>
          </w:p>
        </w:tc>
        <w:tc>
          <w:tcPr>
            <w:tcW w:w="160" w:type="dxa"/>
            <w:vAlign w:val="bottom"/>
            <w:shd w:val="clear" w:color="auto" w:fill="CFF0FC"/>
          </w:tcPr>
          <w:p>
            <w:pPr>
              <w:spacing w:after="0"/>
              <w:rPr>
                <w:sz w:val="14"/>
                <w:szCs w:val="14"/>
                <w:color w:val="auto"/>
              </w:rPr>
            </w:pPr>
          </w:p>
        </w:tc>
        <w:tc>
          <w:tcPr>
            <w:tcW w:w="26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Banking, Finance, Insurance &amp; Real Estate</w:t>
            </w:r>
          </w:p>
        </w:tc>
        <w:tc>
          <w:tcPr>
            <w:tcW w:w="160" w:type="dxa"/>
            <w:vAlign w:val="bottom"/>
            <w:shd w:val="clear" w:color="auto" w:fill="CFF0FC"/>
          </w:tcPr>
          <w:p>
            <w:pPr>
              <w:spacing w:after="0"/>
              <w:rPr>
                <w:sz w:val="15"/>
                <w:szCs w:val="15"/>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Securities Swap and Option Agreement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9/30/2019</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(1,120,695 )</w:t>
            </w: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line="175" w:lineRule="exact"/>
              <w:rPr>
                <w:sz w:val="20"/>
                <w:szCs w:val="20"/>
                <w:color w:val="auto"/>
              </w:rPr>
            </w:pPr>
            <w:r>
              <w:rPr>
                <w:rFonts w:ascii="Arial" w:cs="Arial" w:eastAsia="Arial" w:hAnsi="Arial"/>
                <w:sz w:val="13"/>
                <w:szCs w:val="13"/>
                <w:color w:val="auto"/>
              </w:rPr>
              <w:t xml:space="preserve">HDNet Holdco LLC </w:t>
            </w:r>
            <w:r>
              <w:rPr>
                <w:rFonts w:ascii="Arial" w:cs="Arial" w:eastAsia="Arial" w:hAnsi="Arial"/>
                <w:sz w:val="16"/>
                <w:szCs w:val="16"/>
                <w:color w:val="auto"/>
                <w:vertAlign w:val="superscript"/>
              </w:rPr>
              <w:t>(13)(21)(22)</w:t>
            </w:r>
          </w:p>
        </w:tc>
        <w:tc>
          <w:tcPr>
            <w:tcW w:w="160" w:type="dxa"/>
            <w:vAlign w:val="bottom"/>
            <w:shd w:val="clear" w:color="auto" w:fill="CFF0FC"/>
          </w:tcPr>
          <w:p>
            <w:pPr>
              <w:spacing w:after="0"/>
              <w:rPr>
                <w:sz w:val="15"/>
                <w:szCs w:val="15"/>
                <w:color w:val="auto"/>
              </w:rPr>
            </w:pPr>
          </w:p>
        </w:tc>
        <w:tc>
          <w:tcPr>
            <w:tcW w:w="2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30,609</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12,077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6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3"/>
                <w:szCs w:val="13"/>
                <w:color w:val="auto"/>
              </w:rPr>
              <w:t>Media: Broadcasting &amp; Subscription</w:t>
            </w:r>
          </w:p>
        </w:tc>
        <w:tc>
          <w:tcPr>
            <w:tcW w:w="160" w:type="dxa"/>
            <w:vAlign w:val="bottom"/>
            <w:tcBorders>
              <w:bottom w:val="single" w:sz="8" w:color="CFF0FC"/>
            </w:tcBorders>
            <w:shd w:val="clear" w:color="auto" w:fill="CFF0FC"/>
          </w:tcPr>
          <w:p>
            <w:pPr>
              <w:spacing w:after="0"/>
              <w:rPr>
                <w:sz w:val="14"/>
                <w:szCs w:val="14"/>
                <w:color w:val="auto"/>
              </w:rPr>
            </w:pPr>
          </w:p>
        </w:tc>
        <w:tc>
          <w:tcPr>
            <w:tcW w:w="2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Call Option</w:t>
            </w: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4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w w:val="91"/>
              </w:rPr>
              <w:t>Total Derivatives (0% of net asset value at fair</w:t>
            </w:r>
          </w:p>
        </w:tc>
        <w:tc>
          <w:tcPr>
            <w:tcW w:w="160" w:type="dxa"/>
            <w:vAlign w:val="bottom"/>
            <w:shd w:val="clear" w:color="auto" w:fill="CFF0FC"/>
          </w:tcPr>
          <w:p>
            <w:pPr>
              <w:spacing w:after="0"/>
              <w:rPr>
                <w:sz w:val="14"/>
                <w:szCs w:val="14"/>
                <w:color w:val="auto"/>
              </w:rPr>
            </w:pPr>
          </w:p>
        </w:tc>
        <w:tc>
          <w:tcPr>
            <w:tcW w:w="2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20" w:type="dxa"/>
            <w:vAlign w:val="bottom"/>
            <w:vMerge w:val="restart"/>
            <w:shd w:val="clear" w:color="auto" w:fill="CFF0FC"/>
          </w:tcPr>
          <w:p>
            <w:pPr>
              <w:jc w:val="right"/>
              <w:ind w:right="177"/>
              <w:spacing w:after="0"/>
              <w:rPr>
                <w:sz w:val="20"/>
                <w:szCs w:val="20"/>
                <w:color w:val="auto"/>
              </w:rPr>
            </w:pPr>
            <w:r>
              <w:rPr>
                <w:rFonts w:ascii="Arial" w:cs="Arial" w:eastAsia="Arial" w:hAnsi="Arial"/>
                <w:sz w:val="13"/>
                <w:szCs w:val="13"/>
                <w:b w:val="1"/>
                <w:bCs w:val="1"/>
                <w:color w:val="auto"/>
                <w:w w:val="82"/>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30,609</w:t>
            </w:r>
          </w:p>
        </w:tc>
        <w:tc>
          <w:tcPr>
            <w:tcW w:w="54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b w:val="1"/>
                <w:bCs w:val="1"/>
                <w:color w:val="auto"/>
              </w:rPr>
              <w:t>$</w:t>
            </w:r>
          </w:p>
        </w:tc>
        <w:tc>
          <w:tcPr>
            <w:tcW w:w="12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(1,108,618 )</w:t>
            </w:r>
          </w:p>
        </w:tc>
        <w:tc>
          <w:tcPr>
            <w:tcW w:w="0" w:type="dxa"/>
            <w:vAlign w:val="bottom"/>
          </w:tcPr>
          <w:p>
            <w:pPr>
              <w:spacing w:after="0"/>
              <w:rPr>
                <w:sz w:val="1"/>
                <w:szCs w:val="1"/>
                <w:color w:val="auto"/>
              </w:rPr>
            </w:pPr>
          </w:p>
        </w:tc>
      </w:tr>
      <w:tr>
        <w:trPr>
          <w:trHeight w:val="16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value)</w:t>
            </w:r>
          </w:p>
        </w:tc>
        <w:tc>
          <w:tcPr>
            <w:tcW w:w="160" w:type="dxa"/>
            <w:vAlign w:val="bottom"/>
            <w:shd w:val="clear" w:color="auto" w:fill="CFF0FC"/>
          </w:tcPr>
          <w:p>
            <w:pPr>
              <w:spacing w:after="0"/>
              <w:rPr>
                <w:sz w:val="14"/>
                <w:szCs w:val="14"/>
                <w:color w:val="auto"/>
              </w:rPr>
            </w:pPr>
          </w:p>
        </w:tc>
        <w:tc>
          <w:tcPr>
            <w:tcW w:w="2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540" w:type="dxa"/>
            <w:vAlign w:val="bottom"/>
            <w:gridSpan w:val="2"/>
            <w:vMerge w:val="continue"/>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6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Joint Ventures</w:t>
            </w:r>
          </w:p>
        </w:tc>
        <w:tc>
          <w:tcPr>
            <w:tcW w:w="160" w:type="dxa"/>
            <w:vAlign w:val="bottom"/>
            <w:tcBorders>
              <w:top w:val="single" w:sz="8" w:color="CFF0FC"/>
            </w:tcBorders>
          </w:tcPr>
          <w:p>
            <w:pPr>
              <w:spacing w:after="0"/>
              <w:rPr>
                <w:sz w:val="20"/>
                <w:szCs w:val="20"/>
                <w:color w:val="auto"/>
              </w:rPr>
            </w:pPr>
          </w:p>
        </w:tc>
        <w:tc>
          <w:tcPr>
            <w:tcW w:w="26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000" w:type="dxa"/>
            <w:vAlign w:val="bottom"/>
            <w:tcBorders>
              <w:top w:val="single" w:sz="8" w:color="CFF0FC"/>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26"/>
        </w:trPr>
        <w:tc>
          <w:tcPr>
            <w:tcW w:w="26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Portfolio Company /</w:t>
            </w:r>
          </w:p>
        </w:tc>
        <w:tc>
          <w:tcPr>
            <w:tcW w:w="1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0"/>
                <w:szCs w:val="10"/>
                <w:color w:val="auto"/>
              </w:rPr>
            </w:pPr>
          </w:p>
        </w:tc>
        <w:tc>
          <w:tcPr>
            <w:tcW w:w="1320" w:type="dxa"/>
            <w:vAlign w:val="bottom"/>
            <w:gridSpan w:val="2"/>
          </w:tcPr>
          <w:p>
            <w:pPr>
              <w:jc w:val="right"/>
              <w:ind w:right="520"/>
              <w:spacing w:after="0" w:line="126" w:lineRule="exact"/>
              <w:rPr>
                <w:sz w:val="20"/>
                <w:szCs w:val="20"/>
                <w:color w:val="auto"/>
              </w:rPr>
            </w:pPr>
            <w:r>
              <w:rPr>
                <w:rFonts w:ascii="Arial" w:cs="Arial" w:eastAsia="Arial" w:hAnsi="Arial"/>
                <w:sz w:val="13"/>
                <w:szCs w:val="13"/>
                <w:b w:val="1"/>
                <w:bCs w:val="1"/>
                <w:color w:val="auto"/>
              </w:rPr>
              <w:t>Percentage</w:t>
            </w: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620" w:type="dxa"/>
            <w:vAlign w:val="bottom"/>
          </w:tcPr>
          <w:p>
            <w:pPr>
              <w:jc w:val="center"/>
              <w:spacing w:after="0"/>
              <w:rPr>
                <w:sz w:val="20"/>
                <w:szCs w:val="20"/>
                <w:color w:val="auto"/>
              </w:rPr>
            </w:pPr>
            <w:r>
              <w:rPr>
                <w:rFonts w:ascii="Arial" w:cs="Arial" w:eastAsia="Arial" w:hAnsi="Arial"/>
                <w:sz w:val="13"/>
                <w:szCs w:val="13"/>
                <w:b w:val="1"/>
                <w:bCs w:val="1"/>
                <w:color w:val="auto"/>
                <w:w w:val="85"/>
              </w:rPr>
              <w:t>Principal Business</w:t>
            </w:r>
          </w:p>
        </w:tc>
        <w:tc>
          <w:tcPr>
            <w:tcW w:w="160" w:type="dxa"/>
            <w:vAlign w:val="bottom"/>
          </w:tcPr>
          <w:p>
            <w:pPr>
              <w:spacing w:after="0"/>
              <w:rPr>
                <w:sz w:val="18"/>
                <w:szCs w:val="18"/>
                <w:color w:val="auto"/>
              </w:rPr>
            </w:pPr>
          </w:p>
        </w:tc>
        <w:tc>
          <w:tcPr>
            <w:tcW w:w="2620" w:type="dxa"/>
            <w:vAlign w:val="bottom"/>
          </w:tcPr>
          <w:p>
            <w:pPr>
              <w:ind w:left="96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6"/>
                <w:szCs w:val="16"/>
                <w:b w:val="1"/>
                <w:bCs w:val="1"/>
                <w:color w:val="auto"/>
                <w:vertAlign w:val="superscript"/>
              </w:rPr>
              <w:t>15</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Ownership</w:t>
            </w:r>
          </w:p>
        </w:tc>
        <w:tc>
          <w:tcPr>
            <w:tcW w:w="320" w:type="dxa"/>
            <w:vAlign w:val="bottom"/>
          </w:tcPr>
          <w:p>
            <w:pPr>
              <w:spacing w:after="0"/>
              <w:rPr>
                <w:sz w:val="18"/>
                <w:szCs w:val="18"/>
                <w:color w:val="auto"/>
              </w:rPr>
            </w:pPr>
          </w:p>
        </w:tc>
        <w:tc>
          <w:tcPr>
            <w:tcW w:w="1020" w:type="dxa"/>
            <w:vAlign w:val="bottom"/>
          </w:tcPr>
          <w:p>
            <w:pPr>
              <w:jc w:val="right"/>
              <w:ind w:right="477"/>
              <w:spacing w:after="0"/>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center"/>
              <w:ind w:right="400"/>
              <w:spacing w:after="0" w:line="216" w:lineRule="exact"/>
              <w:rPr>
                <w:sz w:val="20"/>
                <w:szCs w:val="20"/>
                <w:color w:val="auto"/>
              </w:rPr>
            </w:pPr>
            <w:r>
              <w:rPr>
                <w:rFonts w:ascii="Arial" w:cs="Arial" w:eastAsia="Arial" w:hAnsi="Arial"/>
                <w:sz w:val="14"/>
                <w:szCs w:val="14"/>
                <w:b w:val="1"/>
                <w:bCs w:val="1"/>
                <w:color w:val="auto"/>
                <w:w w:val="85"/>
              </w:rPr>
              <w:t>Value</w:t>
            </w:r>
            <w:r>
              <w:rPr>
                <w:rFonts w:ascii="Arial" w:cs="Arial" w:eastAsia="Arial" w:hAnsi="Arial"/>
                <w:sz w:val="19"/>
                <w:szCs w:val="19"/>
                <w:b w:val="1"/>
                <w:bCs w:val="1"/>
                <w:color w:val="auto"/>
                <w:w w:val="85"/>
                <w:vertAlign w:val="superscript"/>
              </w:rPr>
              <w:t>2</w:t>
            </w:r>
          </w:p>
        </w:tc>
        <w:tc>
          <w:tcPr>
            <w:tcW w:w="0" w:type="dxa"/>
            <w:vAlign w:val="bottom"/>
          </w:tcPr>
          <w:p>
            <w:pPr>
              <w:spacing w:after="0"/>
              <w:rPr>
                <w:sz w:val="1"/>
                <w:szCs w:val="1"/>
                <w:color w:val="auto"/>
              </w:rPr>
            </w:pPr>
          </w:p>
        </w:tc>
      </w:tr>
      <w:tr>
        <w:trPr>
          <w:trHeight w:val="168"/>
        </w:trPr>
        <w:tc>
          <w:tcPr>
            <w:tcW w:w="2620" w:type="dxa"/>
            <w:vAlign w:val="bottom"/>
            <w:tcBorders>
              <w:top w:val="single" w:sz="8" w:color="auto"/>
            </w:tcBorders>
            <w:shd w:val="clear" w:color="auto" w:fill="CFF0FC"/>
          </w:tcPr>
          <w:p>
            <w:pPr>
              <w:ind w:left="20"/>
              <w:spacing w:after="0" w:line="168" w:lineRule="exact"/>
              <w:rPr>
                <w:sz w:val="20"/>
                <w:szCs w:val="20"/>
                <w:color w:val="auto"/>
              </w:rPr>
            </w:pPr>
            <w:r>
              <w:rPr>
                <w:rFonts w:ascii="Arial" w:cs="Arial" w:eastAsia="Arial" w:hAnsi="Arial"/>
                <w:sz w:val="13"/>
                <w:szCs w:val="13"/>
                <w:color w:val="auto"/>
              </w:rPr>
              <w:t>KCAP Freedom 3 LLC</w:t>
            </w:r>
            <w:r>
              <w:rPr>
                <w:rFonts w:ascii="Arial" w:cs="Arial" w:eastAsia="Arial" w:hAnsi="Arial"/>
                <w:sz w:val="16"/>
                <w:szCs w:val="16"/>
                <w:color w:val="auto"/>
                <w:vertAlign w:val="superscript"/>
              </w:rPr>
              <w:t>(9)(13)(16)</w:t>
            </w:r>
          </w:p>
        </w:tc>
        <w:tc>
          <w:tcPr>
            <w:tcW w:w="160" w:type="dxa"/>
            <w:vAlign w:val="bottom"/>
            <w:shd w:val="clear" w:color="auto" w:fill="CFF0FC"/>
          </w:tcPr>
          <w:p>
            <w:pPr>
              <w:spacing w:after="0"/>
              <w:rPr>
                <w:sz w:val="14"/>
                <w:szCs w:val="14"/>
                <w:color w:val="auto"/>
              </w:rPr>
            </w:pPr>
          </w:p>
        </w:tc>
        <w:tc>
          <w:tcPr>
            <w:tcW w:w="26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Joint Venture</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7/19/2017</w:t>
            </w:r>
          </w:p>
        </w:tc>
        <w:tc>
          <w:tcPr>
            <w:tcW w:w="146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60 %</w:t>
            </w:r>
          </w:p>
        </w:tc>
        <w:tc>
          <w:tcPr>
            <w:tcW w:w="32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24,914,858</w:t>
            </w:r>
          </w:p>
        </w:tc>
        <w:tc>
          <w:tcPr>
            <w:tcW w:w="54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19,748,808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5" w:lineRule="exact"/>
              <w:rPr>
                <w:sz w:val="20"/>
                <w:szCs w:val="20"/>
                <w:color w:val="auto"/>
              </w:rPr>
            </w:pPr>
            <w:r>
              <w:rPr>
                <w:rFonts w:ascii="Arial" w:cs="Arial" w:eastAsia="Arial" w:hAnsi="Arial"/>
                <w:sz w:val="13"/>
                <w:szCs w:val="13"/>
                <w:color w:val="auto"/>
              </w:rPr>
              <w:t>BCP Great Lakes Holdings LP</w:t>
            </w:r>
            <w:r>
              <w:rPr>
                <w:rFonts w:ascii="Arial" w:cs="Arial" w:eastAsia="Arial" w:hAnsi="Arial"/>
                <w:sz w:val="16"/>
                <w:szCs w:val="16"/>
                <w:color w:val="auto"/>
                <w:vertAlign w:val="superscript"/>
              </w:rPr>
              <w:t>(10)(17)(18)</w:t>
            </w:r>
          </w:p>
        </w:tc>
        <w:tc>
          <w:tcPr>
            <w:tcW w:w="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120"/>
              <w:spacing w:after="0"/>
              <w:rPr>
                <w:sz w:val="20"/>
                <w:szCs w:val="20"/>
                <w:color w:val="auto"/>
              </w:rPr>
            </w:pPr>
            <w:r>
              <w:rPr>
                <w:rFonts w:ascii="Arial" w:cs="Arial" w:eastAsia="Arial" w:hAnsi="Arial"/>
                <w:sz w:val="13"/>
                <w:szCs w:val="13"/>
                <w:color w:val="auto"/>
              </w:rPr>
              <w:t>Limited Partnership</w:t>
            </w:r>
          </w:p>
        </w:tc>
        <w:tc>
          <w:tcPr>
            <w:tcW w:w="1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30,017,600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29,600,355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tcPr>
          <w:p>
            <w:pPr>
              <w:spacing w:after="0"/>
              <w:rPr>
                <w:sz w:val="20"/>
                <w:szCs w:val="20"/>
                <w:color w:val="auto"/>
              </w:rPr>
            </w:pPr>
            <w:r>
              <w:rPr>
                <w:rFonts w:ascii="Arial" w:cs="Arial" w:eastAsia="Arial" w:hAnsi="Arial"/>
                <w:sz w:val="13"/>
                <w:szCs w:val="13"/>
                <w:color w:val="auto"/>
              </w:rPr>
              <w:t>Joint Venture</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12/11/2018</w:t>
            </w:r>
          </w:p>
        </w:tc>
        <w:tc>
          <w:tcPr>
            <w:tcW w:w="1460" w:type="dxa"/>
            <w:vAlign w:val="bottom"/>
            <w:gridSpan w:val="3"/>
          </w:tcPr>
          <w:p>
            <w:pPr>
              <w:jc w:val="right"/>
              <w:ind w:right="220"/>
              <w:spacing w:after="0"/>
              <w:rPr>
                <w:sz w:val="20"/>
                <w:szCs w:val="20"/>
                <w:color w:val="auto"/>
              </w:rPr>
            </w:pPr>
            <w:r>
              <w:rPr>
                <w:rFonts w:ascii="Arial" w:cs="Arial" w:eastAsia="Arial" w:hAnsi="Arial"/>
                <w:sz w:val="13"/>
                <w:szCs w:val="13"/>
                <w:color w:val="auto"/>
              </w:rPr>
              <w:t>27 %</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20" w:type="dxa"/>
            <w:vAlign w:val="bottom"/>
          </w:tcPr>
          <w:p>
            <w:pPr>
              <w:ind w:left="20"/>
              <w:spacing w:after="0"/>
              <w:rPr>
                <w:sz w:val="20"/>
                <w:szCs w:val="20"/>
                <w:color w:val="auto"/>
              </w:rPr>
            </w:pPr>
            <w:r>
              <w:rPr>
                <w:rFonts w:ascii="Arial" w:cs="Arial" w:eastAsia="Arial" w:hAnsi="Arial"/>
                <w:sz w:val="13"/>
                <w:szCs w:val="13"/>
                <w:b w:val="1"/>
                <w:bCs w:val="1"/>
                <w:color w:val="auto"/>
              </w:rPr>
              <w:t>Total Investment in Joint Ventures</w:t>
            </w:r>
          </w:p>
        </w:tc>
        <w:tc>
          <w:tcPr>
            <w:tcW w:w="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w w:val="82"/>
              </w:rPr>
              <w:t>$</w:t>
            </w: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54,932,458</w:t>
            </w:r>
          </w:p>
        </w:tc>
        <w:tc>
          <w:tcPr>
            <w:tcW w:w="240" w:type="dxa"/>
            <w:vAlign w:val="bottom"/>
            <w:vMerge w:val="restart"/>
          </w:tcPr>
          <w:p>
            <w:pPr>
              <w:spacing w:after="0"/>
              <w:rPr>
                <w:sz w:val="14"/>
                <w:szCs w:val="14"/>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1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49,349,163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20" w:type="dxa"/>
            <w:vAlign w:val="bottom"/>
          </w:tcPr>
          <w:p>
            <w:pPr>
              <w:ind w:left="120"/>
              <w:spacing w:after="0"/>
              <w:rPr>
                <w:sz w:val="20"/>
                <w:szCs w:val="20"/>
                <w:color w:val="auto"/>
              </w:rPr>
            </w:pPr>
            <w:r>
              <w:rPr>
                <w:rFonts w:ascii="Arial" w:cs="Arial" w:eastAsia="Arial" w:hAnsi="Arial"/>
                <w:sz w:val="13"/>
                <w:szCs w:val="13"/>
                <w:b w:val="1"/>
                <w:bCs w:val="1"/>
                <w:color w:val="auto"/>
              </w:rPr>
              <w:t>(23% of net asset value at fair value)</w:t>
            </w:r>
          </w:p>
        </w:tc>
        <w:tc>
          <w:tcPr>
            <w:tcW w:w="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Total Investments</w:t>
            </w:r>
            <w:r>
              <w:rPr>
                <w:rFonts w:ascii="Arial" w:cs="Arial" w:eastAsia="Arial" w:hAnsi="Arial"/>
                <w:sz w:val="16"/>
                <w:szCs w:val="16"/>
                <w:b w:val="1"/>
                <w:bCs w:val="1"/>
                <w:color w:val="auto"/>
                <w:vertAlign w:val="superscript"/>
              </w:rPr>
              <w:t>4</w:t>
            </w:r>
          </w:p>
        </w:tc>
        <w:tc>
          <w:tcPr>
            <w:tcW w:w="160" w:type="dxa"/>
            <w:vAlign w:val="bottom"/>
            <w:tcBorders>
              <w:bottom w:val="single" w:sz="8" w:color="CFF0FC"/>
            </w:tcBorders>
            <w:shd w:val="clear" w:color="auto" w:fill="CFF0FC"/>
          </w:tcPr>
          <w:p>
            <w:pPr>
              <w:spacing w:after="0"/>
              <w:rPr>
                <w:sz w:val="19"/>
                <w:szCs w:val="19"/>
                <w:color w:val="auto"/>
              </w:rPr>
            </w:pPr>
          </w:p>
        </w:tc>
        <w:tc>
          <w:tcPr>
            <w:tcW w:w="26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77"/>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536,008,160</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57"/>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486,628,831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-3408045</wp:posOffset>
            </wp:positionV>
            <wp:extent cx="154305"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-3408045</wp:posOffset>
            </wp:positionV>
            <wp:extent cx="6858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-3065145</wp:posOffset>
            </wp:positionV>
            <wp:extent cx="154305"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-3065145</wp:posOffset>
            </wp:positionV>
            <wp:extent cx="6858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-2002155</wp:posOffset>
            </wp:positionV>
            <wp:extent cx="154305"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-2002155</wp:posOffset>
            </wp:positionV>
            <wp:extent cx="6858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-1659255</wp:posOffset>
            </wp:positionV>
            <wp:extent cx="154305"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-1659255</wp:posOffset>
            </wp:positionV>
            <wp:extent cx="68580"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15430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15430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left="380" w:hanging="372"/>
        <w:spacing w:after="0" w:line="241" w:lineRule="auto"/>
        <w:tabs>
          <w:tab w:leader="none" w:pos="365" w:val="left"/>
        </w:tabs>
        <w:numPr>
          <w:ilvl w:val="0"/>
          <w:numId w:val="15"/>
        </w:numPr>
        <w:rPr>
          <w:rFonts w:ascii="Arial" w:cs="Arial" w:eastAsia="Arial" w:hAnsi="Arial"/>
          <w:sz w:val="24"/>
          <w:szCs w:val="24"/>
          <w:color w:val="auto"/>
          <w:vertAlign w:val="superscript"/>
        </w:rPr>
      </w:pPr>
      <w:r>
        <w:rPr>
          <w:rFonts w:ascii="Arial" w:cs="Arial" w:eastAsia="Arial" w:hAnsi="Arial"/>
          <w:sz w:val="16"/>
          <w:szCs w:val="16"/>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December 31, 2020 loan. For each such loan, the Company has provided the weighted average annual stated interest rate in effect at December 31, 2020. As noted in the table above, 74% (based on par) of debt securities contain floors which range between 1.00% and 2.00%.</w:t>
      </w:r>
    </w:p>
    <w:p>
      <w:pPr>
        <w:ind w:left="360" w:hanging="352"/>
        <w:spacing w:after="0" w:line="199" w:lineRule="auto"/>
        <w:tabs>
          <w:tab w:leader="none" w:pos="360" w:val="left"/>
        </w:tabs>
        <w:numPr>
          <w:ilvl w:val="0"/>
          <w:numId w:val="16"/>
        </w:numPr>
        <w:rPr>
          <w:rFonts w:ascii="Arial" w:cs="Arial" w:eastAsia="Arial" w:hAnsi="Arial"/>
          <w:sz w:val="24"/>
          <w:szCs w:val="24"/>
          <w:color w:val="auto"/>
          <w:vertAlign w:val="superscript"/>
        </w:rPr>
      </w:pPr>
      <w:r>
        <w:rPr>
          <w:rFonts w:ascii="Arial" w:cs="Arial" w:eastAsia="Arial" w:hAnsi="Arial"/>
          <w:sz w:val="16"/>
          <w:szCs w:val="16"/>
          <w:color w:val="auto"/>
        </w:rPr>
        <w:t>Reflects the fair market value of all investments as of December 31, 2020 as determined by the Company’s Board of Directors.</w:t>
      </w:r>
    </w:p>
    <w:p>
      <w:pPr>
        <w:ind w:left="360" w:hanging="352"/>
        <w:spacing w:after="0" w:line="200" w:lineRule="auto"/>
        <w:tabs>
          <w:tab w:leader="none" w:pos="360" w:val="left"/>
        </w:tabs>
        <w:numPr>
          <w:ilvl w:val="0"/>
          <w:numId w:val="17"/>
        </w:numPr>
        <w:rPr>
          <w:rFonts w:ascii="Arial" w:cs="Arial" w:eastAsia="Arial" w:hAnsi="Arial"/>
          <w:sz w:val="24"/>
          <w:szCs w:val="24"/>
          <w:color w:val="auto"/>
          <w:vertAlign w:val="superscript"/>
        </w:rPr>
      </w:pPr>
      <w:r>
        <w:rPr>
          <w:rFonts w:ascii="Arial" w:cs="Arial" w:eastAsia="Arial" w:hAnsi="Arial"/>
          <w:sz w:val="16"/>
          <w:szCs w:val="16"/>
          <w:color w:val="auto"/>
        </w:rPr>
        <w:t>Non-U.S. company or principal place of business outside the U.S.</w:t>
      </w:r>
    </w:p>
    <w:p>
      <w:pPr>
        <w:spacing w:after="0" w:line="24" w:lineRule="exact"/>
        <w:rPr>
          <w:sz w:val="20"/>
          <w:szCs w:val="20"/>
          <w:color w:val="auto"/>
        </w:rPr>
      </w:pPr>
    </w:p>
    <w:p>
      <w:pPr>
        <w:ind w:left="380" w:right="100" w:hanging="372"/>
        <w:spacing w:after="0" w:line="230" w:lineRule="auto"/>
        <w:tabs>
          <w:tab w:leader="none" w:pos="365" w:val="left"/>
        </w:tabs>
        <w:numPr>
          <w:ilvl w:val="0"/>
          <w:numId w:val="18"/>
        </w:numPr>
        <w:rPr>
          <w:rFonts w:ascii="Arial" w:cs="Arial" w:eastAsia="Arial" w:hAnsi="Arial"/>
          <w:sz w:val="22"/>
          <w:szCs w:val="22"/>
          <w:color w:val="auto"/>
          <w:vertAlign w:val="superscript"/>
        </w:rPr>
      </w:pPr>
      <w:r>
        <w:rPr>
          <w:rFonts w:ascii="Arial" w:cs="Arial" w:eastAsia="Arial" w:hAnsi="Arial"/>
          <w:sz w:val="15"/>
          <w:szCs w:val="15"/>
          <w:color w:val="auto"/>
        </w:rPr>
        <w:t>The aggregate cost of investments for federal income tax purposes is approximately $572 million. The aggregate gross unrealized appreciation is approximately $53.1 million, the aggregate gross unrealized depreciation is approximately $138.6 million, and the net unrealized depreciation is approximately $85.5 million.</w:t>
      </w:r>
    </w:p>
    <w:p>
      <w:pPr>
        <w:ind w:left="360" w:hanging="352"/>
        <w:spacing w:after="0" w:line="200" w:lineRule="auto"/>
        <w:tabs>
          <w:tab w:leader="none" w:pos="360" w:val="left"/>
        </w:tabs>
        <w:numPr>
          <w:ilvl w:val="0"/>
          <w:numId w:val="19"/>
        </w:numPr>
        <w:rPr>
          <w:rFonts w:ascii="Arial" w:cs="Arial" w:eastAsia="Arial" w:hAnsi="Arial"/>
          <w:sz w:val="24"/>
          <w:szCs w:val="24"/>
          <w:color w:val="auto"/>
          <w:vertAlign w:val="superscript"/>
        </w:rPr>
      </w:pPr>
      <w:r>
        <w:rPr>
          <w:rFonts w:ascii="Arial" w:cs="Arial" w:eastAsia="Arial" w:hAnsi="Arial"/>
          <w:sz w:val="16"/>
          <w:szCs w:val="16"/>
          <w:color w:val="auto"/>
        </w:rPr>
        <w:t>Loan or debt security is on non-accrual status and therefore is considered non-income producing.</w:t>
      </w:r>
    </w:p>
    <w:p>
      <w:pPr>
        <w:spacing w:after="0" w:line="24" w:lineRule="exact"/>
        <w:rPr>
          <w:sz w:val="20"/>
          <w:szCs w:val="20"/>
          <w:color w:val="auto"/>
        </w:rPr>
      </w:pPr>
    </w:p>
    <w:p>
      <w:pPr>
        <w:ind w:left="380" w:right="20" w:hanging="372"/>
        <w:spacing w:after="0" w:line="213" w:lineRule="auto"/>
        <w:tabs>
          <w:tab w:leader="none" w:pos="365" w:val="left"/>
        </w:tabs>
        <w:numPr>
          <w:ilvl w:val="0"/>
          <w:numId w:val="20"/>
        </w:numPr>
        <w:rPr>
          <w:rFonts w:ascii="Arial" w:cs="Arial" w:eastAsia="Arial" w:hAnsi="Arial"/>
          <w:sz w:val="24"/>
          <w:szCs w:val="24"/>
          <w:color w:val="auto"/>
          <w:vertAlign w:val="superscript"/>
        </w:rPr>
      </w:pPr>
      <w:r>
        <w:rPr>
          <w:rFonts w:ascii="Arial" w:cs="Arial" w:eastAsia="Arial" w:hAnsi="Arial"/>
          <w:sz w:val="16"/>
          <w:szCs w:val="16"/>
          <w:color w:val="auto"/>
        </w:rPr>
        <w:t>Held through Garrison Capital Equity Holdings II LLC and net of non-controlling member’s interest of 17.5% pursuant to the Amended and Restated Limited Liability Company Agreement of Garrison Capital Equity Holdings II LLC.</w:t>
      </w:r>
    </w:p>
    <w:p>
      <w:pPr>
        <w:ind w:left="360" w:hanging="352"/>
        <w:spacing w:after="0" w:line="205" w:lineRule="auto"/>
        <w:tabs>
          <w:tab w:leader="none" w:pos="360" w:val="left"/>
        </w:tabs>
        <w:numPr>
          <w:ilvl w:val="0"/>
          <w:numId w:val="21"/>
        </w:numPr>
        <w:rPr>
          <w:rFonts w:ascii="Arial" w:cs="Arial" w:eastAsia="Arial" w:hAnsi="Arial"/>
          <w:sz w:val="24"/>
          <w:szCs w:val="24"/>
          <w:color w:val="auto"/>
          <w:vertAlign w:val="superscript"/>
        </w:rPr>
      </w:pPr>
      <w:r>
        <w:rPr>
          <w:rFonts w:ascii="Arial" w:cs="Arial" w:eastAsia="Arial" w:hAnsi="Arial"/>
          <w:sz w:val="16"/>
          <w:szCs w:val="16"/>
          <w:color w:val="auto"/>
        </w:rPr>
        <w:t>Money market account</w:t>
      </w:r>
      <w:r>
        <w:rPr>
          <w:rFonts w:ascii="Arial" w:cs="Arial" w:eastAsia="Arial" w:hAnsi="Arial"/>
          <w:sz w:val="17"/>
          <w:szCs w:val="17"/>
          <w:color w:val="auto"/>
        </w:rPr>
        <w:t>.</w:t>
      </w:r>
    </w:p>
    <w:p>
      <w:pPr>
        <w:spacing w:after="0" w:line="18" w:lineRule="exact"/>
        <w:rPr>
          <w:sz w:val="20"/>
          <w:szCs w:val="20"/>
          <w:color w:val="auto"/>
        </w:rPr>
      </w:pPr>
    </w:p>
    <w:p>
      <w:pPr>
        <w:ind w:left="380" w:right="100" w:hanging="372"/>
        <w:spacing w:after="0" w:line="213" w:lineRule="auto"/>
        <w:tabs>
          <w:tab w:leader="none" w:pos="365" w:val="left"/>
        </w:tabs>
        <w:numPr>
          <w:ilvl w:val="0"/>
          <w:numId w:val="22"/>
        </w:numPr>
        <w:rPr>
          <w:rFonts w:ascii="Arial" w:cs="Arial" w:eastAsia="Arial" w:hAnsi="Arial"/>
          <w:sz w:val="24"/>
          <w:szCs w:val="24"/>
          <w:color w:val="auto"/>
          <w:vertAlign w:val="superscript"/>
        </w:rPr>
      </w:pPr>
      <w:r>
        <w:rPr>
          <w:rFonts w:ascii="Arial" w:cs="Arial" w:eastAsia="Arial" w:hAnsi="Arial"/>
          <w:sz w:val="16"/>
          <w:szCs w:val="16"/>
          <w:color w:val="auto"/>
        </w:rPr>
        <w:t>Qualified asset for purposes of section 55(a) of the Investment Company Act of 1940, as amended (the “1940 Act”). Qualifying assets represent approximately 86.2% of the total assets at December 31, 2020.</w:t>
      </w:r>
    </w:p>
    <w:p>
      <w:pPr>
        <w:sectPr>
          <w:pgSz w:w="11900" w:h="16838" w:orient="portrait"/>
          <w:cols w:equalWidth="0" w:num="1">
            <w:col w:w="11240"/>
          </w:cols>
          <w:pgMar w:left="320" w:top="634" w:right="3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9</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left="20" w:right="160" w:hanging="14"/>
        <w:spacing w:after="0" w:line="315" w:lineRule="auto"/>
        <w:rPr>
          <w:sz w:val="20"/>
          <w:szCs w:val="20"/>
          <w:color w:val="auto"/>
        </w:rPr>
      </w:pPr>
      <w:r>
        <w:rPr>
          <w:rFonts w:ascii="Arial" w:cs="Arial" w:eastAsia="Arial" w:hAnsi="Arial"/>
          <w:sz w:val="14"/>
          <w:szCs w:val="14"/>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Non-voting.</w:t>
      </w:r>
    </w:p>
    <w:p>
      <w:pPr>
        <w:spacing w:after="0" w:line="46" w:lineRule="exact"/>
        <w:rPr>
          <w:sz w:val="20"/>
          <w:szCs w:val="20"/>
          <w:color w:val="auto"/>
        </w:rPr>
      </w:pPr>
    </w:p>
    <w:p>
      <w:pPr>
        <w:sectPr>
          <w:pgSz w:w="11900" w:h="16838" w:orient="portrait"/>
          <w:cols w:equalWidth="0" w:num="2">
            <w:col w:w="120" w:space="240"/>
            <w:col w:w="10880"/>
          </w:cols>
          <w:pgMar w:left="320" w:top="634" w:right="339" w:bottom="1440" w:gutter="0" w:footer="0" w:header="0"/>
          <w:type w:val="continuous"/>
        </w:sectPr>
      </w:pPr>
    </w:p>
    <w:p>
      <w:pPr>
        <w:ind w:left="380" w:right="120" w:hanging="372"/>
        <w:spacing w:after="0" w:line="260" w:lineRule="auto"/>
        <w:tabs>
          <w:tab w:leader="none" w:pos="365" w:val="left"/>
        </w:tabs>
        <w:numPr>
          <w:ilvl w:val="0"/>
          <w:numId w:val="23"/>
        </w:numPr>
        <w:rPr>
          <w:rFonts w:ascii="Arial" w:cs="Arial" w:eastAsia="Arial" w:hAnsi="Arial"/>
          <w:sz w:val="21"/>
          <w:szCs w:val="21"/>
          <w:color w:val="auto"/>
          <w:vertAlign w:val="superscript"/>
        </w:rPr>
      </w:pPr>
      <w:r>
        <w:rPr>
          <w:rFonts w:ascii="Arial" w:cs="Arial" w:eastAsia="Arial" w:hAnsi="Arial"/>
          <w:sz w:val="14"/>
          <w:szCs w:val="14"/>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4" w:lineRule="exact"/>
        <w:rPr>
          <w:rFonts w:ascii="Arial" w:cs="Arial" w:eastAsia="Arial" w:hAnsi="Arial"/>
          <w:sz w:val="21"/>
          <w:szCs w:val="21"/>
          <w:color w:val="auto"/>
          <w:vertAlign w:val="superscript"/>
        </w:rPr>
      </w:pPr>
    </w:p>
    <w:p>
      <w:pPr>
        <w:ind w:left="380" w:right="60" w:hanging="372"/>
        <w:spacing w:after="0" w:line="213" w:lineRule="auto"/>
        <w:tabs>
          <w:tab w:leader="none" w:pos="366" w:val="left"/>
        </w:tabs>
        <w:numPr>
          <w:ilvl w:val="0"/>
          <w:numId w:val="23"/>
        </w:numPr>
        <w:rPr>
          <w:rFonts w:ascii="Arial" w:cs="Arial" w:eastAsia="Arial" w:hAnsi="Arial"/>
          <w:sz w:val="24"/>
          <w:szCs w:val="24"/>
          <w:color w:val="auto"/>
          <w:vertAlign w:val="superscript"/>
        </w:rPr>
      </w:pPr>
      <w:r>
        <w:rPr>
          <w:rFonts w:ascii="Arial" w:cs="Arial" w:eastAsia="Arial" w:hAnsi="Arial"/>
          <w:sz w:val="16"/>
          <w:szCs w:val="16"/>
          <w:color w:val="auto"/>
        </w:rPr>
        <w:t>This investment is on non-accrual status and receives a 5% royalty interest on oil being produced on certain fields. All production payments received are being applied to the cost basis and are considered return of capital.</w:t>
      </w:r>
    </w:p>
    <w:p>
      <w:pPr>
        <w:ind w:left="360" w:hanging="352"/>
        <w:spacing w:after="0" w:line="204" w:lineRule="auto"/>
        <w:tabs>
          <w:tab w:leader="none" w:pos="360" w:val="left"/>
        </w:tabs>
        <w:numPr>
          <w:ilvl w:val="0"/>
          <w:numId w:val="23"/>
        </w:numPr>
        <w:rPr>
          <w:rFonts w:ascii="Arial" w:cs="Arial" w:eastAsia="Arial" w:hAnsi="Arial"/>
          <w:sz w:val="24"/>
          <w:szCs w:val="24"/>
          <w:color w:val="auto"/>
          <w:vertAlign w:val="superscript"/>
        </w:rPr>
      </w:pPr>
      <w:r>
        <w:rPr>
          <w:rFonts w:ascii="Arial" w:cs="Arial" w:eastAsia="Arial" w:hAnsi="Arial"/>
          <w:sz w:val="16"/>
          <w:szCs w:val="16"/>
          <w:color w:val="auto"/>
        </w:rPr>
        <w:t>Fair value of this investment was determined using significant unobservable inputs</w:t>
      </w:r>
      <w:r>
        <w:rPr>
          <w:rFonts w:ascii="Arial" w:cs="Arial" w:eastAsia="Arial" w:hAnsi="Arial"/>
          <w:sz w:val="17"/>
          <w:szCs w:val="17"/>
          <w:color w:val="auto"/>
        </w:rPr>
        <w:t>.</w:t>
      </w:r>
    </w:p>
    <w:p>
      <w:pPr>
        <w:spacing w:after="0" w:line="32" w:lineRule="exact"/>
        <w:rPr>
          <w:rFonts w:ascii="Arial" w:cs="Arial" w:eastAsia="Arial" w:hAnsi="Arial"/>
          <w:sz w:val="24"/>
          <w:szCs w:val="24"/>
          <w:color w:val="auto"/>
          <w:vertAlign w:val="superscript"/>
        </w:rPr>
      </w:pPr>
    </w:p>
    <w:p>
      <w:pPr>
        <w:ind w:left="360" w:hanging="352"/>
        <w:spacing w:after="0" w:line="182" w:lineRule="auto"/>
        <w:tabs>
          <w:tab w:leader="none" w:pos="360" w:val="left"/>
        </w:tabs>
        <w:numPr>
          <w:ilvl w:val="0"/>
          <w:numId w:val="23"/>
        </w:numPr>
        <w:rPr>
          <w:rFonts w:ascii="Arial" w:cs="Arial" w:eastAsia="Arial" w:hAnsi="Arial"/>
          <w:sz w:val="22"/>
          <w:szCs w:val="22"/>
          <w:color w:val="auto"/>
          <w:vertAlign w:val="superscript"/>
        </w:rPr>
      </w:pPr>
      <w:r>
        <w:rPr>
          <w:rFonts w:ascii="Arial" w:cs="Arial" w:eastAsia="Arial" w:hAnsi="Arial"/>
          <w:sz w:val="15"/>
          <w:szCs w:val="15"/>
          <w:color w:val="auto"/>
        </w:rPr>
        <w:t>As of December 31, 2020, this investment is pledged to secure the Company’s debt obligations.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36" w:name="page37"/>
    <w:bookmarkEnd w:id="36"/>
    <w:p>
      <w:pPr>
        <w:ind w:left="380" w:right="20" w:hanging="372"/>
        <w:spacing w:after="0" w:line="230" w:lineRule="auto"/>
        <w:tabs>
          <w:tab w:leader="none" w:pos="366" w:val="left"/>
        </w:tabs>
        <w:numPr>
          <w:ilvl w:val="0"/>
          <w:numId w:val="24"/>
        </w:numPr>
        <w:rPr>
          <w:rFonts w:ascii="Arial" w:cs="Arial" w:eastAsia="Arial" w:hAnsi="Arial"/>
          <w:sz w:val="22"/>
          <w:szCs w:val="22"/>
          <w:color w:val="auto"/>
          <w:vertAlign w:val="superscript"/>
        </w:rPr>
      </w:pPr>
      <w:r>
        <w:rPr>
          <w:rFonts w:ascii="Arial" w:cs="Arial" w:eastAsia="Arial" w:hAnsi="Arial"/>
          <w:sz w:val="15"/>
          <w:szCs w:val="15"/>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spacing w:after="0" w:line="24" w:lineRule="exact"/>
        <w:rPr>
          <w:rFonts w:ascii="Arial" w:cs="Arial" w:eastAsia="Arial" w:hAnsi="Arial"/>
          <w:sz w:val="22"/>
          <w:szCs w:val="22"/>
          <w:color w:val="auto"/>
          <w:vertAlign w:val="superscript"/>
        </w:rPr>
      </w:pPr>
    </w:p>
    <w:p>
      <w:pPr>
        <w:ind w:left="380" w:right="240" w:hanging="372"/>
        <w:spacing w:after="0" w:line="203" w:lineRule="auto"/>
        <w:tabs>
          <w:tab w:leader="none" w:pos="366" w:val="left"/>
        </w:tabs>
        <w:numPr>
          <w:ilvl w:val="0"/>
          <w:numId w:val="24"/>
        </w:numPr>
        <w:rPr>
          <w:rFonts w:ascii="Arial" w:cs="Arial" w:eastAsia="Arial" w:hAnsi="Arial"/>
          <w:sz w:val="27"/>
          <w:szCs w:val="27"/>
          <w:color w:val="auto"/>
          <w:vertAlign w:val="superscript"/>
        </w:rPr>
      </w:pPr>
      <w:r>
        <w:rPr>
          <w:rFonts w:ascii="Arial" w:cs="Arial" w:eastAsia="Arial" w:hAnsi="Arial"/>
          <w:sz w:val="15"/>
          <w:szCs w:val="15"/>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ind w:left="360" w:hanging="352"/>
        <w:spacing w:after="0" w:line="217" w:lineRule="auto"/>
        <w:tabs>
          <w:tab w:leader="none" w:pos="360" w:val="left"/>
        </w:tabs>
        <w:numPr>
          <w:ilvl w:val="0"/>
          <w:numId w:val="24"/>
        </w:numPr>
        <w:rPr>
          <w:rFonts w:ascii="Arial" w:cs="Arial" w:eastAsia="Arial" w:hAnsi="Arial"/>
          <w:sz w:val="22"/>
          <w:szCs w:val="22"/>
          <w:color w:val="auto"/>
          <w:vertAlign w:val="superscript"/>
        </w:rPr>
      </w:pP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37" w:lineRule="exact"/>
        <w:rPr>
          <w:rFonts w:ascii="Arial" w:cs="Arial" w:eastAsia="Arial" w:hAnsi="Arial"/>
          <w:sz w:val="22"/>
          <w:szCs w:val="22"/>
          <w:color w:val="auto"/>
          <w:vertAlign w:val="superscript"/>
        </w:rPr>
      </w:pPr>
    </w:p>
    <w:p>
      <w:pPr>
        <w:ind w:left="380" w:right="120" w:hanging="372"/>
        <w:spacing w:after="0" w:line="269" w:lineRule="auto"/>
        <w:tabs>
          <w:tab w:leader="none" w:pos="366" w:val="left"/>
        </w:tabs>
        <w:numPr>
          <w:ilvl w:val="0"/>
          <w:numId w:val="24"/>
        </w:numPr>
        <w:rPr>
          <w:rFonts w:ascii="Arial" w:cs="Arial" w:eastAsia="Arial" w:hAnsi="Arial"/>
          <w:sz w:val="13"/>
          <w:szCs w:val="13"/>
          <w:color w:val="auto"/>
        </w:rPr>
      </w:pPr>
      <w:r>
        <w:rPr>
          <w:rFonts w:ascii="Arial" w:cs="Arial" w:eastAsia="Arial" w:hAnsi="Arial"/>
          <w:sz w:val="16"/>
          <w:szCs w:val="16"/>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 of the 1940 Act, the Company does not believe it has control over this portfolio company.</w:t>
      </w:r>
    </w:p>
    <w:p>
      <w:pPr>
        <w:spacing w:after="0" w:line="1" w:lineRule="exact"/>
        <w:rPr>
          <w:rFonts w:ascii="Arial" w:cs="Arial" w:eastAsia="Arial" w:hAnsi="Arial"/>
          <w:sz w:val="13"/>
          <w:szCs w:val="13"/>
          <w:color w:val="auto"/>
        </w:rPr>
      </w:pPr>
    </w:p>
    <w:p>
      <w:pPr>
        <w:ind w:left="360" w:hanging="352"/>
        <w:spacing w:after="0"/>
        <w:tabs>
          <w:tab w:leader="none" w:pos="360" w:val="left"/>
        </w:tabs>
        <w:numPr>
          <w:ilvl w:val="0"/>
          <w:numId w:val="24"/>
        </w:numPr>
        <w:rPr>
          <w:rFonts w:ascii="Arial" w:cs="Arial" w:eastAsia="Arial" w:hAnsi="Arial"/>
          <w:sz w:val="13"/>
          <w:szCs w:val="13"/>
          <w:color w:val="auto"/>
        </w:rPr>
      </w:pPr>
      <w:r>
        <w:rPr>
          <w:rFonts w:ascii="Arial" w:cs="Arial" w:eastAsia="Arial" w:hAnsi="Arial"/>
          <w:sz w:val="16"/>
          <w:szCs w:val="16"/>
          <w:color w:val="auto"/>
        </w:rPr>
        <w:t>Non-income producing.</w:t>
      </w:r>
    </w:p>
    <w:p>
      <w:pPr>
        <w:spacing w:after="0" w:line="45" w:lineRule="exact"/>
        <w:rPr>
          <w:rFonts w:ascii="Arial" w:cs="Arial" w:eastAsia="Arial" w:hAnsi="Arial"/>
          <w:sz w:val="13"/>
          <w:szCs w:val="13"/>
          <w:color w:val="auto"/>
        </w:rPr>
      </w:pPr>
    </w:p>
    <w:p>
      <w:pPr>
        <w:ind w:left="380" w:right="20" w:hanging="372"/>
        <w:spacing w:after="0" w:line="273" w:lineRule="auto"/>
        <w:tabs>
          <w:tab w:leader="none" w:pos="366" w:val="left"/>
        </w:tabs>
        <w:numPr>
          <w:ilvl w:val="0"/>
          <w:numId w:val="24"/>
        </w:numPr>
        <w:rPr>
          <w:rFonts w:ascii="Arial" w:cs="Arial" w:eastAsia="Arial" w:hAnsi="Arial"/>
          <w:sz w:val="13"/>
          <w:szCs w:val="13"/>
          <w:color w:val="auto"/>
        </w:rPr>
      </w:pPr>
      <w:r>
        <w:rPr>
          <w:rFonts w:ascii="Arial" w:cs="Arial" w:eastAsia="Arial" w:hAnsi="Arial"/>
          <w:sz w:val="16"/>
          <w:szCs w:val="16"/>
          <w:color w:val="auto"/>
        </w:rPr>
        <w:t>In addition to the stated interest rate of this security, which is the amount disclosed in this schedule, the Company is entitled to receive additional interest as a result of an arrangement with other lenders in the syndication, whereby the “first out” tranche will have priority over the Company’s “last out” tranche with respect to payments of principal, interest and any other amounts due thereunder from the borrower. The additional interest received during the quarter has been annualized and included in the spread disclosed for this investment.</w:t>
      </w:r>
    </w:p>
    <w:p>
      <w:pPr>
        <w:spacing w:after="0" w:line="202" w:lineRule="exact"/>
        <w:rPr>
          <w:rFonts w:ascii="Arial" w:cs="Arial" w:eastAsia="Arial" w:hAnsi="Arial"/>
          <w:sz w:val="13"/>
          <w:szCs w:val="13"/>
          <w:color w:val="auto"/>
        </w:rPr>
      </w:pPr>
    </w:p>
    <w:p>
      <w:pPr>
        <w:ind w:left="360" w:hanging="352"/>
        <w:spacing w:after="0"/>
        <w:tabs>
          <w:tab w:leader="none" w:pos="360" w:val="left"/>
        </w:tabs>
        <w:numPr>
          <w:ilvl w:val="0"/>
          <w:numId w:val="24"/>
        </w:numPr>
        <w:rPr>
          <w:rFonts w:ascii="Arial" w:cs="Arial" w:eastAsia="Arial" w:hAnsi="Arial"/>
          <w:sz w:val="13"/>
          <w:szCs w:val="13"/>
          <w:color w:val="auto"/>
        </w:rPr>
      </w:pPr>
      <w:r>
        <w:rPr>
          <w:rFonts w:ascii="Arial" w:cs="Arial" w:eastAsia="Arial" w:hAnsi="Arial"/>
          <w:sz w:val="16"/>
          <w:szCs w:val="16"/>
          <w:color w:val="auto"/>
        </w:rPr>
        <w:t>Represents co-investment made with the Company's affiliates in accordance with the terms of the exemptive relief that the Company received</w:t>
      </w:r>
    </w:p>
    <w:p>
      <w:pPr>
        <w:spacing w:after="0" w:line="22" w:lineRule="exact"/>
        <w:rPr>
          <w:rFonts w:ascii="Arial" w:cs="Arial" w:eastAsia="Arial" w:hAnsi="Arial"/>
          <w:sz w:val="13"/>
          <w:szCs w:val="13"/>
          <w:color w:val="auto"/>
        </w:rPr>
      </w:pPr>
    </w:p>
    <w:p>
      <w:pPr>
        <w:ind w:left="340" w:hanging="332"/>
        <w:spacing w:after="0"/>
        <w:tabs>
          <w:tab w:leader="none" w:pos="340" w:val="left"/>
        </w:tabs>
        <w:numPr>
          <w:ilvl w:val="0"/>
          <w:numId w:val="24"/>
        </w:numPr>
        <w:rPr>
          <w:rFonts w:ascii="Arial" w:cs="Arial" w:eastAsia="Arial" w:hAnsi="Arial"/>
          <w:sz w:val="13"/>
          <w:szCs w:val="13"/>
          <w:color w:val="auto"/>
        </w:rPr>
      </w:pPr>
      <w:r>
        <w:rPr>
          <w:rFonts w:ascii="Arial" w:cs="Arial" w:eastAsia="Arial" w:hAnsi="Arial"/>
          <w:sz w:val="16"/>
          <w:szCs w:val="16"/>
          <w:color w:val="auto"/>
        </w:rPr>
        <w:t>Information related to the Company’s derivatives is presented below as of December 31, 2020: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1140" w:type="dxa"/>
            <w:vAlign w:val="bottom"/>
          </w:tcPr>
          <w:p>
            <w:pPr>
              <w:jc w:val="center"/>
              <w:ind w:left="277"/>
              <w:spacing w:after="0"/>
              <w:rPr>
                <w:sz w:val="20"/>
                <w:szCs w:val="20"/>
                <w:color w:val="auto"/>
              </w:rPr>
            </w:pPr>
            <w:r>
              <w:rPr>
                <w:rFonts w:ascii="Arial" w:cs="Arial" w:eastAsia="Arial" w:hAnsi="Arial"/>
                <w:sz w:val="13"/>
                <w:szCs w:val="13"/>
                <w:b w:val="1"/>
                <w:bCs w:val="1"/>
                <w:color w:val="auto"/>
                <w:w w:val="84"/>
              </w:rPr>
              <w:t>Payments</w:t>
            </w:r>
          </w:p>
        </w:tc>
        <w:tc>
          <w:tcPr>
            <w:tcW w:w="1060" w:type="dxa"/>
            <w:vAlign w:val="bottom"/>
          </w:tcPr>
          <w:p>
            <w:pPr>
              <w:jc w:val="center"/>
              <w:ind w:left="117"/>
              <w:spacing w:after="0"/>
              <w:rPr>
                <w:sz w:val="20"/>
                <w:szCs w:val="20"/>
                <w:color w:val="auto"/>
              </w:rPr>
            </w:pPr>
            <w:r>
              <w:rPr>
                <w:rFonts w:ascii="Arial" w:cs="Arial" w:eastAsia="Arial" w:hAnsi="Arial"/>
                <w:sz w:val="13"/>
                <w:szCs w:val="13"/>
                <w:b w:val="1"/>
                <w:bCs w:val="1"/>
                <w:color w:val="auto"/>
                <w:w w:val="84"/>
              </w:rPr>
              <w:t>Payments</w:t>
            </w:r>
          </w:p>
        </w:tc>
        <w:tc>
          <w:tcPr>
            <w:tcW w:w="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tcPr>
          <w:p>
            <w:pPr>
              <w:jc w:val="center"/>
              <w:ind w:left="17"/>
              <w:spacing w:after="0"/>
              <w:rPr>
                <w:sz w:val="20"/>
                <w:szCs w:val="20"/>
                <w:color w:val="auto"/>
              </w:rPr>
            </w:pPr>
            <w:r>
              <w:rPr>
                <w:rFonts w:ascii="Arial" w:cs="Arial" w:eastAsia="Arial" w:hAnsi="Arial"/>
                <w:sz w:val="13"/>
                <w:szCs w:val="13"/>
                <w:b w:val="1"/>
                <w:bCs w:val="1"/>
                <w:color w:val="auto"/>
                <w:w w:val="88"/>
              </w:rPr>
              <w:t>Notional</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left="97"/>
              <w:spacing w:after="0"/>
              <w:rPr>
                <w:sz w:val="20"/>
                <w:szCs w:val="20"/>
                <w:color w:val="auto"/>
              </w:rPr>
            </w:pPr>
            <w:r>
              <w:rPr>
                <w:rFonts w:ascii="Arial" w:cs="Arial" w:eastAsia="Arial" w:hAnsi="Arial"/>
                <w:sz w:val="13"/>
                <w:szCs w:val="13"/>
                <w:b w:val="1"/>
                <w:bCs w:val="1"/>
                <w:color w:val="auto"/>
                <w:w w:val="89"/>
              </w:rPr>
              <w:t>Upfront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Unrealized</w:t>
            </w:r>
          </w:p>
        </w:tc>
      </w:tr>
      <w:tr>
        <w:trPr>
          <w:trHeight w:val="165"/>
        </w:trPr>
        <w:tc>
          <w:tcPr>
            <w:tcW w:w="1760" w:type="dxa"/>
            <w:vAlign w:val="bottom"/>
          </w:tcPr>
          <w:p>
            <w:pPr>
              <w:ind w:left="700"/>
              <w:spacing w:after="0"/>
              <w:rPr>
                <w:sz w:val="20"/>
                <w:szCs w:val="20"/>
                <w:color w:val="auto"/>
              </w:rPr>
            </w:pPr>
            <w:r>
              <w:rPr>
                <w:rFonts w:ascii="Arial" w:cs="Arial" w:eastAsia="Arial" w:hAnsi="Arial"/>
                <w:sz w:val="13"/>
                <w:szCs w:val="13"/>
                <w:b w:val="1"/>
                <w:bCs w:val="1"/>
                <w:color w:val="auto"/>
              </w:rPr>
              <w:t>Description</w:t>
            </w:r>
          </w:p>
        </w:tc>
        <w:tc>
          <w:tcPr>
            <w:tcW w:w="1140" w:type="dxa"/>
            <w:vAlign w:val="bottom"/>
          </w:tcPr>
          <w:p>
            <w:pPr>
              <w:jc w:val="center"/>
              <w:ind w:left="317"/>
              <w:spacing w:after="0"/>
              <w:rPr>
                <w:sz w:val="20"/>
                <w:szCs w:val="20"/>
                <w:color w:val="auto"/>
              </w:rPr>
            </w:pPr>
            <w:r>
              <w:rPr>
                <w:rFonts w:ascii="Arial" w:cs="Arial" w:eastAsia="Arial" w:hAnsi="Arial"/>
                <w:sz w:val="13"/>
                <w:szCs w:val="13"/>
                <w:b w:val="1"/>
                <w:bCs w:val="1"/>
                <w:color w:val="auto"/>
                <w:w w:val="82"/>
              </w:rPr>
              <w:t>made</w:t>
            </w:r>
          </w:p>
        </w:tc>
        <w:tc>
          <w:tcPr>
            <w:tcW w:w="1060" w:type="dxa"/>
            <w:vAlign w:val="bottom"/>
          </w:tcPr>
          <w:p>
            <w:pPr>
              <w:jc w:val="center"/>
              <w:ind w:left="157"/>
              <w:spacing w:after="0"/>
              <w:rPr>
                <w:sz w:val="20"/>
                <w:szCs w:val="20"/>
                <w:color w:val="auto"/>
              </w:rPr>
            </w:pPr>
            <w:r>
              <w:rPr>
                <w:rFonts w:ascii="Arial" w:cs="Arial" w:eastAsia="Arial" w:hAnsi="Arial"/>
                <w:sz w:val="13"/>
                <w:szCs w:val="13"/>
                <w:b w:val="1"/>
                <w:bCs w:val="1"/>
                <w:color w:val="auto"/>
                <w:w w:val="83"/>
              </w:rPr>
              <w:t>received</w:t>
            </w:r>
          </w:p>
        </w:tc>
        <w:tc>
          <w:tcPr>
            <w:tcW w:w="560" w:type="dxa"/>
            <w:vAlign w:val="bottom"/>
          </w:tcPr>
          <w:p>
            <w:pPr>
              <w:spacing w:after="0"/>
              <w:rPr>
                <w:sz w:val="14"/>
                <w:szCs w:val="14"/>
                <w:color w:val="auto"/>
              </w:rPr>
            </w:pPr>
          </w:p>
        </w:tc>
        <w:tc>
          <w:tcPr>
            <w:tcW w:w="1500" w:type="dxa"/>
            <w:vAlign w:val="bottom"/>
          </w:tcPr>
          <w:p>
            <w:pPr>
              <w:jc w:val="center"/>
              <w:ind w:right="417"/>
              <w:spacing w:after="0"/>
              <w:rPr>
                <w:sz w:val="20"/>
                <w:szCs w:val="20"/>
                <w:color w:val="auto"/>
              </w:rPr>
            </w:pPr>
            <w:r>
              <w:rPr>
                <w:rFonts w:ascii="Arial" w:cs="Arial" w:eastAsia="Arial" w:hAnsi="Arial"/>
                <w:sz w:val="13"/>
                <w:szCs w:val="13"/>
                <w:b w:val="1"/>
                <w:bCs w:val="1"/>
                <w:color w:val="auto"/>
                <w:w w:val="90"/>
              </w:rPr>
              <w:t>Counterparty</w:t>
            </w: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Maturity date</w:t>
            </w:r>
          </w:p>
        </w:tc>
        <w:tc>
          <w:tcPr>
            <w:tcW w:w="820" w:type="dxa"/>
            <w:vAlign w:val="bottom"/>
            <w:gridSpan w:val="3"/>
          </w:tcPr>
          <w:p>
            <w:pPr>
              <w:jc w:val="center"/>
              <w:ind w:left="57"/>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4"/>
                <w:szCs w:val="14"/>
                <w:color w:val="auto"/>
              </w:rPr>
            </w:pPr>
          </w:p>
        </w:tc>
        <w:tc>
          <w:tcPr>
            <w:tcW w:w="114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rPr>
              <w:t>Value</w:t>
            </w:r>
          </w:p>
        </w:tc>
        <w:tc>
          <w:tcPr>
            <w:tcW w:w="1180" w:type="dxa"/>
            <w:vAlign w:val="bottom"/>
          </w:tcPr>
          <w:p>
            <w:pPr>
              <w:jc w:val="center"/>
              <w:ind w:left="137"/>
              <w:spacing w:after="0"/>
              <w:rPr>
                <w:sz w:val="20"/>
                <w:szCs w:val="20"/>
                <w:color w:val="auto"/>
              </w:rPr>
            </w:pPr>
            <w:r>
              <w:rPr>
                <w:rFonts w:ascii="Arial" w:cs="Arial" w:eastAsia="Arial" w:hAnsi="Arial"/>
                <w:sz w:val="13"/>
                <w:szCs w:val="13"/>
                <w:b w:val="1"/>
                <w:bCs w:val="1"/>
                <w:color w:val="auto"/>
                <w:w w:val="85"/>
              </w:rPr>
              <w:t>payments/receipts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gain (loss)</w:t>
            </w:r>
          </w:p>
        </w:tc>
      </w:tr>
      <w:tr>
        <w:trPr>
          <w:trHeight w:val="155"/>
        </w:trPr>
        <w:tc>
          <w:tcPr>
            <w:tcW w:w="17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Securities Swap and Option</w:t>
            </w:r>
          </w:p>
        </w:tc>
        <w:tc>
          <w:tcPr>
            <w:tcW w:w="114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5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7"/>
        </w:trPr>
        <w:tc>
          <w:tcPr>
            <w:tcW w:w="1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Agreement</w:t>
            </w:r>
          </w:p>
        </w:tc>
        <w:tc>
          <w:tcPr>
            <w:tcW w:w="1140" w:type="dxa"/>
            <w:vAlign w:val="bottom"/>
            <w:shd w:val="clear" w:color="auto" w:fill="CFF0FC"/>
          </w:tcPr>
          <w:p>
            <w:pPr>
              <w:ind w:left="360"/>
              <w:spacing w:after="0"/>
              <w:rPr>
                <w:sz w:val="20"/>
                <w:szCs w:val="20"/>
                <w:color w:val="auto"/>
              </w:rPr>
            </w:pPr>
            <w:r>
              <w:rPr>
                <w:rFonts w:ascii="Arial" w:cs="Arial" w:eastAsia="Arial" w:hAnsi="Arial"/>
                <w:sz w:val="13"/>
                <w:szCs w:val="13"/>
                <w:color w:val="auto"/>
              </w:rPr>
              <w:t>18% PIK</w:t>
            </w:r>
          </w:p>
        </w:tc>
        <w:tc>
          <w:tcPr>
            <w:tcW w:w="10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16% Cash</w:t>
            </w:r>
          </w:p>
        </w:tc>
        <w:tc>
          <w:tcPr>
            <w:tcW w:w="206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89"/>
              </w:rPr>
              <w:t>Advantage Capital Holdings LLC.</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9/15/24</w:t>
            </w:r>
          </w:p>
        </w:tc>
        <w:tc>
          <w:tcPr>
            <w:tcW w:w="820" w:type="dxa"/>
            <w:vAlign w:val="bottom"/>
            <w:gridSpan w:val="3"/>
            <w:shd w:val="clear" w:color="auto" w:fill="CFF0FC"/>
          </w:tcPr>
          <w:p>
            <w:pPr>
              <w:jc w:val="center"/>
              <w:spacing w:after="0"/>
              <w:rPr>
                <w:sz w:val="20"/>
                <w:szCs w:val="20"/>
                <w:color w:val="auto"/>
              </w:rPr>
            </w:pPr>
            <w:r>
              <w:rPr>
                <w:rFonts w:ascii="Arial" w:cs="Arial" w:eastAsia="Arial" w:hAnsi="Arial"/>
                <w:sz w:val="13"/>
                <w:szCs w:val="13"/>
                <w:color w:val="auto"/>
                <w:w w:val="87"/>
              </w:rPr>
              <w:t>$ 5,500,000</w:t>
            </w:r>
          </w:p>
        </w:tc>
        <w:tc>
          <w:tcPr>
            <w:tcW w:w="540" w:type="dxa"/>
            <w:vAlign w:val="bottom"/>
            <w:gridSpan w:val="2"/>
            <w:shd w:val="clear" w:color="auto" w:fill="CFF0FC"/>
          </w:tcPr>
          <w:p>
            <w:pPr>
              <w:jc w:val="right"/>
              <w:ind w:right="257"/>
              <w:spacing w:after="0"/>
              <w:rPr>
                <w:sz w:val="20"/>
                <w:szCs w:val="20"/>
                <w:color w:val="auto"/>
              </w:rPr>
            </w:pPr>
            <w:r>
              <w:rPr>
                <w:rFonts w:ascii="Arial" w:cs="Arial" w:eastAsia="Arial" w:hAnsi="Arial"/>
                <w:sz w:val="13"/>
                <w:szCs w:val="13"/>
                <w:color w:val="auto"/>
              </w:rPr>
              <w:t>$</w:t>
            </w:r>
          </w:p>
        </w:tc>
        <w:tc>
          <w:tcPr>
            <w:tcW w:w="680" w:type="dxa"/>
            <w:vAlign w:val="bottom"/>
            <w:gridSpan w:val="4"/>
            <w:shd w:val="clear" w:color="auto" w:fill="CFF0FC"/>
          </w:tcPr>
          <w:p>
            <w:pPr>
              <w:jc w:val="right"/>
              <w:ind w:right="40"/>
              <w:spacing w:after="0"/>
              <w:rPr>
                <w:sz w:val="20"/>
                <w:szCs w:val="20"/>
                <w:color w:val="auto"/>
              </w:rPr>
            </w:pPr>
            <w:r>
              <w:rPr>
                <w:rFonts w:ascii="Arial" w:cs="Arial" w:eastAsia="Arial" w:hAnsi="Arial"/>
                <w:sz w:val="13"/>
                <w:szCs w:val="13"/>
                <w:color w:val="auto"/>
                <w:w w:val="88"/>
              </w:rPr>
              <w:t>(1,120,695 )</w:t>
            </w:r>
          </w:p>
        </w:tc>
        <w:tc>
          <w:tcPr>
            <w:tcW w:w="1180" w:type="dxa"/>
            <w:vAlign w:val="bottom"/>
            <w:shd w:val="clear" w:color="auto" w:fill="CFF0FC"/>
          </w:tcPr>
          <w:p>
            <w:pPr>
              <w:jc w:val="right"/>
              <w:ind w:right="93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  (1,120,695 )</w:t>
            </w:r>
          </w:p>
        </w:tc>
      </w:tr>
      <w:tr>
        <w:trPr>
          <w:trHeight w:val="387"/>
        </w:trPr>
        <w:tc>
          <w:tcPr>
            <w:tcW w:w="1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8"/>
              </w:rPr>
              <w:t>Notional</w:t>
            </w:r>
          </w:p>
        </w:tc>
        <w:tc>
          <w:tcPr>
            <w:tcW w:w="80" w:type="dxa"/>
            <w:vAlign w:val="bottom"/>
          </w:tcPr>
          <w:p>
            <w:pPr>
              <w:spacing w:after="0"/>
              <w:rPr>
                <w:sz w:val="24"/>
                <w:szCs w:val="24"/>
                <w:color w:val="auto"/>
              </w:rPr>
            </w:pPr>
          </w:p>
        </w:tc>
        <w:tc>
          <w:tcPr>
            <w:tcW w:w="1140" w:type="dxa"/>
            <w:vAlign w:val="bottom"/>
            <w:gridSpan w:val="5"/>
          </w:tcPr>
          <w:p>
            <w:pPr>
              <w:jc w:val="center"/>
              <w:ind w:right="560"/>
              <w:spacing w:after="0"/>
              <w:rPr>
                <w:sz w:val="20"/>
                <w:szCs w:val="20"/>
                <w:color w:val="auto"/>
              </w:rPr>
            </w:pPr>
            <w:r>
              <w:rPr>
                <w:rFonts w:ascii="Arial" w:cs="Arial" w:eastAsia="Arial" w:hAnsi="Arial"/>
                <w:sz w:val="13"/>
                <w:szCs w:val="13"/>
                <w:b w:val="1"/>
                <w:bCs w:val="1"/>
                <w:color w:val="auto"/>
                <w:w w:val="85"/>
              </w:rPr>
              <w:t>Exercise</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5"/>
        </w:trPr>
        <w:tc>
          <w:tcPr>
            <w:tcW w:w="1760" w:type="dxa"/>
            <w:vAlign w:val="bottom"/>
          </w:tcPr>
          <w:p>
            <w:pPr>
              <w:ind w:left="800"/>
              <w:spacing w:after="0"/>
              <w:rPr>
                <w:sz w:val="20"/>
                <w:szCs w:val="20"/>
                <w:color w:val="auto"/>
              </w:rPr>
            </w:pPr>
            <w:r>
              <w:rPr>
                <w:rFonts w:ascii="Arial" w:cs="Arial" w:eastAsia="Arial" w:hAnsi="Arial"/>
                <w:sz w:val="13"/>
                <w:szCs w:val="13"/>
                <w:b w:val="1"/>
                <w:bCs w:val="1"/>
                <w:color w:val="auto"/>
              </w:rPr>
              <w:t>Description</w:t>
            </w:r>
          </w:p>
        </w:tc>
        <w:tc>
          <w:tcPr>
            <w:tcW w:w="1140" w:type="dxa"/>
            <w:vAlign w:val="bottom"/>
          </w:tcPr>
          <w:p>
            <w:pPr>
              <w:spacing w:after="0"/>
              <w:rPr>
                <w:sz w:val="14"/>
                <w:szCs w:val="14"/>
                <w:color w:val="auto"/>
              </w:rPr>
            </w:pPr>
          </w:p>
        </w:tc>
        <w:tc>
          <w:tcPr>
            <w:tcW w:w="1620" w:type="dxa"/>
            <w:vAlign w:val="bottom"/>
            <w:gridSpan w:val="2"/>
          </w:tcPr>
          <w:p>
            <w:pPr>
              <w:ind w:left="640"/>
              <w:spacing w:after="0"/>
              <w:rPr>
                <w:sz w:val="20"/>
                <w:szCs w:val="20"/>
                <w:color w:val="auto"/>
              </w:rPr>
            </w:pPr>
            <w:r>
              <w:rPr>
                <w:rFonts w:ascii="Arial" w:cs="Arial" w:eastAsia="Arial" w:hAnsi="Arial"/>
                <w:sz w:val="13"/>
                <w:szCs w:val="13"/>
                <w:b w:val="1"/>
                <w:bCs w:val="1"/>
                <w:color w:val="auto"/>
              </w:rPr>
              <w:t>Counterparty</w:t>
            </w:r>
          </w:p>
        </w:tc>
        <w:tc>
          <w:tcPr>
            <w:tcW w:w="1500" w:type="dxa"/>
            <w:vAlign w:val="bottom"/>
          </w:tcPr>
          <w:p>
            <w:pPr>
              <w:ind w:left="540"/>
              <w:spacing w:after="0"/>
              <w:rPr>
                <w:sz w:val="20"/>
                <w:szCs w:val="20"/>
                <w:color w:val="auto"/>
              </w:rPr>
            </w:pPr>
            <w:r>
              <w:rPr>
                <w:rFonts w:ascii="Arial" w:cs="Arial" w:eastAsia="Arial" w:hAnsi="Arial"/>
                <w:sz w:val="13"/>
                <w:szCs w:val="13"/>
                <w:b w:val="1"/>
                <w:bCs w:val="1"/>
                <w:color w:val="auto"/>
                <w:w w:val="85"/>
              </w:rPr>
              <w:t>Number of shares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4"/>
                <w:szCs w:val="14"/>
                <w:color w:val="auto"/>
              </w:rPr>
            </w:pPr>
          </w:p>
        </w:tc>
        <w:tc>
          <w:tcPr>
            <w:tcW w:w="460" w:type="dxa"/>
            <w:vAlign w:val="bottom"/>
          </w:tcPr>
          <w:p>
            <w:pPr>
              <w:jc w:val="center"/>
              <w:ind w:left="77"/>
              <w:spacing w:after="0"/>
              <w:rPr>
                <w:sz w:val="20"/>
                <w:szCs w:val="20"/>
                <w:color w:val="auto"/>
              </w:rPr>
            </w:pPr>
            <w:r>
              <w:rPr>
                <w:rFonts w:ascii="Arial" w:cs="Arial" w:eastAsia="Arial" w:hAnsi="Arial"/>
                <w:sz w:val="13"/>
                <w:szCs w:val="13"/>
                <w:b w:val="1"/>
                <w:bCs w:val="1"/>
                <w:color w:val="auto"/>
                <w:w w:val="89"/>
              </w:rPr>
              <w:t>price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right"/>
              <w:ind w:right="397"/>
              <w:spacing w:after="0"/>
              <w:rPr>
                <w:sz w:val="20"/>
                <w:szCs w:val="20"/>
                <w:color w:val="auto"/>
              </w:rPr>
            </w:pPr>
            <w:r>
              <w:rPr>
                <w:rFonts w:ascii="Arial" w:cs="Arial" w:eastAsia="Arial" w:hAnsi="Arial"/>
                <w:sz w:val="13"/>
                <w:szCs w:val="13"/>
                <w:b w:val="1"/>
                <w:bCs w:val="1"/>
                <w:color w:val="auto"/>
              </w:rPr>
              <w:t>Expiration date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Value</w:t>
            </w:r>
          </w:p>
        </w:tc>
      </w:tr>
      <w:tr>
        <w:trPr>
          <w:trHeight w:val="332"/>
        </w:trPr>
        <w:tc>
          <w:tcPr>
            <w:tcW w:w="17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Call option</w:t>
            </w:r>
          </w:p>
        </w:tc>
        <w:tc>
          <w:tcPr>
            <w:tcW w:w="1140" w:type="dxa"/>
            <w:vAlign w:val="bottom"/>
            <w:tcBorders>
              <w:top w:val="single" w:sz="8" w:color="auto"/>
            </w:tcBorders>
            <w:shd w:val="clear" w:color="auto" w:fill="CFF0FC"/>
          </w:tcPr>
          <w:p>
            <w:pPr>
              <w:spacing w:after="0"/>
              <w:rPr>
                <w:sz w:val="24"/>
                <w:szCs w:val="24"/>
                <w:color w:val="auto"/>
              </w:rPr>
            </w:pPr>
          </w:p>
        </w:tc>
        <w:tc>
          <w:tcPr>
            <w:tcW w:w="1620" w:type="dxa"/>
            <w:vAlign w:val="bottom"/>
            <w:tcBorders>
              <w:top w:val="single" w:sz="8" w:color="auto"/>
            </w:tcBorders>
            <w:gridSpan w:val="2"/>
            <w:shd w:val="clear" w:color="auto" w:fill="CFF0FC"/>
          </w:tcPr>
          <w:p>
            <w:pPr>
              <w:ind w:left="460"/>
              <w:spacing w:after="0"/>
              <w:rPr>
                <w:sz w:val="20"/>
                <w:szCs w:val="20"/>
                <w:color w:val="auto"/>
              </w:rPr>
            </w:pPr>
            <w:r>
              <w:rPr>
                <w:rFonts w:ascii="Arial" w:cs="Arial" w:eastAsia="Arial" w:hAnsi="Arial"/>
                <w:sz w:val="13"/>
                <w:szCs w:val="13"/>
                <w:color w:val="auto"/>
              </w:rPr>
              <w:t>HDNet Holdco LLC</w:t>
            </w:r>
          </w:p>
        </w:tc>
        <w:tc>
          <w:tcPr>
            <w:tcW w:w="1500" w:type="dxa"/>
            <w:vAlign w:val="bottom"/>
            <w:tcBorders>
              <w:top w:val="single" w:sz="8" w:color="auto"/>
            </w:tcBorders>
            <w:shd w:val="clear" w:color="auto" w:fill="CFF0FC"/>
          </w:tcPr>
          <w:p>
            <w:pPr>
              <w:spacing w:after="0"/>
              <w:rPr>
                <w:sz w:val="24"/>
                <w:szCs w:val="24"/>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26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FF0FC"/>
          </w:tcPr>
          <w:p>
            <w:pPr>
              <w:jc w:val="center"/>
              <w:ind w:left="237"/>
              <w:spacing w:after="0"/>
              <w:rPr>
                <w:sz w:val="20"/>
                <w:szCs w:val="20"/>
                <w:color w:val="auto"/>
              </w:rPr>
            </w:pPr>
            <w:r>
              <w:rPr>
                <w:rFonts w:ascii="Arial" w:cs="Arial" w:eastAsia="Arial" w:hAnsi="Arial"/>
                <w:sz w:val="13"/>
                <w:szCs w:val="13"/>
                <w:color w:val="auto"/>
                <w:w w:val="85"/>
              </w:rPr>
              <w:t>7,656</w:t>
            </w:r>
          </w:p>
        </w:tc>
        <w:tc>
          <w:tcPr>
            <w:tcW w:w="100" w:type="dxa"/>
            <w:vAlign w:val="bottom"/>
            <w:shd w:val="clear" w:color="auto" w:fill="CFF0FC"/>
          </w:tcPr>
          <w:p>
            <w:pPr>
              <w:spacing w:after="0"/>
              <w:rPr>
                <w:sz w:val="24"/>
                <w:szCs w:val="24"/>
                <w:color w:val="auto"/>
              </w:rPr>
            </w:pPr>
          </w:p>
        </w:tc>
        <w:tc>
          <w:tcPr>
            <w:tcW w:w="100" w:type="dxa"/>
            <w:vAlign w:val="bottom"/>
            <w:tcBorders>
              <w:top w:val="single" w:sz="8" w:color="auto"/>
            </w:tcBorders>
            <w:shd w:val="clear" w:color="auto" w:fill="CFF0FC"/>
          </w:tcPr>
          <w:p>
            <w:pPr>
              <w:spacing w:after="0"/>
              <w:rPr>
                <w:sz w:val="24"/>
                <w:szCs w:val="24"/>
                <w:color w:val="auto"/>
              </w:rPr>
            </w:pPr>
          </w:p>
        </w:tc>
        <w:tc>
          <w:tcPr>
            <w:tcW w:w="540" w:type="dxa"/>
            <w:vAlign w:val="bottom"/>
            <w:tcBorders>
              <w:top w:val="single" w:sz="8" w:color="auto"/>
            </w:tcBorders>
            <w:gridSpan w:val="2"/>
            <w:shd w:val="clear" w:color="auto" w:fill="CFF0FC"/>
          </w:tcPr>
          <w:p>
            <w:pPr>
              <w:jc w:val="right"/>
              <w:ind w:right="117"/>
              <w:spacing w:after="0"/>
              <w:rPr>
                <w:sz w:val="20"/>
                <w:szCs w:val="20"/>
                <w:color w:val="auto"/>
              </w:rPr>
            </w:pPr>
            <w:r>
              <w:rPr>
                <w:rFonts w:ascii="Arial" w:cs="Arial" w:eastAsia="Arial" w:hAnsi="Arial"/>
                <w:sz w:val="13"/>
                <w:szCs w:val="13"/>
                <w:color w:val="auto"/>
                <w:w w:val="93"/>
              </w:rPr>
              <w:t>$ 0.01</w:t>
            </w:r>
          </w:p>
        </w:tc>
        <w:tc>
          <w:tcPr>
            <w:tcW w:w="200" w:type="dxa"/>
            <w:vAlign w:val="bottom"/>
            <w:tcBorders>
              <w:top w:val="single" w:sz="8" w:color="auto"/>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8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N/A</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FF0FC"/>
          </w:tcPr>
          <w:p>
            <w:pPr>
              <w:spacing w:after="0"/>
              <w:rPr>
                <w:sz w:val="24"/>
                <w:szCs w:val="24"/>
                <w:color w:val="auto"/>
              </w:rPr>
            </w:pP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12,077</w:t>
            </w:r>
          </w:p>
        </w:tc>
        <w:tc>
          <w:tcPr>
            <w:tcW w:w="100" w:type="dxa"/>
            <w:vAlign w:val="bottom"/>
            <w:shd w:val="clear" w:color="auto" w:fill="CFF0FC"/>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9"/>
        </w:trPr>
        <w:tc>
          <w:tcPr>
            <w:tcW w:w="7600" w:type="dxa"/>
            <w:vAlign w:val="bottom"/>
            <w:gridSpan w:val="2"/>
          </w:tcPr>
          <w:p>
            <w:pPr>
              <w:jc w:val="center"/>
              <w:ind w:left="3570"/>
              <w:spacing w:after="0"/>
              <w:rPr>
                <w:sz w:val="20"/>
                <w:szCs w:val="20"/>
                <w:color w:val="auto"/>
              </w:rPr>
            </w:pPr>
            <w:r>
              <w:rPr>
                <w:rFonts w:ascii="Arial" w:cs="Arial" w:eastAsia="Arial" w:hAnsi="Arial"/>
                <w:sz w:val="18"/>
                <w:szCs w:val="18"/>
                <w:b w:val="1"/>
                <w:bCs w:val="1"/>
                <w:color w:val="auto"/>
              </w:rPr>
              <w:t>PORTMAN RIDGE FINANCE CORPORATION</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600" w:type="dxa"/>
            <w:vAlign w:val="bottom"/>
            <w:gridSpan w:val="2"/>
          </w:tcPr>
          <w:p>
            <w:pPr>
              <w:jc w:val="center"/>
              <w:ind w:left="3570"/>
              <w:spacing w:after="0"/>
              <w:rPr>
                <w:sz w:val="20"/>
                <w:szCs w:val="20"/>
                <w:color w:val="auto"/>
              </w:rPr>
            </w:pPr>
            <w:r>
              <w:rPr>
                <w:rFonts w:ascii="Arial" w:cs="Arial" w:eastAsia="Arial" w:hAnsi="Arial"/>
                <w:sz w:val="18"/>
                <w:szCs w:val="18"/>
                <w:b w:val="1"/>
                <w:bCs w:val="1"/>
                <w:color w:val="auto"/>
              </w:rPr>
              <w:t>CONSOLIDATED FINANCIAL HIGHLIGHTS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4"/>
        </w:trPr>
        <w:tc>
          <w:tcPr>
            <w:tcW w:w="7080" w:type="dxa"/>
            <w:vAlign w:val="bottom"/>
          </w:tcPr>
          <w:p>
            <w:pPr>
              <w:jc w:val="center"/>
              <w:ind w:left="4090"/>
              <w:spacing w:after="0"/>
              <w:rPr>
                <w:sz w:val="20"/>
                <w:szCs w:val="20"/>
                <w:color w:val="auto"/>
              </w:rPr>
            </w:pPr>
            <w:r>
              <w:rPr>
                <w:rFonts w:ascii="Arial" w:cs="Arial" w:eastAsia="Arial" w:hAnsi="Arial"/>
                <w:sz w:val="18"/>
                <w:szCs w:val="18"/>
                <w:b w:val="1"/>
                <w:bCs w:val="1"/>
                <w:color w:val="auto"/>
                <w:w w:val="91"/>
              </w:rPr>
              <w:t>(unaudited)</w:t>
            </w:r>
          </w:p>
        </w:tc>
        <w:tc>
          <w:tcPr>
            <w:tcW w:w="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3"/>
        </w:trPr>
        <w:tc>
          <w:tcPr>
            <w:tcW w:w="7080" w:type="dxa"/>
            <w:vAlign w:val="bottom"/>
          </w:tcPr>
          <w:p>
            <w:pPr>
              <w:spacing w:after="0"/>
              <w:rPr>
                <w:sz w:val="21"/>
                <w:szCs w:val="21"/>
                <w:color w:val="auto"/>
              </w:rPr>
            </w:pPr>
          </w:p>
        </w:tc>
        <w:tc>
          <w:tcPr>
            <w:tcW w:w="4160" w:type="dxa"/>
            <w:vAlign w:val="bottom"/>
            <w:gridSpan w:val="5"/>
          </w:tcPr>
          <w:p>
            <w:pPr>
              <w:jc w:val="right"/>
              <w:ind w:right="510"/>
              <w:spacing w:after="0"/>
              <w:rPr>
                <w:sz w:val="20"/>
                <w:szCs w:val="20"/>
                <w:color w:val="auto"/>
              </w:rPr>
            </w:pPr>
            <w:r>
              <w:rPr>
                <w:rFonts w:ascii="Arial" w:cs="Arial" w:eastAsia="Arial" w:hAnsi="Arial"/>
                <w:sz w:val="18"/>
                <w:szCs w:val="18"/>
                <w:b w:val="1"/>
                <w:bCs w:val="1"/>
                <w:color w:val="auto"/>
                <w:w w:val="97"/>
              </w:rPr>
              <w:t>For the Nine Months Ended September 30,</w:t>
            </w:r>
          </w:p>
        </w:tc>
      </w:tr>
      <w:tr>
        <w:trPr>
          <w:trHeight w:val="270"/>
        </w:trPr>
        <w:tc>
          <w:tcPr>
            <w:tcW w:w="708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770"/>
              <w:spacing w:after="0" w:line="270" w:lineRule="exact"/>
              <w:rPr>
                <w:sz w:val="20"/>
                <w:szCs w:val="20"/>
                <w:color w:val="auto"/>
              </w:rPr>
            </w:pPr>
            <w:r>
              <w:rPr>
                <w:rFonts w:ascii="Arial" w:cs="Arial" w:eastAsia="Arial" w:hAnsi="Arial"/>
                <w:sz w:val="18"/>
                <w:szCs w:val="18"/>
                <w:b w:val="1"/>
                <w:bCs w:val="1"/>
                <w:color w:val="auto"/>
                <w:w w:val="89"/>
              </w:rPr>
              <w:t>2021</w:t>
            </w:r>
            <w:r>
              <w:rPr>
                <w:rFonts w:ascii="Arial" w:cs="Arial" w:eastAsia="Arial" w:hAnsi="Arial"/>
                <w:sz w:val="24"/>
                <w:szCs w:val="24"/>
                <w:b w:val="1"/>
                <w:bCs w:val="1"/>
                <w:color w:val="auto"/>
                <w:w w:val="89"/>
                <w:vertAlign w:val="superscript"/>
              </w:rPr>
              <w:t>4,7</w:t>
            </w:r>
          </w:p>
        </w:tc>
        <w:tc>
          <w:tcPr>
            <w:tcW w:w="2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790"/>
              <w:spacing w:after="0" w:line="270" w:lineRule="exact"/>
              <w:rPr>
                <w:sz w:val="20"/>
                <w:szCs w:val="20"/>
                <w:color w:val="auto"/>
              </w:rPr>
            </w:pPr>
            <w:r>
              <w:rPr>
                <w:rFonts w:ascii="Arial" w:cs="Arial" w:eastAsia="Arial" w:hAnsi="Arial"/>
                <w:sz w:val="18"/>
                <w:szCs w:val="18"/>
                <w:b w:val="1"/>
                <w:bCs w:val="1"/>
                <w:color w:val="auto"/>
              </w:rPr>
              <w:t>2020</w:t>
            </w:r>
            <w:r>
              <w:rPr>
                <w:rFonts w:ascii="Arial" w:cs="Arial" w:eastAsia="Arial" w:hAnsi="Arial"/>
                <w:sz w:val="24"/>
                <w:szCs w:val="24"/>
                <w:b w:val="1"/>
                <w:bCs w:val="1"/>
                <w:color w:val="auto"/>
                <w:vertAlign w:val="superscript"/>
              </w:rPr>
              <w:t>4,7</w:t>
            </w:r>
          </w:p>
        </w:tc>
      </w:tr>
      <w:tr>
        <w:trPr>
          <w:trHeight w:val="250"/>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Per Share Data:</w:t>
            </w:r>
          </w:p>
        </w:tc>
        <w:tc>
          <w:tcPr>
            <w:tcW w:w="5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r>
      <w:tr>
        <w:trPr>
          <w:trHeight w:val="250"/>
        </w:trPr>
        <w:tc>
          <w:tcPr>
            <w:tcW w:w="7080" w:type="dxa"/>
            <w:vAlign w:val="bottom"/>
          </w:tcPr>
          <w:p>
            <w:pPr>
              <w:ind w:left="20"/>
              <w:spacing w:after="0"/>
              <w:rPr>
                <w:sz w:val="20"/>
                <w:szCs w:val="20"/>
                <w:color w:val="auto"/>
              </w:rPr>
            </w:pPr>
            <w:r>
              <w:rPr>
                <w:rFonts w:ascii="Arial" w:cs="Arial" w:eastAsia="Arial" w:hAnsi="Arial"/>
                <w:sz w:val="18"/>
                <w:szCs w:val="18"/>
                <w:color w:val="auto"/>
              </w:rPr>
              <w:t>Net asset value, at beginning of period</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28.77</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33.95</w:t>
            </w:r>
          </w:p>
        </w:tc>
      </w:tr>
      <w:tr>
        <w:trPr>
          <w:trHeight w:val="263"/>
        </w:trPr>
        <w:tc>
          <w:tcPr>
            <w:tcW w:w="7080" w:type="dxa"/>
            <w:vAlign w:val="bottom"/>
            <w:shd w:val="clear" w:color="auto" w:fill="CFF0FC"/>
          </w:tcPr>
          <w:p>
            <w:pPr>
              <w:ind w:left="200"/>
              <w:spacing w:after="0" w:line="263"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4"/>
                <w:szCs w:val="24"/>
                <w:color w:val="auto"/>
                <w:vertAlign w:val="superscript"/>
              </w:rPr>
              <w:t>1</w:t>
            </w:r>
          </w:p>
        </w:tc>
        <w:tc>
          <w:tcPr>
            <w:tcW w:w="52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4.09</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1.81</w:t>
            </w:r>
          </w:p>
        </w:tc>
      </w:tr>
      <w:tr>
        <w:trPr>
          <w:trHeight w:val="257"/>
        </w:trPr>
        <w:tc>
          <w:tcPr>
            <w:tcW w:w="7080" w:type="dxa"/>
            <w:vAlign w:val="bottom"/>
          </w:tcPr>
          <w:p>
            <w:pPr>
              <w:ind w:left="200"/>
              <w:spacing w:after="0" w:line="257" w:lineRule="exact"/>
              <w:rPr>
                <w:sz w:val="20"/>
                <w:szCs w:val="20"/>
                <w:color w:val="auto"/>
              </w:rPr>
            </w:pPr>
            <w:r>
              <w:rPr>
                <w:rFonts w:ascii="Arial" w:cs="Arial" w:eastAsia="Arial" w:hAnsi="Arial"/>
                <w:sz w:val="18"/>
                <w:szCs w:val="18"/>
                <w:color w:val="auto"/>
              </w:rPr>
              <w:t>Net realized gains (losses) from investments</w:t>
            </w:r>
            <w:r>
              <w:rPr>
                <w:rFonts w:ascii="Arial" w:cs="Arial" w:eastAsia="Arial" w:hAnsi="Arial"/>
                <w:sz w:val="24"/>
                <w:szCs w:val="24"/>
                <w:color w:val="auto"/>
                <w:vertAlign w:val="superscript"/>
              </w:rPr>
              <w:t>1</w:t>
            </w:r>
          </w:p>
        </w:tc>
        <w:tc>
          <w:tcPr>
            <w:tcW w:w="520" w:type="dxa"/>
            <w:vAlign w:val="bottom"/>
          </w:tcPr>
          <w:p>
            <w:pPr>
              <w:spacing w:after="0"/>
              <w:rPr>
                <w:sz w:val="22"/>
                <w:szCs w:val="22"/>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(1.38 )</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(0.86 )</w:t>
            </w:r>
          </w:p>
        </w:tc>
      </w:tr>
      <w:tr>
        <w:trPr>
          <w:trHeight w:val="256"/>
        </w:trPr>
        <w:tc>
          <w:tcPr>
            <w:tcW w:w="7080" w:type="dxa"/>
            <w:vAlign w:val="bottom"/>
            <w:shd w:val="clear" w:color="auto" w:fill="CFF0FC"/>
          </w:tcPr>
          <w:p>
            <w:pPr>
              <w:ind w:left="200"/>
              <w:spacing w:after="0" w:line="257" w:lineRule="exact"/>
              <w:rPr>
                <w:sz w:val="20"/>
                <w:szCs w:val="20"/>
                <w:color w:val="auto"/>
              </w:rPr>
            </w:pPr>
            <w:r>
              <w:rPr>
                <w:rFonts w:ascii="Arial" w:cs="Arial" w:eastAsia="Arial" w:hAnsi="Arial"/>
                <w:sz w:val="18"/>
                <w:szCs w:val="18"/>
                <w:color w:val="auto"/>
              </w:rPr>
              <w:t>Realized (losses) gains from extinguishment of debt</w:t>
            </w:r>
            <w:r>
              <w:rPr>
                <w:rFonts w:ascii="Arial" w:cs="Arial" w:eastAsia="Arial" w:hAnsi="Arial"/>
                <w:sz w:val="24"/>
                <w:szCs w:val="24"/>
                <w:color w:val="auto"/>
                <w:vertAlign w:val="superscript"/>
              </w:rPr>
              <w:t>1</w:t>
            </w:r>
          </w:p>
        </w:tc>
        <w:tc>
          <w:tcPr>
            <w:tcW w:w="52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(0.22 )</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0.03</w:t>
            </w:r>
          </w:p>
        </w:tc>
      </w:tr>
      <w:tr>
        <w:trPr>
          <w:trHeight w:val="257"/>
        </w:trPr>
        <w:tc>
          <w:tcPr>
            <w:tcW w:w="7080" w:type="dxa"/>
            <w:vAlign w:val="bottom"/>
          </w:tcPr>
          <w:p>
            <w:pPr>
              <w:ind w:left="200"/>
              <w:spacing w:after="0" w:line="257" w:lineRule="exact"/>
              <w:rPr>
                <w:sz w:val="20"/>
                <w:szCs w:val="20"/>
                <w:color w:val="auto"/>
              </w:rPr>
            </w:pPr>
            <w:r>
              <w:rPr>
                <w:rFonts w:ascii="Arial" w:cs="Arial" w:eastAsia="Arial" w:hAnsi="Arial"/>
                <w:sz w:val="18"/>
                <w:szCs w:val="18"/>
                <w:color w:val="auto"/>
              </w:rPr>
              <w:t>Net change in unrealized (depreciation) appreciation on investments</w:t>
            </w:r>
            <w:r>
              <w:rPr>
                <w:rFonts w:ascii="Arial" w:cs="Arial" w:eastAsia="Arial" w:hAnsi="Arial"/>
                <w:sz w:val="24"/>
                <w:szCs w:val="24"/>
                <w:color w:val="auto"/>
                <w:vertAlign w:val="superscript"/>
              </w:rPr>
              <w:t>1</w:t>
            </w:r>
          </w:p>
        </w:tc>
        <w:tc>
          <w:tcPr>
            <w:tcW w:w="5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0.92</w:t>
            </w:r>
          </w:p>
        </w:tc>
        <w:tc>
          <w:tcPr>
            <w:tcW w:w="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(4.90 )</w:t>
            </w:r>
          </w:p>
        </w:tc>
      </w:tr>
      <w:tr>
        <w:trPr>
          <w:trHeight w:val="250"/>
        </w:trPr>
        <w:tc>
          <w:tcPr>
            <w:tcW w:w="7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(decrease) increase in net assets resulting from operations</w:t>
            </w:r>
          </w:p>
        </w:tc>
        <w:tc>
          <w:tcPr>
            <w:tcW w:w="5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3.41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(3.92 )</w:t>
            </w:r>
          </w:p>
        </w:tc>
      </w:tr>
      <w:tr>
        <w:trPr>
          <w:trHeight w:val="250"/>
        </w:trPr>
        <w:tc>
          <w:tcPr>
            <w:tcW w:w="7080" w:type="dxa"/>
            <w:vAlign w:val="bottom"/>
          </w:tcPr>
          <w:p>
            <w:pPr>
              <w:ind w:left="20"/>
              <w:spacing w:after="0"/>
              <w:rPr>
                <w:sz w:val="20"/>
                <w:szCs w:val="20"/>
                <w:color w:val="auto"/>
              </w:rPr>
            </w:pPr>
            <w:r>
              <w:rPr>
                <w:rFonts w:ascii="Arial" w:cs="Arial" w:eastAsia="Arial" w:hAnsi="Arial"/>
                <w:sz w:val="18"/>
                <w:szCs w:val="18"/>
                <w:color w:val="auto"/>
              </w:rPr>
              <w:t>Net decrease in net assets resulting from distributions</w:t>
            </w:r>
          </w:p>
        </w:tc>
        <w:tc>
          <w:tcPr>
            <w:tcW w:w="52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(1.77 )</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(1.80 )</w:t>
            </w:r>
          </w:p>
        </w:tc>
      </w:tr>
      <w:tr>
        <w:trPr>
          <w:trHeight w:val="263"/>
        </w:trPr>
        <w:tc>
          <w:tcPr>
            <w:tcW w:w="7080" w:type="dxa"/>
            <w:vAlign w:val="bottom"/>
            <w:tcBorders>
              <w:bottom w:val="single" w:sz="8" w:color="CFF0FC"/>
            </w:tcBorders>
            <w:shd w:val="clear" w:color="auto" w:fill="CFF0FC"/>
          </w:tcPr>
          <w:p>
            <w:pPr>
              <w:ind w:left="20"/>
              <w:spacing w:after="0" w:line="263" w:lineRule="exact"/>
              <w:rPr>
                <w:sz w:val="20"/>
                <w:szCs w:val="20"/>
                <w:color w:val="auto"/>
              </w:rPr>
            </w:pPr>
            <w:r>
              <w:rPr>
                <w:rFonts w:ascii="Arial" w:cs="Arial" w:eastAsia="Arial" w:hAnsi="Arial"/>
                <w:sz w:val="18"/>
                <w:szCs w:val="18"/>
                <w:color w:val="auto"/>
              </w:rPr>
              <w:t>Net increase (decrease) in net assets relating to stock-based transactions</w:t>
            </w:r>
            <w:r>
              <w:rPr>
                <w:rFonts w:ascii="Arial" w:cs="Arial" w:eastAsia="Arial" w:hAnsi="Arial"/>
                <w:sz w:val="24"/>
                <w:szCs w:val="24"/>
                <w:color w:val="auto"/>
                <w:vertAlign w:val="superscript"/>
              </w:rPr>
              <w:t>6</w:t>
            </w:r>
          </w:p>
        </w:tc>
        <w:tc>
          <w:tcPr>
            <w:tcW w:w="52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(0.70 )</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0.28</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Net asset value, end of period</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29.71</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28.51</w:t>
            </w:r>
          </w:p>
        </w:tc>
      </w:tr>
      <w:tr>
        <w:trPr>
          <w:trHeight w:val="20"/>
        </w:trPr>
        <w:tc>
          <w:tcPr>
            <w:tcW w:w="70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708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Total net asset value return</w:t>
            </w:r>
            <w:r>
              <w:rPr>
                <w:rFonts w:ascii="Arial" w:cs="Arial" w:eastAsia="Arial" w:hAnsi="Arial"/>
                <w:sz w:val="24"/>
                <w:szCs w:val="24"/>
                <w:color w:val="auto"/>
                <w:vertAlign w:val="superscript"/>
              </w:rPr>
              <w:t>2</w:t>
            </w:r>
          </w:p>
        </w:tc>
        <w:tc>
          <w:tcPr>
            <w:tcW w:w="5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9.4 %</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(16.8 )%</w:t>
            </w:r>
          </w:p>
        </w:tc>
      </w:tr>
      <w:tr>
        <w:trPr>
          <w:trHeight w:val="250"/>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5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 share market value at beginning of period</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17.68</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21.20</w:t>
            </w:r>
          </w:p>
        </w:tc>
      </w:tr>
      <w:tr>
        <w:trPr>
          <w:trHeight w:val="250"/>
        </w:trPr>
        <w:tc>
          <w:tcPr>
            <w:tcW w:w="7080" w:type="dxa"/>
            <w:vAlign w:val="bottom"/>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24.35</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13.30</w:t>
            </w:r>
          </w:p>
        </w:tc>
      </w:tr>
      <w:tr>
        <w:trPr>
          <w:trHeight w:val="263"/>
        </w:trPr>
        <w:tc>
          <w:tcPr>
            <w:tcW w:w="7080" w:type="dxa"/>
            <w:vAlign w:val="bottom"/>
            <w:shd w:val="clear" w:color="auto" w:fill="CFF0FC"/>
          </w:tcPr>
          <w:p>
            <w:pPr>
              <w:ind w:left="20"/>
              <w:spacing w:after="0" w:line="263"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4"/>
                <w:szCs w:val="24"/>
                <w:color w:val="auto"/>
                <w:vertAlign w:val="superscript"/>
              </w:rPr>
              <w:t>3</w:t>
            </w:r>
          </w:p>
        </w:tc>
        <w:tc>
          <w:tcPr>
            <w:tcW w:w="52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47.7 %</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(28.8 )%</w:t>
            </w:r>
          </w:p>
        </w:tc>
      </w:tr>
      <w:tr>
        <w:trPr>
          <w:trHeight w:val="250"/>
        </w:trPr>
        <w:tc>
          <w:tcPr>
            <w:tcW w:w="7080" w:type="dxa"/>
            <w:vAlign w:val="bottom"/>
          </w:tcPr>
          <w:p>
            <w:pPr>
              <w:ind w:left="20"/>
              <w:spacing w:after="0"/>
              <w:rPr>
                <w:sz w:val="20"/>
                <w:szCs w:val="20"/>
                <w:color w:val="auto"/>
              </w:rPr>
            </w:pPr>
            <w:r>
              <w:rPr>
                <w:rFonts w:ascii="Arial" w:cs="Arial" w:eastAsia="Arial" w:hAnsi="Arial"/>
                <w:sz w:val="18"/>
                <w:szCs w:val="18"/>
                <w:color w:val="auto"/>
              </w:rPr>
              <w:t>Shares outstanding at end of period</w:t>
            </w:r>
          </w:p>
        </w:tc>
        <w:tc>
          <w:tcPr>
            <w:tcW w:w="520" w:type="dxa"/>
            <w:vAlign w:val="bottom"/>
          </w:tcPr>
          <w:p>
            <w:pPr>
              <w:spacing w:after="0"/>
              <w:rPr>
                <w:sz w:val="21"/>
                <w:szCs w:val="21"/>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9,123,275</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4,416,906</w:t>
            </w:r>
          </w:p>
        </w:tc>
      </w:tr>
      <w:tr>
        <w:trPr>
          <w:trHeight w:val="26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assets at end of period</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271,048,275</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125,946,098</w:t>
            </w:r>
          </w:p>
        </w:tc>
      </w:tr>
      <w:tr>
        <w:trPr>
          <w:trHeight w:val="257"/>
        </w:trPr>
        <w:tc>
          <w:tcPr>
            <w:tcW w:w="7080" w:type="dxa"/>
            <w:vAlign w:val="bottom"/>
          </w:tcPr>
          <w:p>
            <w:pPr>
              <w:ind w:left="20"/>
              <w:spacing w:after="0" w:line="257"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4"/>
                <w:szCs w:val="24"/>
                <w:color w:val="auto"/>
                <w:vertAlign w:val="superscript"/>
              </w:rPr>
              <w:t>5</w:t>
            </w:r>
          </w:p>
        </w:tc>
        <w:tc>
          <w:tcPr>
            <w:tcW w:w="520" w:type="dxa"/>
            <w:vAlign w:val="bottom"/>
          </w:tcPr>
          <w:p>
            <w:pPr>
              <w:spacing w:after="0"/>
              <w:rPr>
                <w:sz w:val="22"/>
                <w:szCs w:val="22"/>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41.8 %</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26.6 %</w:t>
            </w:r>
          </w:p>
        </w:tc>
      </w:tr>
      <w:tr>
        <w:trPr>
          <w:trHeight w:val="256"/>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 coverage ratio</w:t>
            </w:r>
          </w:p>
        </w:tc>
        <w:tc>
          <w:tcPr>
            <w:tcW w:w="52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178 %</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172 %</w:t>
            </w:r>
          </w:p>
        </w:tc>
      </w:tr>
      <w:tr>
        <w:trPr>
          <w:trHeight w:val="250"/>
        </w:trPr>
        <w:tc>
          <w:tcPr>
            <w:tcW w:w="7080" w:type="dxa"/>
            <w:vAlign w:val="bottom"/>
          </w:tcPr>
          <w:p>
            <w:pPr>
              <w:ind w:left="20"/>
              <w:spacing w:after="0"/>
              <w:rPr>
                <w:sz w:val="20"/>
                <w:szCs w:val="20"/>
                <w:color w:val="auto"/>
              </w:rPr>
            </w:pPr>
            <w:r>
              <w:rPr>
                <w:rFonts w:ascii="Arial" w:cs="Arial" w:eastAsia="Arial" w:hAnsi="Arial"/>
                <w:sz w:val="18"/>
                <w:szCs w:val="18"/>
                <w:color w:val="auto"/>
              </w:rPr>
              <w:t>Ratio of net investment income to average net assets (annualized)</w:t>
            </w:r>
          </w:p>
        </w:tc>
        <w:tc>
          <w:tcPr>
            <w:tcW w:w="5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18.4 %</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7.7 %</w:t>
            </w:r>
          </w:p>
        </w:tc>
      </w:tr>
      <w:tr>
        <w:trPr>
          <w:trHeight w:val="263"/>
        </w:trPr>
        <w:tc>
          <w:tcPr>
            <w:tcW w:w="7080" w:type="dxa"/>
            <w:vAlign w:val="bottom"/>
            <w:shd w:val="clear" w:color="auto" w:fill="CFF0FC"/>
          </w:tcPr>
          <w:p>
            <w:pPr>
              <w:ind w:left="20"/>
              <w:spacing w:after="0" w:line="263" w:lineRule="exact"/>
              <w:rPr>
                <w:sz w:val="20"/>
                <w:szCs w:val="20"/>
                <w:color w:val="auto"/>
              </w:rPr>
            </w:pPr>
            <w:r>
              <w:rPr>
                <w:rFonts w:ascii="Arial" w:cs="Arial" w:eastAsia="Arial" w:hAnsi="Arial"/>
                <w:sz w:val="18"/>
                <w:szCs w:val="18"/>
                <w:color w:val="auto"/>
              </w:rPr>
              <w:t>Ratio of total expenses to average net assets (annualized)</w:t>
            </w:r>
            <w:r>
              <w:rPr>
                <w:rFonts w:ascii="Arial" w:cs="Arial" w:eastAsia="Arial" w:hAnsi="Arial"/>
                <w:sz w:val="24"/>
                <w:szCs w:val="24"/>
                <w:color w:val="auto"/>
                <w:vertAlign w:val="superscript"/>
              </w:rPr>
              <w:t>6</w:t>
            </w:r>
          </w:p>
        </w:tc>
        <w:tc>
          <w:tcPr>
            <w:tcW w:w="52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16.0 %</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14.2 %</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Ratio of interest expense to average net assets (annualized)</w:t>
            </w:r>
          </w:p>
        </w:tc>
        <w:tc>
          <w:tcPr>
            <w:tcW w:w="5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5.6 %</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6.7 %</w:t>
            </w:r>
          </w:p>
        </w:tc>
      </w:tr>
      <w:tr>
        <w:trPr>
          <w:trHeight w:val="268"/>
        </w:trPr>
        <w:tc>
          <w:tcPr>
            <w:tcW w:w="7080" w:type="dxa"/>
            <w:vAlign w:val="bottom"/>
          </w:tcPr>
          <w:p>
            <w:pPr>
              <w:ind w:left="20"/>
              <w:spacing w:after="0" w:line="267" w:lineRule="exact"/>
              <w:rPr>
                <w:sz w:val="20"/>
                <w:szCs w:val="20"/>
                <w:color w:val="auto"/>
              </w:rPr>
            </w:pPr>
            <w:r>
              <w:rPr>
                <w:rFonts w:ascii="Arial" w:cs="Arial" w:eastAsia="Arial" w:hAnsi="Arial"/>
                <w:sz w:val="18"/>
                <w:szCs w:val="18"/>
                <w:color w:val="auto"/>
              </w:rPr>
              <w:t>Ratio of non-interest expenses to average net assets (annualized)</w:t>
            </w:r>
            <w:r>
              <w:rPr>
                <w:rFonts w:ascii="Arial" w:cs="Arial" w:eastAsia="Arial" w:hAnsi="Arial"/>
                <w:sz w:val="24"/>
                <w:szCs w:val="24"/>
                <w:color w:val="auto"/>
                <w:vertAlign w:val="superscript"/>
              </w:rPr>
              <w:t>6</w:t>
            </w:r>
          </w:p>
        </w:tc>
        <w:tc>
          <w:tcPr>
            <w:tcW w:w="52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10.3 %</w:t>
            </w: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-2309495</wp:posOffset>
            </wp:positionV>
            <wp:extent cx="179705"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6319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340" w:hanging="332"/>
        <w:spacing w:after="0" w:line="188" w:lineRule="auto"/>
        <w:tabs>
          <w:tab w:leader="none" w:pos="34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Based on weighted average number of common shares outstanding-basic for the period.</w:t>
      </w:r>
    </w:p>
    <w:p>
      <w:pPr>
        <w:spacing w:after="0" w:line="4" w:lineRule="exact"/>
        <w:rPr>
          <w:sz w:val="20"/>
          <w:szCs w:val="20"/>
          <w:color w:val="auto"/>
        </w:rPr>
      </w:pPr>
    </w:p>
    <w:p>
      <w:pPr>
        <w:ind w:left="380" w:right="380" w:hanging="372"/>
        <w:spacing w:after="0" w:line="220" w:lineRule="auto"/>
        <w:tabs>
          <w:tab w:leader="none" w:pos="33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Total net asset value return (not annualized) equals the change in the net asset value per share over the period plus distributions, divided by the beginning net asset value per share.</w:t>
      </w:r>
    </w:p>
    <w:p>
      <w:pPr>
        <w:ind w:left="340" w:hanging="332"/>
        <w:spacing w:after="0" w:line="235" w:lineRule="auto"/>
        <w:tabs>
          <w:tab w:leader="none" w:pos="34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Total market return (not annualized) equals the change in market price, per share during the period plus distributions, divided by the beginning market price per share.</w:t>
      </w:r>
    </w:p>
    <w:p>
      <w:pPr>
        <w:ind w:left="340" w:hanging="332"/>
        <w:spacing w:after="0" w:line="192" w:lineRule="auto"/>
        <w:tabs>
          <w:tab w:leader="none" w:pos="34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Totals may not sum due to rounding.</w:t>
      </w:r>
    </w:p>
    <w:p>
      <w:pPr>
        <w:ind w:left="340" w:hanging="332"/>
        <w:spacing w:after="0" w:line="192" w:lineRule="auto"/>
        <w:tabs>
          <w:tab w:leader="none" w:pos="34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Portfolio turnover rate equals the year-to-date sales and paydowns over the average of the invested assets at fair value.</w:t>
      </w:r>
    </w:p>
    <w:p>
      <w:pPr>
        <w:spacing w:after="0" w:line="5" w:lineRule="exact"/>
        <w:rPr>
          <w:sz w:val="20"/>
          <w:szCs w:val="20"/>
          <w:color w:val="auto"/>
        </w:rPr>
      </w:pPr>
    </w:p>
    <w:p>
      <w:pPr>
        <w:ind w:left="380" w:right="40" w:hanging="372"/>
        <w:spacing w:after="0"/>
        <w:tabs>
          <w:tab w:leader="none" w:pos="33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Incentive fees earned during the nine months ended September 30, 2021 were approximately $6.3 million, none of which were waived. For the nine months ended September 30, 2020, incentive fees earned were approximately $1.1 million, $557 thousand of which were waived pursuant to the Externalization Agreement. Excluding the waiver, for the nine months ended September 30, 2020, ratio of total expenses to average net assets (annualized) was 14.7% and the ratio of non-interest expenses to average net assets (annualized) was 8.0%.</w:t>
      </w:r>
    </w:p>
    <w:p>
      <w:pPr>
        <w:spacing w:after="0" w:line="1" w:lineRule="exact"/>
        <w:rPr>
          <w:sz w:val="20"/>
          <w:szCs w:val="20"/>
          <w:color w:val="auto"/>
        </w:rPr>
      </w:pPr>
    </w:p>
    <w:p>
      <w:pPr>
        <w:ind w:left="380" w:right="640" w:hanging="372"/>
        <w:spacing w:after="0" w:line="222" w:lineRule="auto"/>
        <w:tabs>
          <w:tab w:leader="none" w:pos="33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The Company completed a Reverse Stock Split of 10 to 1 effective August 26, 2021, the common stock, net asset value and per share data have been adjusted retroactively to reflect the split.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Portman Ridge Finance Corporation (“Portman Ridge” or the “Company”), formerly known as KCAP Financial, Inc., is an externally managed, non-diversified closed-end investment company that has elected to be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w:t>
      </w:r>
    </w:p>
    <w:p>
      <w:pPr>
        <w:spacing w:after="0" w:line="80"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The Company originates, structures, and invests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The Company also invests in joint ventures and debt and subordinated securities issued by collateralized loan obligation funds (“CLO Fund Securities”). In addition, from time to time the Company may invest in the equity securities of privately held middle market companies and may also receive warrants or options to purchase common stock in connection with its debt investments.</w:t>
      </w:r>
    </w:p>
    <w:p>
      <w:pPr>
        <w:spacing w:after="0" w:line="53"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The Company has elected to be treated and intends to continue to qualify as a regulated investment company (“RIC”) under Subchapter M of the Internal Revenue Code of 1986, as amended (the “Code”). To qualify as a RIC, the Company must, among other things, meet certain source-of-income, asset diversification and annual distribution requirements. As a RIC, the Company generally will not have to pay corporate-level U.S. federal income taxes on any income that it distributes in a timely manner to its stockholders.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March 29, 2018, the Company’s Board of Directors (the “Board”), including a “required majority” (as such term is defined in Section 57(o) of the</w:t>
      </w:r>
    </w:p>
    <w:p>
      <w:pPr>
        <w:spacing w:after="0" w:line="4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1940 Act) of the Board, approved the modified asset coverage requirements set forth in Section 61(a)(2) of the 1940 Act, as amended by the Small Business Credit Availability Act (“SBCA”). As a result, the Company’s asset coverage requirement for senior securities changed from 200% to 150%, effective as of March 29, 2019.</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the third quarter of 2017, the Company formed a joint venture with Freedom 3 Opportunities LLC (“Freedom 3 Opportunities”), an affiliate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Freedom 3 Capital LLC, to create KCAP Freedom 3 LLC (the “Joint Venture”). The Company and Freedom 3 Opportunities contributed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 million and $25 million, respectively, in assets to the Joint Venture, which in turn used the assets to capitalize a new fund (KCAP FC3 Senior Funding,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L.L.C. or the “Fund”) managed by KCAP Management, LLC, one of the Company's indirectly wholly-owned Asset Manager Affiliate (as defined below)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subsidiaries. In addition, the Fund used cash on hand and borrowings under a credit facility to purchase approximately $184 million of loans from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and the Company used the proceeds from such sale to redeem approximately $147 million in debt issued by KCAP Senior Funding I,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(“KCAP Senior Funding”). The Joint Venture may originate loans from time to time and sell them to the Fund.</w:t>
      </w:r>
    </w:p>
    <w:p>
      <w:pPr>
        <w:spacing w:after="0" w:line="103" w:lineRule="exact"/>
        <w:rPr>
          <w:sz w:val="20"/>
          <w:szCs w:val="20"/>
          <w:color w:val="auto"/>
        </w:rPr>
      </w:pPr>
    </w:p>
    <w:p>
      <w:pPr>
        <w:jc w:val="both"/>
        <w:ind w:right="40" w:firstLine="374"/>
        <w:spacing w:after="0" w:line="263"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Company received a cash distribution of $12.6 million, $11.8 million of which was a return of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LibreMax Transaction</w:t>
      </w:r>
    </w:p>
    <w:p>
      <w:pPr>
        <w:spacing w:after="0" w:line="121" w:lineRule="exact"/>
        <w:rPr>
          <w:sz w:val="20"/>
          <w:szCs w:val="20"/>
          <w:color w:val="auto"/>
        </w:rPr>
      </w:pPr>
    </w:p>
    <w:p>
      <w:pPr>
        <w:ind w:right="40" w:firstLine="374"/>
        <w:spacing w:after="0" w:line="290" w:lineRule="auto"/>
        <w:rPr>
          <w:sz w:val="20"/>
          <w:szCs w:val="20"/>
          <w:color w:val="auto"/>
        </w:rPr>
      </w:pPr>
      <w:r>
        <w:rPr>
          <w:rFonts w:ascii="Arial" w:cs="Arial" w:eastAsia="Arial" w:hAnsi="Arial"/>
          <w:sz w:val="16"/>
          <w:szCs w:val="16"/>
          <w:color w:val="auto"/>
        </w:rPr>
        <w:t>On November 8, 2018, the Company entered into an agreement with LibreMax Intermediate Holdings, LP (“LibreMax”) under which Commodore Holdings, LLC (“Commodore”), a wholly-owned subsidiary of the Company, sold the Company’s wholly-owned asset manager subsidiaries Katonah Debt Advisors, LLC (“Katonah Debt Advisors”), Trimaran Advisors, L.L.C. (“Trimaran Advisors”), and Trimaran Advisors Management, L.L.C. (“Trimaran Advisors Management” and, together with Katonah Debt Advisors and Trimaran Advisors, the “Disposed Manager Affiliates”), for a cash purchase price of approximately $37.9 million (the “LibreMax Transaction”). The LibreMax Transaction closed on December 31, 2018. As of September 30, 2021, the Company’s remaining wholly-owned asset management subsidiaries (the “Asset Manager Affiliates”) were comprised of Commodore, Katonah Management Holdings, LLC, Katonah X Management LLC, Katonah 2007-1 Management, LLC and KCAP Management, LLC. Prior to their sale in the LibreMax Transaction, the Disposed Manager Affiliates represented substantially all of the Company’s investment in the Asset Manager Affiliates.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Externalization Agreement</w:t>
      </w:r>
    </w:p>
    <w:p>
      <w:pPr>
        <w:spacing w:after="0" w:line="121" w:lineRule="exact"/>
        <w:rPr>
          <w:sz w:val="20"/>
          <w:szCs w:val="20"/>
          <w:color w:val="auto"/>
        </w:rPr>
      </w:pPr>
    </w:p>
    <w:p>
      <w:pPr>
        <w:ind w:right="100" w:firstLine="374"/>
        <w:spacing w:after="0" w:line="268" w:lineRule="auto"/>
        <w:rPr>
          <w:sz w:val="20"/>
          <w:szCs w:val="20"/>
          <w:color w:val="auto"/>
        </w:rPr>
      </w:pPr>
      <w:r>
        <w:rPr>
          <w:rFonts w:ascii="Arial" w:cs="Arial" w:eastAsia="Arial" w:hAnsi="Arial"/>
          <w:sz w:val="17"/>
          <w:szCs w:val="17"/>
          <w:color w:val="auto"/>
        </w:rPr>
        <w:t>On December 14, 2018, the Company entered into a stock purchase and transaction agreement (the “Externalization Agreement”) with BC Partners Advisors L.P. (“BCP”), an affiliate of BC Partners LLP, (“BC Partners”), through which Sierra Crest Investment Management LLC (the “Adviser”), an affiliate of BC Partners, became the Company’s investment adviser pursuant to an investment advisory Agreement (the “Advisory Agreement”) with the Company. At a special meeting of the Company’s stockholders (the “Special Meeting”) held on February 19, 2019, the Company’s stockholders approved the Advisory Agreement. The transactions contemplated by the Externalization Agreement closed on April 1, 2019 (the “Closing”), and the Company commenced operations as an externally managed BDC managed by the Adviser on that date.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39" w:name="page40"/>
    <w:bookmarkEnd w:id="39"/>
    <w:p>
      <w:pPr>
        <w:ind w:right="20" w:firstLine="374"/>
        <w:spacing w:after="0" w:line="271" w:lineRule="auto"/>
        <w:rPr>
          <w:sz w:val="20"/>
          <w:szCs w:val="20"/>
          <w:color w:val="auto"/>
        </w:rPr>
      </w:pPr>
      <w:r>
        <w:rPr>
          <w:rFonts w:ascii="Arial" w:cs="Arial" w:eastAsia="Arial" w:hAnsi="Arial"/>
          <w:sz w:val="17"/>
          <w:szCs w:val="17"/>
          <w:color w:val="auto"/>
        </w:rPr>
        <w:t>Pursuant to the Externalization Agreement with BCP, the Adviser became the Company’s investment adviser in exchange for a cash payment from BCP, or its affiliate, of $25 million, or $0.669672 per share of the Company’s common stock, directly to the Company’s stockholders. In addition, the Adviser (or its affiliate) agreed to use up to $10 million of the incentive fee actually paid to the Adviser prior to the second anniversary of the Closing to buy newly issued shares of the Company’s common stock at the most recently determined net asset value per share of the Company’s common stock at the time of such purchase. For the period of one year from the first day of the first quarter following the quarter in which the Closing occurred, the Adviser agreed to permanently forego up to the full amount of the incentive fees earned by the Adviser without recourse against or reimbursement by the Company, to the extent necessary in order to achieve aggregate net investment income per common share of the Company for such one-year period to be at least equal to $0.40 per share, subject to certain adjustments.</w:t>
      </w:r>
    </w:p>
    <w:p>
      <w:pPr>
        <w:spacing w:after="0" w:line="70"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On the date of the Closing, the Company changed its name from KCAP Financial, Inc. to Portman Ridge Finance Corporation and on April 2, 2019, began trading on the NASDAQ Global Select Market under the symbol “PTMN.”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Adviser</w:t>
      </w:r>
    </w:p>
    <w:p>
      <w:pPr>
        <w:spacing w:after="0" w:line="121" w:lineRule="exact"/>
        <w:rPr>
          <w:sz w:val="20"/>
          <w:szCs w:val="20"/>
          <w:color w:val="auto"/>
        </w:rPr>
      </w:pPr>
    </w:p>
    <w:p>
      <w:pPr>
        <w:jc w:val="both"/>
        <w:ind w:right="280" w:firstLine="374"/>
        <w:spacing w:after="0" w:line="311" w:lineRule="auto"/>
        <w:rPr>
          <w:sz w:val="20"/>
          <w:szCs w:val="20"/>
          <w:color w:val="auto"/>
        </w:rPr>
      </w:pPr>
      <w:r>
        <w:rPr>
          <w:rFonts w:ascii="Arial" w:cs="Arial" w:eastAsia="Arial" w:hAnsi="Arial"/>
          <w:sz w:val="16"/>
          <w:szCs w:val="16"/>
          <w:color w:val="auto"/>
        </w:rPr>
        <w:t>The Adviser is an affiliate of BC Partners. Subject to the overall supervision of the Board, the Adviser is responsible for managing the Company’s business and activities, including sourcing investment opportunities, conducting research, performing diligence on potential investments, structuring the Company’s investments, and monitoring the Company’s portfolio companies on an ongoing basis through a team of investment professionals.</w:t>
      </w:r>
    </w:p>
    <w:p>
      <w:pPr>
        <w:spacing w:after="0" w:line="41"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color w:val="auto"/>
        </w:rPr>
        <w:t>The Adviser seeks to invest on behalf of the Company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87" w:lineRule="exact"/>
        <w:rPr>
          <w:sz w:val="20"/>
          <w:szCs w:val="20"/>
          <w:color w:val="auto"/>
        </w:rPr>
      </w:pPr>
    </w:p>
    <w:p>
      <w:pPr>
        <w:ind w:right="200" w:firstLine="374"/>
        <w:spacing w:after="0" w:line="259" w:lineRule="auto"/>
        <w:rPr>
          <w:sz w:val="20"/>
          <w:szCs w:val="20"/>
          <w:color w:val="auto"/>
        </w:rPr>
      </w:pPr>
      <w:r>
        <w:rPr>
          <w:rFonts w:ascii="Arial" w:cs="Arial" w:eastAsia="Arial" w:hAnsi="Arial"/>
          <w:sz w:val="18"/>
          <w:szCs w:val="18"/>
          <w:color w:val="auto"/>
        </w:rPr>
        <w:t>During the fourth quarter of 2020, LibreMax Intermediate Holdings, LP (“LibreMax”) sold its minority stake in the Adviser to a wholly-owned subsidiary of Mount Logan Capital Inc. (“Mount Logan”). An affiliate of BC Partners serves as administrator to Mount Logan, and certain officers and directors of the Company serve in similar capacities for Mount Logan. In addition, Mount Logan owns a minority equity stake in the Advisor, and Mount Logan owns a minority equity stake in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OHAI Transaction</w:t>
      </w:r>
    </w:p>
    <w:p>
      <w:pPr>
        <w:spacing w:after="0" w:line="121" w:lineRule="exact"/>
        <w:rPr>
          <w:sz w:val="20"/>
          <w:szCs w:val="20"/>
          <w:color w:val="auto"/>
        </w:rPr>
      </w:pPr>
    </w:p>
    <w:p>
      <w:pPr>
        <w:ind w:right="100" w:firstLine="374"/>
        <w:spacing w:after="0" w:line="275" w:lineRule="auto"/>
        <w:rPr>
          <w:sz w:val="20"/>
          <w:szCs w:val="20"/>
          <w:color w:val="auto"/>
        </w:rPr>
      </w:pPr>
      <w:r>
        <w:rPr>
          <w:rFonts w:ascii="Arial" w:cs="Arial" w:eastAsia="Arial" w:hAnsi="Arial"/>
          <w:sz w:val="17"/>
          <w:szCs w:val="17"/>
          <w:color w:val="auto"/>
        </w:rPr>
        <w:t>On December 18, 2019, the Company completed its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w:t>
      </w:r>
    </w:p>
    <w:p>
      <w:pPr>
        <w:spacing w:after="0" w:line="68"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Pursuant to the merger agreement, if at any time within one year after the closing date of the transaction the Company’s common stock traded at a price below 75% of its net asset value, the Company was obligated to initiate an open-market stock repurchase program of up to $10 million to support the trading price of the combined entity for up to one year from the date such program is announced. The Board approved a stock repurchase program in March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GARS Transaction</w:t>
      </w:r>
    </w:p>
    <w:p>
      <w:pPr>
        <w:spacing w:after="0" w:line="229" w:lineRule="exact"/>
        <w:rPr>
          <w:sz w:val="20"/>
          <w:szCs w:val="20"/>
          <w:color w:val="auto"/>
        </w:rPr>
      </w:pPr>
    </w:p>
    <w:p>
      <w:pPr>
        <w:ind w:right="560" w:firstLine="374"/>
        <w:spacing w:after="0" w:line="342" w:lineRule="auto"/>
        <w:rPr>
          <w:sz w:val="20"/>
          <w:szCs w:val="20"/>
          <w:color w:val="auto"/>
        </w:rPr>
      </w:pPr>
      <w:r>
        <w:rPr>
          <w:rFonts w:ascii="Arial" w:cs="Arial" w:eastAsia="Arial" w:hAnsi="Arial"/>
          <w:sz w:val="16"/>
          <w:szCs w:val="16"/>
          <w:color w:val="auto"/>
        </w:rPr>
        <w:t>On June 24, 2020, the Company entered into an Agreement and Plan of Merger (the “GARS Merger Agreement”) with Garrison Capital Inc., a publicly traded BDC (“GARS”), the Adviser, and a wholly-owned merger subsidiary of the Company (such transaction, the “GARS Acquisition”).</w:t>
      </w:r>
    </w:p>
    <w:p>
      <w:pPr>
        <w:spacing w:after="0" w:line="124" w:lineRule="exact"/>
        <w:rPr>
          <w:sz w:val="20"/>
          <w:szCs w:val="20"/>
          <w:color w:val="auto"/>
        </w:rPr>
      </w:pPr>
    </w:p>
    <w:p>
      <w:pPr>
        <w:ind w:right="20" w:firstLine="374"/>
        <w:spacing w:after="0" w:line="267" w:lineRule="auto"/>
        <w:rPr>
          <w:sz w:val="20"/>
          <w:szCs w:val="20"/>
          <w:color w:val="auto"/>
        </w:rPr>
      </w:pPr>
      <w:r>
        <w:rPr>
          <w:rFonts w:ascii="Arial" w:cs="Arial" w:eastAsia="Arial" w:hAnsi="Arial"/>
          <w:sz w:val="17"/>
          <w:szCs w:val="17"/>
          <w:color w:val="auto"/>
        </w:rPr>
        <w:t>On October 28, 2020 the Company completed the GARS Acquisition, pursuant to the terms and conditions of the GARS Merger Agreement. To effect the acquisition, a wholly owned merger subsidiary of the Company merged with and into GARS, with GARS surviving the merger as the Company’s wholly owned subsidiary. Immediately thereafter and as a single integrated transaction, GARS consummated a second merger, whereby GARS merged with and into the Company, with the Company surviving the merger. Under the terms of the GARS Merger Agreement, each share of common stock, par value $0.001 per share, of GARS (the “GARS Common Stock”) issued and outstanding was converted into the right to receive (i) an amount in cash, without interest, equal to 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HCAP Acquisition and Assumption and Redemption of HCAP Notes</w:t>
      </w:r>
    </w:p>
    <w:p>
      <w:pPr>
        <w:spacing w:after="0" w:line="256" w:lineRule="exact"/>
        <w:rPr>
          <w:sz w:val="20"/>
          <w:szCs w:val="20"/>
          <w:color w:val="auto"/>
        </w:rPr>
      </w:pPr>
    </w:p>
    <w:p>
      <w:pPr>
        <w:ind w:right="220" w:firstLine="374"/>
        <w:spacing w:after="0" w:line="279" w:lineRule="auto"/>
        <w:rPr>
          <w:sz w:val="20"/>
          <w:szCs w:val="20"/>
          <w:color w:val="auto"/>
        </w:rPr>
      </w:pPr>
      <w:r>
        <w:rPr>
          <w:rFonts w:ascii="Arial" w:cs="Arial" w:eastAsia="Arial" w:hAnsi="Arial"/>
          <w:sz w:val="18"/>
          <w:szCs w:val="18"/>
          <w:color w:val="auto"/>
        </w:rPr>
        <w:t>On December 23, 2020, the Company entered into an Agreement and Plan of Merger (the “HCAP Merger Agreement”) with Harvest Capital Credit Corporation, a publicly traded BDC (“HCAP”), the Adviser and a wholly-owned merger subsidiary (the “Acquisition Sub”) of the Company (such transaction, the “HCAP Acquisition”).</w:t>
      </w:r>
    </w:p>
    <w:p>
      <w:pPr>
        <w:spacing w:after="0" w:line="196" w:lineRule="exact"/>
        <w:rPr>
          <w:sz w:val="20"/>
          <w:szCs w:val="20"/>
          <w:color w:val="auto"/>
        </w:rPr>
      </w:pPr>
    </w:p>
    <w:p>
      <w:pPr>
        <w:ind w:right="100" w:firstLine="374"/>
        <w:spacing w:after="0" w:line="319" w:lineRule="auto"/>
        <w:rPr>
          <w:sz w:val="20"/>
          <w:szCs w:val="20"/>
          <w:color w:val="auto"/>
        </w:rPr>
      </w:pPr>
      <w:r>
        <w:rPr>
          <w:rFonts w:ascii="Arial" w:cs="Arial" w:eastAsia="Arial" w:hAnsi="Arial"/>
          <w:sz w:val="16"/>
          <w:szCs w:val="16"/>
          <w:color w:val="auto"/>
        </w:rPr>
        <w:t>On June 9, 2021 the Company completed the HCAP Acquisition, pursuant to the terms and conditions of the HCAP Merger Agreement. To effect the acquisition, the Acquisition Sub merged with and into HCAP, with HCAP surviving the merger as the Company’s wholly owned subsidiary. Immediately thereafter and as a single integrated transaction, HCAP consummated a second merger, whereby HCAP merged with and into the Company, with the Company surviving the merger. As a result of, and as of the effective time of, the second merger, HCAP’s separate corporate existence ceased.</w:t>
      </w:r>
    </w:p>
    <w:p>
      <w:pPr>
        <w:spacing w:after="0" w:line="169" w:lineRule="exact"/>
        <w:rPr>
          <w:sz w:val="20"/>
          <w:szCs w:val="20"/>
          <w:color w:val="auto"/>
        </w:rPr>
      </w:pPr>
    </w:p>
    <w:p>
      <w:pPr>
        <w:ind w:right="100" w:firstLine="374"/>
        <w:spacing w:after="0" w:line="319" w:lineRule="auto"/>
        <w:rPr>
          <w:sz w:val="20"/>
          <w:szCs w:val="20"/>
          <w:color w:val="auto"/>
        </w:rPr>
      </w:pPr>
      <w:r>
        <w:rPr>
          <w:rFonts w:ascii="Arial" w:cs="Arial" w:eastAsia="Arial" w:hAnsi="Arial"/>
          <w:sz w:val="16"/>
          <w:szCs w:val="16"/>
          <w:color w:val="auto"/>
        </w:rPr>
        <w:t>Under the terms of the HCAP Merger Agreement, HCAP stockholders as of immediately prior to the effective time of the first merger (other than shares held by a subsidiary of HCAP or held, directly or indirectly, by the Company or Acquisition Sub, and all treasury shares (collectively, “Cancelled Shares”)) received a combination of (i) $18.54 million in cash paid by the Company, (ii) 15,252,453 validly issued, fully paid and non-assessable shares of the Company’s common stock, par value $0.01 per share, and (iii) an additional cash payment from the Adviser of $2.15 million in the aggregate.</w:t>
      </w:r>
    </w:p>
    <w:p>
      <w:pPr>
        <w:spacing w:after="0" w:line="169"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With respect to the merger consideration from PTMN, HCAP stockholders as of immediately prior to the effective time of the first merger (other than Cancelled Shares) were entitled, with respect to all or any portion of the shares of HCAP common stock they held as of the effective time of the first merger, to elect to receive the merger consideration in the form of cash (an “Election”) or in the form of PTMN common stock, subject to certain conditions and limitations in the merger agreement. Any HCAP stockholder who did not validly make an Election was deemed to have elected to receive shares of the Company’s common stock with respect to the merger consideration as payment for their shares of HCAP common stock. Each share of HCAP common stock (other than Cancelled Shares) with respect to which an Election was made was treated as an “Electing Share” and each share of HCAP Common Stock (other than a Cancelled Share) with respect to which an Election was not made or that was transferred after the election deadline on June 2, 2021 was treated as a “Non-Electing Share.”</w:t>
      </w:r>
    </w:p>
    <w:p>
      <w:pPr>
        <w:spacing w:after="0" w:line="195" w:lineRule="exact"/>
        <w:rPr>
          <w:sz w:val="20"/>
          <w:szCs w:val="20"/>
          <w:color w:val="auto"/>
        </w:rPr>
      </w:pPr>
    </w:p>
    <w:p>
      <w:pPr>
        <w:ind w:firstLine="374"/>
        <w:spacing w:after="0" w:line="290" w:lineRule="auto"/>
        <w:rPr>
          <w:sz w:val="20"/>
          <w:szCs w:val="20"/>
          <w:color w:val="auto"/>
        </w:rPr>
      </w:pPr>
      <w:r>
        <w:rPr>
          <w:rFonts w:ascii="Arial" w:cs="Arial" w:eastAsia="Arial" w:hAnsi="Arial"/>
          <w:sz w:val="17"/>
          <w:szCs w:val="17"/>
          <w:color w:val="auto"/>
        </w:rPr>
        <w:t>Pursuant to the conditions of and adjustment mechanisms in the HCAP Merger Agreement, 475,806 Electing Shares were converted to Non-Electing Shares for purposes of calculating the total mix of consideration to be paid to each Electing Share in order to ensure that the value of the aggregate cash consideration paid to holders of the Electing Shares equaled the aggregate cash consideration that HCAP received from the Company under the terms of the HCAP Merger Agreement. Accordingly, as a result of the Elections received from HCAP stockholders and any resulting adjustment under the terms of the HCAP Merger Agreement, each Electing Share received, in aggregate, approximately $7.43 in cash and 0.74 shares of PTMN common stock, while each Non-Electing Share received, in aggregate, approximately 3.86 shares of PTMN common stock.</w:t>
      </w:r>
    </w:p>
    <w:p>
      <w:pPr>
        <w:spacing w:after="0" w:line="189" w:lineRule="exact"/>
        <w:rPr>
          <w:sz w:val="20"/>
          <w:szCs w:val="20"/>
          <w:color w:val="auto"/>
        </w:rPr>
      </w:pPr>
    </w:p>
    <w:p>
      <w:pPr>
        <w:ind w:right="20" w:firstLine="374"/>
        <w:spacing w:after="0" w:line="275" w:lineRule="auto"/>
        <w:rPr>
          <w:sz w:val="20"/>
          <w:szCs w:val="20"/>
          <w:color w:val="auto"/>
        </w:rPr>
      </w:pPr>
      <w:r>
        <w:rPr>
          <w:rFonts w:ascii="Arial" w:cs="Arial" w:eastAsia="Arial" w:hAnsi="Arial"/>
          <w:sz w:val="18"/>
          <w:szCs w:val="18"/>
          <w:color w:val="auto"/>
        </w:rPr>
        <w:t>On June 9, 2021, the Company entered into a third supplemental indenture (the “HCAP Third Supplemental Indenture”) by and between the Company and U.S. Bank National Association, as trustee (the “Trustee”), effective as of the closing of the HCAP Acquisition. The HCAP Third Supplemental Indenture relates to the Company’s assumption of $28.75 million in aggregate principal amount of HCAP’s 6.125% Notes due September 15, 2022 (the “HCAP Notes”).</w:t>
      </w:r>
    </w:p>
    <w:p>
      <w:pPr>
        <w:spacing w:after="0" w:line="158" w:lineRule="exact"/>
        <w:rPr>
          <w:sz w:val="20"/>
          <w:szCs w:val="20"/>
          <w:color w:val="auto"/>
        </w:rPr>
      </w:pPr>
    </w:p>
    <w:p>
      <w:pPr>
        <w:ind w:right="80" w:firstLine="749"/>
        <w:spacing w:after="0" w:line="288" w:lineRule="auto"/>
        <w:rPr>
          <w:sz w:val="20"/>
          <w:szCs w:val="20"/>
          <w:color w:val="auto"/>
        </w:rPr>
      </w:pPr>
      <w:r>
        <w:rPr>
          <w:rFonts w:ascii="Arial" w:cs="Arial" w:eastAsia="Arial" w:hAnsi="Arial"/>
          <w:sz w:val="18"/>
          <w:szCs w:val="18"/>
          <w:color w:val="auto"/>
        </w:rPr>
        <w:t>Pursuant to the HCAP Third Supplemental Indenture, the Company expressly assumed the due and punctual payment of the principal of (and premium, if any) and interest, if any, on the HCAP Notes and the performance of HCAP’s covenants under the base indenture, dated as of January 27, 2015, by and between HCAP and the Trustee, as supplemented by the second supplemental indenture, dated as of August 24, 2017, by and between HCAP and the Trustee. No change of control offer was required to be made in respect of the HCAP Notes in connection with the consummation of the HCAP Acquisition.</w:t>
      </w:r>
    </w:p>
    <w:p>
      <w:pPr>
        <w:spacing w:after="0" w:line="149" w:lineRule="exact"/>
        <w:rPr>
          <w:sz w:val="20"/>
          <w:szCs w:val="20"/>
          <w:color w:val="auto"/>
        </w:rPr>
      </w:pPr>
    </w:p>
    <w:p>
      <w:pPr>
        <w:ind w:right="100" w:firstLine="749"/>
        <w:spacing w:after="0" w:line="308" w:lineRule="auto"/>
        <w:rPr>
          <w:sz w:val="20"/>
          <w:szCs w:val="20"/>
          <w:color w:val="auto"/>
        </w:rPr>
      </w:pPr>
      <w:r>
        <w:rPr>
          <w:rFonts w:ascii="Arial" w:cs="Arial" w:eastAsia="Arial" w:hAnsi="Arial"/>
          <w:sz w:val="18"/>
          <w:szCs w:val="18"/>
          <w:color w:val="auto"/>
        </w:rPr>
        <w:t>The HCAP Notes could be redeemed by the Company at any time at par value plus accrued and unpaid interest. On July 23, 2021, the Company redeemed the entire notional amount of $28.75 million of the HCAP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56" w:lineRule="exact"/>
        <w:rPr>
          <w:sz w:val="20"/>
          <w:szCs w:val="20"/>
          <w:color w:val="auto"/>
        </w:rPr>
      </w:pPr>
    </w:p>
    <w:p>
      <w:pPr>
        <w:ind w:firstLine="374"/>
        <w:spacing w:after="0" w:line="275" w:lineRule="auto"/>
        <w:rPr>
          <w:sz w:val="20"/>
          <w:szCs w:val="20"/>
          <w:color w:val="auto"/>
        </w:rPr>
      </w:pPr>
      <w:r>
        <w:rPr>
          <w:rFonts w:ascii="Arial" w:cs="Arial" w:eastAsia="Arial" w:hAnsi="Arial"/>
          <w:sz w:val="18"/>
          <w:szCs w:val="18"/>
          <w:color w:val="auto"/>
        </w:rPr>
        <w:t>On August 23, 2021, the Company filed a Certificate of Amendment (the “Reverse Stock Split Certificate of Amendment”) to the Company’s Certificate of Incorporation with the Secretary of State of the State of Delaware to effect a 1-for-10 reverse stock split of the issued and outstanding (or held in treasury) shares of the Company’s common stock, par value $0.01 per share (the “Reverse Stock Split”). The Reverse Stock Split became effective as of 12:01 a.m. (Eastern Time) on August 26, 2021.</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41" w:name="page42"/>
    <w:bookmarkEnd w:id="41"/>
    <w:p>
      <w:pPr>
        <w:ind w:right="60" w:firstLine="374"/>
        <w:spacing w:after="0" w:line="296" w:lineRule="auto"/>
        <w:rPr>
          <w:sz w:val="20"/>
          <w:szCs w:val="20"/>
          <w:color w:val="auto"/>
        </w:rPr>
      </w:pPr>
      <w:r>
        <w:rPr>
          <w:rFonts w:ascii="Arial" w:cs="Arial" w:eastAsia="Arial" w:hAnsi="Arial"/>
          <w:sz w:val="17"/>
          <w:szCs w:val="17"/>
          <w:color w:val="auto"/>
        </w:rPr>
        <w:t>As a result of the Reverse Stock Split, every ten shares of issued and outstanding common stock were automatically combined into one issued and outstanding share of common stock, without any change in the par value per share. No fractional shares were issued as a result of the Reverse Stock Split. Instead, any stockholder who would have been entitled to receive a fractional share as a result of the Reverse Stock Split received cash payments in lieu of such fractional shares (without interest and subject to backup withholding and applicable withholding taxes).</w:t>
      </w:r>
    </w:p>
    <w:p>
      <w:pPr>
        <w:spacing w:after="0" w:line="183" w:lineRule="exact"/>
        <w:rPr>
          <w:sz w:val="20"/>
          <w:szCs w:val="20"/>
          <w:color w:val="auto"/>
        </w:rPr>
      </w:pPr>
    </w:p>
    <w:p>
      <w:pPr>
        <w:ind w:right="60" w:firstLine="374"/>
        <w:spacing w:after="0" w:line="272" w:lineRule="auto"/>
        <w:rPr>
          <w:sz w:val="20"/>
          <w:szCs w:val="20"/>
          <w:color w:val="auto"/>
        </w:rPr>
      </w:pPr>
      <w:r>
        <w:rPr>
          <w:rFonts w:ascii="Arial" w:cs="Arial" w:eastAsia="Arial" w:hAnsi="Arial"/>
          <w:sz w:val="18"/>
          <w:szCs w:val="18"/>
          <w:color w:val="auto"/>
        </w:rPr>
        <w:t>On August 23, 2021, the Company filed a Certificate of Amendment to decrease the number of authorized shares of common stock by one half of the reverse stock split ratio (the “Decrease Shares Certificate of Amendment”) with the Secretary of State of the State of Delaware. The Decrease Shares Certificate of Amendment became effective as of 12:05 a.m. (Eastern Time) on August 26, 2021. Following the effectiveness of the Decrease Shares Certificate of Amendment, the number of authorized shares of common stock under the Company’s Certificate of Incorporation was reduced from 100 million shares to 20 million shares.</w:t>
      </w:r>
    </w:p>
    <w:p>
      <w:pPr>
        <w:spacing w:after="0" w:line="204" w:lineRule="exact"/>
        <w:rPr>
          <w:sz w:val="20"/>
          <w:szCs w:val="20"/>
          <w:color w:val="auto"/>
        </w:rPr>
      </w:pPr>
    </w:p>
    <w:p>
      <w:pPr>
        <w:ind w:firstLine="374"/>
        <w:spacing w:after="0" w:line="293" w:lineRule="auto"/>
        <w:rPr>
          <w:sz w:val="20"/>
          <w:szCs w:val="20"/>
          <w:color w:val="auto"/>
        </w:rPr>
      </w:pPr>
      <w:r>
        <w:rPr>
          <w:rFonts w:ascii="Arial" w:cs="Arial" w:eastAsia="Arial" w:hAnsi="Arial"/>
          <w:sz w:val="18"/>
          <w:szCs w:val="18"/>
          <w:color w:val="auto"/>
        </w:rPr>
        <w:t>The Reverse Stock Split Certificate of Amendment and the Decrease Shares Certificate of Amendment were approved by the Company’s stockholders at its annual meeting held on June 7, 2021 and were approved by the Board on August 4, 2021.</w:t>
      </w:r>
    </w:p>
    <w:p>
      <w:pPr>
        <w:spacing w:after="0" w:line="112" w:lineRule="exact"/>
        <w:rPr>
          <w:sz w:val="20"/>
          <w:szCs w:val="20"/>
          <w:color w:val="auto"/>
        </w:rPr>
      </w:pPr>
    </w:p>
    <w:p>
      <w:pPr>
        <w:ind w:left="380" w:right="7440" w:hanging="372"/>
        <w:spacing w:after="0" w:line="464" w:lineRule="auto"/>
        <w:tabs>
          <w:tab w:leader="none" w:pos="36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ind w:firstLine="374"/>
        <w:spacing w:after="0" w:line="293" w:lineRule="auto"/>
        <w:rPr>
          <w:sz w:val="20"/>
          <w:szCs w:val="20"/>
          <w:color w:val="auto"/>
        </w:rPr>
      </w:pPr>
      <w:r>
        <w:rPr>
          <w:rFonts w:ascii="Arial" w:cs="Arial" w:eastAsia="Arial" w:hAnsi="Arial"/>
          <w:sz w:val="16"/>
          <w:szCs w:val="16"/>
          <w:color w:val="auto"/>
        </w:rPr>
        <w:t>The accompanying unaudited consolidated financial statements have been prepared on the accrual basis of accounting in conformity with U.S. generally accepted accounting principles (“GAAP”) for interim financial information. Accordingly, they do not include all of the information and footnotes required for annual consolidated financial statements. The unaudited interim consolidated financial statements (“consolidated financial statements”) and notes thereto should be read in conjunction with the financial statements and notes thereto in the Company’s Form 10-K for the year ended December 31, 2020, as filed with the U.S. Securities and Exchange Commission (the “Commission” or the “SEC”). The Company is an investment company and follows accounting and reporting guidance in Accounting Standards Codification (“ASC”) topic 946 – Financial Services – Investment Companies.</w:t>
      </w:r>
    </w:p>
    <w:p>
      <w:pPr>
        <w:spacing w:after="0" w:line="124"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w:t>
      </w:r>
    </w:p>
    <w:p>
      <w:pPr>
        <w:spacing w:after="0" w:line="149"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Garrison Funding 2018-2 Ltd. (“GF CLO 2018-2”), Great Lakes KCAP Funding I LLC, Kohlberg Capital Funding I LLC, KCAP Senior Funding I, LLC, KCAP Funding I Holdings, LLC and Great Lakes Portman Ridge Funding, LLC and HCAP ICC, LLC in its consolidated financial statements as they are operated solely for investment activities of the Company. The creditors of Great Lakes KCAP Senior Funding I, LLC and Great Lakes Portman Ridge Funding, LLC received security interests in the assets which are owned by them and such assets are not intended to be available to the creditors of Portman Ridge Finance Corporation., or any other affiliate. All of the borrowings of Kohlberg Capital Funding LLC I, KCAP Senior Funding I, LLC Great Lakes KCAP Funding I, LLC and HCAP ICC, LLC have been fully repaid. The Company also consolidates various subsidiaries (KCAP Coastal, LLC, PTMN Sub Holdings, LLC, OHA Funding, LP, Garrison Capital Equity Holdings I LLC, Garrison Capital Equity Holdings II, LLC, Garrison Capital Equity Holdings VIII LLC, Garrison Capital Equity Holdings XI LLC, GIG Rooster Holdings, LLC and HCAP Equity Holdings, LLC) created primarily to provide specific tax treatment for the equity and other investments held by these entities.</w:t>
      </w:r>
    </w:p>
    <w:p>
      <w:pPr>
        <w:spacing w:after="0" w:line="77"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w:t>
      </w:r>
    </w:p>
    <w:p>
      <w:pPr>
        <w:spacing w:after="0" w:line="143" w:lineRule="exact"/>
        <w:rPr>
          <w:sz w:val="20"/>
          <w:szCs w:val="20"/>
          <w:color w:val="auto"/>
        </w:rPr>
      </w:pPr>
    </w:p>
    <w:p>
      <w:pPr>
        <w:ind w:right="260" w:firstLine="374"/>
        <w:spacing w:after="0" w:line="263" w:lineRule="auto"/>
        <w:rPr>
          <w:sz w:val="20"/>
          <w:szCs w:val="20"/>
          <w:color w:val="auto"/>
        </w:rPr>
      </w:pPr>
      <w:r>
        <w:rPr>
          <w:rFonts w:ascii="Arial" w:cs="Arial" w:eastAsia="Arial" w:hAnsi="Arial"/>
          <w:sz w:val="18"/>
          <w:szCs w:val="18"/>
          <w:color w:val="auto"/>
        </w:rPr>
        <w:t>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43" w:lineRule="exact"/>
        <w:rPr>
          <w:sz w:val="20"/>
          <w:szCs w:val="20"/>
          <w:color w:val="auto"/>
        </w:rPr>
      </w:pPr>
    </w:p>
    <w:p>
      <w:pPr>
        <w:ind w:right="80" w:firstLine="374"/>
        <w:spacing w:after="0" w:line="284" w:lineRule="auto"/>
        <w:rPr>
          <w:sz w:val="20"/>
          <w:szCs w:val="20"/>
          <w:color w:val="auto"/>
        </w:rPr>
      </w:pPr>
      <w:r>
        <w:rPr>
          <w:rFonts w:ascii="Arial" w:cs="Arial" w:eastAsia="Arial" w:hAnsi="Arial"/>
          <w:sz w:val="16"/>
          <w:szCs w:val="16"/>
          <w:color w:val="auto"/>
        </w:rPr>
        <w:t>It is the Company’s primary investment objective to generate current income and capital appreciation by lending directly to privately-held middle market companies. During the quarter ended September 30, 2021, the Company provided approximately $95.9 million to portfolio companies. Approximately $48.7 million of this support was contractually obligated. See also Note 8 – Commitments and Contingencies. As of September 30, 2021, the Company held loans it has made to 145 investee companies with aggregate principal amounts of approximately $485.1 million. The details of such loans have been disclosed on the unaudited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nine months ended September 30, 2021 and 2020, the Company did not recognize any fee income from such or similar activities.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42" w:name="page43"/>
    <w:bookmarkEnd w:id="42"/>
    <w:p>
      <w:pPr>
        <w:ind w:left="380"/>
        <w:spacing w:after="0"/>
        <w:rPr>
          <w:sz w:val="20"/>
          <w:szCs w:val="20"/>
          <w:color w:val="auto"/>
        </w:rPr>
      </w:pPr>
      <w:r>
        <w:rPr>
          <w:rFonts w:ascii="Arial" w:cs="Arial" w:eastAsia="Arial" w:hAnsi="Arial"/>
          <w:sz w:val="18"/>
          <w:szCs w:val="18"/>
          <w:i w:val="1"/>
          <w:iCs w:val="1"/>
          <w:color w:val="auto"/>
        </w:rPr>
        <w:t>Recent Accounting Pronouncements</w:t>
      </w:r>
    </w:p>
    <w:p>
      <w:pPr>
        <w:spacing w:after="0" w:line="23" w:lineRule="exact"/>
        <w:rPr>
          <w:sz w:val="20"/>
          <w:szCs w:val="20"/>
          <w:color w:val="auto"/>
        </w:rPr>
      </w:pPr>
    </w:p>
    <w:p>
      <w:pPr>
        <w:ind w:right="80" w:firstLine="374"/>
        <w:spacing w:after="0" w:line="252" w:lineRule="auto"/>
        <w:rPr>
          <w:sz w:val="20"/>
          <w:szCs w:val="20"/>
          <w:color w:val="auto"/>
        </w:rPr>
      </w:pPr>
      <w:r>
        <w:rPr>
          <w:rFonts w:ascii="Arial" w:cs="Arial" w:eastAsia="Arial" w:hAnsi="Arial"/>
          <w:sz w:val="18"/>
          <w:szCs w:val="18"/>
          <w:color w:val="auto"/>
        </w:rPr>
        <w:t>In March 2020, the Financial Accounting Standards Board issued Accounting Standards Update 2020-04, Reference Rate Reform (Topic 848) – Facilitation of the Effects of Reference Rate Reform on Financial Reporting (“ASU 2020-04”). The guidance provides optional expedients and exceptions for applying GAAP to contracts, hedging relationships, and other transactions, subject to meeting certain criteria, that reference London Interbank Offered Rate (“LIBOR”) or another reference rate expected to be discontinued because of reference rate reform. ASU 2020-04 is effective for all entities as of March 12, 2020 through December 31, 2022. Management continues to assess the impact that the adoption of this guidance will have on the Company’s financial position, results of operations and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140" w:lineRule="exact"/>
        <w:rPr>
          <w:sz w:val="20"/>
          <w:szCs w:val="20"/>
          <w:color w:val="auto"/>
        </w:rPr>
      </w:pPr>
    </w:p>
    <w:p>
      <w:pPr>
        <w:ind w:right="60" w:firstLine="374"/>
        <w:spacing w:after="0" w:line="285" w:lineRule="auto"/>
        <w:rPr>
          <w:sz w:val="20"/>
          <w:szCs w:val="20"/>
          <w:color w:val="auto"/>
        </w:rPr>
      </w:pPr>
      <w:r>
        <w:rPr>
          <w:rFonts w:ascii="Arial" w:cs="Arial" w:eastAsia="Arial" w:hAnsi="Arial"/>
          <w:sz w:val="16"/>
          <w:szCs w:val="16"/>
          <w:i w:val="1"/>
          <w:iCs w:val="1"/>
          <w:color w:val="auto"/>
        </w:rPr>
        <w:t xml:space="preserve">Valuation of Portfolio Investments. </w:t>
      </w:r>
      <w:r>
        <w:rPr>
          <w:rFonts w:ascii="Arial" w:cs="Arial" w:eastAsia="Arial" w:hAnsi="Arial"/>
          <w:sz w:val="16"/>
          <w:szCs w:val="16"/>
          <w:color w:val="auto"/>
        </w:rPr>
        <w:t>The Board is ultimately and solely responsible for making a good faith determination of the fair value of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w:t>
      </w:r>
    </w:p>
    <w:p>
      <w:pPr>
        <w:spacing w:after="0" w:line="2" w:lineRule="exact"/>
        <w:rPr>
          <w:sz w:val="20"/>
          <w:szCs w:val="20"/>
          <w:color w:val="auto"/>
        </w:rPr>
      </w:pPr>
    </w:p>
    <w:p>
      <w:pPr>
        <w:ind w:right="220" w:firstLine="8"/>
        <w:spacing w:after="0" w:line="255" w:lineRule="auto"/>
        <w:tabs>
          <w:tab w:leader="none" w:pos="3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w:t>
      </w:r>
    </w:p>
    <w:p>
      <w:pPr>
        <w:spacing w:after="0" w:line="82" w:lineRule="exact"/>
        <w:rPr>
          <w:sz w:val="20"/>
          <w:szCs w:val="20"/>
          <w:color w:val="auto"/>
        </w:rPr>
      </w:pPr>
    </w:p>
    <w:p>
      <w:pPr>
        <w:ind w:right="100" w:firstLine="374"/>
        <w:spacing w:after="0" w:line="257" w:lineRule="auto"/>
        <w:rPr>
          <w:sz w:val="20"/>
          <w:szCs w:val="20"/>
          <w:color w:val="auto"/>
        </w:rPr>
      </w:pPr>
      <w:r>
        <w:rPr>
          <w:rFonts w:ascii="Arial" w:cs="Arial" w:eastAsia="Arial" w:hAnsi="Arial"/>
          <w:sz w:val="18"/>
          <w:szCs w:val="18"/>
          <w:color w:val="auto"/>
        </w:rPr>
        <w:t>The Company utilizes independent valuation firms to provide third party valuation consulting services. Each quarter the independent valuation firm performs valuations of the Company’s investments in material illiquid securities such that they are independently valued at least once during a trailing 12-month period. These third-party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80"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The Board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70" w:lineRule="exact"/>
        <w:rPr>
          <w:sz w:val="20"/>
          <w:szCs w:val="20"/>
          <w:color w:val="auto"/>
        </w:rPr>
      </w:pPr>
    </w:p>
    <w:p>
      <w:pPr>
        <w:ind w:right="140" w:firstLine="37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296"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i w:val="1"/>
          <w:iCs w:val="1"/>
          <w:color w:val="auto"/>
        </w:rPr>
        <w:t xml:space="preserve">Foreign Currency Translations. </w:t>
      </w:r>
      <w:r>
        <w:rPr>
          <w:rFonts w:ascii="Arial" w:cs="Arial" w:eastAsia="Arial" w:hAnsi="Arial"/>
          <w:sz w:val="18"/>
          <w:szCs w:val="18"/>
          <w:color w:val="auto"/>
        </w:rPr>
        <w:t>The accounting records of the Company are maintained in U.S. dollars. All assets and liabilities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currencies are translated into U.S. dollars based on the foreign exchange rate on the date of valuation. The Company does not isolate that portion of the results of operations resulting from changes in foreign exchange rates on investments from the fluctuations arising from changes in market prices of securities held. The Company’s investments in foreign securities may involve certain risks, including without limitation: foreign exchange restrictions, expropriation, taxation or other political, social or economic risks, all of which could affect the market and/or credit risk of the investment. In addition, changes in the relationship of foreign currencies to the U.S. dollar can significantly affect the value of these investments and therefore the earnings of the Company.</w:t>
      </w:r>
    </w:p>
    <w:p>
      <w:pPr>
        <w:spacing w:after="0" w:line="200" w:lineRule="exact"/>
        <w:rPr>
          <w:sz w:val="20"/>
          <w:szCs w:val="20"/>
          <w:color w:val="auto"/>
        </w:rPr>
      </w:pPr>
    </w:p>
    <w:p>
      <w:pPr>
        <w:spacing w:after="0" w:line="211" w:lineRule="exact"/>
        <w:rPr>
          <w:sz w:val="20"/>
          <w:szCs w:val="20"/>
          <w:color w:val="auto"/>
        </w:rPr>
      </w:pPr>
    </w:p>
    <w:p>
      <w:pPr>
        <w:ind w:right="40" w:firstLine="374"/>
        <w:spacing w:after="0" w:line="253" w:lineRule="auto"/>
        <w:rPr>
          <w:sz w:val="20"/>
          <w:szCs w:val="20"/>
          <w:color w:val="auto"/>
        </w:rPr>
      </w:pPr>
      <w:r>
        <w:rPr>
          <w:rFonts w:ascii="Arial" w:cs="Arial" w:eastAsia="Arial" w:hAnsi="Arial"/>
          <w:sz w:val="18"/>
          <w:szCs w:val="18"/>
          <w:i w:val="1"/>
          <w:iCs w:val="1"/>
          <w:color w:val="auto"/>
        </w:rPr>
        <w:t>Debt Securities</w:t>
      </w:r>
      <w:r>
        <w:rPr>
          <w:rFonts w:ascii="Arial" w:cs="Arial" w:eastAsia="Arial" w:hAnsi="Arial"/>
          <w:sz w:val="18"/>
          <w:szCs w:val="18"/>
          <w:color w:val="auto"/>
        </w:rPr>
        <w:t>. To the extent that the Company’s investments are exchange traded and are priced or have sufficient price indications from normal</w:t>
      </w:r>
      <w:r>
        <w:rPr>
          <w:rFonts w:ascii="Arial" w:cs="Arial" w:eastAsia="Arial" w:hAnsi="Arial"/>
          <w:sz w:val="18"/>
          <w:szCs w:val="18"/>
          <w:i w:val="1"/>
          <w:iCs w:val="1"/>
          <w:color w:val="auto"/>
        </w:rPr>
        <w:t xml:space="preserve"> </w:t>
      </w:r>
      <w:r>
        <w:rPr>
          <w:rFonts w:ascii="Arial" w:cs="Arial" w:eastAsia="Arial" w:hAnsi="Arial"/>
          <w:sz w:val="18"/>
          <w:szCs w:val="18"/>
          <w:color w:val="auto"/>
        </w:rPr>
        <w:t>course 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43" w:name="page44"/>
    <w:bookmarkEnd w:id="43"/>
    <w:p>
      <w:pPr>
        <w:ind w:right="480"/>
        <w:spacing w:after="0" w:line="277" w:lineRule="auto"/>
        <w:rPr>
          <w:sz w:val="20"/>
          <w:szCs w:val="20"/>
          <w:color w:val="auto"/>
        </w:rPr>
      </w:pPr>
      <w:r>
        <w:rPr>
          <w:rFonts w:ascii="Arial" w:cs="Arial" w:eastAsia="Arial" w:hAnsi="Arial"/>
          <w:sz w:val="18"/>
          <w:szCs w:val="18"/>
          <w:color w:val="auto"/>
        </w:rPr>
        <w:t>fair value using alternative methodologies such as available market data, as adjusted, to reflect the types of assets the Company owns, their structure, qualitative and credit attributes and other asset-specific characteristics.</w:t>
      </w:r>
    </w:p>
    <w:p>
      <w:pPr>
        <w:spacing w:after="0" w:line="62" w:lineRule="exact"/>
        <w:rPr>
          <w:sz w:val="20"/>
          <w:szCs w:val="20"/>
          <w:color w:val="auto"/>
        </w:rPr>
      </w:pPr>
    </w:p>
    <w:p>
      <w:pPr>
        <w:ind w:firstLine="37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leveraged loan and high-yield bond indices, at the valuation date. The Company has identified these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 included herein.</w:t>
      </w:r>
    </w:p>
    <w:p>
      <w:pPr>
        <w:spacing w:after="0" w:line="66"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87" w:lineRule="exact"/>
        <w:rPr>
          <w:sz w:val="20"/>
          <w:szCs w:val="20"/>
          <w:color w:val="auto"/>
        </w:rPr>
      </w:pPr>
    </w:p>
    <w:p>
      <w:pPr>
        <w:ind w:right="260" w:firstLine="374"/>
        <w:spacing w:after="0" w:line="293" w:lineRule="auto"/>
        <w:rPr>
          <w:sz w:val="20"/>
          <w:szCs w:val="20"/>
          <w:color w:val="auto"/>
        </w:rPr>
      </w:pPr>
      <w:r>
        <w:rPr>
          <w:rFonts w:ascii="Arial" w:cs="Arial" w:eastAsia="Arial" w:hAnsi="Arial"/>
          <w:sz w:val="16"/>
          <w:szCs w:val="16"/>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56" w:lineRule="exact"/>
        <w:rPr>
          <w:sz w:val="20"/>
          <w:szCs w:val="20"/>
          <w:color w:val="auto"/>
        </w:rPr>
      </w:pPr>
    </w:p>
    <w:p>
      <w:pPr>
        <w:ind w:right="20" w:firstLine="374"/>
        <w:spacing w:after="0" w:line="290" w:lineRule="auto"/>
        <w:rPr>
          <w:sz w:val="20"/>
          <w:szCs w:val="20"/>
          <w:color w:val="auto"/>
        </w:rPr>
      </w:pPr>
      <w:r>
        <w:rPr>
          <w:rFonts w:ascii="Arial" w:cs="Arial" w:eastAsia="Arial" w:hAnsi="Arial"/>
          <w:sz w:val="16"/>
          <w:szCs w:val="16"/>
          <w:i w:val="1"/>
          <w:iCs w:val="1"/>
          <w:color w:val="auto"/>
        </w:rPr>
        <w:t>Derivatives</w:t>
      </w:r>
      <w:r>
        <w:rPr>
          <w:rFonts w:ascii="Arial" w:cs="Arial" w:eastAsia="Arial" w:hAnsi="Arial"/>
          <w:sz w:val="16"/>
          <w:szCs w:val="16"/>
          <w:color w:val="auto"/>
        </w:rPr>
        <w:t>. The Company recognizes all derivative instruments as assets or liabilities at fair value in its financial statements. Derivative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by the Company are not designated as hedging instruments, and as a result the Company presents changes in fair value and realized gains or losses through current period earnings. Derivative instruments are measured in terms of the notional contract amount and derive their value based upon one or more underlying instruments. Derivative instruments are subject to various risks similar to non-derivative instruments including market, credit, liquidity, and operational risks. The Company manages these risks on an aggregate basis as part of its risk management process. The derivatives may require the Company to pay or receive an upfront fee or premium. These upfront fees or premiums are carried forward as cost or proceeds to the derivatives. The Company generally records a realized gain or loss on the expiration, termination, or settlement of a derivative contract. The periodic payments for the securities Swap and Option Agreement (excluding collateral) are included as a realized gain or loss.</w:t>
      </w:r>
    </w:p>
    <w:p>
      <w:pPr>
        <w:spacing w:after="0" w:line="57" w:lineRule="exact"/>
        <w:rPr>
          <w:sz w:val="20"/>
          <w:szCs w:val="20"/>
          <w:color w:val="auto"/>
        </w:rPr>
      </w:pPr>
    </w:p>
    <w:p>
      <w:pPr>
        <w:ind w:right="20" w:firstLine="374"/>
        <w:spacing w:after="0" w:line="274" w:lineRule="auto"/>
        <w:rPr>
          <w:sz w:val="20"/>
          <w:szCs w:val="20"/>
          <w:color w:val="auto"/>
        </w:rPr>
      </w:pPr>
      <w:r>
        <w:rPr>
          <w:rFonts w:ascii="Arial" w:cs="Arial" w:eastAsia="Arial" w:hAnsi="Arial"/>
          <w:sz w:val="17"/>
          <w:szCs w:val="17"/>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44" w:name="page45"/>
    <w:bookmarkEnd w:id="44"/>
    <w:p>
      <w:pPr>
        <w:ind w:right="40" w:firstLine="374"/>
        <w:spacing w:after="0" w:line="291" w:lineRule="auto"/>
        <w:rPr>
          <w:sz w:val="20"/>
          <w:szCs w:val="20"/>
          <w:color w:val="auto"/>
        </w:rPr>
      </w:pPr>
      <w:r>
        <w:rPr>
          <w:rFonts w:ascii="Arial" w:cs="Arial" w:eastAsia="Arial" w:hAnsi="Arial"/>
          <w:sz w:val="16"/>
          <w:szCs w:val="16"/>
          <w:i w:val="1"/>
          <w:iCs w:val="1"/>
          <w:color w:val="auto"/>
        </w:rPr>
        <w:t>Asset Manager Affiliates</w:t>
      </w:r>
      <w:r>
        <w:rPr>
          <w:rFonts w:ascii="Arial" w:cs="Arial" w:eastAsia="Arial" w:hAnsi="Arial"/>
          <w:sz w:val="16"/>
          <w:szCs w:val="16"/>
          <w:color w:val="auto"/>
        </w:rPr>
        <w:t>. The Company sold substantially all of its investment in the Asset Manager Affiliates on December 31, 2018. Previously,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investments in its wholly-owned Asset Manager Affiliates, were carried at fair value, which was primarily determined utilizing the discounted cash flow approach, which incorporated different levels of discount rates depending on the hierarchy of fees earned (including the likelihood of realization of senior, subordinate and incentive fees) and prospective modeled performance. Such valuation took into consideration an analysis of comparable asset management companies and the amount of assets under management. Any change in value from period to period was recognized as net change in unrealized appreciation or depreciation. The Company continues to own certain Asset Manager Affiliates legal entities which the Company values at zero. Until such entities are disposed, the Company continues to carry the cost of the Asset Manager Affiliates on the Consolidated Schedule of Investments.</w:t>
      </w:r>
    </w:p>
    <w:p>
      <w:pPr>
        <w:spacing w:after="0" w:line="58" w:lineRule="exact"/>
        <w:rPr>
          <w:sz w:val="20"/>
          <w:szCs w:val="20"/>
          <w:color w:val="auto"/>
        </w:rPr>
      </w:pPr>
    </w:p>
    <w:p>
      <w:pPr>
        <w:ind w:right="800" w:firstLine="374"/>
        <w:spacing w:after="0" w:line="277"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non-controlling investment in the most junior class of securities of CLO Funds.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held by CLO Funds generally relate to non-investment grade credit instruments issued by corporations.</w:t>
      </w:r>
    </w:p>
    <w:p>
      <w:pPr>
        <w:spacing w:after="0" w:line="62"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60" w:lineRule="exact"/>
        <w:rPr>
          <w:sz w:val="20"/>
          <w:szCs w:val="20"/>
          <w:color w:val="auto"/>
        </w:rPr>
      </w:pPr>
    </w:p>
    <w:p>
      <w:pPr>
        <w:ind w:right="120" w:firstLine="37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58" w:lineRule="exact"/>
        <w:rPr>
          <w:sz w:val="20"/>
          <w:szCs w:val="20"/>
          <w:color w:val="auto"/>
        </w:rPr>
      </w:pPr>
    </w:p>
    <w:p>
      <w:pPr>
        <w:ind w:right="120" w:firstLine="374"/>
        <w:spacing w:after="0" w:line="275"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Short-term investments</w:t>
      </w:r>
      <w:r>
        <w:rPr>
          <w:rFonts w:ascii="Arial" w:cs="Arial" w:eastAsia="Arial" w:hAnsi="Arial"/>
          <w:sz w:val="17"/>
          <w:szCs w:val="17"/>
          <w:color w:val="auto"/>
        </w:rPr>
        <w:t>. Short-term investments are generally comprised of money market accounts, time deposits, and U.S. treasury bills.</w:t>
      </w:r>
    </w:p>
    <w:p>
      <w:pPr>
        <w:spacing w:after="0" w:line="129"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i w:val="1"/>
          <w:iCs w:val="1"/>
          <w:color w:val="auto"/>
        </w:rPr>
        <w:t>Joint Ventures</w:t>
      </w:r>
      <w:r>
        <w:rPr>
          <w:rFonts w:ascii="Arial" w:cs="Arial" w:eastAsia="Arial" w:hAnsi="Arial"/>
          <w:sz w:val="18"/>
          <w:szCs w:val="18"/>
          <w:color w:val="auto"/>
        </w:rPr>
        <w:t>. The Company carries investments in joint ventures (“Joint Ventures”) at fair value based upon the fair value of the investments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joint venture. See Note 4 below, for more information regarding the Joint Ventures.</w:t>
      </w:r>
    </w:p>
    <w:p>
      <w:pPr>
        <w:spacing w:after="0" w:line="62" w:lineRule="exact"/>
        <w:rPr>
          <w:sz w:val="20"/>
          <w:szCs w:val="20"/>
          <w:color w:val="auto"/>
        </w:rPr>
      </w:pPr>
    </w:p>
    <w:p>
      <w:pPr>
        <w:ind w:right="60" w:firstLine="374"/>
        <w:spacing w:after="0" w:line="311"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Cash and cash equivalents include short-term, highly liquid investments, readily convertible to know amounts cash, with</w:t>
      </w:r>
      <w:r>
        <w:rPr>
          <w:rFonts w:ascii="Arial" w:cs="Arial" w:eastAsia="Arial" w:hAnsi="Arial"/>
          <w:sz w:val="16"/>
          <w:szCs w:val="16"/>
          <w:i w:val="1"/>
          <w:iCs w:val="1"/>
          <w:color w:val="auto"/>
        </w:rPr>
        <w:t xml:space="preserve"> </w:t>
      </w:r>
      <w:r>
        <w:rPr>
          <w:rFonts w:ascii="Arial" w:cs="Arial" w:eastAsia="Arial" w:hAnsi="Arial"/>
          <w:sz w:val="16"/>
          <w:szCs w:val="16"/>
          <w:color w:val="auto"/>
        </w:rPr>
        <w:t>an original maturity of three months or less in accounts such as demand deposit accounts, money market accounts, certain overnight investment sweep accounts and money market fund accounts. The company records cash and cash equivalents at amortized cost, which approximates fair value.</w:t>
      </w:r>
    </w:p>
    <w:p>
      <w:pPr>
        <w:spacing w:after="0" w:line="41"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Restricted cash and cash equivalents (e.g., money market funds) generally consists of cash held for interest and principal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Company’s borrowings.</w:t>
      </w:r>
    </w:p>
    <w:p>
      <w:pPr>
        <w:spacing w:after="0" w:line="62" w:lineRule="exact"/>
        <w:rPr>
          <w:sz w:val="20"/>
          <w:szCs w:val="20"/>
          <w:color w:val="auto"/>
        </w:rPr>
      </w:pPr>
    </w:p>
    <w:p>
      <w:pPr>
        <w:ind w:right="80" w:firstLine="374"/>
        <w:spacing w:after="0" w:line="253"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including the amortization of premium and accretion of discount and accrual of payment-in-kind (“PIK”) interest, is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on the accrual basis to the 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Loan origination fees, original issue discount (“OID”), and market discounts are capitalized and accreted into interest income over the</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45" w:name="page46"/>
    <w:bookmarkEnd w:id="45"/>
    <w:p>
      <w:pPr>
        <w:ind w:right="340"/>
        <w:spacing w:after="0" w:line="277" w:lineRule="auto"/>
        <w:rPr>
          <w:sz w:val="20"/>
          <w:szCs w:val="20"/>
          <w:color w:val="auto"/>
        </w:rPr>
      </w:pPr>
      <w:r>
        <w:rPr>
          <w:rFonts w:ascii="Arial" w:cs="Arial" w:eastAsia="Arial" w:hAnsi="Arial"/>
          <w:sz w:val="18"/>
          <w:szCs w:val="18"/>
          <w:color w:val="auto"/>
        </w:rPr>
        <w:t>respective terms of the applicable loans. Upon the prepayment of a loan, prepayment premiums, any unamortized loan origination fees, OID, or market discounts are recorded as interest income.</w:t>
      </w:r>
    </w:p>
    <w:p>
      <w:pPr>
        <w:spacing w:after="0" w:line="62" w:lineRule="exact"/>
        <w:rPr>
          <w:sz w:val="20"/>
          <w:szCs w:val="20"/>
          <w:color w:val="auto"/>
        </w:rPr>
      </w:pPr>
    </w:p>
    <w:p>
      <w:pPr>
        <w:ind w:right="200" w:firstLine="374"/>
        <w:spacing w:after="0" w:line="279" w:lineRule="auto"/>
        <w:rPr>
          <w:sz w:val="20"/>
          <w:szCs w:val="20"/>
          <w:color w:val="auto"/>
        </w:rPr>
      </w:pPr>
      <w:r>
        <w:rPr>
          <w:rFonts w:ascii="Arial" w:cs="Arial" w:eastAsia="Arial" w:hAnsi="Arial"/>
          <w:sz w:val="17"/>
          <w:szCs w:val="17"/>
          <w:color w:val="auto"/>
        </w:rPr>
        <w:t>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September 30, 2021, six of our debt investments were on non-accrual status.</w:t>
      </w:r>
    </w:p>
    <w:p>
      <w:pPr>
        <w:spacing w:after="0" w:line="131" w:lineRule="exact"/>
        <w:rPr>
          <w:sz w:val="20"/>
          <w:szCs w:val="20"/>
          <w:color w:val="auto"/>
        </w:rPr>
      </w:pPr>
    </w:p>
    <w:p>
      <w:pPr>
        <w:ind w:right="120" w:firstLine="419"/>
        <w:spacing w:after="0" w:line="254" w:lineRule="auto"/>
        <w:rPr>
          <w:sz w:val="20"/>
          <w:szCs w:val="20"/>
          <w:color w:val="auto"/>
        </w:rPr>
      </w:pPr>
      <w:r>
        <w:rPr>
          <w:rFonts w:ascii="Arial" w:cs="Arial" w:eastAsia="Arial" w:hAnsi="Arial"/>
          <w:sz w:val="18"/>
          <w:szCs w:val="18"/>
          <w:i w:val="1"/>
          <w:iCs w:val="1"/>
          <w:color w:val="auto"/>
        </w:rPr>
        <w:t xml:space="preserve">Distributions from Asset Manager Affiliates. </w:t>
      </w:r>
      <w:r>
        <w:rPr>
          <w:rFonts w:ascii="Arial" w:cs="Arial" w:eastAsia="Arial" w:hAnsi="Arial"/>
          <w:sz w:val="18"/>
          <w:szCs w:val="18"/>
          <w:color w:val="auto"/>
        </w:rPr>
        <w:t>The Company records distributions from the Asset Manager Affiliates on the declaration date,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from tax-basis earnings and profits (i.e., dividend income) or return of capital (i.e., adjustment to the Company’s cost basis in the Asset Manager Affiliates). The final determination of the tax attributes of distributions from the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87"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i w:val="1"/>
          <w:iCs w:val="1"/>
          <w:color w:val="auto"/>
        </w:rPr>
        <w:t>Investment Income on CLO Fund Securities</w:t>
      </w:r>
      <w:r>
        <w:rPr>
          <w:rFonts w:ascii="Arial" w:cs="Arial" w:eastAsia="Arial" w:hAnsi="Arial"/>
          <w:sz w:val="18"/>
          <w:szCs w:val="18"/>
          <w:color w:val="auto"/>
        </w:rPr>
        <w:t>. The Company generates investment income from its investments in the most junior class of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CLO Funds (typically preferred shares or subordinated securities).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84" w:lineRule="exact"/>
        <w:rPr>
          <w:sz w:val="20"/>
          <w:szCs w:val="20"/>
          <w:color w:val="auto"/>
        </w:rPr>
      </w:pPr>
    </w:p>
    <w:p>
      <w:pPr>
        <w:ind w:right="80" w:firstLine="374"/>
        <w:spacing w:after="0" w:line="271"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 For U.S. tax purposes, these CLO equity investments are treated as Passive Foreign Investment Companies (“PFICs”). Taxable income is provided on a PFIC statement, where income and capital gains are determined based on the U.S. shareholder's proportionate ownership of the PFIC.</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117" w:lineRule="exact"/>
        <w:rPr>
          <w:sz w:val="20"/>
          <w:szCs w:val="20"/>
          <w:color w:val="auto"/>
        </w:rPr>
      </w:pPr>
    </w:p>
    <w:p>
      <w:pPr>
        <w:jc w:val="both"/>
        <w:ind w:right="120" w:firstLine="374"/>
        <w:spacing w:after="0" w:line="257" w:lineRule="auto"/>
        <w:rPr>
          <w:sz w:val="20"/>
          <w:szCs w:val="20"/>
          <w:color w:val="auto"/>
        </w:rPr>
      </w:pPr>
      <w:r>
        <w:rPr>
          <w:rFonts w:ascii="Arial" w:cs="Arial" w:eastAsia="Arial" w:hAnsi="Arial"/>
          <w:sz w:val="18"/>
          <w:szCs w:val="18"/>
          <w:i w:val="1"/>
          <w:iCs w:val="1"/>
          <w:color w:val="auto"/>
        </w:rPr>
        <w:t>Investment Income on Joint Ventures</w:t>
      </w:r>
      <w:r>
        <w:rPr>
          <w:rFonts w:ascii="Arial" w:cs="Arial" w:eastAsia="Arial" w:hAnsi="Arial"/>
          <w:sz w:val="18"/>
          <w:szCs w:val="18"/>
          <w:color w:val="auto"/>
        </w:rPr>
        <w:t>. The Company recognizes investment income on its investment in the Joint Ventures based upon its share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earnings and profits of the Joint Venture on the ex-dividend or ex-distribution date. The final determination of the tax attributes of distributions from the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80" w:lineRule="exact"/>
        <w:rPr>
          <w:sz w:val="20"/>
          <w:szCs w:val="20"/>
          <w:color w:val="auto"/>
        </w:rPr>
      </w:pPr>
    </w:p>
    <w:p>
      <w:pPr>
        <w:jc w:val="both"/>
        <w:ind w:right="320" w:firstLine="374"/>
        <w:spacing w:after="0" w:line="259"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79"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i w:val="1"/>
          <w:iCs w:val="1"/>
          <w:color w:val="auto"/>
        </w:rPr>
        <w:t>Debt Issuance Costs and Issuance Discounts</w:t>
      </w:r>
      <w:r>
        <w:rPr>
          <w:rFonts w:ascii="Arial" w:cs="Arial" w:eastAsia="Arial" w:hAnsi="Arial"/>
          <w:sz w:val="18"/>
          <w:szCs w:val="18"/>
          <w:color w:val="auto"/>
        </w:rPr>
        <w:t>. Debt issuance costs, including original issue discounts, represent fees and other direct costs incurred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Company’s borrowings. These amounts are capitalized, presented as a reduction of debt, and amortized using the effective interest method and included as a component of interest expense over the expected term of the borrowing.</w:t>
      </w:r>
    </w:p>
    <w:p>
      <w:pPr>
        <w:spacing w:after="0" w:line="76" w:lineRule="exact"/>
        <w:rPr>
          <w:sz w:val="20"/>
          <w:szCs w:val="20"/>
          <w:color w:val="auto"/>
        </w:rPr>
      </w:pPr>
    </w:p>
    <w:p>
      <w:pPr>
        <w:ind w:right="160" w:firstLine="374"/>
        <w:spacing w:after="0" w:line="301" w:lineRule="auto"/>
        <w:rPr>
          <w:sz w:val="20"/>
          <w:szCs w:val="20"/>
          <w:color w:val="auto"/>
        </w:rPr>
      </w:pPr>
      <w:r>
        <w:rPr>
          <w:rFonts w:ascii="Arial" w:cs="Arial" w:eastAsia="Arial" w:hAnsi="Arial"/>
          <w:sz w:val="16"/>
          <w:szCs w:val="16"/>
          <w:i w:val="1"/>
          <w:iCs w:val="1"/>
          <w:color w:val="auto"/>
        </w:rPr>
        <w:t>Extinguishment of Debt</w:t>
      </w:r>
      <w:r>
        <w:rPr>
          <w:rFonts w:ascii="Arial" w:cs="Arial" w:eastAsia="Arial" w:hAnsi="Arial"/>
          <w:sz w:val="16"/>
          <w:szCs w:val="16"/>
          <w:color w:val="auto"/>
        </w:rPr>
        <w:t>. The Company must derecognize a liability if and only if it has been extinguished through delivery of cash, delivery of other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49" w:lineRule="exact"/>
        <w:rPr>
          <w:sz w:val="20"/>
          <w:szCs w:val="20"/>
          <w:color w:val="auto"/>
        </w:rPr>
      </w:pPr>
    </w:p>
    <w:p>
      <w:pPr>
        <w:ind w:right="280" w:firstLine="374"/>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Company is externally managed and in connection with the Advisory Agreement, pays the Adviser certain 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reimburses the Adviser and Administrator for certain expenses incurred in connection with the services they provide. See Note 5 “Related Party Transactions - Payment of Expenses under the Advisory and Administration Agreements.”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6" w:name="page47"/>
    <w:bookmarkEnd w:id="46"/>
    <w:p>
      <w:pPr>
        <w:ind w:right="660" w:firstLine="374"/>
        <w:spacing w:after="0" w:line="259" w:lineRule="auto"/>
        <w:rPr>
          <w:sz w:val="20"/>
          <w:szCs w:val="20"/>
          <w:color w:val="auto"/>
        </w:rPr>
      </w:pPr>
      <w:r>
        <w:rPr>
          <w:rFonts w:ascii="Arial" w:cs="Arial" w:eastAsia="Arial" w:hAnsi="Arial"/>
          <w:sz w:val="18"/>
          <w:szCs w:val="18"/>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Board each quarter. 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200" w:lineRule="exact"/>
        <w:rPr>
          <w:sz w:val="20"/>
          <w:szCs w:val="20"/>
          <w:color w:val="auto"/>
        </w:rPr>
      </w:pPr>
    </w:p>
    <w:p>
      <w:pPr>
        <w:spacing w:after="0" w:line="239"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(LOSSES) PER SHARE</w:t>
      </w:r>
    </w:p>
    <w:p>
      <w:pPr>
        <w:spacing w:after="0" w:line="229"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In accordance with the provisions of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4"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and nine months ended September 30, 2021 and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1"/>
              </w:rPr>
              <w:t>For the Three Months Ended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3"/>
              </w:rPr>
              <w:t>For the Nine Months Ended</w:t>
            </w: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58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0"/>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increase in net assets resulting from operations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9,144,486</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8,318,673</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28,025,986</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(17,450,561 )</w:t>
            </w:r>
          </w:p>
        </w:tc>
        <w:tc>
          <w:tcPr>
            <w:tcW w:w="0" w:type="dxa"/>
            <w:vAlign w:val="bottom"/>
          </w:tcPr>
          <w:p>
            <w:pPr>
              <w:spacing w:after="0"/>
              <w:rPr>
                <w:sz w:val="1"/>
                <w:szCs w:val="1"/>
                <w:color w:val="auto"/>
              </w:rPr>
            </w:pPr>
          </w:p>
        </w:tc>
      </w:tr>
      <w:tr>
        <w:trPr>
          <w:trHeight w:val="242"/>
        </w:trPr>
        <w:tc>
          <w:tcPr>
            <w:tcW w:w="58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95"/>
              </w:rPr>
              <w:t>Weighted average number of common and common stock equivalent shares</w:t>
            </w:r>
          </w:p>
        </w:tc>
        <w:tc>
          <w:tcPr>
            <w:tcW w:w="1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9,131,456</w:t>
            </w:r>
          </w:p>
        </w:tc>
        <w:tc>
          <w:tcPr>
            <w:tcW w:w="160" w:type="dxa"/>
            <w:vAlign w:val="bottom"/>
            <w:tcBorders>
              <w:top w:val="single" w:sz="8" w:color="CFF0F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4,441,778</w:t>
            </w:r>
          </w:p>
        </w:tc>
        <w:tc>
          <w:tcPr>
            <w:tcW w:w="10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8,213,661</w:t>
            </w:r>
          </w:p>
        </w:tc>
        <w:tc>
          <w:tcPr>
            <w:tcW w:w="60" w:type="dxa"/>
            <w:vAlign w:val="bottom"/>
            <w:tcBorders>
              <w:top w:val="single" w:sz="8" w:color="CFF0F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4,461,650</w:t>
            </w: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line="203" w:lineRule="exact"/>
              <w:rPr>
                <w:sz w:val="20"/>
                <w:szCs w:val="20"/>
                <w:color w:val="auto"/>
              </w:rPr>
            </w:pPr>
            <w:r>
              <w:rPr>
                <w:rFonts w:ascii="Arial" w:cs="Arial" w:eastAsia="Arial" w:hAnsi="Arial"/>
                <w:sz w:val="18"/>
                <w:szCs w:val="18"/>
                <w:color w:val="auto"/>
              </w:rPr>
              <w:t>outstanding for basic and diluted shares computation</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net assets per basic common shares:</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860" w:type="dxa"/>
            <w:vAlign w:val="bottom"/>
          </w:tcPr>
          <w:p>
            <w:pPr>
              <w:ind w:left="20"/>
              <w:spacing w:after="0" w:line="257" w:lineRule="exact"/>
              <w:rPr>
                <w:sz w:val="20"/>
                <w:szCs w:val="20"/>
                <w:color w:val="auto"/>
              </w:rPr>
            </w:pPr>
            <w:r>
              <w:rPr>
                <w:rFonts w:ascii="Arial" w:cs="Arial" w:eastAsia="Arial" w:hAnsi="Arial"/>
                <w:sz w:val="18"/>
                <w:szCs w:val="18"/>
                <w:color w:val="auto"/>
              </w:rPr>
              <w:t>Net (decrease) increase in net assets from operations</w:t>
            </w:r>
            <w:r>
              <w:rPr>
                <w:rFonts w:ascii="Arial" w:cs="Arial" w:eastAsia="Arial" w:hAnsi="Arial"/>
                <w:sz w:val="24"/>
                <w:szCs w:val="24"/>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(3.91 )</w:t>
            </w:r>
          </w:p>
        </w:tc>
        <w:tc>
          <w:tcPr>
            <w:tcW w:w="0" w:type="dxa"/>
            <w:vAlign w:val="bottom"/>
          </w:tcPr>
          <w:p>
            <w:pPr>
              <w:spacing w:after="0"/>
              <w:rPr>
                <w:sz w:val="1"/>
                <w:szCs w:val="1"/>
                <w:color w:val="auto"/>
              </w:rPr>
            </w:pPr>
          </w:p>
        </w:tc>
      </w:tr>
      <w:tr>
        <w:trPr>
          <w:trHeight w:val="257"/>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net assets per diluted shares:</w:t>
            </w:r>
          </w:p>
        </w:tc>
        <w:tc>
          <w:tcPr>
            <w:tcW w:w="1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5860" w:type="dxa"/>
            <w:vAlign w:val="bottom"/>
          </w:tcPr>
          <w:p>
            <w:pPr>
              <w:ind w:left="20"/>
              <w:spacing w:after="0"/>
              <w:rPr>
                <w:sz w:val="20"/>
                <w:szCs w:val="20"/>
                <w:color w:val="auto"/>
              </w:rPr>
            </w:pPr>
            <w:r>
              <w:rPr>
                <w:rFonts w:ascii="Arial" w:cs="Arial" w:eastAsia="Arial" w:hAnsi="Arial"/>
                <w:sz w:val="18"/>
                <w:szCs w:val="18"/>
                <w:color w:val="auto"/>
              </w:rPr>
              <w:t>Net (decrease) increase in net assets from operations</w:t>
            </w:r>
            <w:r>
              <w:rPr>
                <w:rFonts w:ascii="Arial" w:cs="Arial" w:eastAsia="Arial" w:hAnsi="Arial"/>
                <w:sz w:val="24"/>
                <w:szCs w:val="24"/>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-1002030</wp:posOffset>
            </wp:positionV>
            <wp:extent cx="102870"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-1002030</wp:posOffset>
            </wp:positionV>
            <wp:extent cx="60325"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-1002030</wp:posOffset>
            </wp:positionV>
            <wp:extent cx="43180"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42" w:lineRule="exact"/>
        <w:rPr>
          <w:sz w:val="20"/>
          <w:szCs w:val="20"/>
          <w:color w:val="auto"/>
        </w:rPr>
      </w:pPr>
    </w:p>
    <w:p>
      <w:pPr>
        <w:ind w:right="20" w:firstLine="8"/>
        <w:spacing w:after="0" w:line="267" w:lineRule="auto"/>
        <w:tabs>
          <w:tab w:leader="none" w:pos="229"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completed a Reverse Stock Split of 10 to 1 effective August 26, 2021, the common stock and net asset value have been adjusted retroactively to reflect the split.</w:t>
      </w:r>
    </w:p>
    <w:p>
      <w:pPr>
        <w:spacing w:after="0" w:line="1"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Company’s portfolio by security type at September 30, 2021 and December 31,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3"/>
        </w:trPr>
        <w:tc>
          <w:tcPr>
            <w:tcW w:w="2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(Unaudited)</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238"/>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Cost/Amortized</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7"/>
              </w:rPr>
              <w:t>Cost/Amortized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8"/>
        </w:trPr>
        <w:tc>
          <w:tcPr>
            <w:tcW w:w="2320" w:type="dxa"/>
            <w:vAlign w:val="bottom"/>
          </w:tcPr>
          <w:p>
            <w:pPr>
              <w:ind w:left="20"/>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1"/>
                <w:szCs w:val="21"/>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%¹</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Fair Value</w:t>
            </w:r>
          </w:p>
        </w:tc>
        <w:tc>
          <w:tcPr>
            <w:tcW w:w="180" w:type="dxa"/>
            <w:vAlign w:val="bottom"/>
          </w:tcPr>
          <w:p>
            <w:pPr>
              <w:spacing w:after="0"/>
              <w:rPr>
                <w:sz w:val="21"/>
                <w:szCs w:val="21"/>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%¹</w:t>
            </w:r>
          </w:p>
        </w:tc>
      </w:tr>
      <w:tr>
        <w:trPr>
          <w:trHeight w:val="250"/>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Secured Loan</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367,212,162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380,960,592</w:t>
            </w:r>
          </w:p>
        </w:tc>
        <w:tc>
          <w:tcPr>
            <w:tcW w:w="11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304,539,184</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328,845,612</w:t>
            </w:r>
          </w:p>
        </w:tc>
        <w:tc>
          <w:tcPr>
            <w:tcW w:w="11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68</w:t>
            </w:r>
          </w:p>
        </w:tc>
      </w:tr>
      <w:tr>
        <w:trPr>
          <w:trHeight w:val="250"/>
        </w:trPr>
        <w:tc>
          <w:tcPr>
            <w:tcW w:w="2320" w:type="dxa"/>
            <w:vAlign w:val="bottom"/>
          </w:tcPr>
          <w:p>
            <w:pPr>
              <w:ind w:left="20"/>
              <w:spacing w:after="0"/>
              <w:rPr>
                <w:sz w:val="20"/>
                <w:szCs w:val="20"/>
                <w:color w:val="auto"/>
              </w:rPr>
            </w:pPr>
            <w:r>
              <w:rPr>
                <w:rFonts w:ascii="Arial" w:cs="Arial" w:eastAsia="Arial" w:hAnsi="Arial"/>
                <w:sz w:val="18"/>
                <w:szCs w:val="18"/>
                <w:color w:val="auto"/>
              </w:rPr>
              <w:t>Junior Secured Loan</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82,973,411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74,076,080</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87,977,057</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75,807,477</w:t>
            </w: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16</w:t>
            </w:r>
          </w:p>
        </w:tc>
      </w:tr>
      <w:tr>
        <w:trPr>
          <w:trHeight w:val="263"/>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Unsecured Bond</w:t>
            </w:r>
          </w:p>
        </w:tc>
        <w:tc>
          <w:tcPr>
            <w:tcW w:w="14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416,171</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43,204</w:t>
            </w:r>
          </w:p>
        </w:tc>
        <w:tc>
          <w:tcPr>
            <w:tcW w:w="11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416,170</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207,766</w:t>
            </w:r>
          </w:p>
        </w:tc>
        <w:tc>
          <w:tcPr>
            <w:tcW w:w="11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0</w:t>
            </w:r>
          </w:p>
        </w:tc>
      </w:tr>
      <w:tr>
        <w:trPr>
          <w:trHeight w:val="250"/>
        </w:trPr>
        <w:tc>
          <w:tcPr>
            <w:tcW w:w="2320" w:type="dxa"/>
            <w:vAlign w:val="bottom"/>
          </w:tcPr>
          <w:p>
            <w:pPr>
              <w:ind w:left="20"/>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33,964,238</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17,173,634</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45,727,813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19,582,555</w:t>
            </w: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4</w:t>
            </w:r>
          </w:p>
        </w:tc>
      </w:tr>
      <w:tr>
        <w:trPr>
          <w:trHeight w:val="263"/>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29,041,687</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22,298,759</w:t>
            </w:r>
          </w:p>
        </w:tc>
        <w:tc>
          <w:tcPr>
            <w:tcW w:w="11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24,593,639</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13,944,876</w:t>
            </w:r>
          </w:p>
        </w:tc>
        <w:tc>
          <w:tcPr>
            <w:tcW w:w="11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3</w:t>
            </w:r>
          </w:p>
        </w:tc>
      </w:tr>
      <w:tr>
        <w:trPr>
          <w:trHeight w:val="257"/>
        </w:trPr>
        <w:tc>
          <w:tcPr>
            <w:tcW w:w="2320" w:type="dxa"/>
            <w:vAlign w:val="bottom"/>
          </w:tcPr>
          <w:p>
            <w:pPr>
              <w:ind w:left="20"/>
              <w:spacing w:after="0" w:line="257" w:lineRule="exact"/>
              <w:rPr>
                <w:sz w:val="20"/>
                <w:szCs w:val="20"/>
                <w:color w:val="auto"/>
              </w:rPr>
            </w:pPr>
            <w:r>
              <w:rPr>
                <w:rFonts w:ascii="Arial" w:cs="Arial" w:eastAsia="Arial" w:hAnsi="Arial"/>
                <w:sz w:val="18"/>
                <w:szCs w:val="18"/>
                <w:color w:val="auto"/>
              </w:rPr>
              <w:t>Asset Manager Affiliates</w:t>
            </w:r>
            <w:r>
              <w:rPr>
                <w:rFonts w:ascii="Arial" w:cs="Arial" w:eastAsia="Arial" w:hAnsi="Arial"/>
                <w:sz w:val="24"/>
                <w:szCs w:val="24"/>
                <w:color w:val="auto"/>
                <w:vertAlign w:val="superscript"/>
              </w:rPr>
              <w:t>2</w:t>
            </w: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17,791,230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56"/>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Joint Ventures</w:t>
            </w:r>
          </w:p>
        </w:tc>
        <w:tc>
          <w:tcPr>
            <w:tcW w:w="14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70,558,377</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67,629,114</w:t>
            </w:r>
          </w:p>
        </w:tc>
        <w:tc>
          <w:tcPr>
            <w:tcW w:w="11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54,932,458</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49,349,163</w:t>
            </w:r>
          </w:p>
        </w:tc>
        <w:tc>
          <w:tcPr>
            <w:tcW w:w="11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10</w:t>
            </w:r>
          </w:p>
        </w:tc>
      </w:tr>
      <w:tr>
        <w:trPr>
          <w:trHeight w:val="250"/>
        </w:trPr>
        <w:tc>
          <w:tcPr>
            <w:tcW w:w="232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30,609</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(1,982,091 )</w:t>
            </w:r>
          </w:p>
        </w:tc>
        <w:tc>
          <w:tcPr>
            <w:tcW w:w="160" w:type="dxa"/>
            <w:vAlign w:val="bottom"/>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30,609</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(1,108,618 )</w:t>
            </w:r>
          </w:p>
        </w:tc>
        <w:tc>
          <w:tcPr>
            <w:tcW w:w="180" w:type="dxa"/>
            <w:vAlign w:val="bottom"/>
          </w:tcPr>
          <w:p>
            <w:pPr>
              <w:spacing w:after="0"/>
              <w:rPr>
                <w:sz w:val="21"/>
                <w:szCs w:val="21"/>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r>
      <w:tr>
        <w:trPr>
          <w:trHeight w:val="290"/>
        </w:trPr>
        <w:tc>
          <w:tcPr>
            <w:tcW w:w="2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601,987,885</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560,199,292</w:t>
            </w:r>
          </w:p>
        </w:tc>
        <w:tc>
          <w:tcPr>
            <w:tcW w:w="1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2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536,008,160</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486,628,831</w:t>
            </w:r>
          </w:p>
        </w:tc>
        <w:tc>
          <w:tcPr>
            <w:tcW w:w="1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-24765</wp:posOffset>
            </wp:positionV>
            <wp:extent cx="16256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-7620</wp:posOffset>
            </wp:positionV>
            <wp:extent cx="1625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1111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11112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12890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12890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11112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1111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11112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11112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ind w:left="360" w:hanging="352"/>
        <w:spacing w:after="0" w:line="199" w:lineRule="auto"/>
        <w:tabs>
          <w:tab w:leader="none" w:pos="360" w:val="left"/>
        </w:tabs>
        <w:numPr>
          <w:ilvl w:val="0"/>
          <w:numId w:val="38"/>
        </w:numPr>
        <w:rPr>
          <w:rFonts w:ascii="Arial" w:cs="Arial" w:eastAsia="Arial" w:hAnsi="Arial"/>
          <w:sz w:val="24"/>
          <w:szCs w:val="24"/>
          <w:color w:val="auto"/>
          <w:vertAlign w:val="superscript"/>
        </w:rPr>
      </w:pPr>
      <w:r>
        <w:rPr>
          <w:rFonts w:ascii="Arial" w:cs="Arial" w:eastAsia="Arial" w:hAnsi="Arial"/>
          <w:sz w:val="18"/>
          <w:szCs w:val="18"/>
          <w:color w:val="auto"/>
        </w:rPr>
        <w:t>Represents percentage of total portfolio at fair value.</w:t>
      </w:r>
    </w:p>
    <w:p>
      <w:pPr>
        <w:ind w:left="360" w:hanging="352"/>
        <w:spacing w:after="0" w:line="200" w:lineRule="auto"/>
        <w:tabs>
          <w:tab w:leader="none" w:pos="360" w:val="left"/>
        </w:tabs>
        <w:numPr>
          <w:ilvl w:val="0"/>
          <w:numId w:val="39"/>
        </w:numPr>
        <w:rPr>
          <w:rFonts w:ascii="Arial" w:cs="Arial" w:eastAsia="Arial" w:hAnsi="Arial"/>
          <w:sz w:val="24"/>
          <w:szCs w:val="24"/>
          <w:color w:val="auto"/>
          <w:vertAlign w:val="superscript"/>
        </w:rPr>
      </w:pPr>
      <w:r>
        <w:rPr>
          <w:rFonts w:ascii="Arial" w:cs="Arial" w:eastAsia="Arial" w:hAnsi="Arial"/>
          <w:sz w:val="18"/>
          <w:szCs w:val="18"/>
          <w:color w:val="auto"/>
        </w:rPr>
        <w:t>Represents the equity investment in the Asset Manager Affiliates.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7" w:name="page48"/>
    <w:bookmarkEnd w:id="47"/>
    <w:p>
      <w:pPr>
        <w:ind w:right="100" w:firstLine="374"/>
        <w:spacing w:after="0" w:line="293" w:lineRule="auto"/>
        <w:rPr>
          <w:sz w:val="20"/>
          <w:szCs w:val="20"/>
          <w:color w:val="auto"/>
        </w:rPr>
      </w:pPr>
      <w:r>
        <w:rPr>
          <w:rFonts w:ascii="Arial" w:cs="Arial" w:eastAsia="Arial" w:hAnsi="Arial"/>
          <w:sz w:val="18"/>
          <w:szCs w:val="18"/>
          <w:color w:val="auto"/>
        </w:rPr>
        <w:t>The industry concentrations based on the fair value of the Company’s investment portfolio as of September 30, 2021 and December 31, 2020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September 30, 2021</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(Unaudited)</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Industry Classification</w:t>
            </w:r>
          </w:p>
        </w:tc>
        <w:tc>
          <w:tcPr>
            <w:tcW w:w="120" w:type="dxa"/>
            <w:vAlign w:val="bottom"/>
          </w:tcPr>
          <w:p>
            <w:pPr>
              <w:spacing w:after="0"/>
              <w:rPr>
                <w:sz w:val="17"/>
                <w:szCs w:val="17"/>
                <w:color w:val="auto"/>
              </w:rPr>
            </w:pPr>
          </w:p>
        </w:tc>
        <w:tc>
          <w:tcPr>
            <w:tcW w:w="1400" w:type="dxa"/>
            <w:vAlign w:val="bottom"/>
          </w:tcPr>
          <w:p>
            <w:pPr>
              <w:jc w:val="right"/>
              <w:ind w:right="190"/>
              <w:spacing w:after="0"/>
              <w:rPr>
                <w:sz w:val="20"/>
                <w:szCs w:val="20"/>
                <w:color w:val="auto"/>
              </w:rPr>
            </w:pPr>
            <w:r>
              <w:rPr>
                <w:rFonts w:ascii="Arial" w:cs="Arial" w:eastAsia="Arial" w:hAnsi="Arial"/>
                <w:sz w:val="16"/>
                <w:szCs w:val="16"/>
                <w:b w:val="1"/>
                <w:bCs w:val="1"/>
                <w:color w:val="auto"/>
                <w:w w:val="93"/>
              </w:rPr>
              <w:t>Cost/Amortized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Arial" w:cs="Arial" w:eastAsia="Arial" w:hAnsi="Arial"/>
                <w:sz w:val="16"/>
                <w:szCs w:val="16"/>
                <w:b w:val="1"/>
                <w:bCs w:val="1"/>
                <w:color w:val="auto"/>
                <w:w w:val="91"/>
              </w:rPr>
              <w:t>Cost/Amortized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%¹</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9"/>
                <w:szCs w:val="19"/>
                <w:color w:val="auto"/>
              </w:rPr>
            </w:pPr>
          </w:p>
        </w:tc>
        <w:tc>
          <w:tcPr>
            <w:tcW w:w="62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%¹</w:t>
            </w:r>
          </w:p>
        </w:tc>
        <w:tc>
          <w:tcPr>
            <w:tcW w:w="0" w:type="dxa"/>
            <w:vAlign w:val="bottom"/>
          </w:tcPr>
          <w:p>
            <w:pPr>
              <w:spacing w:after="0"/>
              <w:rPr>
                <w:sz w:val="1"/>
                <w:szCs w:val="1"/>
                <w:color w:val="auto"/>
              </w:rPr>
            </w:pPr>
          </w:p>
        </w:tc>
      </w:tr>
      <w:tr>
        <w:trPr>
          <w:trHeight w:val="250"/>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Aerospace and Defense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11,814,083</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11,738,812</w:t>
            </w:r>
          </w:p>
        </w:tc>
        <w:tc>
          <w:tcPr>
            <w:tcW w:w="80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11,342,227</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11,218,193</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26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24"/>
                <w:szCs w:val="24"/>
                <w:color w:val="auto"/>
                <w:vertAlign w:val="superscript"/>
              </w:rPr>
              <w:t>2</w:t>
            </w:r>
          </w:p>
        </w:tc>
        <w:tc>
          <w:tcPr>
            <w:tcW w:w="12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17,791,230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17,791,230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Automotive</w:t>
            </w:r>
          </w:p>
        </w:tc>
        <w:tc>
          <w:tcPr>
            <w:tcW w:w="12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10,890,444</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11,481,530</w:t>
            </w:r>
          </w:p>
        </w:tc>
        <w:tc>
          <w:tcPr>
            <w:tcW w:w="80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10,840,171</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11,651,714</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w w:val="93"/>
              </w:rPr>
              <w:t>Banking, Finance, Insurance &amp; Real Estate</w:t>
            </w:r>
          </w:p>
        </w:tc>
        <w:tc>
          <w:tcPr>
            <w:tcW w:w="1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39,155,006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41,403,610</w:t>
            </w: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30,074,875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31,121,723</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Beverage, Food and Tobacco</w:t>
            </w:r>
          </w:p>
        </w:tc>
        <w:tc>
          <w:tcPr>
            <w:tcW w:w="12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5,317,124</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5,437,500</w:t>
            </w:r>
          </w:p>
        </w:tc>
        <w:tc>
          <w:tcPr>
            <w:tcW w:w="80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9,196,359</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9,100,107</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rPr>
              <w:t>Capital Equipment</w:t>
            </w:r>
          </w:p>
        </w:tc>
        <w:tc>
          <w:tcPr>
            <w:tcW w:w="1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19,596,337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18,296,975</w:t>
            </w: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10,276,249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8,204,690</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Chemicals, Plastics &amp; Rubber</w:t>
            </w:r>
          </w:p>
        </w:tc>
        <w:tc>
          <w:tcPr>
            <w:tcW w:w="12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6,347,714</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6,711,605</w:t>
            </w:r>
          </w:p>
        </w:tc>
        <w:tc>
          <w:tcPr>
            <w:tcW w:w="80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6,608,887</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7,230,131</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rPr>
              <w:t>CLO Fund Securities</w:t>
            </w:r>
          </w:p>
        </w:tc>
        <w:tc>
          <w:tcPr>
            <w:tcW w:w="1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33,964,238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17,173,634</w:t>
            </w: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45,727,813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19,582,555</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Construction &amp; Building</w:t>
            </w:r>
          </w:p>
        </w:tc>
        <w:tc>
          <w:tcPr>
            <w:tcW w:w="12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8,860,985</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7,481,916</w:t>
            </w:r>
          </w:p>
        </w:tc>
        <w:tc>
          <w:tcPr>
            <w:tcW w:w="80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9,802,754</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10,946,643</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rPr>
              <w:t>Consumer goods: Durable</w:t>
            </w:r>
          </w:p>
        </w:tc>
        <w:tc>
          <w:tcPr>
            <w:tcW w:w="1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19,681,262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21,500,071</w:t>
            </w: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32,435,115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34,858,844</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goods: Non-durable</w:t>
            </w:r>
          </w:p>
        </w:tc>
        <w:tc>
          <w:tcPr>
            <w:tcW w:w="12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5,663,236</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6,284,237</w:t>
            </w:r>
          </w:p>
        </w:tc>
        <w:tc>
          <w:tcPr>
            <w:tcW w:w="80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1,837,151</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2,102,176</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rPr>
              <w:t>Containers, Packaging and Glass</w:t>
            </w:r>
          </w:p>
        </w:tc>
        <w:tc>
          <w:tcPr>
            <w:tcW w:w="1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2,786,954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2,591,064</w:t>
            </w: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2,806,740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2,502,994</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Electronics</w:t>
            </w:r>
          </w:p>
        </w:tc>
        <w:tc>
          <w:tcPr>
            <w:tcW w:w="12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17,964,277</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19,901,030</w:t>
            </w:r>
          </w:p>
        </w:tc>
        <w:tc>
          <w:tcPr>
            <w:tcW w:w="80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28,389,620</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31,564,533</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rPr>
              <w:t>Energy: Oil &amp; Gas</w:t>
            </w:r>
          </w:p>
        </w:tc>
        <w:tc>
          <w:tcPr>
            <w:tcW w:w="1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9,370,825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3,633,657</w:t>
            </w: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13,501,691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6,878,115</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Environmental Industries</w:t>
            </w:r>
          </w:p>
        </w:tc>
        <w:tc>
          <w:tcPr>
            <w:tcW w:w="12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7,283,447</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7,502,505</w:t>
            </w:r>
          </w:p>
        </w:tc>
        <w:tc>
          <w:tcPr>
            <w:tcW w:w="80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3,939,764</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3,585,669</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rPr>
              <w:t>Finance</w:t>
            </w:r>
          </w:p>
        </w:tc>
        <w:tc>
          <w:tcPr>
            <w:tcW w:w="1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10,936,537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10,936,000</w:t>
            </w: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Forest Products &amp; Paper</w:t>
            </w:r>
          </w:p>
        </w:tc>
        <w:tc>
          <w:tcPr>
            <w:tcW w:w="12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1,581,127</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1,358,240</w:t>
            </w:r>
          </w:p>
        </w:tc>
        <w:tc>
          <w:tcPr>
            <w:tcW w:w="80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1,576,633</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1,270,880</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rPr>
              <w:t>Healthcare, Education and Childcare</w:t>
            </w:r>
          </w:p>
        </w:tc>
        <w:tc>
          <w:tcPr>
            <w:tcW w:w="1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9,797,292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9,765,443</w:t>
            </w: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14,059,921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13,791,048</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Healthcare &amp; Pharmaceuticals</w:t>
            </w:r>
          </w:p>
        </w:tc>
        <w:tc>
          <w:tcPr>
            <w:tcW w:w="12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68,913,038</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62,299,025</w:t>
            </w:r>
          </w:p>
        </w:tc>
        <w:tc>
          <w:tcPr>
            <w:tcW w:w="80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83,481,401</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78,823,040</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rPr>
              <w:t>High Tech Industries</w:t>
            </w:r>
          </w:p>
        </w:tc>
        <w:tc>
          <w:tcPr>
            <w:tcW w:w="1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60,348,479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61,537,690</w:t>
            </w: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32,949,892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35,052,389</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Hotel, Gaming &amp; Leisure</w:t>
            </w:r>
          </w:p>
        </w:tc>
        <w:tc>
          <w:tcPr>
            <w:tcW w:w="12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9,804,159</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9,800,000</w:t>
            </w:r>
          </w:p>
        </w:tc>
        <w:tc>
          <w:tcPr>
            <w:tcW w:w="80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rPr>
              <w:t>Joint Ventures</w:t>
            </w:r>
          </w:p>
        </w:tc>
        <w:tc>
          <w:tcPr>
            <w:tcW w:w="1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70,558,377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67,629,114</w:t>
            </w: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54,932,458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49,349,163</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3"/>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Machinery (Non-Agrclt/Constr/Electr)</w:t>
            </w:r>
          </w:p>
        </w:tc>
        <w:tc>
          <w:tcPr>
            <w:tcW w:w="12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7,880,124</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8,754,282</w:t>
            </w:r>
          </w:p>
        </w:tc>
        <w:tc>
          <w:tcPr>
            <w:tcW w:w="80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6,712,460</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7,227,441</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w w:val="99"/>
              </w:rPr>
              <w:t>Media: Advertising, Printing &amp; Publishing</w:t>
            </w:r>
          </w:p>
        </w:tc>
        <w:tc>
          <w:tcPr>
            <w:tcW w:w="1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3,027,661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3,510,461</w:t>
            </w: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2,830,592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3,170,254</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Media: Broadcasting &amp; Subscription</w:t>
            </w:r>
          </w:p>
        </w:tc>
        <w:tc>
          <w:tcPr>
            <w:tcW w:w="12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4,029,968</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4,021,034</w:t>
            </w:r>
          </w:p>
        </w:tc>
        <w:tc>
          <w:tcPr>
            <w:tcW w:w="80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3,955,772</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3,901,188</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rPr>
              <w:t>Media: Diversified &amp; Production</w:t>
            </w:r>
          </w:p>
        </w:tc>
        <w:tc>
          <w:tcPr>
            <w:tcW w:w="1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10,325,089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10,438,340</w:t>
            </w: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2,658,914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2,612,250</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Metals &amp; Mining</w:t>
            </w:r>
          </w:p>
        </w:tc>
        <w:tc>
          <w:tcPr>
            <w:tcW w:w="12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13,129,929</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13,682,518</w:t>
            </w:r>
          </w:p>
        </w:tc>
        <w:tc>
          <w:tcPr>
            <w:tcW w:w="80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1,219,188</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1,326,500</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5,975,549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6,773,201</w:t>
            </w: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5,790,208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6,597,338</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Services: Business</w:t>
            </w:r>
          </w:p>
        </w:tc>
        <w:tc>
          <w:tcPr>
            <w:tcW w:w="12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78,816,384</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80,129,332</w:t>
            </w:r>
          </w:p>
        </w:tc>
        <w:tc>
          <w:tcPr>
            <w:tcW w:w="80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58,027,464</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60,119,401</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rPr>
              <w:t>Services: Consumer</w:t>
            </w:r>
          </w:p>
        </w:tc>
        <w:tc>
          <w:tcPr>
            <w:tcW w:w="1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3,837,036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3,840,200</w:t>
            </w: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4,241,127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4,198,243</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Telecommunications</w:t>
            </w:r>
          </w:p>
        </w:tc>
        <w:tc>
          <w:tcPr>
            <w:tcW w:w="12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6,313,276</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5,619,837</w:t>
            </w:r>
          </w:p>
        </w:tc>
        <w:tc>
          <w:tcPr>
            <w:tcW w:w="80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8,930,322</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9,023,109</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rPr>
              <w:t>Textiles and Leather</w:t>
            </w:r>
          </w:p>
        </w:tc>
        <w:tc>
          <w:tcPr>
            <w:tcW w:w="1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12,418,665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11,118,299</w:t>
            </w: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12,415,194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10,860,696</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Transportation: Cargo</w:t>
            </w:r>
          </w:p>
        </w:tc>
        <w:tc>
          <w:tcPr>
            <w:tcW w:w="12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7,655,970</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8,757,804</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rPr>
              <w:t>Transportation: Consumer</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7,808,033</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7,848,130</w:t>
            </w:r>
          </w:p>
        </w:tc>
        <w:tc>
          <w:tcPr>
            <w:tcW w:w="140" w:type="dxa"/>
            <w:vAlign w:val="bottom"/>
          </w:tcPr>
          <w:p>
            <w:pPr>
              <w:spacing w:after="0"/>
              <w:rPr>
                <w:sz w:val="21"/>
                <w:szCs w:val="21"/>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0"/>
        </w:trPr>
        <w:tc>
          <w:tcPr>
            <w:tcW w:w="3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601,987,885</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560,199,292</w:t>
            </w:r>
          </w:p>
        </w:tc>
        <w:tc>
          <w:tcPr>
            <w:tcW w:w="1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536,008,160</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486,628,831</w:t>
            </w:r>
          </w:p>
        </w:tc>
        <w:tc>
          <w:tcPr>
            <w:tcW w:w="1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-24765</wp:posOffset>
            </wp:positionV>
            <wp:extent cx="9461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-7620</wp:posOffset>
            </wp:positionV>
            <wp:extent cx="9461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9461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9461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9461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9461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8572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8572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-24765</wp:posOffset>
            </wp:positionV>
            <wp:extent cx="857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-7620</wp:posOffset>
            </wp:positionV>
            <wp:extent cx="857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360" w:hanging="352"/>
        <w:spacing w:after="0" w:line="199" w:lineRule="auto"/>
        <w:tabs>
          <w:tab w:leader="none" w:pos="360" w:val="left"/>
        </w:tabs>
        <w:numPr>
          <w:ilvl w:val="0"/>
          <w:numId w:val="40"/>
        </w:numPr>
        <w:rPr>
          <w:rFonts w:ascii="Arial" w:cs="Arial" w:eastAsia="Arial" w:hAnsi="Arial"/>
          <w:sz w:val="24"/>
          <w:szCs w:val="24"/>
          <w:color w:val="auto"/>
          <w:vertAlign w:val="superscript"/>
        </w:rPr>
      </w:pPr>
      <w:r>
        <w:rPr>
          <w:rFonts w:ascii="Arial" w:cs="Arial" w:eastAsia="Arial" w:hAnsi="Arial"/>
          <w:sz w:val="18"/>
          <w:szCs w:val="18"/>
          <w:color w:val="auto"/>
        </w:rPr>
        <w:t>Calculated as a percentage of total portfolio at fair value.</w:t>
      </w:r>
    </w:p>
    <w:p>
      <w:pPr>
        <w:ind w:left="360" w:hanging="352"/>
        <w:spacing w:after="0" w:line="200" w:lineRule="auto"/>
        <w:tabs>
          <w:tab w:leader="none" w:pos="360" w:val="left"/>
        </w:tabs>
        <w:numPr>
          <w:ilvl w:val="0"/>
          <w:numId w:val="41"/>
        </w:numPr>
        <w:rPr>
          <w:rFonts w:ascii="Arial" w:cs="Arial" w:eastAsia="Arial" w:hAnsi="Arial"/>
          <w:sz w:val="24"/>
          <w:szCs w:val="24"/>
          <w:color w:val="auto"/>
          <w:vertAlign w:val="superscript"/>
        </w:rPr>
      </w:pPr>
      <w:r>
        <w:rPr>
          <w:rFonts w:ascii="Arial" w:cs="Arial" w:eastAsia="Arial" w:hAnsi="Arial"/>
          <w:sz w:val="18"/>
          <w:szCs w:val="18"/>
          <w:color w:val="auto"/>
        </w:rPr>
        <w:t>Represents the equity investment in the Asset Manager Affiliates.</w:t>
      </w:r>
    </w:p>
    <w:p>
      <w:pPr>
        <w:spacing w:after="0" w:line="188" w:lineRule="exact"/>
        <w:rPr>
          <w:sz w:val="20"/>
          <w:szCs w:val="20"/>
          <w:color w:val="auto"/>
        </w:rPr>
      </w:pPr>
    </w:p>
    <w:p>
      <w:pPr>
        <w:ind w:right="100" w:firstLine="374"/>
        <w:spacing w:after="0" w:line="279"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including investments in debt and equity securities of CLO Funds, distressed debt or debt and equity securities of large cap public companies. Within this 30% of the portfolio, the Company also may invest in debt of middle market companies located outside of the United States.</w:t>
      </w:r>
    </w:p>
    <w:p>
      <w:pPr>
        <w:spacing w:after="0" w:line="142" w:lineRule="exact"/>
        <w:rPr>
          <w:sz w:val="20"/>
          <w:szCs w:val="20"/>
          <w:color w:val="auto"/>
        </w:rPr>
      </w:pPr>
    </w:p>
    <w:p>
      <w:pPr>
        <w:ind w:right="580" w:firstLine="374"/>
        <w:spacing w:after="0" w:line="266" w:lineRule="auto"/>
        <w:rPr>
          <w:sz w:val="20"/>
          <w:szCs w:val="20"/>
          <w:color w:val="auto"/>
        </w:rPr>
      </w:pPr>
      <w:r>
        <w:rPr>
          <w:rFonts w:ascii="Arial" w:cs="Arial" w:eastAsia="Arial" w:hAnsi="Arial"/>
          <w:sz w:val="18"/>
          <w:szCs w:val="18"/>
          <w:color w:val="auto"/>
        </w:rPr>
        <w:t>At September 30, 2021 and December 31, 2020, the total amount of non-qualifying assets was approximately 15.6% and 13.8% of total assets, respectively. The majority of non-qualifying assets are the Company’s investments in joint ventures which were approximately 10.8% and 8.2%, respectively, of the total assets and the Company’s investments in CLO Funds, which are typically domiciled outside the U.S. and represented approximately 2.7% and 3.3% of its total assets on such dates, respectively.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216" w:lineRule="exact"/>
        <w:rPr>
          <w:sz w:val="20"/>
          <w:szCs w:val="20"/>
          <w:color w:val="auto"/>
        </w:rPr>
      </w:pPr>
    </w:p>
    <w:p>
      <w:pPr>
        <w:ind w:right="260" w:firstLine="374"/>
        <w:spacing w:after="0" w:line="309" w:lineRule="auto"/>
        <w:rPr>
          <w:sz w:val="20"/>
          <w:szCs w:val="20"/>
          <w:color w:val="auto"/>
        </w:rPr>
      </w:pPr>
      <w:r>
        <w:rPr>
          <w:rFonts w:ascii="Arial" w:cs="Arial" w:eastAsia="Arial" w:hAnsi="Arial"/>
          <w:sz w:val="16"/>
          <w:szCs w:val="16"/>
          <w:color w:val="auto"/>
        </w:rPr>
        <w:t>The Company has made non-controlling investments in the most junior class of securities (typically preferred shares or subordinated securities) of CLO Funds.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the first quarter of 2019, the Company sold $2.0 million notional amount of subordinated notes of Catamaran CLO 2014-1 for $800,000.</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June 2019, the Company sold $4.8 million par value of the CLO Rated note issued by Great Lakes KCAP F3C Senior, LLC for $4.4 million.</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January 2021, the Company sold $10.1 million notional amount of the subordinated notes of Catamaran 2016-1 for $3.3 million.</w:t>
      </w:r>
    </w:p>
    <w:p>
      <w:pPr>
        <w:spacing w:after="0" w:line="198" w:lineRule="exact"/>
        <w:rPr>
          <w:sz w:val="20"/>
          <w:szCs w:val="20"/>
          <w:color w:val="auto"/>
        </w:rPr>
      </w:pPr>
    </w:p>
    <w:p>
      <w:pPr>
        <w:ind w:right="80" w:firstLine="374"/>
        <w:spacing w:after="0" w:line="292" w:lineRule="auto"/>
        <w:rPr>
          <w:sz w:val="20"/>
          <w:szCs w:val="20"/>
          <w:color w:val="auto"/>
        </w:rPr>
      </w:pPr>
      <w:r>
        <w:rPr>
          <w:rFonts w:ascii="Arial" w:cs="Arial" w:eastAsia="Arial" w:hAnsi="Arial"/>
          <w:sz w:val="17"/>
          <w:szCs w:val="17"/>
          <w:color w:val="auto"/>
        </w:rPr>
        <w:t>As a result of the economic consequences resulting from the COVID 19 pandemic, during the second quarter of 2020, the Company was notified that four of the Catamaran CLO Funds breached certain covenants contained in their respective indentures, and as a result, available cash within the CLO Fund will be diverted away from the subordinated notes owned by the Company and will be applied to more senior noteholders in the capital structure of the CLO Funds. The estimated timing and amount of future distributions if any, from these CLO Fund Securities is uncertain. Three of the CLO Funds noted above resumed making cash distributions on the Company’s investment during the fourth quarter of 2020.</w:t>
      </w:r>
    </w:p>
    <w:p>
      <w:pPr>
        <w:spacing w:after="0" w:line="37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Affiliate Investments: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details investments in affiliates at September 30, 2021 (unaudited):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Arial" w:cs="Arial" w:eastAsia="Arial" w:hAnsi="Arial"/>
                <w:sz w:val="13"/>
                <w:szCs w:val="13"/>
                <w:b w:val="1"/>
                <w:bCs w:val="1"/>
                <w:color w:val="auto"/>
                <w:w w:val="90"/>
              </w:rPr>
              <w:t>Fair Value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90"/>
              </w:rPr>
              <w:t>Fair Value</w:t>
            </w:r>
          </w:p>
        </w:tc>
        <w:tc>
          <w:tcPr>
            <w:tcW w:w="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3"/>
              </w:rPr>
              <w:t>Purchases/</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7"/>
              </w:rPr>
              <w:t>Transfers</w:t>
            </w:r>
          </w:p>
        </w:tc>
        <w:tc>
          <w:tcPr>
            <w:tcW w:w="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Net change</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57"/>
              <w:spacing w:after="0"/>
              <w:rPr>
                <w:sz w:val="20"/>
                <w:szCs w:val="20"/>
                <w:color w:val="auto"/>
              </w:rPr>
            </w:pPr>
            <w:r>
              <w:rPr>
                <w:rFonts w:ascii="Arial" w:cs="Arial" w:eastAsia="Arial" w:hAnsi="Arial"/>
                <w:sz w:val="13"/>
                <w:szCs w:val="13"/>
                <w:b w:val="1"/>
                <w:bCs w:val="1"/>
                <w:color w:val="auto"/>
                <w:w w:val="81"/>
              </w:rPr>
              <w:t>of</w:t>
            </w:r>
          </w:p>
        </w:tc>
        <w:tc>
          <w:tcPr>
            <w:tcW w:w="40" w:type="dxa"/>
            <w:vAlign w:val="bottom"/>
          </w:tcPr>
          <w:p>
            <w:pPr>
              <w:spacing w:after="0"/>
              <w:rPr>
                <w:sz w:val="14"/>
                <w:szCs w:val="14"/>
                <w:color w:val="auto"/>
              </w:rPr>
            </w:pPr>
          </w:p>
        </w:tc>
        <w:tc>
          <w:tcPr>
            <w:tcW w:w="12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7"/>
              </w:rPr>
              <w:t>Principal / Shares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of</w:t>
            </w:r>
          </w:p>
        </w:tc>
        <w:tc>
          <w:tcPr>
            <w:tcW w:w="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5"/>
              </w:rPr>
              <w:t>(Sales) of or</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In/(Out)</w:t>
            </w:r>
          </w:p>
        </w:tc>
        <w:tc>
          <w:tcPr>
            <w:tcW w:w="2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in</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September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6"/>
              </w:rPr>
              <w:t>at</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1440" w:type="dxa"/>
            <w:vAlign w:val="bottom"/>
          </w:tcPr>
          <w:p>
            <w:pPr>
              <w:ind w:left="48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w w:val="92"/>
              </w:rPr>
              <w:t>December 31,</w:t>
            </w:r>
          </w:p>
        </w:tc>
        <w:tc>
          <w:tcPr>
            <w:tcW w:w="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6"/>
              </w:rPr>
              <w:t>Advances/</w:t>
            </w:r>
          </w:p>
        </w:tc>
        <w:tc>
          <w:tcPr>
            <w:tcW w:w="40" w:type="dxa"/>
            <w:vAlign w:val="bottom"/>
          </w:tcPr>
          <w:p>
            <w:pPr>
              <w:spacing w:after="0"/>
              <w:rPr>
                <w:sz w:val="14"/>
                <w:szCs w:val="14"/>
                <w:color w:val="auto"/>
              </w:rPr>
            </w:pPr>
          </w:p>
        </w:tc>
        <w:tc>
          <w:tcPr>
            <w:tcW w:w="760" w:type="dxa"/>
            <w:vAlign w:val="bottom"/>
          </w:tcPr>
          <w:p>
            <w:pPr>
              <w:jc w:val="right"/>
              <w:ind w:right="237"/>
              <w:spacing w:after="0"/>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1"/>
              </w:rPr>
              <w:t>of</w:t>
            </w:r>
          </w:p>
        </w:tc>
        <w:tc>
          <w:tcPr>
            <w:tcW w:w="2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unrealized</w:t>
            </w:r>
          </w:p>
        </w:tc>
        <w:tc>
          <w:tcPr>
            <w:tcW w:w="800" w:type="dxa"/>
            <w:vAlign w:val="bottom"/>
          </w:tcPr>
          <w:p>
            <w:pPr>
              <w:jc w:val="right"/>
              <w:ind w:right="137"/>
              <w:spacing w:after="0"/>
              <w:rPr>
                <w:sz w:val="20"/>
                <w:szCs w:val="20"/>
                <w:color w:val="auto"/>
              </w:rPr>
            </w:pPr>
            <w:r>
              <w:rPr>
                <w:rFonts w:ascii="Arial" w:cs="Arial" w:eastAsia="Arial" w:hAnsi="Arial"/>
                <w:sz w:val="13"/>
                <w:szCs w:val="13"/>
                <w:b w:val="1"/>
                <w:bCs w:val="1"/>
                <w:color w:val="auto"/>
              </w:rPr>
              <w:t>Realized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7"/>
              </w:rPr>
              <w:t>September 30,</w:t>
            </w:r>
          </w:p>
        </w:tc>
        <w:tc>
          <w:tcPr>
            <w:tcW w:w="720" w:type="dxa"/>
            <w:vAlign w:val="bottom"/>
            <w:gridSpan w:val="3"/>
          </w:tcPr>
          <w:p>
            <w:pPr>
              <w:ind w:left="20"/>
              <w:spacing w:after="0"/>
              <w:rPr>
                <w:sz w:val="20"/>
                <w:szCs w:val="20"/>
                <w:color w:val="auto"/>
              </w:rPr>
            </w:pPr>
            <w:r>
              <w:rPr>
                <w:rFonts w:ascii="Arial" w:cs="Arial" w:eastAsia="Arial" w:hAnsi="Arial"/>
                <w:sz w:val="13"/>
                <w:szCs w:val="13"/>
                <w:b w:val="1"/>
                <w:bCs w:val="1"/>
                <w:color w:val="auto"/>
              </w:rPr>
              <w:t>Interest</w:t>
            </w: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w w:val="87"/>
              </w:rPr>
              <w:t>Dividend</w:t>
            </w:r>
          </w:p>
        </w:tc>
        <w:tc>
          <w:tcPr>
            <w:tcW w:w="0" w:type="dxa"/>
            <w:vAlign w:val="bottom"/>
          </w:tcPr>
          <w:p>
            <w:pPr>
              <w:spacing w:after="0"/>
              <w:rPr>
                <w:sz w:val="1"/>
                <w:szCs w:val="1"/>
                <w:color w:val="auto"/>
              </w:rPr>
            </w:pPr>
          </w:p>
        </w:tc>
      </w:tr>
      <w:tr>
        <w:trPr>
          <w:trHeight w:val="174"/>
        </w:trPr>
        <w:tc>
          <w:tcPr>
            <w:tcW w:w="1300" w:type="dxa"/>
            <w:vAlign w:val="bottom"/>
          </w:tcPr>
          <w:p>
            <w:pPr>
              <w:spacing w:after="0"/>
              <w:rPr>
                <w:sz w:val="15"/>
                <w:szCs w:val="15"/>
                <w:color w:val="auto"/>
              </w:rPr>
            </w:pPr>
          </w:p>
        </w:tc>
        <w:tc>
          <w:tcPr>
            <w:tcW w:w="1440" w:type="dxa"/>
            <w:vAlign w:val="bottom"/>
          </w:tcPr>
          <w:p>
            <w:pPr>
              <w:ind w:left="360"/>
              <w:spacing w:after="0"/>
              <w:rPr>
                <w:sz w:val="20"/>
                <w:szCs w:val="20"/>
                <w:color w:val="auto"/>
              </w:rPr>
            </w:pPr>
            <w:r>
              <w:rPr>
                <w:rFonts w:ascii="Arial" w:cs="Arial" w:eastAsia="Arial" w:hAnsi="Arial"/>
                <w:sz w:val="13"/>
                <w:szCs w:val="13"/>
                <w:b w:val="1"/>
                <w:bCs w:val="1"/>
                <w:color w:val="auto"/>
              </w:rPr>
              <w:t>Classification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82"/>
              </w:rPr>
              <w:t>2020</w:t>
            </w:r>
          </w:p>
        </w:tc>
        <w:tc>
          <w:tcPr>
            <w:tcW w:w="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7"/>
              </w:rPr>
              <w:t>(Distributions)</w:t>
            </w:r>
          </w:p>
        </w:tc>
        <w:tc>
          <w:tcPr>
            <w:tcW w:w="4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b w:val="1"/>
                <w:bCs w:val="1"/>
                <w:color w:val="auto"/>
                <w:w w:val="99"/>
              </w:rPr>
              <w:t>Accretion</w:t>
            </w:r>
          </w:p>
        </w:tc>
        <w:tc>
          <w:tcPr>
            <w:tcW w:w="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Affiliates</w:t>
            </w:r>
          </w:p>
        </w:tc>
        <w:tc>
          <w:tcPr>
            <w:tcW w:w="2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Gain/(Loss)</w:t>
            </w: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w w:val="92"/>
              </w:rPr>
              <w:t>Gain/(Loss)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217"/>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2021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3"/>
                <w:szCs w:val="13"/>
                <w:b w:val="1"/>
                <w:bCs w:val="1"/>
                <w:color w:val="auto"/>
              </w:rPr>
              <w:t>Income</w:t>
            </w:r>
          </w:p>
        </w:tc>
        <w:tc>
          <w:tcPr>
            <w:tcW w:w="640" w:type="dxa"/>
            <w:vAlign w:val="bottom"/>
          </w:tcPr>
          <w:p>
            <w:pPr>
              <w:jc w:val="right"/>
              <w:ind w:right="117"/>
              <w:spacing w:after="0"/>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162"/>
        </w:trPr>
        <w:tc>
          <w:tcPr>
            <w:tcW w:w="1300" w:type="dxa"/>
            <w:vAlign w:val="bottom"/>
            <w:shd w:val="clear" w:color="auto" w:fill="CFF0FC"/>
          </w:tcPr>
          <w:p>
            <w:pPr>
              <w:ind w:left="20"/>
              <w:spacing w:after="0"/>
              <w:rPr>
                <w:sz w:val="20"/>
                <w:szCs w:val="20"/>
                <w:color w:val="auto"/>
              </w:rPr>
            </w:pPr>
            <w:r>
              <w:rPr>
                <w:rFonts w:ascii="Arial" w:cs="Arial" w:eastAsia="Arial" w:hAnsi="Arial"/>
                <w:sz w:val="13"/>
                <w:szCs w:val="13"/>
                <w:color w:val="auto"/>
              </w:rPr>
              <w:t>Asset Manager</w:t>
            </w:r>
          </w:p>
        </w:tc>
        <w:tc>
          <w:tcPr>
            <w:tcW w:w="14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Asset</w:t>
            </w:r>
          </w:p>
        </w:tc>
        <w:tc>
          <w:tcPr>
            <w:tcW w:w="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00" w:type="dxa"/>
            <w:vAlign w:val="bottom"/>
            <w:shd w:val="clear" w:color="auto" w:fill="CFF0FC"/>
          </w:tcPr>
          <w:p>
            <w:pPr>
              <w:ind w:left="20"/>
              <w:spacing w:after="0" w:line="175" w:lineRule="exact"/>
              <w:rPr>
                <w:sz w:val="20"/>
                <w:szCs w:val="20"/>
                <w:color w:val="auto"/>
              </w:rPr>
            </w:pPr>
            <w:r>
              <w:rPr>
                <w:rFonts w:ascii="Arial" w:cs="Arial" w:eastAsia="Arial" w:hAnsi="Arial"/>
                <w:sz w:val="13"/>
                <w:szCs w:val="13"/>
                <w:color w:val="auto"/>
              </w:rPr>
              <w:t>Affiliates</w:t>
            </w:r>
            <w:r>
              <w:rPr>
                <w:rFonts w:ascii="Arial" w:cs="Arial" w:eastAsia="Arial" w:hAnsi="Arial"/>
                <w:sz w:val="16"/>
                <w:szCs w:val="16"/>
                <w:color w:val="auto"/>
                <w:vertAlign w:val="superscript"/>
              </w:rPr>
              <w:t>(1)(2)(4)</w:t>
            </w:r>
          </w:p>
        </w:tc>
        <w:tc>
          <w:tcPr>
            <w:tcW w:w="1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Management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FF0FC"/>
          </w:tcPr>
          <w:p>
            <w:pPr>
              <w:spacing w:after="0"/>
              <w:rPr>
                <w:sz w:val="15"/>
                <w:szCs w:val="15"/>
                <w:color w:val="auto"/>
              </w:rPr>
            </w:pPr>
          </w:p>
        </w:tc>
        <w:tc>
          <w:tcPr>
            <w:tcW w:w="1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Company</w:t>
            </w: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FF0FC"/>
          </w:tcPr>
          <w:p>
            <w:pPr>
              <w:ind w:left="420"/>
              <w:spacing w:after="0"/>
              <w:rPr>
                <w:sz w:val="20"/>
                <w:szCs w:val="20"/>
                <w:color w:val="auto"/>
              </w:rPr>
            </w:pPr>
            <w:r>
              <w:rPr>
                <w:rFonts w:ascii="Arial" w:cs="Arial" w:eastAsia="Arial" w:hAnsi="Arial"/>
                <w:sz w:val="13"/>
                <w:szCs w:val="13"/>
                <w:color w:val="auto"/>
              </w:rPr>
              <w:t>—  $</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300" w:type="dxa"/>
            <w:vAlign w:val="bottom"/>
          </w:tcPr>
          <w:p>
            <w:pPr>
              <w:ind w:left="20"/>
              <w:spacing w:after="0"/>
              <w:rPr>
                <w:sz w:val="20"/>
                <w:szCs w:val="20"/>
                <w:color w:val="auto"/>
              </w:rPr>
            </w:pPr>
            <w:r>
              <w:rPr>
                <w:rFonts w:ascii="Arial" w:cs="Arial" w:eastAsia="Arial" w:hAnsi="Arial"/>
                <w:sz w:val="13"/>
                <w:szCs w:val="13"/>
                <w:color w:val="auto"/>
              </w:rPr>
              <w:t>Tank Partners</w:t>
            </w:r>
          </w:p>
        </w:tc>
        <w:tc>
          <w:tcPr>
            <w:tcW w:w="1440" w:type="dxa"/>
            <w:vAlign w:val="bottom"/>
          </w:tcPr>
          <w:p>
            <w:pPr>
              <w:ind w:left="20"/>
              <w:spacing w:after="0"/>
              <w:rPr>
                <w:sz w:val="20"/>
                <w:szCs w:val="20"/>
                <w:color w:val="auto"/>
              </w:rPr>
            </w:pPr>
            <w:r>
              <w:rPr>
                <w:rFonts w:ascii="Arial" w:cs="Arial" w:eastAsia="Arial" w:hAnsi="Arial"/>
                <w:sz w:val="13"/>
                <w:szCs w:val="13"/>
                <w:color w:val="auto"/>
              </w:rPr>
              <w:t>Energy: Oil &amp;</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300" w:type="dxa"/>
            <w:vAlign w:val="bottom"/>
          </w:tcPr>
          <w:p>
            <w:pPr>
              <w:ind w:left="20"/>
              <w:spacing w:after="0"/>
              <w:rPr>
                <w:sz w:val="20"/>
                <w:szCs w:val="20"/>
                <w:color w:val="auto"/>
              </w:rPr>
            </w:pPr>
            <w:r>
              <w:rPr>
                <w:rFonts w:ascii="Arial" w:cs="Arial" w:eastAsia="Arial" w:hAnsi="Arial"/>
                <w:sz w:val="13"/>
                <w:szCs w:val="13"/>
                <w:color w:val="auto"/>
              </w:rPr>
              <w:t>Equipment Holdings,</w:t>
            </w:r>
          </w:p>
        </w:tc>
        <w:tc>
          <w:tcPr>
            <w:tcW w:w="1440" w:type="dxa"/>
            <w:vAlign w:val="bottom"/>
          </w:tcPr>
          <w:p>
            <w:pPr>
              <w:ind w:left="20"/>
              <w:spacing w:after="0"/>
              <w:rPr>
                <w:sz w:val="20"/>
                <w:szCs w:val="20"/>
                <w:color w:val="auto"/>
              </w:rPr>
            </w:pPr>
            <w:r>
              <w:rPr>
                <w:rFonts w:ascii="Arial" w:cs="Arial" w:eastAsia="Arial" w:hAnsi="Arial"/>
                <w:sz w:val="13"/>
                <w:szCs w:val="13"/>
                <w:color w:val="auto"/>
              </w:rPr>
              <w:t>Gas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90" w:lineRule="exact"/>
              <w:rPr>
                <w:sz w:val="20"/>
                <w:szCs w:val="20"/>
                <w:color w:val="auto"/>
              </w:rPr>
            </w:pPr>
            <w:r>
              <w:rPr>
                <w:rFonts w:ascii="Arial" w:cs="Arial" w:eastAsia="Arial" w:hAnsi="Arial"/>
                <w:sz w:val="21"/>
                <w:szCs w:val="21"/>
                <w:color w:val="auto"/>
                <w:vertAlign w:val="subscript"/>
              </w:rPr>
              <w:t>LLC</w:t>
            </w:r>
            <w:r>
              <w:rPr>
                <w:rFonts w:ascii="Arial" w:cs="Arial" w:eastAsia="Arial" w:hAnsi="Arial"/>
                <w:sz w:val="8"/>
                <w:szCs w:val="8"/>
                <w:color w:val="auto"/>
              </w:rPr>
              <w:t>(1)(2)(3)(6)</w:t>
            </w:r>
          </w:p>
        </w:tc>
        <w:tc>
          <w:tcPr>
            <w:tcW w:w="1440" w:type="dxa"/>
            <w:vAlign w:val="bottom"/>
          </w:tcPr>
          <w:p>
            <w:pPr>
              <w:spacing w:after="0"/>
              <w:rPr>
                <w:sz w:val="16"/>
                <w:szCs w:val="16"/>
                <w:color w:val="auto"/>
              </w:rPr>
            </w:pP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780" w:type="dxa"/>
            <w:vAlign w:val="bottom"/>
          </w:tcPr>
          <w:p>
            <w:pPr>
              <w:ind w:left="6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49,000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300" w:type="dxa"/>
            <w:vAlign w:val="bottom"/>
            <w:shd w:val="clear" w:color="auto" w:fill="CFF0FC"/>
          </w:tcPr>
          <w:p>
            <w:pPr>
              <w:ind w:left="20"/>
              <w:spacing w:after="0"/>
              <w:rPr>
                <w:sz w:val="20"/>
                <w:szCs w:val="20"/>
                <w:color w:val="auto"/>
              </w:rPr>
            </w:pPr>
            <w:r>
              <w:rPr>
                <w:rFonts w:ascii="Arial" w:cs="Arial" w:eastAsia="Arial" w:hAnsi="Arial"/>
                <w:sz w:val="13"/>
                <w:szCs w:val="13"/>
                <w:color w:val="auto"/>
              </w:rPr>
              <w:t>Tank Partners</w:t>
            </w:r>
          </w:p>
        </w:tc>
        <w:tc>
          <w:tcPr>
            <w:tcW w:w="1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Energy: Oil &amp;</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300" w:type="dxa"/>
            <w:vAlign w:val="bottom"/>
            <w:shd w:val="clear" w:color="auto" w:fill="CFF0FC"/>
          </w:tcPr>
          <w:p>
            <w:pPr>
              <w:ind w:left="20"/>
              <w:spacing w:after="0"/>
              <w:rPr>
                <w:sz w:val="20"/>
                <w:szCs w:val="20"/>
                <w:color w:val="auto"/>
              </w:rPr>
            </w:pPr>
            <w:r>
              <w:rPr>
                <w:rFonts w:ascii="Arial" w:cs="Arial" w:eastAsia="Arial" w:hAnsi="Arial"/>
                <w:sz w:val="13"/>
                <w:szCs w:val="13"/>
                <w:color w:val="auto"/>
              </w:rPr>
              <w:t>Equipment Holdings,</w:t>
            </w:r>
          </w:p>
        </w:tc>
        <w:tc>
          <w:tcPr>
            <w:tcW w:w="1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Gas</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300" w:type="dxa"/>
            <w:vAlign w:val="bottom"/>
            <w:shd w:val="clear" w:color="auto" w:fill="CFF0FC"/>
          </w:tcPr>
          <w:p>
            <w:pPr>
              <w:ind w:left="20"/>
              <w:spacing w:after="0" w:line="190" w:lineRule="exact"/>
              <w:rPr>
                <w:sz w:val="20"/>
                <w:szCs w:val="20"/>
                <w:color w:val="auto"/>
              </w:rPr>
            </w:pPr>
            <w:r>
              <w:rPr>
                <w:rFonts w:ascii="Arial" w:cs="Arial" w:eastAsia="Arial" w:hAnsi="Arial"/>
                <w:sz w:val="21"/>
                <w:szCs w:val="21"/>
                <w:color w:val="auto"/>
                <w:vertAlign w:val="subscript"/>
              </w:rPr>
              <w:t>LLC</w:t>
            </w:r>
            <w:r>
              <w:rPr>
                <w:rFonts w:ascii="Arial" w:cs="Arial" w:eastAsia="Arial" w:hAnsi="Arial"/>
                <w:sz w:val="8"/>
                <w:szCs w:val="8"/>
                <w:color w:val="auto"/>
              </w:rPr>
              <w:t>(1)(2)(3)</w:t>
            </w:r>
          </w:p>
        </w:tc>
        <w:tc>
          <w:tcPr>
            <w:tcW w:w="1440" w:type="dxa"/>
            <w:vAlign w:val="bottom"/>
            <w:shd w:val="clear" w:color="auto" w:fill="CFF0FC"/>
          </w:tcPr>
          <w:p>
            <w:pPr>
              <w:spacing w:after="0"/>
              <w:rPr>
                <w:sz w:val="16"/>
                <w:szCs w:val="16"/>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207,766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(164,564 )</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43,202</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511,269</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(5,384 )</w:t>
            </w: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30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Flight Lease VII </w:t>
            </w:r>
            <w:r>
              <w:rPr>
                <w:rFonts w:ascii="Arial" w:cs="Arial" w:eastAsia="Arial" w:hAnsi="Arial"/>
                <w:sz w:val="16"/>
                <w:szCs w:val="16"/>
                <w:color w:val="auto"/>
                <w:vertAlign w:val="superscript"/>
              </w:rPr>
              <w:t>(2)(4)</w:t>
            </w: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300" w:type="dxa"/>
            <w:vAlign w:val="bottom"/>
          </w:tcPr>
          <w:p>
            <w:pPr>
              <w:spacing w:after="0"/>
              <w:rPr>
                <w:sz w:val="14"/>
                <w:szCs w:val="14"/>
                <w:color w:val="auto"/>
              </w:rPr>
            </w:pPr>
          </w:p>
        </w:tc>
        <w:tc>
          <w:tcPr>
            <w:tcW w:w="1440" w:type="dxa"/>
            <w:vAlign w:val="bottom"/>
          </w:tcPr>
          <w:p>
            <w:pPr>
              <w:ind w:left="20"/>
              <w:spacing w:after="0"/>
              <w:rPr>
                <w:sz w:val="20"/>
                <w:szCs w:val="20"/>
                <w:color w:val="auto"/>
              </w:rPr>
            </w:pPr>
            <w:r>
              <w:rPr>
                <w:rFonts w:ascii="Arial" w:cs="Arial" w:eastAsia="Arial" w:hAnsi="Arial"/>
                <w:sz w:val="13"/>
                <w:szCs w:val="13"/>
                <w:color w:val="auto"/>
              </w:rPr>
              <w:t>Aerospace and Defense</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280,170</w:t>
            </w:r>
          </w:p>
        </w:tc>
        <w:tc>
          <w:tcPr>
            <w:tcW w:w="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8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7"/>
              <w:spacing w:after="0"/>
              <w:rPr>
                <w:sz w:val="20"/>
                <w:szCs w:val="20"/>
                <w:color w:val="auto"/>
              </w:rPr>
            </w:pPr>
            <w:r>
              <w:rPr>
                <w:rFonts w:ascii="Arial" w:cs="Arial" w:eastAsia="Arial" w:hAnsi="Arial"/>
                <w:sz w:val="13"/>
                <w:szCs w:val="13"/>
                <w:color w:val="auto"/>
              </w:rPr>
              <w:t>19,830</w:t>
            </w:r>
          </w:p>
        </w:tc>
        <w:tc>
          <w:tcPr>
            <w:tcW w:w="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300,000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1,938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1300" w:type="dxa"/>
            <w:vAlign w:val="bottom"/>
            <w:shd w:val="clear" w:color="auto" w:fill="CFF0FC"/>
          </w:tcPr>
          <w:p>
            <w:pPr>
              <w:ind w:left="20"/>
              <w:spacing w:after="0" w:line="143" w:lineRule="exact"/>
              <w:rPr>
                <w:sz w:val="20"/>
                <w:szCs w:val="20"/>
                <w:color w:val="auto"/>
              </w:rPr>
            </w:pPr>
            <w:r>
              <w:rPr>
                <w:rFonts w:ascii="Arial" w:cs="Arial" w:eastAsia="Arial" w:hAnsi="Arial"/>
                <w:sz w:val="13"/>
                <w:szCs w:val="13"/>
                <w:color w:val="auto"/>
                <w:w w:val="94"/>
              </w:rPr>
              <w:t>KCAP Freedom 3, LLC</w:t>
            </w:r>
          </w:p>
        </w:tc>
        <w:tc>
          <w:tcPr>
            <w:tcW w:w="1440" w:type="dxa"/>
            <w:vAlign w:val="bottom"/>
            <w:shd w:val="clear" w:color="auto" w:fill="CFF0FC"/>
          </w:tcPr>
          <w:p>
            <w:pPr>
              <w:ind w:left="20"/>
              <w:spacing w:after="0" w:line="143" w:lineRule="exact"/>
              <w:rPr>
                <w:sz w:val="20"/>
                <w:szCs w:val="20"/>
                <w:color w:val="auto"/>
              </w:rPr>
            </w:pPr>
            <w:r>
              <w:rPr>
                <w:rFonts w:ascii="Arial" w:cs="Arial" w:eastAsia="Arial" w:hAnsi="Arial"/>
                <w:sz w:val="13"/>
                <w:szCs w:val="13"/>
                <w:color w:val="auto"/>
              </w:rPr>
              <w:t>Joint Venture</w:t>
            </w:r>
          </w:p>
        </w:tc>
        <w:tc>
          <w:tcPr>
            <w:tcW w:w="40" w:type="dxa"/>
            <w:vAlign w:val="bottom"/>
            <w:vMerge w:val="restart"/>
            <w:shd w:val="clear" w:color="auto" w:fill="CFF0FC"/>
          </w:tcPr>
          <w:p>
            <w:pPr>
              <w:spacing w:after="0"/>
              <w:rPr>
                <w:sz w:val="12"/>
                <w:szCs w:val="12"/>
                <w:color w:val="auto"/>
              </w:rPr>
            </w:pPr>
          </w:p>
        </w:tc>
        <w:tc>
          <w:tcPr>
            <w:tcW w:w="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19,748,808</w:t>
            </w:r>
          </w:p>
        </w:tc>
        <w:tc>
          <w:tcPr>
            <w:tcW w:w="40" w:type="dxa"/>
            <w:vAlign w:val="bottom"/>
            <w:vMerge w:val="restart"/>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2,500,000</w:t>
            </w:r>
          </w:p>
        </w:tc>
        <w:tc>
          <w:tcPr>
            <w:tcW w:w="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ind w:left="600"/>
              <w:spacing w:after="0"/>
              <w:rPr>
                <w:sz w:val="20"/>
                <w:szCs w:val="20"/>
                <w:color w:val="auto"/>
              </w:rPr>
            </w:pPr>
            <w:r>
              <w:rPr>
                <w:rFonts w:ascii="Arial" w:cs="Arial" w:eastAsia="Arial" w:hAnsi="Arial"/>
                <w:sz w:val="13"/>
                <w:szCs w:val="13"/>
                <w:color w:val="auto"/>
              </w:rPr>
              <w:t>—</w:t>
            </w:r>
          </w:p>
        </w:tc>
        <w:tc>
          <w:tcPr>
            <w:tcW w:w="20" w:type="dxa"/>
            <w:vAlign w:val="bottom"/>
            <w:vMerge w:val="restart"/>
            <w:shd w:val="clear" w:color="auto" w:fill="CFF0FC"/>
          </w:tcPr>
          <w:p>
            <w:pPr>
              <w:spacing w:after="0"/>
              <w:rPr>
                <w:sz w:val="12"/>
                <w:szCs w:val="12"/>
                <w:color w:val="auto"/>
              </w:rPr>
            </w:pPr>
          </w:p>
        </w:tc>
        <w:tc>
          <w:tcPr>
            <w:tcW w:w="78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1,697,493</w:t>
            </w:r>
          </w:p>
        </w:tc>
        <w:tc>
          <w:tcPr>
            <w:tcW w:w="2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vMerge w:val="restart"/>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8"/>
              </w:rPr>
              <w:t>23,946,301</w:t>
            </w:r>
          </w:p>
        </w:tc>
        <w:tc>
          <w:tcPr>
            <w:tcW w:w="40" w:type="dxa"/>
            <w:vAlign w:val="bottom"/>
            <w:vMerge w:val="restart"/>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27,220,000</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vMerge w:val="restart"/>
            <w:shd w:val="clear" w:color="auto" w:fill="CFF0FC"/>
          </w:tcPr>
          <w:p>
            <w:pPr>
              <w:spacing w:after="0"/>
              <w:rPr>
                <w:sz w:val="12"/>
                <w:szCs w:val="12"/>
                <w:color w:val="auto"/>
              </w:rPr>
            </w:pPr>
          </w:p>
        </w:tc>
        <w:tc>
          <w:tcPr>
            <w:tcW w:w="80" w:type="dxa"/>
            <w:vAlign w:val="bottom"/>
            <w:vMerge w:val="restart"/>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1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8"/>
                <w:szCs w:val="8"/>
                <w:color w:val="auto"/>
              </w:rPr>
              <w:t>(1)(3)</w:t>
            </w:r>
          </w:p>
        </w:tc>
        <w:tc>
          <w:tcPr>
            <w:tcW w:w="144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auto"/>
            </w:tcBorders>
            <w:vMerge w:val="continue"/>
            <w:shd w:val="clear" w:color="auto" w:fill="CFF0FC"/>
          </w:tcPr>
          <w:p>
            <w:pPr>
              <w:spacing w:after="0"/>
              <w:rPr>
                <w:sz w:val="12"/>
                <w:szCs w:val="12"/>
                <w:color w:val="auto"/>
              </w:rPr>
            </w:pPr>
          </w:p>
        </w:tc>
        <w:tc>
          <w:tcPr>
            <w:tcW w:w="740" w:type="dxa"/>
            <w:vAlign w:val="bottom"/>
            <w:tcBorders>
              <w:bottom w:val="single" w:sz="8" w:color="auto"/>
            </w:tcBorders>
            <w:vMerge w:val="continue"/>
            <w:shd w:val="clear" w:color="auto" w:fill="CFF0FC"/>
          </w:tcPr>
          <w:p>
            <w:pPr>
              <w:spacing w:after="0"/>
              <w:rPr>
                <w:sz w:val="12"/>
                <w:szCs w:val="12"/>
                <w:color w:val="auto"/>
              </w:rPr>
            </w:pPr>
          </w:p>
        </w:tc>
        <w:tc>
          <w:tcPr>
            <w:tcW w:w="40" w:type="dxa"/>
            <w:vAlign w:val="bottom"/>
            <w:tcBorders>
              <w:bottom w:val="single" w:sz="8" w:color="CFF0FC"/>
            </w:tcBorders>
            <w:vMerge w:val="continue"/>
            <w:shd w:val="clear" w:color="auto" w:fill="CFF0FC"/>
          </w:tcPr>
          <w:p>
            <w:pPr>
              <w:spacing w:after="0"/>
              <w:rPr>
                <w:sz w:val="12"/>
                <w:szCs w:val="12"/>
                <w:color w:val="auto"/>
              </w:rPr>
            </w:pPr>
          </w:p>
        </w:tc>
        <w:tc>
          <w:tcPr>
            <w:tcW w:w="980" w:type="dxa"/>
            <w:vAlign w:val="bottom"/>
            <w:tcBorders>
              <w:bottom w:val="single" w:sz="8" w:color="auto"/>
            </w:tcBorders>
            <w:vMerge w:val="continue"/>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20" w:type="dxa"/>
            <w:vAlign w:val="bottom"/>
            <w:tcBorders>
              <w:bottom w:val="single" w:sz="8" w:color="CFF0FC"/>
            </w:tcBorders>
            <w:vMerge w:val="continue"/>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auto"/>
            </w:tcBorders>
            <w:vMerge w:val="continue"/>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40" w:type="dxa"/>
            <w:vAlign w:val="bottom"/>
            <w:tcBorders>
              <w:bottom w:val="single" w:sz="8" w:color="CFF0FC"/>
            </w:tcBorders>
            <w:vMerge w:val="continue"/>
            <w:shd w:val="clear" w:color="auto" w:fill="CFF0FC"/>
          </w:tcPr>
          <w:p>
            <w:pPr>
              <w:spacing w:after="0"/>
              <w:rPr>
                <w:sz w:val="12"/>
                <w:szCs w:val="12"/>
                <w:color w:val="auto"/>
              </w:rPr>
            </w:pPr>
          </w:p>
        </w:tc>
        <w:tc>
          <w:tcPr>
            <w:tcW w:w="100" w:type="dxa"/>
            <w:vAlign w:val="bottom"/>
            <w:tcBorders>
              <w:bottom w:val="single" w:sz="8" w:color="auto"/>
            </w:tcBorders>
            <w:vMerge w:val="continue"/>
            <w:shd w:val="clear" w:color="auto" w:fill="CFF0FC"/>
          </w:tcPr>
          <w:p>
            <w:pPr>
              <w:spacing w:after="0"/>
              <w:rPr>
                <w:sz w:val="12"/>
                <w:szCs w:val="12"/>
                <w:color w:val="auto"/>
              </w:rPr>
            </w:pPr>
          </w:p>
        </w:tc>
        <w:tc>
          <w:tcPr>
            <w:tcW w:w="960" w:type="dxa"/>
            <w:vAlign w:val="bottom"/>
            <w:tcBorders>
              <w:bottom w:val="single" w:sz="8" w:color="auto"/>
            </w:tcBorders>
            <w:vMerge w:val="continue"/>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vMerge w:val="continue"/>
            <w:shd w:val="clear" w:color="auto" w:fill="CFF0FC"/>
          </w:tcPr>
          <w:p>
            <w:pPr>
              <w:spacing w:after="0"/>
              <w:rPr>
                <w:sz w:val="12"/>
                <w:szCs w:val="12"/>
                <w:color w:val="auto"/>
              </w:rPr>
            </w:pPr>
          </w:p>
        </w:tc>
        <w:tc>
          <w:tcPr>
            <w:tcW w:w="2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auto"/>
            </w:tcBorders>
            <w:vMerge w:val="continue"/>
            <w:shd w:val="clear" w:color="auto" w:fill="CFF0FC"/>
          </w:tcPr>
          <w:p>
            <w:pPr>
              <w:spacing w:after="0"/>
              <w:rPr>
                <w:sz w:val="12"/>
                <w:szCs w:val="12"/>
                <w:color w:val="auto"/>
              </w:rPr>
            </w:pPr>
          </w:p>
        </w:tc>
        <w:tc>
          <w:tcPr>
            <w:tcW w:w="640" w:type="dxa"/>
            <w:vAlign w:val="bottom"/>
            <w:tcBorders>
              <w:bottom w:val="single" w:sz="8" w:color="auto"/>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00" w:type="dxa"/>
            <w:vAlign w:val="bottom"/>
          </w:tcPr>
          <w:p>
            <w:pPr>
              <w:ind w:left="20"/>
              <w:spacing w:after="0"/>
              <w:rPr>
                <w:sz w:val="20"/>
                <w:szCs w:val="20"/>
                <w:color w:val="auto"/>
              </w:rPr>
            </w:pPr>
            <w:r>
              <w:rPr>
                <w:rFonts w:ascii="Arial" w:cs="Arial" w:eastAsia="Arial" w:hAnsi="Arial"/>
                <w:sz w:val="13"/>
                <w:szCs w:val="13"/>
                <w:color w:val="auto"/>
              </w:rPr>
              <w:t>Total controlled</w:t>
            </w: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19,956,574</w:t>
            </w:r>
          </w:p>
        </w:tc>
        <w:tc>
          <w:tcPr>
            <w:tcW w:w="1020" w:type="dxa"/>
            <w:vAlign w:val="bottom"/>
            <w:gridSpan w:val="2"/>
            <w:vMerge w:val="restart"/>
          </w:tcPr>
          <w:p>
            <w:pPr>
              <w:jc w:val="right"/>
              <w:spacing w:after="0"/>
              <w:rPr>
                <w:sz w:val="20"/>
                <w:szCs w:val="20"/>
                <w:color w:val="auto"/>
              </w:rPr>
            </w:pPr>
            <w:r>
              <w:rPr>
                <w:rFonts w:ascii="Arial" w:cs="Arial" w:eastAsia="Arial" w:hAnsi="Arial"/>
                <w:sz w:val="13"/>
                <w:szCs w:val="13"/>
                <w:color w:val="auto"/>
              </w:rPr>
              <w:t>2,780,170</w:t>
            </w:r>
          </w:p>
        </w:tc>
        <w:tc>
          <w:tcPr>
            <w:tcW w:w="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780" w:type="dxa"/>
            <w:vAlign w:val="bottom"/>
            <w:vMerge w:val="restart"/>
          </w:tcPr>
          <w:p>
            <w:pPr>
              <w:ind w:left="60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1,552,759</w:t>
            </w:r>
          </w:p>
        </w:tc>
        <w:tc>
          <w:tcPr>
            <w:tcW w:w="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8"/>
              </w:rPr>
              <w:t>24,289,503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27,782,207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(5,384 )</w:t>
            </w:r>
          </w:p>
        </w:tc>
        <w:tc>
          <w:tcPr>
            <w:tcW w:w="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1300" w:type="dxa"/>
            <w:vAlign w:val="bottom"/>
          </w:tcPr>
          <w:p>
            <w:pPr>
              <w:ind w:left="20"/>
              <w:spacing w:after="0"/>
              <w:rPr>
                <w:sz w:val="20"/>
                <w:szCs w:val="20"/>
                <w:color w:val="auto"/>
              </w:rPr>
            </w:pPr>
            <w:r>
              <w:rPr>
                <w:rFonts w:ascii="Arial" w:cs="Arial" w:eastAsia="Arial" w:hAnsi="Arial"/>
                <w:sz w:val="13"/>
                <w:szCs w:val="13"/>
                <w:color w:val="auto"/>
              </w:rPr>
              <w:t>affiliates</w:t>
            </w: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BCP Great Lakes</w:t>
            </w:r>
          </w:p>
        </w:tc>
        <w:tc>
          <w:tcPr>
            <w:tcW w:w="1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Joint Venture</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00" w:type="dxa"/>
            <w:vAlign w:val="bottom"/>
            <w:shd w:val="clear" w:color="auto" w:fill="CFF0FC"/>
          </w:tcPr>
          <w:p>
            <w:pPr>
              <w:ind w:left="20"/>
              <w:spacing w:after="0"/>
              <w:rPr>
                <w:sz w:val="20"/>
                <w:szCs w:val="20"/>
                <w:color w:val="auto"/>
              </w:rPr>
            </w:pPr>
            <w:r>
              <w:rPr>
                <w:rFonts w:ascii="Arial" w:cs="Arial" w:eastAsia="Arial" w:hAnsi="Arial"/>
                <w:sz w:val="13"/>
                <w:szCs w:val="13"/>
                <w:color w:val="auto"/>
              </w:rPr>
              <w:t>Holdings LP</w:t>
            </w:r>
            <w:r>
              <w:rPr>
                <w:rFonts w:ascii="Arial" w:cs="Arial" w:eastAsia="Arial" w:hAnsi="Arial"/>
                <w:sz w:val="16"/>
                <w:szCs w:val="16"/>
                <w:color w:val="auto"/>
                <w:vertAlign w:val="superscript"/>
              </w:rPr>
              <w:t>(5)(7)</w:t>
            </w:r>
          </w:p>
        </w:tc>
        <w:tc>
          <w:tcPr>
            <w:tcW w:w="1440" w:type="dxa"/>
            <w:vAlign w:val="bottom"/>
            <w:shd w:val="clear" w:color="auto" w:fill="CFF0FC"/>
          </w:tcPr>
          <w:p>
            <w:pPr>
              <w:spacing w:after="0"/>
              <w:rPr>
                <w:sz w:val="16"/>
                <w:szCs w:val="16"/>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29,600,355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13,125,919</w:t>
            </w:r>
          </w:p>
        </w:tc>
        <w:tc>
          <w:tcPr>
            <w:tcW w:w="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956,539</w:t>
            </w:r>
          </w:p>
        </w:tc>
        <w:tc>
          <w:tcPr>
            <w:tcW w:w="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43,682,813</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43,143,519</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3,015,317</w:t>
            </w: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Arial" w:cs="Arial" w:eastAsia="Arial" w:hAnsi="Arial"/>
                <w:sz w:val="13"/>
                <w:szCs w:val="13"/>
                <w:color w:val="auto"/>
                <w:w w:val="97"/>
              </w:rPr>
              <w:t>Flight Lease XII</w:t>
            </w:r>
            <w:r>
              <w:rPr>
                <w:rFonts w:ascii="Arial" w:cs="Arial" w:eastAsia="Arial" w:hAnsi="Arial"/>
                <w:sz w:val="16"/>
                <w:szCs w:val="16"/>
                <w:color w:val="auto"/>
                <w:w w:val="97"/>
                <w:vertAlign w:val="superscript"/>
              </w:rPr>
              <w:t>(1)(2)(5)</w:t>
            </w:r>
          </w:p>
        </w:tc>
        <w:tc>
          <w:tcPr>
            <w:tcW w:w="1440" w:type="dxa"/>
            <w:vAlign w:val="bottom"/>
          </w:tcPr>
          <w:p>
            <w:pPr>
              <w:ind w:left="20"/>
              <w:spacing w:after="0"/>
              <w:rPr>
                <w:sz w:val="20"/>
                <w:szCs w:val="20"/>
                <w:color w:val="auto"/>
              </w:rPr>
            </w:pPr>
            <w:r>
              <w:rPr>
                <w:rFonts w:ascii="Arial" w:cs="Arial" w:eastAsia="Arial" w:hAnsi="Arial"/>
                <w:sz w:val="13"/>
                <w:szCs w:val="13"/>
                <w:color w:val="auto"/>
              </w:rPr>
              <w:t>Aerospace and Defense</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529,787</w:t>
            </w: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78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7"/>
              <w:spacing w:after="0"/>
              <w:rPr>
                <w:sz w:val="20"/>
                <w:szCs w:val="20"/>
                <w:color w:val="auto"/>
              </w:rPr>
            </w:pPr>
            <w:r>
              <w:rPr>
                <w:rFonts w:ascii="Arial" w:cs="Arial" w:eastAsia="Arial" w:hAnsi="Arial"/>
                <w:sz w:val="13"/>
                <w:szCs w:val="13"/>
                <w:color w:val="auto"/>
              </w:rPr>
              <w:t>50,661</w:t>
            </w:r>
          </w:p>
        </w:tc>
        <w:tc>
          <w:tcPr>
            <w:tcW w:w="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580,448</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CFF0FC"/>
          </w:tcPr>
          <w:p>
            <w:pPr>
              <w:ind w:left="20"/>
              <w:spacing w:after="0"/>
              <w:rPr>
                <w:sz w:val="20"/>
                <w:szCs w:val="20"/>
                <w:color w:val="auto"/>
              </w:rPr>
            </w:pPr>
            <w:r>
              <w:rPr>
                <w:rFonts w:ascii="Arial" w:cs="Arial" w:eastAsia="Arial" w:hAnsi="Arial"/>
                <w:sz w:val="13"/>
                <w:szCs w:val="13"/>
                <w:color w:val="auto"/>
              </w:rPr>
              <w:t>Kleen-Tech</w:t>
            </w:r>
          </w:p>
        </w:tc>
        <w:tc>
          <w:tcPr>
            <w:tcW w:w="1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Services: Business</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4"/>
              </w:rPr>
              <w:t>Acquisition, LLC</w:t>
            </w:r>
            <w:r>
              <w:rPr>
                <w:rFonts w:ascii="Arial" w:cs="Arial" w:eastAsia="Arial" w:hAnsi="Arial"/>
                <w:sz w:val="16"/>
                <w:szCs w:val="16"/>
                <w:color w:val="auto"/>
                <w:w w:val="94"/>
                <w:vertAlign w:val="superscript"/>
              </w:rPr>
              <w:t>(1)(2)(5)</w:t>
            </w:r>
          </w:p>
        </w:tc>
        <w:tc>
          <w:tcPr>
            <w:tcW w:w="1440" w:type="dxa"/>
            <w:vAlign w:val="bottom"/>
            <w:shd w:val="clear" w:color="auto" w:fill="CFF0FC"/>
          </w:tcPr>
          <w:p>
            <w:pPr>
              <w:spacing w:after="0"/>
              <w:rPr>
                <w:sz w:val="16"/>
                <w:szCs w:val="16"/>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1,264,409</w:t>
            </w:r>
          </w:p>
        </w:tc>
        <w:tc>
          <w:tcPr>
            <w:tcW w:w="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(24,409 )</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1,240,000</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250,000</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300" w:type="dxa"/>
            <w:vAlign w:val="bottom"/>
          </w:tcPr>
          <w:p>
            <w:pPr>
              <w:ind w:left="20"/>
              <w:spacing w:after="0"/>
              <w:rPr>
                <w:sz w:val="20"/>
                <w:szCs w:val="20"/>
                <w:color w:val="auto"/>
              </w:rPr>
            </w:pPr>
            <w:r>
              <w:rPr>
                <w:rFonts w:ascii="Arial" w:cs="Arial" w:eastAsia="Arial" w:hAnsi="Arial"/>
                <w:sz w:val="13"/>
                <w:szCs w:val="13"/>
                <w:color w:val="auto"/>
                <w:w w:val="95"/>
              </w:rPr>
              <w:t>Northeast Metal Works</w:t>
            </w:r>
          </w:p>
        </w:tc>
        <w:tc>
          <w:tcPr>
            <w:tcW w:w="1440" w:type="dxa"/>
            <w:vAlign w:val="bottom"/>
          </w:tcPr>
          <w:p>
            <w:pPr>
              <w:ind w:left="20"/>
              <w:spacing w:after="0"/>
              <w:rPr>
                <w:sz w:val="20"/>
                <w:szCs w:val="20"/>
                <w:color w:val="auto"/>
              </w:rPr>
            </w:pPr>
            <w:r>
              <w:rPr>
                <w:rFonts w:ascii="Arial" w:cs="Arial" w:eastAsia="Arial" w:hAnsi="Arial"/>
                <w:sz w:val="13"/>
                <w:szCs w:val="13"/>
                <w:color w:val="auto"/>
              </w:rPr>
              <w:t>Metals &amp; Mining</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90" w:lineRule="exact"/>
              <w:rPr>
                <w:sz w:val="20"/>
                <w:szCs w:val="20"/>
                <w:color w:val="auto"/>
              </w:rPr>
            </w:pPr>
            <w:r>
              <w:rPr>
                <w:rFonts w:ascii="Arial" w:cs="Arial" w:eastAsia="Arial" w:hAnsi="Arial"/>
                <w:sz w:val="21"/>
                <w:szCs w:val="21"/>
                <w:color w:val="auto"/>
                <w:vertAlign w:val="subscript"/>
              </w:rPr>
              <w:t>LLC</w:t>
            </w:r>
            <w:r>
              <w:rPr>
                <w:rFonts w:ascii="Arial" w:cs="Arial" w:eastAsia="Arial" w:hAnsi="Arial"/>
                <w:sz w:val="8"/>
                <w:szCs w:val="8"/>
                <w:color w:val="auto"/>
              </w:rPr>
              <w:t>(1)(2)(5)</w:t>
            </w:r>
          </w:p>
        </w:tc>
        <w:tc>
          <w:tcPr>
            <w:tcW w:w="1440" w:type="dxa"/>
            <w:vAlign w:val="bottom"/>
          </w:tcPr>
          <w:p>
            <w:pPr>
              <w:spacing w:after="0"/>
              <w:rPr>
                <w:sz w:val="16"/>
                <w:szCs w:val="16"/>
                <w:color w:val="auto"/>
              </w:rPr>
            </w:pP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11,871,846</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1,184,932</w:t>
            </w:r>
          </w:p>
        </w:tc>
        <w:tc>
          <w:tcPr>
            <w:tcW w:w="20" w:type="dxa"/>
            <w:vAlign w:val="bottom"/>
          </w:tcPr>
          <w:p>
            <w:pPr>
              <w:spacing w:after="0"/>
              <w:rPr>
                <w:sz w:val="16"/>
                <w:szCs w:val="16"/>
                <w:color w:val="auto"/>
              </w:rPr>
            </w:pPr>
          </w:p>
        </w:tc>
        <w:tc>
          <w:tcPr>
            <w:tcW w:w="78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7"/>
              <w:spacing w:after="0"/>
              <w:rPr>
                <w:sz w:val="20"/>
                <w:szCs w:val="20"/>
                <w:color w:val="auto"/>
              </w:rPr>
            </w:pPr>
            <w:r>
              <w:rPr>
                <w:rFonts w:ascii="Arial" w:cs="Arial" w:eastAsia="Arial" w:hAnsi="Arial"/>
                <w:sz w:val="13"/>
                <w:szCs w:val="13"/>
                <w:color w:val="auto"/>
              </w:rPr>
              <w:t>440,087</w:t>
            </w:r>
          </w:p>
        </w:tc>
        <w:tc>
          <w:tcPr>
            <w:tcW w:w="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(1,174,538 ) $</w:t>
            </w:r>
          </w:p>
        </w:tc>
        <w:tc>
          <w:tcPr>
            <w:tcW w:w="700" w:type="dxa"/>
            <w:vAlign w:val="bottom"/>
          </w:tcPr>
          <w:p>
            <w:pPr>
              <w:jc w:val="right"/>
              <w:spacing w:after="0"/>
              <w:rPr>
                <w:sz w:val="20"/>
                <w:szCs w:val="20"/>
                <w:color w:val="auto"/>
              </w:rPr>
            </w:pPr>
            <w:r>
              <w:rPr>
                <w:rFonts w:ascii="Arial" w:cs="Arial" w:eastAsia="Arial" w:hAnsi="Arial"/>
                <w:sz w:val="13"/>
                <w:szCs w:val="13"/>
                <w:color w:val="auto"/>
                <w:w w:val="98"/>
              </w:rPr>
              <w:t>12,322,327</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14,002,644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448,604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9"/>
              </w:rPr>
              <w:t>BMP Slappey Holdco,</w:t>
            </w:r>
          </w:p>
        </w:tc>
        <w:tc>
          <w:tcPr>
            <w:tcW w:w="1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Telecommunications</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00" w:type="dxa"/>
            <w:vAlign w:val="bottom"/>
            <w:shd w:val="clear" w:color="auto" w:fill="CFF0FC"/>
          </w:tcPr>
          <w:p>
            <w:pPr>
              <w:ind w:left="20"/>
              <w:spacing w:after="0" w:line="190" w:lineRule="exact"/>
              <w:rPr>
                <w:sz w:val="20"/>
                <w:szCs w:val="20"/>
                <w:color w:val="auto"/>
              </w:rPr>
            </w:pPr>
            <w:r>
              <w:rPr>
                <w:rFonts w:ascii="Arial" w:cs="Arial" w:eastAsia="Arial" w:hAnsi="Arial"/>
                <w:sz w:val="21"/>
                <w:szCs w:val="21"/>
                <w:color w:val="auto"/>
                <w:vertAlign w:val="subscript"/>
              </w:rPr>
              <w:t>LLC</w:t>
            </w:r>
            <w:r>
              <w:rPr>
                <w:rFonts w:ascii="Arial" w:cs="Arial" w:eastAsia="Arial" w:hAnsi="Arial"/>
                <w:sz w:val="8"/>
                <w:szCs w:val="8"/>
                <w:color w:val="auto"/>
              </w:rPr>
              <w:t>(1)(2)(5)</w:t>
            </w:r>
          </w:p>
        </w:tc>
        <w:tc>
          <w:tcPr>
            <w:tcW w:w="1440" w:type="dxa"/>
            <w:vAlign w:val="bottom"/>
            <w:shd w:val="clear" w:color="auto" w:fill="CFF0FC"/>
          </w:tcPr>
          <w:p>
            <w:pPr>
              <w:spacing w:after="0"/>
              <w:rPr>
                <w:sz w:val="16"/>
                <w:szCs w:val="16"/>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466,949</w:t>
            </w:r>
          </w:p>
        </w:tc>
        <w:tc>
          <w:tcPr>
            <w:tcW w:w="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(25,344 )</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441,605</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200,000</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300" w:type="dxa"/>
            <w:vAlign w:val="bottom"/>
          </w:tcPr>
          <w:p>
            <w:pPr>
              <w:ind w:left="20"/>
              <w:spacing w:after="0"/>
              <w:rPr>
                <w:sz w:val="20"/>
                <w:szCs w:val="20"/>
                <w:color w:val="auto"/>
              </w:rPr>
            </w:pPr>
            <w:r>
              <w:rPr>
                <w:rFonts w:ascii="Arial" w:cs="Arial" w:eastAsia="Arial" w:hAnsi="Arial"/>
                <w:sz w:val="13"/>
                <w:szCs w:val="13"/>
                <w:color w:val="auto"/>
                <w:w w:val="99"/>
              </w:rPr>
              <w:t>BMP Slappey Holdco,</w:t>
            </w:r>
          </w:p>
        </w:tc>
        <w:tc>
          <w:tcPr>
            <w:tcW w:w="1440" w:type="dxa"/>
            <w:vAlign w:val="bottom"/>
          </w:tcPr>
          <w:p>
            <w:pPr>
              <w:ind w:left="20"/>
              <w:spacing w:after="0"/>
              <w:rPr>
                <w:sz w:val="20"/>
                <w:szCs w:val="20"/>
                <w:color w:val="auto"/>
              </w:rPr>
            </w:pPr>
            <w:r>
              <w:rPr>
                <w:rFonts w:ascii="Arial" w:cs="Arial" w:eastAsia="Arial" w:hAnsi="Arial"/>
                <w:sz w:val="13"/>
                <w:szCs w:val="13"/>
                <w:color w:val="auto"/>
              </w:rPr>
              <w:t>Telecommunications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90" w:lineRule="exact"/>
              <w:rPr>
                <w:sz w:val="20"/>
                <w:szCs w:val="20"/>
                <w:color w:val="auto"/>
              </w:rPr>
            </w:pPr>
            <w:r>
              <w:rPr>
                <w:rFonts w:ascii="Arial" w:cs="Arial" w:eastAsia="Arial" w:hAnsi="Arial"/>
                <w:sz w:val="21"/>
                <w:szCs w:val="21"/>
                <w:color w:val="auto"/>
                <w:vertAlign w:val="subscript"/>
              </w:rPr>
              <w:t>LLC</w:t>
            </w:r>
            <w:r>
              <w:rPr>
                <w:rFonts w:ascii="Arial" w:cs="Arial" w:eastAsia="Arial" w:hAnsi="Arial"/>
                <w:sz w:val="8"/>
                <w:szCs w:val="8"/>
                <w:color w:val="auto"/>
              </w:rPr>
              <w:t>(1)(2)(5)</w:t>
            </w:r>
          </w:p>
        </w:tc>
        <w:tc>
          <w:tcPr>
            <w:tcW w:w="1440" w:type="dxa"/>
            <w:vAlign w:val="bottom"/>
          </w:tcPr>
          <w:p>
            <w:pPr>
              <w:spacing w:after="0"/>
              <w:rPr>
                <w:sz w:val="16"/>
                <w:szCs w:val="16"/>
                <w:color w:val="auto"/>
              </w:rPr>
            </w:pP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207,666</w:t>
            </w: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780" w:type="dxa"/>
            <w:vAlign w:val="bottom"/>
          </w:tcPr>
          <w:p>
            <w:pPr>
              <w:ind w:left="60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(11,271 )</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196,395</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88,946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3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Surge Hippodrome</w:t>
            </w:r>
          </w:p>
        </w:tc>
        <w:tc>
          <w:tcPr>
            <w:tcW w:w="1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Services: Business</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00" w:type="dxa"/>
            <w:vAlign w:val="bottom"/>
            <w:shd w:val="clear" w:color="auto" w:fill="CFF0FC"/>
          </w:tcPr>
          <w:p>
            <w:pPr>
              <w:ind w:left="20"/>
              <w:spacing w:after="0"/>
              <w:rPr>
                <w:sz w:val="20"/>
                <w:szCs w:val="20"/>
                <w:color w:val="auto"/>
              </w:rPr>
            </w:pPr>
            <w:r>
              <w:rPr>
                <w:rFonts w:ascii="Arial" w:cs="Arial" w:eastAsia="Arial" w:hAnsi="Arial"/>
                <w:sz w:val="13"/>
                <w:szCs w:val="13"/>
                <w:color w:val="auto"/>
              </w:rPr>
              <w:t>Holdings LLC</w:t>
            </w:r>
            <w:r>
              <w:rPr>
                <w:rFonts w:ascii="Arial" w:cs="Arial" w:eastAsia="Arial" w:hAnsi="Arial"/>
                <w:sz w:val="16"/>
                <w:szCs w:val="16"/>
                <w:color w:val="auto"/>
                <w:vertAlign w:val="superscript"/>
              </w:rPr>
              <w:t>(1)(2)(5)</w:t>
            </w:r>
          </w:p>
        </w:tc>
        <w:tc>
          <w:tcPr>
            <w:tcW w:w="1440" w:type="dxa"/>
            <w:vAlign w:val="bottom"/>
            <w:shd w:val="clear" w:color="auto" w:fill="CFF0FC"/>
          </w:tcPr>
          <w:p>
            <w:pPr>
              <w:spacing w:after="0"/>
              <w:rPr>
                <w:sz w:val="16"/>
                <w:szCs w:val="16"/>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357,029</w:t>
            </w:r>
          </w:p>
        </w:tc>
        <w:tc>
          <w:tcPr>
            <w:tcW w:w="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(57,029 )</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300" w:type="dxa"/>
            <w:vAlign w:val="bottom"/>
          </w:tcPr>
          <w:p>
            <w:pPr>
              <w:ind w:left="20"/>
              <w:spacing w:after="0"/>
              <w:rPr>
                <w:sz w:val="20"/>
                <w:szCs w:val="20"/>
                <w:color w:val="auto"/>
              </w:rPr>
            </w:pPr>
            <w:r>
              <w:rPr>
                <w:rFonts w:ascii="Arial" w:cs="Arial" w:eastAsia="Arial" w:hAnsi="Arial"/>
                <w:sz w:val="13"/>
                <w:szCs w:val="13"/>
                <w:color w:val="auto"/>
              </w:rPr>
              <w:t>Surge Hippodrome</w:t>
            </w:r>
          </w:p>
        </w:tc>
        <w:tc>
          <w:tcPr>
            <w:tcW w:w="1440" w:type="dxa"/>
            <w:vAlign w:val="bottom"/>
          </w:tcPr>
          <w:p>
            <w:pPr>
              <w:ind w:left="20"/>
              <w:spacing w:after="0"/>
              <w:rPr>
                <w:sz w:val="20"/>
                <w:szCs w:val="20"/>
                <w:color w:val="auto"/>
              </w:rPr>
            </w:pPr>
            <w:r>
              <w:rPr>
                <w:rFonts w:ascii="Arial" w:cs="Arial" w:eastAsia="Arial" w:hAnsi="Arial"/>
                <w:sz w:val="13"/>
                <w:szCs w:val="13"/>
                <w:color w:val="auto"/>
              </w:rPr>
              <w:t>Services: Business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300" w:type="dxa"/>
            <w:vAlign w:val="bottom"/>
          </w:tcPr>
          <w:p>
            <w:pPr>
              <w:ind w:left="20"/>
              <w:spacing w:after="0"/>
              <w:rPr>
                <w:sz w:val="20"/>
                <w:szCs w:val="20"/>
                <w:color w:val="auto"/>
              </w:rPr>
            </w:pPr>
            <w:r>
              <w:rPr>
                <w:rFonts w:ascii="Arial" w:cs="Arial" w:eastAsia="Arial" w:hAnsi="Arial"/>
                <w:sz w:val="13"/>
                <w:szCs w:val="13"/>
                <w:color w:val="auto"/>
              </w:rPr>
              <w:t>Holdings LLC</w:t>
            </w:r>
            <w:r>
              <w:rPr>
                <w:rFonts w:ascii="Arial" w:cs="Arial" w:eastAsia="Arial" w:hAnsi="Arial"/>
                <w:sz w:val="16"/>
                <w:szCs w:val="16"/>
                <w:color w:val="auto"/>
                <w:vertAlign w:val="superscript"/>
              </w:rPr>
              <w:t>(1)(2)(5)</w:t>
            </w:r>
          </w:p>
        </w:tc>
        <w:tc>
          <w:tcPr>
            <w:tcW w:w="144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159,322</w:t>
            </w: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7"/>
              <w:spacing w:after="0"/>
              <w:rPr>
                <w:sz w:val="20"/>
                <w:szCs w:val="20"/>
                <w:color w:val="auto"/>
              </w:rPr>
            </w:pPr>
            <w:r>
              <w:rPr>
                <w:rFonts w:ascii="Arial" w:cs="Arial" w:eastAsia="Arial" w:hAnsi="Arial"/>
                <w:sz w:val="13"/>
                <w:szCs w:val="13"/>
                <w:color w:val="auto"/>
              </w:rPr>
              <w:t>20,678</w:t>
            </w: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180,000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-2046605</wp:posOffset>
            </wp:positionV>
            <wp:extent cx="25400"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-2046605</wp:posOffset>
            </wp:positionV>
            <wp:extent cx="26035"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-2046605</wp:posOffset>
            </wp:positionV>
            <wp:extent cx="17145"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-2046605</wp:posOffset>
            </wp:positionV>
            <wp:extent cx="17145"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-2046605</wp:posOffset>
            </wp:positionV>
            <wp:extent cx="17145"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-2046605</wp:posOffset>
            </wp:positionV>
            <wp:extent cx="17145"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-2046605</wp:posOffset>
            </wp:positionV>
            <wp:extent cx="17145"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-2046605</wp:posOffset>
            </wp:positionV>
            <wp:extent cx="17145"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-2046605</wp:posOffset>
            </wp:positionV>
            <wp:extent cx="17145"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7145" cy="5715"/>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2"/>
        </w:trPr>
        <w:tc>
          <w:tcPr>
            <w:tcW w:w="12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Surge Hippodrome</w:t>
            </w:r>
          </w:p>
        </w:tc>
        <w:tc>
          <w:tcPr>
            <w:tcW w:w="1500" w:type="dxa"/>
            <w:vAlign w:val="bottom"/>
            <w:shd w:val="clear" w:color="auto" w:fill="CFF0FC"/>
          </w:tcPr>
          <w:p>
            <w:pPr>
              <w:ind w:left="40"/>
              <w:spacing w:after="0"/>
              <w:rPr>
                <w:sz w:val="20"/>
                <w:szCs w:val="20"/>
                <w:color w:val="auto"/>
              </w:rPr>
            </w:pPr>
            <w:r>
              <w:rPr>
                <w:rFonts w:ascii="Arial" w:cs="Arial" w:eastAsia="Arial" w:hAnsi="Arial"/>
                <w:sz w:val="13"/>
                <w:szCs w:val="13"/>
                <w:color w:val="auto"/>
              </w:rPr>
              <w:t>Services: Business</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FF0FC"/>
          </w:tcPr>
          <w:p>
            <w:pPr>
              <w:ind w:left="20"/>
              <w:spacing w:after="0"/>
              <w:rPr>
                <w:sz w:val="20"/>
                <w:szCs w:val="20"/>
                <w:color w:val="auto"/>
              </w:rPr>
            </w:pPr>
            <w:r>
              <w:rPr>
                <w:rFonts w:ascii="Arial" w:cs="Arial" w:eastAsia="Arial" w:hAnsi="Arial"/>
                <w:sz w:val="13"/>
                <w:szCs w:val="13"/>
                <w:color w:val="auto"/>
              </w:rPr>
              <w:t>Holdings LLC</w:t>
            </w:r>
            <w:r>
              <w:rPr>
                <w:rFonts w:ascii="Arial" w:cs="Arial" w:eastAsia="Arial" w:hAnsi="Arial"/>
                <w:sz w:val="16"/>
                <w:szCs w:val="16"/>
                <w:color w:val="auto"/>
                <w:vertAlign w:val="superscript"/>
              </w:rPr>
              <w:t>(1)(2)(5)</w:t>
            </w:r>
          </w:p>
        </w:tc>
        <w:tc>
          <w:tcPr>
            <w:tcW w:w="15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62,571</w:t>
            </w: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00" w:type="dxa"/>
            <w:vAlign w:val="bottom"/>
            <w:gridSpan w:val="3"/>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(62,571 )</w:t>
            </w:r>
          </w:p>
        </w:tc>
        <w:tc>
          <w:tcPr>
            <w:tcW w:w="14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Arial" w:cs="Arial" w:eastAsia="Arial" w:hAnsi="Arial"/>
                <w:sz w:val="13"/>
                <w:szCs w:val="13"/>
                <w:color w:val="auto"/>
              </w:rPr>
              <w:t>VTK Acquisition, Inc.</w:t>
            </w:r>
          </w:p>
        </w:tc>
        <w:tc>
          <w:tcPr>
            <w:tcW w:w="1500" w:type="dxa"/>
            <w:vAlign w:val="bottom"/>
          </w:tcPr>
          <w:p>
            <w:pPr>
              <w:ind w:left="40"/>
              <w:spacing w:after="0" w:line="135" w:lineRule="exact"/>
              <w:rPr>
                <w:sz w:val="20"/>
                <w:szCs w:val="20"/>
                <w:color w:val="auto"/>
              </w:rPr>
            </w:pPr>
            <w:r>
              <w:rPr>
                <w:rFonts w:ascii="Arial" w:cs="Arial" w:eastAsia="Arial" w:hAnsi="Arial"/>
                <w:sz w:val="13"/>
                <w:szCs w:val="13"/>
                <w:color w:val="auto"/>
              </w:rPr>
              <w:t>Capital Equipment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1,428,956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59,581</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gridSpan w:val="3"/>
            <w:vMerge w:val="restart"/>
          </w:tcPr>
          <w:p>
            <w:pPr>
              <w:ind w:left="26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rPr>
              <w:t>45,257</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1,533,793</w:t>
            </w: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1,536,097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32,674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5"/>
        </w:trPr>
        <w:tc>
          <w:tcPr>
            <w:tcW w:w="1280" w:type="dxa"/>
            <w:vAlign w:val="bottom"/>
          </w:tcPr>
          <w:p>
            <w:pPr>
              <w:ind w:left="20"/>
              <w:spacing w:after="0"/>
              <w:rPr>
                <w:sz w:val="20"/>
                <w:szCs w:val="20"/>
                <w:color w:val="auto"/>
              </w:rPr>
            </w:pPr>
            <w:r>
              <w:rPr>
                <w:rFonts w:ascii="Arial" w:cs="Arial" w:eastAsia="Arial" w:hAnsi="Arial"/>
                <w:sz w:val="8"/>
                <w:szCs w:val="8"/>
                <w:color w:val="auto"/>
              </w:rPr>
              <w:t>(1)(2)(5)</w:t>
            </w:r>
          </w:p>
        </w:tc>
        <w:tc>
          <w:tcPr>
            <w:tcW w:w="150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1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1280" w:type="dxa"/>
            <w:vAlign w:val="bottom"/>
            <w:shd w:val="clear" w:color="auto" w:fill="CFF0FC"/>
          </w:tcPr>
          <w:p>
            <w:pPr>
              <w:ind w:left="20"/>
              <w:spacing w:after="0" w:line="143" w:lineRule="exact"/>
              <w:rPr>
                <w:sz w:val="20"/>
                <w:szCs w:val="20"/>
                <w:color w:val="auto"/>
              </w:rPr>
            </w:pPr>
            <w:r>
              <w:rPr>
                <w:rFonts w:ascii="Arial" w:cs="Arial" w:eastAsia="Arial" w:hAnsi="Arial"/>
                <w:sz w:val="13"/>
                <w:szCs w:val="13"/>
                <w:color w:val="auto"/>
              </w:rPr>
              <w:t>VTK Acquisition, Inc.</w:t>
            </w:r>
          </w:p>
        </w:tc>
        <w:tc>
          <w:tcPr>
            <w:tcW w:w="1500" w:type="dxa"/>
            <w:vAlign w:val="bottom"/>
            <w:shd w:val="clear" w:color="auto" w:fill="CFF0FC"/>
          </w:tcPr>
          <w:p>
            <w:pPr>
              <w:ind w:left="40"/>
              <w:spacing w:after="0" w:line="143" w:lineRule="exact"/>
              <w:rPr>
                <w:sz w:val="20"/>
                <w:szCs w:val="20"/>
                <w:color w:val="auto"/>
              </w:rPr>
            </w:pPr>
            <w:r>
              <w:rPr>
                <w:rFonts w:ascii="Arial" w:cs="Arial" w:eastAsia="Arial" w:hAnsi="Arial"/>
                <w:sz w:val="13"/>
                <w:szCs w:val="13"/>
                <w:color w:val="auto"/>
              </w:rPr>
              <w:t>Capital Equipment</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2,325,092</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169,449</w:t>
            </w:r>
          </w:p>
        </w:tc>
        <w:tc>
          <w:tcPr>
            <w:tcW w:w="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0" w:type="dxa"/>
            <w:vAlign w:val="bottom"/>
            <w:gridSpan w:val="3"/>
            <w:vMerge w:val="restart"/>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49,149</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(5,333 ) $</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2,538,357</w:t>
            </w:r>
          </w:p>
        </w:tc>
        <w:tc>
          <w:tcPr>
            <w:tcW w:w="2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2,712,500</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73,260</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1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8"/>
                <w:szCs w:val="8"/>
                <w:color w:val="auto"/>
              </w:rPr>
              <w:t>(1)(2)(5)</w:t>
            </w:r>
          </w:p>
        </w:tc>
        <w:tc>
          <w:tcPr>
            <w:tcW w:w="15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700" w:type="dxa"/>
            <w:vAlign w:val="bottom"/>
            <w:tcBorders>
              <w:bottom w:val="single" w:sz="8" w:color="CFF0FC"/>
            </w:tcBorders>
            <w:vMerge w:val="continue"/>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vMerge w:val="continue"/>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vMerge w:val="continue"/>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3"/>
            <w:vMerge w:val="continue"/>
            <w:shd w:val="clear" w:color="auto" w:fill="CFF0FC"/>
          </w:tcPr>
          <w:p>
            <w:pPr>
              <w:spacing w:after="0"/>
              <w:rPr>
                <w:sz w:val="12"/>
                <w:szCs w:val="12"/>
                <w:color w:val="auto"/>
              </w:rPr>
            </w:pPr>
          </w:p>
        </w:tc>
        <w:tc>
          <w:tcPr>
            <w:tcW w:w="640" w:type="dxa"/>
            <w:vAlign w:val="bottom"/>
            <w:tcBorders>
              <w:bottom w:val="single" w:sz="8" w:color="CFF0FC"/>
            </w:tcBorders>
            <w:vMerge w:val="continue"/>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gridSpan w:val="3"/>
            <w:vMerge w:val="continue"/>
            <w:shd w:val="clear" w:color="auto" w:fill="CFF0FC"/>
          </w:tcPr>
          <w:p>
            <w:pPr>
              <w:spacing w:after="0"/>
              <w:rPr>
                <w:sz w:val="12"/>
                <w:szCs w:val="12"/>
                <w:color w:val="auto"/>
              </w:rPr>
            </w:pPr>
          </w:p>
        </w:tc>
        <w:tc>
          <w:tcPr>
            <w:tcW w:w="660" w:type="dxa"/>
            <w:vAlign w:val="bottom"/>
            <w:tcBorders>
              <w:bottom w:val="single" w:sz="8" w:color="CFF0FC"/>
            </w:tcBorders>
            <w:vMerge w:val="continue"/>
            <w:shd w:val="clear" w:color="auto" w:fill="CFF0FC"/>
          </w:tcPr>
          <w:p>
            <w:pPr>
              <w:spacing w:after="0"/>
              <w:rPr>
                <w:sz w:val="12"/>
                <w:szCs w:val="12"/>
                <w:color w:val="auto"/>
              </w:rPr>
            </w:pPr>
          </w:p>
        </w:tc>
        <w:tc>
          <w:tcPr>
            <w:tcW w:w="260" w:type="dxa"/>
            <w:vAlign w:val="bottom"/>
            <w:tcBorders>
              <w:bottom w:val="single" w:sz="8" w:color="CFF0FC"/>
            </w:tcBorders>
            <w:gridSpan w:val="2"/>
            <w:vMerge w:val="continue"/>
            <w:shd w:val="clear" w:color="auto" w:fill="CFF0FC"/>
          </w:tcPr>
          <w:p>
            <w:pPr>
              <w:spacing w:after="0"/>
              <w:rPr>
                <w:sz w:val="12"/>
                <w:szCs w:val="12"/>
                <w:color w:val="auto"/>
              </w:rPr>
            </w:pPr>
          </w:p>
        </w:tc>
        <w:tc>
          <w:tcPr>
            <w:tcW w:w="840" w:type="dxa"/>
            <w:vAlign w:val="bottom"/>
            <w:tcBorders>
              <w:bottom w:val="single" w:sz="8" w:color="CFF0FC"/>
            </w:tcBorders>
            <w:vMerge w:val="continue"/>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vMerge w:val="continue"/>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Arial" w:cs="Arial" w:eastAsia="Arial" w:hAnsi="Arial"/>
                <w:sz w:val="13"/>
                <w:szCs w:val="13"/>
                <w:color w:val="auto"/>
              </w:rPr>
              <w:t>VTK Acquisition, Inc.</w:t>
            </w:r>
          </w:p>
        </w:tc>
        <w:tc>
          <w:tcPr>
            <w:tcW w:w="1500" w:type="dxa"/>
            <w:vAlign w:val="bottom"/>
          </w:tcPr>
          <w:p>
            <w:pPr>
              <w:ind w:left="40"/>
              <w:spacing w:after="0" w:line="135" w:lineRule="exact"/>
              <w:rPr>
                <w:sz w:val="20"/>
                <w:szCs w:val="20"/>
                <w:color w:val="auto"/>
              </w:rPr>
            </w:pPr>
            <w:r>
              <w:rPr>
                <w:rFonts w:ascii="Arial" w:cs="Arial" w:eastAsia="Arial" w:hAnsi="Arial"/>
                <w:sz w:val="13"/>
                <w:szCs w:val="13"/>
                <w:color w:val="auto"/>
              </w:rPr>
              <w:t>Capital Equipment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250,959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gridSpan w:val="3"/>
            <w:vMerge w:val="restart"/>
          </w:tcPr>
          <w:p>
            <w:pPr>
              <w:ind w:left="26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rPr>
              <w:t>239,041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490,000</w:t>
            </w: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90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5"/>
        </w:trPr>
        <w:tc>
          <w:tcPr>
            <w:tcW w:w="1280" w:type="dxa"/>
            <w:vAlign w:val="bottom"/>
          </w:tcPr>
          <w:p>
            <w:pPr>
              <w:ind w:left="20"/>
              <w:spacing w:after="0"/>
              <w:rPr>
                <w:sz w:val="20"/>
                <w:szCs w:val="20"/>
                <w:color w:val="auto"/>
              </w:rPr>
            </w:pPr>
            <w:r>
              <w:rPr>
                <w:rFonts w:ascii="Arial" w:cs="Arial" w:eastAsia="Arial" w:hAnsi="Arial"/>
                <w:sz w:val="8"/>
                <w:szCs w:val="8"/>
                <w:color w:val="auto"/>
              </w:rPr>
              <w:t>(1)(2)(5)</w:t>
            </w:r>
          </w:p>
        </w:tc>
        <w:tc>
          <w:tcPr>
            <w:tcW w:w="150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1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1280" w:type="dxa"/>
            <w:vAlign w:val="bottom"/>
            <w:shd w:val="clear" w:color="auto" w:fill="CFF0FC"/>
          </w:tcPr>
          <w:p>
            <w:pPr>
              <w:ind w:left="20"/>
              <w:spacing w:after="0"/>
              <w:rPr>
                <w:sz w:val="20"/>
                <w:szCs w:val="20"/>
                <w:color w:val="auto"/>
              </w:rPr>
            </w:pPr>
            <w:r>
              <w:rPr>
                <w:rFonts w:ascii="Arial" w:cs="Arial" w:eastAsia="Arial" w:hAnsi="Arial"/>
                <w:sz w:val="13"/>
                <w:szCs w:val="13"/>
                <w:color w:val="auto"/>
                <w:w w:val="86"/>
              </w:rPr>
              <w:t>Navex Topco, Inc.</w:t>
            </w:r>
            <w:r>
              <w:rPr>
                <w:rFonts w:ascii="Arial" w:cs="Arial" w:eastAsia="Arial" w:hAnsi="Arial"/>
                <w:sz w:val="16"/>
                <w:szCs w:val="16"/>
                <w:color w:val="auto"/>
                <w:w w:val="86"/>
                <w:vertAlign w:val="superscript"/>
              </w:rPr>
              <w:t>(1)(2)(5)</w:t>
            </w:r>
          </w:p>
        </w:tc>
        <w:tc>
          <w:tcPr>
            <w:tcW w:w="1500" w:type="dxa"/>
            <w:vAlign w:val="bottom"/>
            <w:shd w:val="clear" w:color="auto" w:fill="CFF0FC"/>
          </w:tcPr>
          <w:p>
            <w:pPr>
              <w:ind w:left="40"/>
              <w:spacing w:after="0"/>
              <w:rPr>
                <w:sz w:val="20"/>
                <w:szCs w:val="20"/>
                <w:color w:val="auto"/>
              </w:rPr>
            </w:pPr>
            <w:r>
              <w:rPr>
                <w:rFonts w:ascii="Arial" w:cs="Arial" w:eastAsia="Arial" w:hAnsi="Arial"/>
                <w:sz w:val="13"/>
                <w:szCs w:val="13"/>
                <w:color w:val="auto"/>
              </w:rPr>
              <w:t>Electronics</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7,488,250</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62,886</w:t>
            </w: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00" w:type="dxa"/>
            <w:vAlign w:val="bottom"/>
            <w:gridSpan w:val="3"/>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1,294</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7,552,430</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7,700,000</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415,383</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Arial" w:cs="Arial" w:eastAsia="Arial" w:hAnsi="Arial"/>
                <w:sz w:val="13"/>
                <w:szCs w:val="13"/>
                <w:color w:val="auto"/>
                <w:w w:val="97"/>
              </w:rPr>
              <w:t>Zest Acquisition Corp.</w:t>
            </w:r>
          </w:p>
        </w:tc>
        <w:tc>
          <w:tcPr>
            <w:tcW w:w="1500" w:type="dxa"/>
            <w:vAlign w:val="bottom"/>
          </w:tcPr>
          <w:p>
            <w:pPr>
              <w:ind w:left="40"/>
              <w:spacing w:after="0" w:line="135" w:lineRule="exact"/>
              <w:rPr>
                <w:sz w:val="20"/>
                <w:szCs w:val="20"/>
                <w:color w:val="auto"/>
              </w:rPr>
            </w:pPr>
            <w:r>
              <w:rPr>
                <w:rFonts w:ascii="Arial" w:cs="Arial" w:eastAsia="Arial" w:hAnsi="Arial"/>
                <w:sz w:val="13"/>
                <w:szCs w:val="13"/>
                <w:color w:val="auto"/>
                <w:w w:val="93"/>
              </w:rPr>
              <w:t>Healthcare, Education and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280" w:type="dxa"/>
            <w:vAlign w:val="bottom"/>
          </w:tcPr>
          <w:p>
            <w:pPr>
              <w:ind w:left="20"/>
              <w:spacing w:after="0"/>
              <w:rPr>
                <w:sz w:val="20"/>
                <w:szCs w:val="20"/>
                <w:color w:val="auto"/>
              </w:rPr>
            </w:pPr>
            <w:r>
              <w:rPr>
                <w:rFonts w:ascii="Arial" w:cs="Arial" w:eastAsia="Arial" w:hAnsi="Arial"/>
                <w:sz w:val="8"/>
                <w:szCs w:val="8"/>
                <w:color w:val="auto"/>
              </w:rPr>
              <w:t>(1)(2)(5)</w:t>
            </w:r>
          </w:p>
        </w:tc>
        <w:tc>
          <w:tcPr>
            <w:tcW w:w="1500" w:type="dxa"/>
            <w:vAlign w:val="bottom"/>
            <w:vMerge w:val="restart"/>
          </w:tcPr>
          <w:p>
            <w:pPr>
              <w:ind w:left="40"/>
              <w:spacing w:after="0"/>
              <w:rPr>
                <w:sz w:val="20"/>
                <w:szCs w:val="20"/>
                <w:color w:val="auto"/>
              </w:rPr>
            </w:pPr>
            <w:r>
              <w:rPr>
                <w:rFonts w:ascii="Arial" w:cs="Arial" w:eastAsia="Arial" w:hAnsi="Arial"/>
                <w:sz w:val="13"/>
                <w:szCs w:val="13"/>
                <w:color w:val="auto"/>
              </w:rPr>
              <w:t>Childcare</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3,291,400</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2,105</w:t>
            </w: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gridSpan w:val="3"/>
            <w:vMerge w:val="restart"/>
          </w:tcPr>
          <w:p>
            <w:pPr>
              <w:ind w:left="26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rPr>
              <w:t>191,795</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3,485,300</w:t>
            </w: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3,500,000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221,083</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3"/>
        </w:trPr>
        <w:tc>
          <w:tcPr>
            <w:tcW w:w="128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280" w:type="dxa"/>
            <w:vAlign w:val="bottom"/>
            <w:shd w:val="clear" w:color="auto" w:fill="CFF0FC"/>
          </w:tcPr>
          <w:p>
            <w:pPr>
              <w:ind w:left="20"/>
              <w:spacing w:after="0"/>
              <w:rPr>
                <w:sz w:val="20"/>
                <w:szCs w:val="20"/>
                <w:color w:val="auto"/>
              </w:rPr>
            </w:pPr>
            <w:r>
              <w:rPr>
                <w:rFonts w:ascii="Arial" w:cs="Arial" w:eastAsia="Arial" w:hAnsi="Arial"/>
                <w:sz w:val="13"/>
                <w:szCs w:val="13"/>
                <w:color w:val="auto"/>
                <w:w w:val="97"/>
              </w:rPr>
              <w:t>GIG Rooster Holdings</w:t>
            </w:r>
          </w:p>
        </w:tc>
        <w:tc>
          <w:tcPr>
            <w:tcW w:w="1500" w:type="dxa"/>
            <w:vAlign w:val="bottom"/>
            <w:shd w:val="clear" w:color="auto" w:fill="CFF0FC"/>
          </w:tcPr>
          <w:p>
            <w:pPr>
              <w:ind w:left="40"/>
              <w:spacing w:after="0"/>
              <w:rPr>
                <w:sz w:val="20"/>
                <w:szCs w:val="20"/>
                <w:color w:val="auto"/>
              </w:rPr>
            </w:pPr>
            <w:r>
              <w:rPr>
                <w:rFonts w:ascii="Arial" w:cs="Arial" w:eastAsia="Arial" w:hAnsi="Arial"/>
                <w:sz w:val="13"/>
                <w:szCs w:val="13"/>
                <w:color w:val="auto"/>
              </w:rPr>
              <w:t>Energy: Oil &amp;</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123,354</w:t>
            </w: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40" w:type="dxa"/>
            <w:vAlign w:val="bottom"/>
            <w:vMerge w:val="restart"/>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20" w:type="dxa"/>
            <w:vAlign w:val="bottom"/>
            <w:vMerge w:val="restart"/>
            <w:shd w:val="clear" w:color="auto" w:fill="CFF0FC"/>
          </w:tcPr>
          <w:p>
            <w:pPr>
              <w:spacing w:after="0"/>
              <w:rPr>
                <w:sz w:val="14"/>
                <w:szCs w:val="14"/>
                <w:color w:val="auto"/>
              </w:rPr>
            </w:pPr>
          </w:p>
        </w:tc>
        <w:tc>
          <w:tcPr>
            <w:tcW w:w="140" w:type="dxa"/>
            <w:vAlign w:val="bottom"/>
            <w:vMerge w:val="restart"/>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(44,154 )</w:t>
            </w:r>
          </w:p>
        </w:tc>
        <w:tc>
          <w:tcPr>
            <w:tcW w:w="20" w:type="dxa"/>
            <w:vAlign w:val="bottom"/>
            <w:vMerge w:val="restart"/>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vMerge w:val="restart"/>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79,200</w:t>
            </w: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280" w:type="dxa"/>
            <w:vAlign w:val="bottom"/>
            <w:tcBorders>
              <w:bottom w:val="single" w:sz="8" w:color="CFF0FC"/>
            </w:tcBorders>
            <w:shd w:val="clear" w:color="auto" w:fill="CFF0FC"/>
          </w:tcPr>
          <w:p>
            <w:pPr>
              <w:ind w:left="20"/>
              <w:spacing w:after="0" w:line="176" w:lineRule="exact"/>
              <w:rPr>
                <w:sz w:val="20"/>
                <w:szCs w:val="20"/>
                <w:color w:val="auto"/>
              </w:rPr>
            </w:pPr>
            <w:r>
              <w:rPr>
                <w:rFonts w:ascii="Arial" w:cs="Arial" w:eastAsia="Arial" w:hAnsi="Arial"/>
                <w:sz w:val="20"/>
                <w:szCs w:val="20"/>
                <w:color w:val="auto"/>
                <w:vertAlign w:val="subscript"/>
              </w:rPr>
              <w:t>I, LLC</w:t>
            </w:r>
            <w:r>
              <w:rPr>
                <w:rFonts w:ascii="Arial" w:cs="Arial" w:eastAsia="Arial" w:hAnsi="Arial"/>
                <w:sz w:val="8"/>
                <w:szCs w:val="8"/>
                <w:color w:val="auto"/>
              </w:rPr>
              <w:t xml:space="preserve"> (1)(2)</w:t>
            </w:r>
          </w:p>
        </w:tc>
        <w:tc>
          <w:tcPr>
            <w:tcW w:w="1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3"/>
                <w:szCs w:val="13"/>
                <w:color w:val="auto"/>
              </w:rPr>
              <w:t>Gas</w:t>
            </w: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700" w:type="dxa"/>
            <w:vAlign w:val="bottom"/>
            <w:tcBorders>
              <w:bottom w:val="single" w:sz="8" w:color="auto"/>
            </w:tcBorders>
            <w:vMerge w:val="continue"/>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vMerge w:val="continue"/>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vMerge w:val="continue"/>
            <w:shd w:val="clear" w:color="auto" w:fill="CFF0FC"/>
          </w:tcPr>
          <w:p>
            <w:pPr>
              <w:spacing w:after="0"/>
              <w:rPr>
                <w:sz w:val="15"/>
                <w:szCs w:val="15"/>
                <w:color w:val="auto"/>
              </w:rPr>
            </w:pPr>
          </w:p>
        </w:tc>
        <w:tc>
          <w:tcPr>
            <w:tcW w:w="20" w:type="dxa"/>
            <w:vAlign w:val="bottom"/>
            <w:tcBorders>
              <w:bottom w:val="single" w:sz="8" w:color="CFF0FC"/>
            </w:tcBorders>
            <w:vMerge w:val="continue"/>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640" w:type="dxa"/>
            <w:vAlign w:val="bottom"/>
            <w:tcBorders>
              <w:bottom w:val="single" w:sz="8" w:color="auto"/>
            </w:tcBorders>
            <w:vMerge w:val="continue"/>
            <w:shd w:val="clear" w:color="auto" w:fill="CFF0FC"/>
          </w:tcPr>
          <w:p>
            <w:pPr>
              <w:spacing w:after="0"/>
              <w:rPr>
                <w:sz w:val="15"/>
                <w:szCs w:val="15"/>
                <w:color w:val="auto"/>
              </w:rPr>
            </w:pPr>
          </w:p>
        </w:tc>
        <w:tc>
          <w:tcPr>
            <w:tcW w:w="20" w:type="dxa"/>
            <w:vAlign w:val="bottom"/>
            <w:tcBorders>
              <w:bottom w:val="single" w:sz="8" w:color="CFF0FC"/>
            </w:tcBorders>
            <w:vMerge w:val="continue"/>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vMerge w:val="continue"/>
            <w:shd w:val="clear" w:color="auto" w:fill="CFF0FC"/>
          </w:tcPr>
          <w:p>
            <w:pPr>
              <w:spacing w:after="0"/>
              <w:rPr>
                <w:sz w:val="15"/>
                <w:szCs w:val="15"/>
                <w:color w:val="auto"/>
              </w:rPr>
            </w:pPr>
          </w:p>
        </w:tc>
        <w:tc>
          <w:tcPr>
            <w:tcW w:w="20" w:type="dxa"/>
            <w:vAlign w:val="bottom"/>
            <w:tcBorders>
              <w:bottom w:val="single" w:sz="8" w:color="CFF0FC"/>
            </w:tcBorders>
            <w:vMerge w:val="continue"/>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660" w:type="dxa"/>
            <w:vAlign w:val="bottom"/>
            <w:tcBorders>
              <w:bottom w:val="single" w:sz="8" w:color="auto"/>
            </w:tcBorders>
            <w:vMerge w:val="continue"/>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vMerge w:val="continue"/>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280" w:type="dxa"/>
            <w:vAlign w:val="bottom"/>
          </w:tcPr>
          <w:p>
            <w:pPr>
              <w:ind w:left="20"/>
              <w:spacing w:after="0"/>
              <w:rPr>
                <w:sz w:val="20"/>
                <w:szCs w:val="20"/>
                <w:color w:val="auto"/>
              </w:rPr>
            </w:pPr>
            <w:r>
              <w:rPr>
                <w:rFonts w:ascii="Arial" w:cs="Arial" w:eastAsia="Arial" w:hAnsi="Arial"/>
                <w:sz w:val="13"/>
                <w:szCs w:val="13"/>
                <w:color w:val="auto"/>
              </w:rPr>
              <w:t>Total Non-controlled</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5"/>
              </w:rPr>
              <w:t>40,503,359</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32,050,505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93"/>
              </w:rPr>
              <w:t>1,478,953</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3"/>
            <w:vMerge w:val="restart"/>
          </w:tcPr>
          <w:p>
            <w:pPr>
              <w:ind w:left="26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w w:val="93"/>
              </w:rPr>
              <w:t>1,769,723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w w:val="91"/>
              </w:rPr>
              <w:t>(1,179,871 )</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2"/>
              </w:rPr>
              <w:t>74,622,668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73,135,186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93"/>
              </w:rPr>
              <w:t>1,191,004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w w:val="89"/>
              </w:rPr>
              <w:t>3,015,317</w:t>
            </w:r>
          </w:p>
        </w:tc>
        <w:tc>
          <w:tcPr>
            <w:tcW w:w="0" w:type="dxa"/>
            <w:vAlign w:val="bottom"/>
          </w:tcPr>
          <w:p>
            <w:pPr>
              <w:spacing w:after="0"/>
              <w:rPr>
                <w:sz w:val="1"/>
                <w:szCs w:val="1"/>
                <w:color w:val="auto"/>
              </w:rPr>
            </w:pPr>
          </w:p>
        </w:tc>
      </w:tr>
      <w:tr>
        <w:trPr>
          <w:trHeight w:val="163"/>
        </w:trPr>
        <w:tc>
          <w:tcPr>
            <w:tcW w:w="1280" w:type="dxa"/>
            <w:vAlign w:val="bottom"/>
          </w:tcPr>
          <w:p>
            <w:pPr>
              <w:ind w:left="20"/>
              <w:spacing w:after="0"/>
              <w:rPr>
                <w:sz w:val="20"/>
                <w:szCs w:val="20"/>
                <w:color w:val="auto"/>
              </w:rPr>
            </w:pPr>
            <w:r>
              <w:rPr>
                <w:rFonts w:ascii="Arial" w:cs="Arial" w:eastAsia="Arial" w:hAnsi="Arial"/>
                <w:sz w:val="13"/>
                <w:szCs w:val="13"/>
                <w:color w:val="auto"/>
              </w:rPr>
              <w:t>affiliates</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28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440" w:type="dxa"/>
            <w:vAlign w:val="bottom"/>
            <w:tcBorders>
              <w:top w:val="single" w:sz="8" w:color="auto"/>
              <w:bottom w:val="single" w:sz="8" w:color="auto"/>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640" w:type="dxa"/>
            <w:vAlign w:val="bottom"/>
            <w:tcBorders>
              <w:top w:val="single" w:sz="8" w:color="auto"/>
              <w:bottom w:val="single" w:sz="8" w:color="auto"/>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280" w:type="dxa"/>
            <w:vAlign w:val="bottom"/>
          </w:tcPr>
          <w:p>
            <w:pPr>
              <w:ind w:left="20"/>
              <w:spacing w:after="0"/>
              <w:rPr>
                <w:sz w:val="20"/>
                <w:szCs w:val="20"/>
                <w:color w:val="auto"/>
              </w:rPr>
            </w:pPr>
            <w:r>
              <w:rPr>
                <w:rFonts w:ascii="Arial" w:cs="Arial" w:eastAsia="Arial" w:hAnsi="Arial"/>
                <w:sz w:val="13"/>
                <w:szCs w:val="13"/>
                <w:color w:val="auto"/>
              </w:rPr>
              <w:t>Total Affiliated</w:t>
            </w:r>
          </w:p>
        </w:tc>
        <w:tc>
          <w:tcPr>
            <w:tcW w:w="15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5"/>
              </w:rPr>
              <w:t>60,459,933</w:t>
            </w: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34,830,675</w:t>
            </w:r>
          </w:p>
        </w:tc>
        <w:tc>
          <w:tcPr>
            <w:tcW w:w="1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93"/>
              </w:rPr>
              <w:t>1,478,953</w:t>
            </w:r>
          </w:p>
        </w:tc>
        <w:tc>
          <w:tcPr>
            <w:tcW w:w="3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600" w:type="dxa"/>
            <w:vAlign w:val="bottom"/>
            <w:gridSpan w:val="3"/>
            <w:vMerge w:val="restart"/>
          </w:tcPr>
          <w:p>
            <w:pPr>
              <w:ind w:left="260"/>
              <w:spacing w:after="0"/>
              <w:rPr>
                <w:sz w:val="20"/>
                <w:szCs w:val="20"/>
                <w:color w:val="auto"/>
              </w:rPr>
            </w:pPr>
            <w:r>
              <w:rPr>
                <w:rFonts w:ascii="Arial" w:cs="Arial" w:eastAsia="Arial" w:hAnsi="Arial"/>
                <w:sz w:val="13"/>
                <w:szCs w:val="13"/>
                <w:color w:val="auto"/>
              </w:rPr>
              <w:t>—  $</w:t>
            </w: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w w:val="93"/>
              </w:rPr>
              <w:t>3,322,482</w:t>
            </w:r>
          </w:p>
        </w:tc>
        <w:tc>
          <w:tcPr>
            <w:tcW w:w="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3"/>
            <w:vMerge w:val="restart"/>
          </w:tcPr>
          <w:p>
            <w:pPr>
              <w:jc w:val="right"/>
              <w:spacing w:after="0"/>
              <w:rPr>
                <w:sz w:val="20"/>
                <w:szCs w:val="20"/>
                <w:color w:val="auto"/>
              </w:rPr>
            </w:pPr>
            <w:r>
              <w:rPr>
                <w:rFonts w:ascii="Arial" w:cs="Arial" w:eastAsia="Arial" w:hAnsi="Arial"/>
                <w:sz w:val="13"/>
                <w:szCs w:val="13"/>
                <w:color w:val="auto"/>
                <w:w w:val="91"/>
              </w:rPr>
              <w:t>(1,179,871 ) $</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2"/>
              </w:rPr>
              <w:t>98,912,171</w:t>
            </w: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100,917,393</w:t>
            </w: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93"/>
              </w:rPr>
              <w:t>1,185,620</w:t>
            </w: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w w:val="89"/>
              </w:rPr>
              <w:t>3,015,317</w:t>
            </w:r>
          </w:p>
        </w:tc>
        <w:tc>
          <w:tcPr>
            <w:tcW w:w="0" w:type="dxa"/>
            <w:vAlign w:val="bottom"/>
          </w:tcPr>
          <w:p>
            <w:pPr>
              <w:spacing w:after="0"/>
              <w:rPr>
                <w:sz w:val="1"/>
                <w:szCs w:val="1"/>
                <w:color w:val="auto"/>
              </w:rPr>
            </w:pPr>
          </w:p>
        </w:tc>
      </w:tr>
      <w:tr>
        <w:trPr>
          <w:trHeight w:val="138"/>
        </w:trPr>
        <w:tc>
          <w:tcPr>
            <w:tcW w:w="1280" w:type="dxa"/>
            <w:vAlign w:val="bottom"/>
          </w:tcPr>
          <w:p>
            <w:pPr>
              <w:ind w:left="20"/>
              <w:spacing w:after="0" w:line="138" w:lineRule="exact"/>
              <w:rPr>
                <w:sz w:val="20"/>
                <w:szCs w:val="20"/>
                <w:color w:val="auto"/>
              </w:rPr>
            </w:pPr>
            <w:r>
              <w:rPr>
                <w:rFonts w:ascii="Arial" w:cs="Arial" w:eastAsia="Arial" w:hAnsi="Arial"/>
                <w:sz w:val="13"/>
                <w:szCs w:val="13"/>
                <w:color w:val="auto"/>
              </w:rPr>
              <w:t>Investments</w:t>
            </w:r>
          </w:p>
        </w:tc>
        <w:tc>
          <w:tcPr>
            <w:tcW w:w="15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-579120</wp:posOffset>
            </wp:positionV>
            <wp:extent cx="25400"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-579120</wp:posOffset>
            </wp:positionV>
            <wp:extent cx="26035"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-579120</wp:posOffset>
            </wp:positionV>
            <wp:extent cx="17145"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-579120</wp:posOffset>
            </wp:positionV>
            <wp:extent cx="17145"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-579120</wp:posOffset>
            </wp:positionV>
            <wp:extent cx="17145" cy="5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-579120</wp:posOffset>
            </wp:positionV>
            <wp:extent cx="17145"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-579120</wp:posOffset>
            </wp:positionV>
            <wp:extent cx="17145"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-579120</wp:posOffset>
            </wp:positionV>
            <wp:extent cx="17145" cy="57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-579120</wp:posOffset>
            </wp:positionV>
            <wp:extent cx="17145" cy="57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-227965</wp:posOffset>
            </wp:positionV>
            <wp:extent cx="25400" cy="57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-227965</wp:posOffset>
            </wp:positionV>
            <wp:extent cx="26035" cy="57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-227965</wp:posOffset>
            </wp:positionV>
            <wp:extent cx="17145" cy="57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-227965</wp:posOffset>
            </wp:positionV>
            <wp:extent cx="17145"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-227965</wp:posOffset>
            </wp:positionV>
            <wp:extent cx="17145" cy="57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-227965</wp:posOffset>
            </wp:positionV>
            <wp:extent cx="17145" cy="5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-227965</wp:posOffset>
            </wp:positionV>
            <wp:extent cx="17145" cy="57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-227965</wp:posOffset>
            </wp:positionV>
            <wp:extent cx="17145" cy="57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-227965</wp:posOffset>
            </wp:positionV>
            <wp:extent cx="17145" cy="57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7145" cy="5715"/>
                    </a:xfrm>
                    <a:prstGeom prst="rect">
                      <a:avLst/>
                    </a:prstGeom>
                    <a:noFill/>
                  </pic:spPr>
                </pic:pic>
              </a:graphicData>
            </a:graphic>
          </wp:anchor>
        </w:drawing>
      </w:r>
    </w:p>
    <w:p>
      <w:pPr>
        <w:spacing w:after="0" w:line="298"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24"/>
          <w:szCs w:val="24"/>
          <w:color w:val="auto"/>
          <w:vertAlign w:val="superscript"/>
        </w:rPr>
      </w:pPr>
      <w:r>
        <w:rPr>
          <w:rFonts w:ascii="Arial" w:cs="Arial" w:eastAsia="Arial" w:hAnsi="Arial"/>
          <w:sz w:val="18"/>
          <w:szCs w:val="18"/>
          <w:color w:val="auto"/>
        </w:rPr>
        <w:t>Fair value of this investment was determined using significant unobservable inputs.</w:t>
      </w:r>
    </w:p>
    <w:p>
      <w:pPr>
        <w:spacing w:after="0" w:line="62"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24"/>
          <w:szCs w:val="24"/>
          <w:color w:val="auto"/>
          <w:vertAlign w:val="superscript"/>
        </w:rPr>
      </w:pPr>
      <w:r>
        <w:rPr>
          <w:rFonts w:ascii="Arial" w:cs="Arial" w:eastAsia="Arial" w:hAnsi="Arial"/>
          <w:sz w:val="18"/>
          <w:szCs w:val="18"/>
          <w:color w:val="auto"/>
        </w:rPr>
        <w:t>Qualified asset for purposes of section 55(a) of the Investment Company Act of 1940.</w:t>
      </w:r>
    </w:p>
    <w:p>
      <w:pPr>
        <w:spacing w:after="0" w:line="107" w:lineRule="exact"/>
        <w:rPr>
          <w:sz w:val="20"/>
          <w:szCs w:val="20"/>
          <w:color w:val="auto"/>
        </w:rPr>
      </w:pPr>
    </w:p>
    <w:p>
      <w:pPr>
        <w:ind w:left="380" w:right="220" w:hanging="372"/>
        <w:spacing w:after="0" w:line="289" w:lineRule="auto"/>
        <w:tabs>
          <w:tab w:leader="none" w:pos="366"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71" w:lineRule="exact"/>
        <w:rPr>
          <w:sz w:val="20"/>
          <w:szCs w:val="20"/>
          <w:color w:val="auto"/>
        </w:rPr>
      </w:pPr>
    </w:p>
    <w:p>
      <w:pPr>
        <w:ind w:left="380" w:right="260" w:hanging="372"/>
        <w:spacing w:after="0" w:line="239" w:lineRule="auto"/>
        <w:tabs>
          <w:tab w:leader="none" w:pos="366" w:val="left"/>
        </w:tabs>
        <w:numPr>
          <w:ilvl w:val="0"/>
          <w:numId w:val="45"/>
        </w:numPr>
        <w:rPr>
          <w:rFonts w:ascii="Arial" w:cs="Arial" w:eastAsia="Arial" w:hAnsi="Arial"/>
          <w:sz w:val="24"/>
          <w:szCs w:val="24"/>
          <w:color w:val="auto"/>
          <w:vertAlign w:val="superscript"/>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109" w:lineRule="exact"/>
        <w:rPr>
          <w:sz w:val="20"/>
          <w:szCs w:val="20"/>
          <w:color w:val="auto"/>
        </w:rPr>
      </w:pPr>
    </w:p>
    <w:p>
      <w:pPr>
        <w:ind w:left="380" w:right="40" w:hanging="372"/>
        <w:spacing w:after="0" w:line="257" w:lineRule="auto"/>
        <w:tabs>
          <w:tab w:leader="none" w:pos="366" w:val="left"/>
        </w:tabs>
        <w:numPr>
          <w:ilvl w:val="0"/>
          <w:numId w:val="46"/>
        </w:numPr>
        <w:rPr>
          <w:rFonts w:ascii="Arial" w:cs="Arial" w:eastAsia="Arial" w:hAnsi="Arial"/>
          <w:sz w:val="23"/>
          <w:szCs w:val="23"/>
          <w:color w:val="auto"/>
          <w:vertAlign w:val="superscript"/>
        </w:rPr>
      </w:pPr>
      <w:r>
        <w:rPr>
          <w:rFonts w:ascii="Arial" w:cs="Arial" w:eastAsia="Arial" w:hAnsi="Arial"/>
          <w:sz w:val="17"/>
          <w:szCs w:val="17"/>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purposes of the 1940 Act, the Company does not believe that it has control over this portfolio company.</w:t>
      </w:r>
    </w:p>
    <w:p>
      <w:pPr>
        <w:spacing w:after="0" w:line="49"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24"/>
          <w:szCs w:val="24"/>
          <w:color w:val="auto"/>
          <w:vertAlign w:val="superscript"/>
        </w:rPr>
      </w:pPr>
      <w:r>
        <w:rPr>
          <w:rFonts w:ascii="Arial" w:cs="Arial" w:eastAsia="Arial" w:hAnsi="Arial"/>
          <w:sz w:val="18"/>
          <w:szCs w:val="18"/>
          <w:color w:val="auto"/>
        </w:rPr>
        <w:t>Number of shares held.</w:t>
      </w:r>
    </w:p>
    <w:p>
      <w:pPr>
        <w:spacing w:after="0" w:line="107" w:lineRule="exact"/>
        <w:rPr>
          <w:sz w:val="20"/>
          <w:szCs w:val="20"/>
          <w:color w:val="auto"/>
        </w:rPr>
      </w:pPr>
    </w:p>
    <w:p>
      <w:pPr>
        <w:ind w:left="380" w:right="200" w:hanging="372"/>
        <w:spacing w:after="0" w:line="293" w:lineRule="auto"/>
        <w:tabs>
          <w:tab w:leader="none" w:pos="366" w:val="left"/>
        </w:tabs>
        <w:numPr>
          <w:ilvl w:val="0"/>
          <w:numId w:val="48"/>
        </w:numPr>
        <w:rPr>
          <w:rFonts w:ascii="Arial" w:cs="Arial" w:eastAsia="Arial" w:hAnsi="Arial"/>
          <w:sz w:val="13"/>
          <w:szCs w:val="13"/>
          <w:color w:val="auto"/>
        </w:rPr>
      </w:pPr>
      <w:r>
        <w:rPr>
          <w:rFonts w:ascii="Arial" w:cs="Arial" w:eastAsia="Arial" w:hAnsi="Arial"/>
          <w:sz w:val="18"/>
          <w:szCs w:val="18"/>
          <w:color w:val="auto"/>
        </w:rPr>
        <w:t>Ownership of LP interest held through the holding company BCP Great Lakes Fund, L.P, a non-U.S. company or principal place of business outside the U.S.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0" w:name="page51"/>
    <w:bookmarkEnd w:id="50"/>
    <w:p>
      <w:pPr>
        <w:ind w:left="380"/>
        <w:spacing w:after="0"/>
        <w:rPr>
          <w:sz w:val="20"/>
          <w:szCs w:val="20"/>
          <w:color w:val="auto"/>
        </w:rPr>
      </w:pPr>
      <w:r>
        <w:rPr>
          <w:rFonts w:ascii="Arial" w:cs="Arial" w:eastAsia="Arial" w:hAnsi="Arial"/>
          <w:sz w:val="18"/>
          <w:szCs w:val="18"/>
          <w:color w:val="auto"/>
        </w:rPr>
        <w:t>The following table details investments in affiliates at December 31, 2020:</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7"/>
              <w:spacing w:after="0"/>
              <w:rPr>
                <w:sz w:val="20"/>
                <w:szCs w:val="20"/>
                <w:color w:val="auto"/>
              </w:rPr>
            </w:pPr>
            <w:r>
              <w:rPr>
                <w:rFonts w:ascii="Arial" w:cs="Arial" w:eastAsia="Arial" w:hAnsi="Arial"/>
                <w:sz w:val="13"/>
                <w:szCs w:val="13"/>
                <w:b w:val="1"/>
                <w:bCs w:val="1"/>
                <w:color w:val="auto"/>
                <w:w w:val="90"/>
              </w:rPr>
              <w:t>Fair Value</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Arial" w:cs="Arial" w:eastAsia="Arial" w:hAnsi="Arial"/>
                <w:sz w:val="13"/>
                <w:szCs w:val="13"/>
                <w:b w:val="1"/>
                <w:bCs w:val="1"/>
                <w:color w:val="auto"/>
                <w:w w:val="90"/>
              </w:rPr>
              <w:t>Fair Value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3"/>
              </w:rPr>
              <w:t>Purchases/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Transfers</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of</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7"/>
              <w:spacing w:after="0"/>
              <w:rPr>
                <w:sz w:val="20"/>
                <w:szCs w:val="20"/>
                <w:color w:val="auto"/>
              </w:rPr>
            </w:pPr>
            <w:r>
              <w:rPr>
                <w:rFonts w:ascii="Arial" w:cs="Arial" w:eastAsia="Arial" w:hAnsi="Arial"/>
                <w:sz w:val="13"/>
                <w:szCs w:val="13"/>
                <w:b w:val="1"/>
                <w:bCs w:val="1"/>
                <w:color w:val="auto"/>
                <w:w w:val="81"/>
              </w:rPr>
              <w:t>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5"/>
              </w:rPr>
              <w:t>(Sales) of or</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In/(Out)</w:t>
            </w:r>
          </w:p>
        </w:tc>
        <w:tc>
          <w:tcPr>
            <w:tcW w:w="9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Net change in</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37"/>
              <w:spacing w:after="0"/>
              <w:rPr>
                <w:sz w:val="20"/>
                <w:szCs w:val="20"/>
                <w:color w:val="auto"/>
              </w:rPr>
            </w:pPr>
            <w:r>
              <w:rPr>
                <w:rFonts w:ascii="Arial" w:cs="Arial" w:eastAsia="Arial" w:hAnsi="Arial"/>
                <w:sz w:val="13"/>
                <w:szCs w:val="13"/>
                <w:b w:val="1"/>
                <w:bCs w:val="1"/>
                <w:color w:val="auto"/>
                <w:w w:val="85"/>
              </w:rPr>
              <w:t>December</w:t>
            </w:r>
          </w:p>
        </w:tc>
        <w:tc>
          <w:tcPr>
            <w:tcW w:w="12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Principal at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220" w:type="dxa"/>
            <w:vAlign w:val="bottom"/>
          </w:tcPr>
          <w:p>
            <w:pPr>
              <w:ind w:left="360"/>
              <w:spacing w:after="0"/>
              <w:rPr>
                <w:sz w:val="20"/>
                <w:szCs w:val="20"/>
                <w:color w:val="auto"/>
              </w:rPr>
            </w:pPr>
            <w:r>
              <w:rPr>
                <w:rFonts w:ascii="Arial" w:cs="Arial" w:eastAsia="Arial" w:hAnsi="Arial"/>
                <w:sz w:val="13"/>
                <w:szCs w:val="13"/>
                <w:b w:val="1"/>
                <w:bCs w:val="1"/>
                <w:color w:val="auto"/>
              </w:rPr>
              <w:t>Industry</w:t>
            </w: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6"/>
              </w:rPr>
              <w:t>Advances/</w:t>
            </w: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Net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of</w:t>
            </w: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unrealized</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w w:val="87"/>
              </w:rPr>
              <w:t>Realized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237"/>
              <w:spacing w:after="0"/>
              <w:rPr>
                <w:sz w:val="20"/>
                <w:szCs w:val="20"/>
                <w:color w:val="auto"/>
              </w:rPr>
            </w:pPr>
            <w:r>
              <w:rPr>
                <w:rFonts w:ascii="Arial" w:cs="Arial" w:eastAsia="Arial" w:hAnsi="Arial"/>
                <w:sz w:val="13"/>
                <w:szCs w:val="13"/>
                <w:b w:val="1"/>
                <w:bCs w:val="1"/>
                <w:color w:val="auto"/>
              </w:rPr>
              <w:t>31,</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5"/>
              </w:rPr>
              <w:t>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b w:val="1"/>
                <w:bCs w:val="1"/>
                <w:color w:val="auto"/>
                <w:w w:val="89"/>
              </w:rPr>
              <w:t>Interest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b w:val="1"/>
                <w:bCs w:val="1"/>
                <w:color w:val="auto"/>
                <w:w w:val="87"/>
              </w:rPr>
              <w:t>Dividend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520" w:type="dxa"/>
            <w:vAlign w:val="bottom"/>
          </w:tcPr>
          <w:p>
            <w:pPr>
              <w:spacing w:after="0"/>
              <w:rPr>
                <w:sz w:val="15"/>
                <w:szCs w:val="15"/>
                <w:color w:val="auto"/>
              </w:rPr>
            </w:pPr>
          </w:p>
        </w:tc>
        <w:tc>
          <w:tcPr>
            <w:tcW w:w="1220" w:type="dxa"/>
            <w:vAlign w:val="bottom"/>
          </w:tcPr>
          <w:p>
            <w:pPr>
              <w:ind w:left="240"/>
              <w:spacing w:after="0"/>
              <w:rPr>
                <w:sz w:val="20"/>
                <w:szCs w:val="20"/>
                <w:color w:val="auto"/>
              </w:rPr>
            </w:pPr>
            <w:r>
              <w:rPr>
                <w:rFonts w:ascii="Arial" w:cs="Arial" w:eastAsia="Arial" w:hAnsi="Arial"/>
                <w:sz w:val="13"/>
                <w:szCs w:val="13"/>
                <w:b w:val="1"/>
                <w:bCs w:val="1"/>
                <w:color w:val="auto"/>
              </w:rPr>
              <w:t>Classification</w:t>
            </w:r>
          </w:p>
        </w:tc>
        <w:tc>
          <w:tcPr>
            <w:tcW w:w="80" w:type="dxa"/>
            <w:vAlign w:val="bottom"/>
          </w:tcPr>
          <w:p>
            <w:pPr>
              <w:spacing w:after="0"/>
              <w:rPr>
                <w:sz w:val="15"/>
                <w:szCs w:val="15"/>
                <w:color w:val="auto"/>
              </w:rPr>
            </w:pPr>
          </w:p>
        </w:tc>
        <w:tc>
          <w:tcPr>
            <w:tcW w:w="70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2019</w:t>
            </w:r>
          </w:p>
        </w:tc>
        <w:tc>
          <w:tcPr>
            <w:tcW w:w="80" w:type="dxa"/>
            <w:vAlign w:val="bottom"/>
          </w:tcPr>
          <w:p>
            <w:pPr>
              <w:spacing w:after="0"/>
              <w:rPr>
                <w:sz w:val="15"/>
                <w:szCs w:val="15"/>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0"/>
              </w:rPr>
              <w:t>(Distributions)</w:t>
            </w:r>
          </w:p>
        </w:tc>
        <w:tc>
          <w:tcPr>
            <w:tcW w:w="620" w:type="dxa"/>
            <w:vAlign w:val="bottom"/>
          </w:tcPr>
          <w:p>
            <w:pPr>
              <w:jc w:val="right"/>
              <w:ind w:right="37"/>
              <w:spacing w:after="0"/>
              <w:rPr>
                <w:sz w:val="20"/>
                <w:szCs w:val="20"/>
                <w:color w:val="auto"/>
              </w:rPr>
            </w:pPr>
            <w:r>
              <w:rPr>
                <w:rFonts w:ascii="Arial" w:cs="Arial" w:eastAsia="Arial" w:hAnsi="Arial"/>
                <w:sz w:val="13"/>
                <w:szCs w:val="13"/>
                <w:b w:val="1"/>
                <w:bCs w:val="1"/>
                <w:color w:val="auto"/>
                <w:w w:val="83"/>
              </w:rPr>
              <w:t>Accretion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Affiliates</w:t>
            </w:r>
          </w:p>
        </w:tc>
        <w:tc>
          <w:tcPr>
            <w:tcW w:w="8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Gain/(Loss)</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Gain/(Loss)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9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760" w:type="dxa"/>
            <w:vAlign w:val="bottom"/>
          </w:tcPr>
          <w:p>
            <w:pPr>
              <w:jc w:val="center"/>
              <w:ind w:right="17"/>
              <w:spacing w:after="0"/>
              <w:rPr>
                <w:sz w:val="20"/>
                <w:szCs w:val="20"/>
                <w:color w:val="auto"/>
              </w:rPr>
            </w:pPr>
            <w:r>
              <w:rPr>
                <w:rFonts w:ascii="Arial" w:cs="Arial" w:eastAsia="Arial" w:hAnsi="Arial"/>
                <w:sz w:val="13"/>
                <w:szCs w:val="13"/>
                <w:b w:val="1"/>
                <w:bCs w:val="1"/>
                <w:color w:val="auto"/>
                <w:w w:val="82"/>
              </w:rPr>
              <w:t>2020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b w:val="1"/>
                <w:bCs w:val="1"/>
                <w:color w:val="auto"/>
                <w:w w:val="92"/>
              </w:rPr>
              <w:t>Income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w w:val="96"/>
              </w:rPr>
              <w:t>Income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4"/>
              </w:rPr>
              <w:t>Asset Manager Affiliates(4)</w:t>
            </w:r>
          </w:p>
        </w:tc>
        <w:tc>
          <w:tcPr>
            <w:tcW w:w="1220" w:type="dxa"/>
            <w:vAlign w:val="bottom"/>
            <w:tcBorders>
              <w:top w:val="single" w:sz="8" w:color="auto"/>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Asset</w:t>
            </w:r>
          </w:p>
        </w:tc>
        <w:tc>
          <w:tcPr>
            <w:tcW w:w="8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(6)</w:t>
            </w:r>
          </w:p>
        </w:tc>
        <w:tc>
          <w:tcPr>
            <w:tcW w:w="1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Management</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20" w:type="dxa"/>
            <w:vAlign w:val="bottom"/>
            <w:shd w:val="clear" w:color="auto" w:fill="CFF0FC"/>
          </w:tcPr>
          <w:p>
            <w:pPr>
              <w:spacing w:after="0"/>
              <w:rPr>
                <w:sz w:val="15"/>
                <w:szCs w:val="15"/>
                <w:color w:val="auto"/>
              </w:rPr>
            </w:pPr>
          </w:p>
        </w:tc>
        <w:tc>
          <w:tcPr>
            <w:tcW w:w="1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Company</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  $</w:t>
            </w:r>
          </w:p>
        </w:tc>
        <w:tc>
          <w:tcPr>
            <w:tcW w:w="8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  $</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17,791,230</w:t>
            </w: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  $</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20" w:type="dxa"/>
            <w:vAlign w:val="bottom"/>
          </w:tcPr>
          <w:p>
            <w:pPr>
              <w:ind w:left="20"/>
              <w:spacing w:after="0"/>
              <w:rPr>
                <w:sz w:val="20"/>
                <w:szCs w:val="20"/>
                <w:color w:val="auto"/>
              </w:rPr>
            </w:pPr>
            <w:r>
              <w:rPr>
                <w:rFonts w:ascii="Arial" w:cs="Arial" w:eastAsia="Arial" w:hAnsi="Arial"/>
                <w:sz w:val="13"/>
                <w:szCs w:val="13"/>
                <w:color w:val="auto"/>
              </w:rPr>
              <w:t>Tank Partners Equipment</w:t>
            </w:r>
          </w:p>
        </w:tc>
        <w:tc>
          <w:tcPr>
            <w:tcW w:w="1220" w:type="dxa"/>
            <w:vAlign w:val="bottom"/>
          </w:tcPr>
          <w:p>
            <w:pPr>
              <w:ind w:left="20"/>
              <w:spacing w:after="0"/>
              <w:rPr>
                <w:sz w:val="20"/>
                <w:szCs w:val="20"/>
                <w:color w:val="auto"/>
              </w:rPr>
            </w:pPr>
            <w:r>
              <w:rPr>
                <w:rFonts w:ascii="Arial" w:cs="Arial" w:eastAsia="Arial" w:hAnsi="Arial"/>
                <w:sz w:val="13"/>
                <w:szCs w:val="13"/>
                <w:color w:val="auto"/>
              </w:rPr>
              <w:t>Energy: Oil &amp;</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3"/>
                <w:szCs w:val="13"/>
                <w:color w:val="auto"/>
              </w:rPr>
              <w:t>Holdings, LLC(3)(4)(5)(8)</w:t>
            </w:r>
          </w:p>
        </w:tc>
        <w:tc>
          <w:tcPr>
            <w:tcW w:w="1220" w:type="dxa"/>
            <w:vAlign w:val="bottom"/>
          </w:tcPr>
          <w:p>
            <w:pPr>
              <w:ind w:left="20"/>
              <w:spacing w:after="0"/>
              <w:rPr>
                <w:sz w:val="20"/>
                <w:szCs w:val="20"/>
                <w:color w:val="auto"/>
              </w:rPr>
            </w:pPr>
            <w:r>
              <w:rPr>
                <w:rFonts w:ascii="Arial" w:cs="Arial" w:eastAsia="Arial" w:hAnsi="Arial"/>
                <w:sz w:val="13"/>
                <w:szCs w:val="13"/>
                <w:color w:val="auto"/>
              </w:rPr>
              <w:t>Gas</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49,000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Tank Partners Equipment</w:t>
            </w:r>
          </w:p>
        </w:tc>
        <w:tc>
          <w:tcPr>
            <w:tcW w:w="1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Energy: Oil &amp;</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Holdings, LLC(3)(4)(5)</w:t>
            </w:r>
          </w:p>
        </w:tc>
        <w:tc>
          <w:tcPr>
            <w:tcW w:w="1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Gas</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403,616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(195,850 )</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207,766</w:t>
            </w:r>
          </w:p>
        </w:tc>
        <w:tc>
          <w:tcPr>
            <w:tcW w:w="120" w:type="dxa"/>
            <w:vAlign w:val="bottom"/>
            <w:tcBorders>
              <w:right w:val="single" w:sz="8" w:color="CFF0FC"/>
            </w:tcBorders>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699,199</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20" w:type="dxa"/>
            <w:vAlign w:val="bottom"/>
          </w:tcPr>
          <w:p>
            <w:pPr>
              <w:ind w:left="20"/>
              <w:spacing w:after="0"/>
              <w:rPr>
                <w:sz w:val="20"/>
                <w:szCs w:val="20"/>
                <w:color w:val="auto"/>
              </w:rPr>
            </w:pPr>
            <w:r>
              <w:rPr>
                <w:rFonts w:ascii="Arial" w:cs="Arial" w:eastAsia="Arial" w:hAnsi="Arial"/>
                <w:sz w:val="13"/>
                <w:szCs w:val="13"/>
                <w:color w:val="auto"/>
                <w:w w:val="97"/>
              </w:rPr>
              <w:t>KCAP Freedom 3, LLC (3)</w:t>
            </w:r>
          </w:p>
        </w:tc>
        <w:tc>
          <w:tcPr>
            <w:tcW w:w="1220" w:type="dxa"/>
            <w:vAlign w:val="bottom"/>
          </w:tcPr>
          <w:p>
            <w:pPr>
              <w:ind w:left="20"/>
              <w:spacing w:after="0"/>
              <w:rPr>
                <w:sz w:val="20"/>
                <w:szCs w:val="20"/>
                <w:color w:val="auto"/>
              </w:rPr>
            </w:pPr>
            <w:r>
              <w:rPr>
                <w:rFonts w:ascii="Arial" w:cs="Arial" w:eastAsia="Arial" w:hAnsi="Arial"/>
                <w:sz w:val="13"/>
                <w:szCs w:val="13"/>
                <w:color w:val="auto"/>
              </w:rPr>
              <w:t>Joint Venture</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21,307,899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(1,559,091 )</w:t>
            </w:r>
          </w:p>
        </w:tc>
        <w:tc>
          <w:tcPr>
            <w:tcW w:w="1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w w:val="98"/>
              </w:rPr>
              <w:t>19,748,808</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24,720,000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w w:val="96"/>
              </w:rPr>
              <w:t>4,262,781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520" w:type="dxa"/>
            <w:vAlign w:val="bottom"/>
          </w:tcPr>
          <w:p>
            <w:pPr>
              <w:ind w:left="20"/>
              <w:spacing w:after="0"/>
              <w:rPr>
                <w:sz w:val="20"/>
                <w:szCs w:val="20"/>
                <w:color w:val="auto"/>
              </w:rPr>
            </w:pPr>
            <w:r>
              <w:rPr>
                <w:rFonts w:ascii="Arial" w:cs="Arial" w:eastAsia="Arial" w:hAnsi="Arial"/>
                <w:sz w:val="13"/>
                <w:szCs w:val="13"/>
                <w:color w:val="auto"/>
              </w:rPr>
              <w:t>(5)</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Total controlled affiliates</w:t>
            </w:r>
          </w:p>
        </w:tc>
        <w:tc>
          <w:tcPr>
            <w:tcW w:w="12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21,711,515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(1,754,941 )</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19,956,574</w:t>
            </w:r>
          </w:p>
        </w:tc>
        <w:tc>
          <w:tcPr>
            <w:tcW w:w="120" w:type="dxa"/>
            <w:vAlign w:val="bottom"/>
            <w:tcBorders>
              <w:right w:val="single" w:sz="8" w:color="CFF0FC"/>
            </w:tcBorders>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43,259,429</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4,262,781</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152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w w:val="95"/>
              </w:rPr>
              <w:t>BCP Great Lakes Holdings</w:t>
            </w:r>
          </w:p>
        </w:tc>
        <w:tc>
          <w:tcPr>
            <w:tcW w:w="122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Joint Venture</w:t>
            </w: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3"/>
                <w:szCs w:val="13"/>
                <w:color w:val="auto"/>
              </w:rPr>
              <w:t>LP(7)(9)</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23,780,068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6,337,919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(517,632 )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29,600,355</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30,077,688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6"/>
              </w:rPr>
              <w:t>2,648,637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Catamaran CLO 2013-1,</w:t>
            </w:r>
          </w:p>
        </w:tc>
        <w:tc>
          <w:tcPr>
            <w:tcW w:w="1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CLO Fund</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Ltd. (1)(2)(3)(7)</w:t>
            </w:r>
          </w:p>
        </w:tc>
        <w:tc>
          <w:tcPr>
            <w:tcW w:w="1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Securities</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5,025,536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(356,296 )</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480,782</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(2,611,423 )</w:t>
            </w: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(2,538,599 )</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11,720,000</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480,782</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20" w:type="dxa"/>
            <w:vAlign w:val="bottom"/>
          </w:tcPr>
          <w:p>
            <w:pPr>
              <w:ind w:left="20"/>
              <w:spacing w:after="0"/>
              <w:rPr>
                <w:sz w:val="20"/>
                <w:szCs w:val="20"/>
                <w:color w:val="auto"/>
              </w:rPr>
            </w:pPr>
            <w:r>
              <w:rPr>
                <w:rFonts w:ascii="Arial" w:cs="Arial" w:eastAsia="Arial" w:hAnsi="Arial"/>
                <w:sz w:val="13"/>
                <w:szCs w:val="13"/>
                <w:color w:val="auto"/>
              </w:rPr>
              <w:t>Catamaran CLO 2014-1,</w:t>
            </w:r>
          </w:p>
        </w:tc>
        <w:tc>
          <w:tcPr>
            <w:tcW w:w="1220" w:type="dxa"/>
            <w:vAlign w:val="bottom"/>
          </w:tcPr>
          <w:p>
            <w:pPr>
              <w:ind w:left="20"/>
              <w:spacing w:after="0"/>
              <w:rPr>
                <w:sz w:val="20"/>
                <w:szCs w:val="20"/>
                <w:color w:val="auto"/>
              </w:rPr>
            </w:pPr>
            <w:r>
              <w:rPr>
                <w:rFonts w:ascii="Arial" w:cs="Arial" w:eastAsia="Arial" w:hAnsi="Arial"/>
                <w:sz w:val="13"/>
                <w:szCs w:val="13"/>
                <w:color w:val="auto"/>
              </w:rPr>
              <w:t>CLO Fund</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3"/>
                <w:szCs w:val="13"/>
                <w:color w:val="auto"/>
              </w:rPr>
              <w:t>Ltd. (1)(2)(3)(7)</w:t>
            </w:r>
          </w:p>
        </w:tc>
        <w:tc>
          <w:tcPr>
            <w:tcW w:w="1220" w:type="dxa"/>
            <w:vAlign w:val="bottom"/>
          </w:tcPr>
          <w:p>
            <w:pPr>
              <w:ind w:left="20"/>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6,379,580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(579,607 )</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582,206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(3,835,632 )</w:t>
            </w:r>
          </w:p>
        </w:tc>
        <w:tc>
          <w:tcPr>
            <w:tcW w:w="8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(2,546,548 )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15,160,600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582,206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Catamaran CLO 2014-2,</w:t>
            </w:r>
          </w:p>
        </w:tc>
        <w:tc>
          <w:tcPr>
            <w:tcW w:w="1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CLO Fund</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Ltd. (1)(2)(3)(7)</w:t>
            </w:r>
          </w:p>
        </w:tc>
        <w:tc>
          <w:tcPr>
            <w:tcW w:w="1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Securities</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1,139,032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(60,226 )</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53,127</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(1,131,933 )</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9,900,000</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53,127</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20" w:type="dxa"/>
            <w:vAlign w:val="bottom"/>
          </w:tcPr>
          <w:p>
            <w:pPr>
              <w:ind w:left="20"/>
              <w:spacing w:after="0"/>
              <w:rPr>
                <w:sz w:val="20"/>
                <w:szCs w:val="20"/>
                <w:color w:val="auto"/>
              </w:rPr>
            </w:pPr>
            <w:r>
              <w:rPr>
                <w:rFonts w:ascii="Arial" w:cs="Arial" w:eastAsia="Arial" w:hAnsi="Arial"/>
                <w:sz w:val="13"/>
                <w:szCs w:val="13"/>
                <w:color w:val="auto"/>
              </w:rPr>
              <w:t>Catamaran CLO 2015-1,</w:t>
            </w:r>
          </w:p>
        </w:tc>
        <w:tc>
          <w:tcPr>
            <w:tcW w:w="1220" w:type="dxa"/>
            <w:vAlign w:val="bottom"/>
          </w:tcPr>
          <w:p>
            <w:pPr>
              <w:ind w:left="20"/>
              <w:spacing w:after="0"/>
              <w:rPr>
                <w:sz w:val="20"/>
                <w:szCs w:val="20"/>
                <w:color w:val="auto"/>
              </w:rPr>
            </w:pPr>
            <w:r>
              <w:rPr>
                <w:rFonts w:ascii="Arial" w:cs="Arial" w:eastAsia="Arial" w:hAnsi="Arial"/>
                <w:sz w:val="13"/>
                <w:szCs w:val="13"/>
                <w:color w:val="auto"/>
              </w:rPr>
              <w:t>CLO Fund</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3"/>
                <w:szCs w:val="13"/>
                <w:color w:val="auto"/>
              </w:rPr>
              <w:t>Ltd. (1)(2)(3)(7)</w:t>
            </w:r>
          </w:p>
        </w:tc>
        <w:tc>
          <w:tcPr>
            <w:tcW w:w="1220" w:type="dxa"/>
            <w:vAlign w:val="bottom"/>
          </w:tcPr>
          <w:p>
            <w:pPr>
              <w:ind w:left="20"/>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2,514,130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(232,157 )</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285,634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(1,609,400 )</w:t>
            </w:r>
          </w:p>
        </w:tc>
        <w:tc>
          <w:tcPr>
            <w:tcW w:w="8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(958,207 )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4,952,000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285,634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Catamaran CLO 2016-1,</w:t>
            </w:r>
          </w:p>
        </w:tc>
        <w:tc>
          <w:tcPr>
            <w:tcW w:w="1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CLO Fund</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Ltd. (1)(2)(3)(7)</w:t>
            </w:r>
          </w:p>
        </w:tc>
        <w:tc>
          <w:tcPr>
            <w:tcW w:w="1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Securities</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6,395,016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(1,084,589 )</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703,769</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(3,549,000 )</w:t>
            </w: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(2,465,197 )</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10,140,000</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703,769</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20" w:type="dxa"/>
            <w:vAlign w:val="bottom"/>
          </w:tcPr>
          <w:p>
            <w:pPr>
              <w:ind w:left="20"/>
              <w:spacing w:after="0"/>
              <w:rPr>
                <w:sz w:val="20"/>
                <w:szCs w:val="20"/>
                <w:color w:val="auto"/>
              </w:rPr>
            </w:pPr>
            <w:r>
              <w:rPr>
                <w:rFonts w:ascii="Arial" w:cs="Arial" w:eastAsia="Arial" w:hAnsi="Arial"/>
                <w:sz w:val="13"/>
                <w:szCs w:val="13"/>
                <w:color w:val="auto"/>
              </w:rPr>
              <w:t>Catamaran CLO 2018-1,</w:t>
            </w:r>
          </w:p>
        </w:tc>
        <w:tc>
          <w:tcPr>
            <w:tcW w:w="1220" w:type="dxa"/>
            <w:vAlign w:val="bottom"/>
          </w:tcPr>
          <w:p>
            <w:pPr>
              <w:ind w:left="20"/>
              <w:spacing w:after="0"/>
              <w:rPr>
                <w:sz w:val="20"/>
                <w:szCs w:val="20"/>
                <w:color w:val="auto"/>
              </w:rPr>
            </w:pPr>
            <w:r>
              <w:rPr>
                <w:rFonts w:ascii="Arial" w:cs="Arial" w:eastAsia="Arial" w:hAnsi="Arial"/>
                <w:sz w:val="13"/>
                <w:szCs w:val="13"/>
                <w:color w:val="auto"/>
              </w:rPr>
              <w:t>CLO Fund</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3"/>
                <w:szCs w:val="13"/>
                <w:color w:val="auto"/>
              </w:rPr>
              <w:t>Ltd. (1)(2)(3)(7)</w:t>
            </w:r>
          </w:p>
        </w:tc>
        <w:tc>
          <w:tcPr>
            <w:tcW w:w="1220" w:type="dxa"/>
            <w:vAlign w:val="bottom"/>
          </w:tcPr>
          <w:p>
            <w:pPr>
              <w:ind w:left="20"/>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8,530,751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(1,552,728 )</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1,116,320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(6,655,000 )</w:t>
            </w:r>
          </w:p>
        </w:tc>
        <w:tc>
          <w:tcPr>
            <w:tcW w:w="8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(1,439,343 )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10,000,000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1,116,320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5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7"/>
              </w:rPr>
              <w:t>Navex Topco, Inc.(3)(4)(7)</w:t>
            </w:r>
          </w:p>
        </w:tc>
        <w:tc>
          <w:tcPr>
            <w:tcW w:w="1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Electronics</w:t>
            </w:r>
          </w:p>
        </w:tc>
        <w:tc>
          <w:tcPr>
            <w:tcW w:w="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7,636,090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83,487</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(231,327 )</w:t>
            </w: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7,488,250</w:t>
            </w:r>
          </w:p>
        </w:tc>
        <w:tc>
          <w:tcPr>
            <w:tcW w:w="12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7,700,000</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575,477</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520" w:type="dxa"/>
            <w:vAlign w:val="bottom"/>
          </w:tcPr>
          <w:p>
            <w:pPr>
              <w:ind w:left="20"/>
              <w:spacing w:after="0"/>
              <w:rPr>
                <w:sz w:val="20"/>
                <w:szCs w:val="20"/>
                <w:color w:val="auto"/>
              </w:rPr>
            </w:pPr>
            <w:r>
              <w:rPr>
                <w:rFonts w:ascii="Arial" w:cs="Arial" w:eastAsia="Arial" w:hAnsi="Arial"/>
                <w:sz w:val="13"/>
                <w:szCs w:val="13"/>
                <w:color w:val="auto"/>
                <w:w w:val="93"/>
              </w:rPr>
              <w:t>Zest Acquisition Corp.(3)(4)</w:t>
            </w:r>
          </w:p>
        </w:tc>
        <w:tc>
          <w:tcPr>
            <w:tcW w:w="1220" w:type="dxa"/>
            <w:vAlign w:val="bottom"/>
          </w:tcPr>
          <w:p>
            <w:pPr>
              <w:ind w:left="20"/>
              <w:spacing w:after="0"/>
              <w:rPr>
                <w:sz w:val="20"/>
                <w:szCs w:val="20"/>
                <w:color w:val="auto"/>
              </w:rPr>
            </w:pPr>
            <w:r>
              <w:rPr>
                <w:rFonts w:ascii="Arial" w:cs="Arial" w:eastAsia="Arial" w:hAnsi="Arial"/>
                <w:sz w:val="13"/>
                <w:szCs w:val="13"/>
                <w:color w:val="auto"/>
                <w:w w:val="90"/>
              </w:rPr>
              <w:t>Healthcare, Education</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520" w:type="dxa"/>
            <w:vAlign w:val="bottom"/>
          </w:tcPr>
          <w:p>
            <w:pPr>
              <w:ind w:left="20"/>
              <w:spacing w:after="0"/>
              <w:rPr>
                <w:sz w:val="20"/>
                <w:szCs w:val="20"/>
                <w:color w:val="auto"/>
              </w:rPr>
            </w:pPr>
            <w:r>
              <w:rPr>
                <w:rFonts w:ascii="Arial" w:cs="Arial" w:eastAsia="Arial" w:hAnsi="Arial"/>
                <w:sz w:val="13"/>
                <w:szCs w:val="13"/>
                <w:color w:val="auto"/>
              </w:rPr>
              <w:t>(7)</w:t>
            </w:r>
          </w:p>
        </w:tc>
        <w:tc>
          <w:tcPr>
            <w:tcW w:w="1220" w:type="dxa"/>
            <w:vAlign w:val="bottom"/>
          </w:tcPr>
          <w:p>
            <w:pPr>
              <w:ind w:left="20"/>
              <w:spacing w:after="0"/>
              <w:rPr>
                <w:sz w:val="20"/>
                <w:szCs w:val="20"/>
                <w:color w:val="auto"/>
              </w:rPr>
            </w:pPr>
            <w:r>
              <w:rPr>
                <w:rFonts w:ascii="Arial" w:cs="Arial" w:eastAsia="Arial" w:hAnsi="Arial"/>
                <w:sz w:val="13"/>
                <w:szCs w:val="13"/>
                <w:color w:val="auto"/>
              </w:rPr>
              <w:t>and Childcare</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3,306,092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2,808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(17,500 )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3,291,400</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3,500,000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310,292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5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4"/>
              </w:rPr>
              <w:t>OCI Holdings, LLC(3)(4)(7)</w:t>
            </w:r>
          </w:p>
        </w:tc>
        <w:tc>
          <w:tcPr>
            <w:tcW w:w="1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Healthcare &amp;</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520" w:type="dxa"/>
            <w:vAlign w:val="bottom"/>
            <w:shd w:val="clear" w:color="auto" w:fill="CFF0FC"/>
          </w:tcPr>
          <w:p>
            <w:pPr>
              <w:spacing w:after="0"/>
              <w:rPr>
                <w:sz w:val="15"/>
                <w:szCs w:val="15"/>
                <w:color w:val="auto"/>
              </w:rPr>
            </w:pPr>
          </w:p>
        </w:tc>
        <w:tc>
          <w:tcPr>
            <w:tcW w:w="12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Pharmaceuticals</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2,422,281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(2,706,977 )</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284,696</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FF0FC"/>
            </w:tcBorders>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20" w:type="dxa"/>
            <w:vAlign w:val="bottom"/>
          </w:tcPr>
          <w:p>
            <w:pPr>
              <w:ind w:left="20"/>
              <w:spacing w:after="0"/>
              <w:rPr>
                <w:sz w:val="20"/>
                <w:szCs w:val="20"/>
                <w:color w:val="auto"/>
              </w:rPr>
            </w:pPr>
            <w:r>
              <w:rPr>
                <w:rFonts w:ascii="Arial" w:cs="Arial" w:eastAsia="Arial" w:hAnsi="Arial"/>
                <w:sz w:val="13"/>
                <w:szCs w:val="13"/>
                <w:color w:val="auto"/>
              </w:rPr>
              <w:t>GIG Rooster Holdings I,</w:t>
            </w:r>
          </w:p>
        </w:tc>
        <w:tc>
          <w:tcPr>
            <w:tcW w:w="1220" w:type="dxa"/>
            <w:vAlign w:val="bottom"/>
          </w:tcPr>
          <w:p>
            <w:pPr>
              <w:ind w:left="20"/>
              <w:spacing w:after="0"/>
              <w:rPr>
                <w:sz w:val="20"/>
                <w:szCs w:val="20"/>
                <w:color w:val="auto"/>
              </w:rPr>
            </w:pPr>
            <w:r>
              <w:rPr>
                <w:rFonts w:ascii="Arial" w:cs="Arial" w:eastAsia="Arial" w:hAnsi="Arial"/>
                <w:sz w:val="13"/>
                <w:szCs w:val="13"/>
                <w:color w:val="auto"/>
              </w:rPr>
              <w:t>Energy: Oil &amp;</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(200,156 )</w:t>
            </w: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123,354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200,156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123,354</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99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520" w:type="dxa"/>
            <w:vAlign w:val="bottom"/>
          </w:tcPr>
          <w:p>
            <w:pPr>
              <w:ind w:left="20"/>
              <w:spacing w:after="0"/>
              <w:rPr>
                <w:sz w:val="20"/>
                <w:szCs w:val="20"/>
                <w:color w:val="auto"/>
              </w:rPr>
            </w:pPr>
            <w:r>
              <w:rPr>
                <w:rFonts w:ascii="Arial" w:cs="Arial" w:eastAsia="Arial" w:hAnsi="Arial"/>
                <w:sz w:val="13"/>
                <w:szCs w:val="13"/>
                <w:color w:val="auto"/>
              </w:rPr>
              <w:t>LLC (10)</w:t>
            </w:r>
          </w:p>
        </w:tc>
        <w:tc>
          <w:tcPr>
            <w:tcW w:w="1220" w:type="dxa"/>
            <w:vAlign w:val="bottom"/>
          </w:tcPr>
          <w:p>
            <w:pPr>
              <w:ind w:left="20"/>
              <w:spacing w:after="0"/>
              <w:rPr>
                <w:sz w:val="20"/>
                <w:szCs w:val="20"/>
                <w:color w:val="auto"/>
              </w:rPr>
            </w:pPr>
            <w:r>
              <w:rPr>
                <w:rFonts w:ascii="Arial" w:cs="Arial" w:eastAsia="Arial" w:hAnsi="Arial"/>
                <w:sz w:val="13"/>
                <w:szCs w:val="13"/>
                <w:color w:val="auto"/>
              </w:rPr>
              <w:t>Gas</w:t>
            </w: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Total Non-controlled</w:t>
            </w:r>
          </w:p>
        </w:tc>
        <w:tc>
          <w:tcPr>
            <w:tcW w:w="12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67,128,578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(434,817 )</w:t>
            </w:r>
          </w:p>
        </w:tc>
        <w:tc>
          <w:tcPr>
            <w:tcW w:w="10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3,308,133</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w w:val="98"/>
              </w:rPr>
              <w:t>(18,260,455 )</w:t>
            </w:r>
          </w:p>
        </w:tc>
        <w:tc>
          <w:tcPr>
            <w:tcW w:w="8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(11,722,931 )</w:t>
            </w:r>
          </w:p>
        </w:tc>
        <w:tc>
          <w:tcPr>
            <w:tcW w:w="12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484,852</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8"/>
              </w:rPr>
              <w:t>40,503,359</w:t>
            </w:r>
          </w:p>
        </w:tc>
        <w:tc>
          <w:tcPr>
            <w:tcW w:w="120" w:type="dxa"/>
            <w:vAlign w:val="bottom"/>
            <w:tcBorders>
              <w:right w:val="single" w:sz="8" w:color="CFF0FC"/>
            </w:tcBorders>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9"/>
              </w:rPr>
              <w:t>103,150,387</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3"/>
              </w:rPr>
              <w:t>4,107,606</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6"/>
              </w:rPr>
              <w:t>2,648,637</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520" w:type="dxa"/>
            <w:vAlign w:val="bottom"/>
            <w:shd w:val="clear" w:color="auto" w:fill="CFF0FC"/>
          </w:tcPr>
          <w:p>
            <w:pPr>
              <w:ind w:left="20"/>
              <w:spacing w:after="0"/>
              <w:rPr>
                <w:sz w:val="20"/>
                <w:szCs w:val="20"/>
                <w:color w:val="auto"/>
              </w:rPr>
            </w:pPr>
            <w:r>
              <w:rPr>
                <w:rFonts w:ascii="Arial" w:cs="Arial" w:eastAsia="Arial" w:hAnsi="Arial"/>
                <w:sz w:val="13"/>
                <w:szCs w:val="13"/>
                <w:color w:val="auto"/>
              </w:rPr>
              <w:t>affiliates</w:t>
            </w:r>
          </w:p>
        </w:tc>
        <w:tc>
          <w:tcPr>
            <w:tcW w:w="12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520" w:type="dxa"/>
            <w:vAlign w:val="bottom"/>
            <w:tcBorders>
              <w:top w:val="single" w:sz="8" w:color="CFF0FC"/>
            </w:tcBorders>
          </w:tcPr>
          <w:p>
            <w:pPr>
              <w:spacing w:after="0"/>
              <w:rPr>
                <w:sz w:val="15"/>
                <w:szCs w:val="15"/>
                <w:color w:val="auto"/>
              </w:rPr>
            </w:pPr>
          </w:p>
        </w:tc>
        <w:tc>
          <w:tcPr>
            <w:tcW w:w="1220" w:type="dxa"/>
            <w:vAlign w:val="bottom"/>
            <w:tcBorders>
              <w:top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4"/>
              </w:rPr>
              <w:t>Total Affiliated Investments</w:t>
            </w:r>
          </w:p>
        </w:tc>
        <w:tc>
          <w:tcPr>
            <w:tcW w:w="12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88,840,092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(434,817 ) $</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3,308,133</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w w:val="97"/>
              </w:rPr>
              <w:t>(18,260,455 ) $</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(13,477,872 ) $</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484,852</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60,459,933</w:t>
            </w: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9"/>
              </w:rPr>
              <w:t>146,409,816</w:t>
            </w: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4,107,607</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6,911,418</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-2971165</wp:posOffset>
            </wp:positionV>
            <wp:extent cx="51435" cy="57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-2971165</wp:posOffset>
            </wp:positionV>
            <wp:extent cx="59690" cy="57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-2971165</wp:posOffset>
            </wp:positionV>
            <wp:extent cx="51435" cy="57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-2971165</wp:posOffset>
            </wp:positionV>
            <wp:extent cx="60325" cy="57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-2971165</wp:posOffset>
            </wp:positionV>
            <wp:extent cx="59690" cy="57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-2971165</wp:posOffset>
            </wp:positionV>
            <wp:extent cx="34290"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-2971165</wp:posOffset>
            </wp:positionV>
            <wp:extent cx="34290" cy="57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-2971165</wp:posOffset>
            </wp:positionV>
            <wp:extent cx="34290"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-2971165</wp:posOffset>
            </wp:positionV>
            <wp:extent cx="34290"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-2971165</wp:posOffset>
            </wp:positionV>
            <wp:extent cx="26035" cy="57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-279400</wp:posOffset>
            </wp:positionV>
            <wp:extent cx="51435"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-279400</wp:posOffset>
            </wp:positionV>
            <wp:extent cx="59690"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-279400</wp:posOffset>
            </wp:positionV>
            <wp:extent cx="51435"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-279400</wp:posOffset>
            </wp:positionV>
            <wp:extent cx="60325"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-279400</wp:posOffset>
            </wp:positionV>
            <wp:extent cx="59690"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-279400</wp:posOffset>
            </wp:positionV>
            <wp:extent cx="34290"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-279400</wp:posOffset>
            </wp:positionV>
            <wp:extent cx="34290" cy="57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-279400</wp:posOffset>
            </wp:positionV>
            <wp:extent cx="34290" cy="57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-279400</wp:posOffset>
            </wp:positionV>
            <wp:extent cx="34290" cy="57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-279400</wp:posOffset>
            </wp:positionV>
            <wp:extent cx="26035" cy="57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-24765</wp:posOffset>
            </wp:positionV>
            <wp:extent cx="5143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-7620</wp:posOffset>
            </wp:positionV>
            <wp:extent cx="5143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-24765</wp:posOffset>
            </wp:positionV>
            <wp:extent cx="596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-7620</wp:posOffset>
            </wp:positionV>
            <wp:extent cx="596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-24765</wp:posOffset>
            </wp:positionV>
            <wp:extent cx="5143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-7620</wp:posOffset>
            </wp:positionV>
            <wp:extent cx="5143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6032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6032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596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596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342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342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342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342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342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342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-24765</wp:posOffset>
            </wp:positionV>
            <wp:extent cx="342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-7620</wp:posOffset>
            </wp:positionV>
            <wp:extent cx="342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-24765</wp:posOffset>
            </wp:positionV>
            <wp:extent cx="2603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-7620</wp:posOffset>
            </wp:positionV>
            <wp:extent cx="2603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44"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24"/>
          <w:szCs w:val="24"/>
          <w:color w:val="auto"/>
          <w:vertAlign w:val="superscript"/>
        </w:rPr>
      </w:pPr>
      <w:r>
        <w:rPr>
          <w:rFonts w:ascii="Arial" w:cs="Arial" w:eastAsia="Arial" w:hAnsi="Arial"/>
          <w:sz w:val="18"/>
          <w:szCs w:val="18"/>
          <w:color w:val="auto"/>
        </w:rPr>
        <w:t>Non-U.S. company or principal place of business outside the U.S.</w:t>
      </w:r>
    </w:p>
    <w:p>
      <w:pPr>
        <w:spacing w:after="0" w:line="62"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24"/>
          <w:szCs w:val="24"/>
          <w:color w:val="auto"/>
          <w:vertAlign w:val="superscript"/>
        </w:rPr>
      </w:pPr>
      <w:r>
        <w:rPr>
          <w:rFonts w:ascii="Arial" w:cs="Arial" w:eastAsia="Arial" w:hAnsi="Arial"/>
          <w:sz w:val="18"/>
          <w:szCs w:val="18"/>
          <w:color w:val="auto"/>
        </w:rPr>
        <w:t>A CLO Fund managed by an affiliate of LibreMax.</w:t>
      </w:r>
    </w:p>
    <w:p>
      <w:pPr>
        <w:spacing w:after="0" w:line="62"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24"/>
          <w:szCs w:val="24"/>
          <w:color w:val="auto"/>
          <w:vertAlign w:val="superscript"/>
        </w:rPr>
      </w:pPr>
      <w:r>
        <w:rPr>
          <w:rFonts w:ascii="Arial" w:cs="Arial" w:eastAsia="Arial" w:hAnsi="Arial"/>
          <w:sz w:val="18"/>
          <w:szCs w:val="18"/>
          <w:color w:val="auto"/>
        </w:rPr>
        <w:t>Fair value of this investment was determined using significant unobservable inputs.</w:t>
      </w:r>
    </w:p>
    <w:p>
      <w:pPr>
        <w:spacing w:after="0" w:line="62" w:lineRule="exact"/>
        <w:rPr>
          <w:sz w:val="20"/>
          <w:szCs w:val="20"/>
          <w:color w:val="auto"/>
        </w:rPr>
      </w:pPr>
    </w:p>
    <w:p>
      <w:pPr>
        <w:ind w:left="360" w:hanging="352"/>
        <w:spacing w:after="0"/>
        <w:tabs>
          <w:tab w:leader="none" w:pos="360" w:val="left"/>
        </w:tabs>
        <w:numPr>
          <w:ilvl w:val="0"/>
          <w:numId w:val="52"/>
        </w:numPr>
        <w:rPr>
          <w:rFonts w:ascii="Arial" w:cs="Arial" w:eastAsia="Arial" w:hAnsi="Arial"/>
          <w:sz w:val="24"/>
          <w:szCs w:val="24"/>
          <w:color w:val="auto"/>
          <w:vertAlign w:val="superscript"/>
        </w:rPr>
      </w:pPr>
      <w:r>
        <w:rPr>
          <w:rFonts w:ascii="Arial" w:cs="Arial" w:eastAsia="Arial" w:hAnsi="Arial"/>
          <w:sz w:val="18"/>
          <w:szCs w:val="18"/>
          <w:color w:val="auto"/>
        </w:rPr>
        <w:t>Qualified asset for purposes of section 55(a) of the Investment Company Act of 1940.</w:t>
      </w:r>
    </w:p>
    <w:p>
      <w:pPr>
        <w:spacing w:after="0" w:line="94" w:lineRule="exact"/>
        <w:rPr>
          <w:sz w:val="20"/>
          <w:szCs w:val="20"/>
          <w:color w:val="auto"/>
        </w:rPr>
      </w:pPr>
    </w:p>
    <w:p>
      <w:pPr>
        <w:ind w:left="380" w:right="220" w:hanging="372"/>
        <w:spacing w:after="0" w:line="273" w:lineRule="auto"/>
        <w:tabs>
          <w:tab w:leader="none" w:pos="366" w:val="left"/>
        </w:tabs>
        <w:numPr>
          <w:ilvl w:val="0"/>
          <w:numId w:val="53"/>
        </w:numPr>
        <w:rPr>
          <w:rFonts w:ascii="Arial" w:cs="Arial" w:eastAsia="Arial" w:hAnsi="Arial"/>
          <w:sz w:val="21"/>
          <w:szCs w:val="21"/>
          <w:color w:val="auto"/>
          <w:vertAlign w:val="superscript"/>
        </w:rPr>
      </w:pPr>
      <w:r>
        <w:rPr>
          <w:rFonts w:ascii="Arial" w:cs="Arial" w:eastAsia="Arial" w:hAnsi="Arial"/>
          <w:sz w:val="16"/>
          <w:szCs w:val="16"/>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69" w:lineRule="exact"/>
        <w:rPr>
          <w:sz w:val="20"/>
          <w:szCs w:val="20"/>
          <w:color w:val="auto"/>
        </w:rPr>
      </w:pPr>
    </w:p>
    <w:p>
      <w:pPr>
        <w:ind w:left="380" w:right="260" w:hanging="372"/>
        <w:spacing w:after="0" w:line="230" w:lineRule="auto"/>
        <w:tabs>
          <w:tab w:leader="none" w:pos="366" w:val="left"/>
        </w:tabs>
        <w:numPr>
          <w:ilvl w:val="0"/>
          <w:numId w:val="54"/>
        </w:numPr>
        <w:rPr>
          <w:rFonts w:ascii="Arial" w:cs="Arial" w:eastAsia="Arial" w:hAnsi="Arial"/>
          <w:sz w:val="24"/>
          <w:szCs w:val="24"/>
          <w:color w:val="auto"/>
          <w:vertAlign w:val="superscript"/>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95" w:lineRule="exact"/>
        <w:rPr>
          <w:sz w:val="20"/>
          <w:szCs w:val="20"/>
          <w:color w:val="auto"/>
        </w:rPr>
      </w:pPr>
    </w:p>
    <w:p>
      <w:pPr>
        <w:ind w:left="380" w:right="40" w:hanging="372"/>
        <w:spacing w:after="0" w:line="243" w:lineRule="auto"/>
        <w:tabs>
          <w:tab w:leader="none" w:pos="366" w:val="left"/>
        </w:tabs>
        <w:numPr>
          <w:ilvl w:val="0"/>
          <w:numId w:val="55"/>
        </w:numPr>
        <w:rPr>
          <w:rFonts w:ascii="Arial" w:cs="Arial" w:eastAsia="Arial" w:hAnsi="Arial"/>
          <w:sz w:val="23"/>
          <w:szCs w:val="23"/>
          <w:color w:val="auto"/>
          <w:vertAlign w:val="superscript"/>
        </w:rPr>
      </w:pPr>
      <w:r>
        <w:rPr>
          <w:rFonts w:ascii="Arial" w:cs="Arial" w:eastAsia="Arial" w:hAnsi="Arial"/>
          <w:sz w:val="17"/>
          <w:szCs w:val="17"/>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purposes of the 1940 Act, the Company does not believe that it has control over this portfolio company.</w:t>
      </w:r>
    </w:p>
    <w:p>
      <w:pPr>
        <w:spacing w:after="0" w:line="47" w:lineRule="exact"/>
        <w:rPr>
          <w:sz w:val="20"/>
          <w:szCs w:val="20"/>
          <w:color w:val="auto"/>
        </w:rPr>
      </w:pPr>
    </w:p>
    <w:p>
      <w:pPr>
        <w:ind w:left="360" w:hanging="352"/>
        <w:spacing w:after="0"/>
        <w:tabs>
          <w:tab w:leader="none" w:pos="360" w:val="left"/>
        </w:tabs>
        <w:numPr>
          <w:ilvl w:val="0"/>
          <w:numId w:val="56"/>
        </w:numPr>
        <w:rPr>
          <w:rFonts w:ascii="Arial" w:cs="Arial" w:eastAsia="Arial" w:hAnsi="Arial"/>
          <w:sz w:val="24"/>
          <w:szCs w:val="24"/>
          <w:color w:val="auto"/>
          <w:vertAlign w:val="superscript"/>
        </w:rPr>
      </w:pPr>
      <w:r>
        <w:rPr>
          <w:rFonts w:ascii="Arial" w:cs="Arial" w:eastAsia="Arial" w:hAnsi="Arial"/>
          <w:sz w:val="18"/>
          <w:szCs w:val="18"/>
          <w:color w:val="auto"/>
        </w:rPr>
        <w:t>Number of shares held.</w:t>
      </w:r>
    </w:p>
    <w:p>
      <w:pPr>
        <w:spacing w:after="0" w:line="112" w:lineRule="exact"/>
        <w:rPr>
          <w:sz w:val="20"/>
          <w:szCs w:val="20"/>
          <w:color w:val="auto"/>
        </w:rPr>
      </w:pPr>
    </w:p>
    <w:p>
      <w:pPr>
        <w:ind w:left="360" w:hanging="352"/>
        <w:spacing w:after="0"/>
        <w:tabs>
          <w:tab w:leader="none" w:pos="360" w:val="left"/>
        </w:tabs>
        <w:numPr>
          <w:ilvl w:val="0"/>
          <w:numId w:val="57"/>
        </w:numPr>
        <w:rPr>
          <w:rFonts w:ascii="Arial" w:cs="Arial" w:eastAsia="Arial" w:hAnsi="Arial"/>
          <w:sz w:val="13"/>
          <w:szCs w:val="13"/>
          <w:color w:val="auto"/>
        </w:rPr>
      </w:pP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39" w:lineRule="exact"/>
        <w:rPr>
          <w:rFonts w:ascii="Arial" w:cs="Arial" w:eastAsia="Arial" w:hAnsi="Arial"/>
          <w:sz w:val="13"/>
          <w:szCs w:val="13"/>
          <w:color w:val="auto"/>
        </w:rPr>
      </w:pPr>
    </w:p>
    <w:p>
      <w:pPr>
        <w:ind w:left="5540"/>
        <w:spacing w:after="0"/>
        <w:rPr>
          <w:rFonts w:ascii="Arial" w:cs="Arial" w:eastAsia="Arial" w:hAnsi="Arial"/>
          <w:sz w:val="13"/>
          <w:szCs w:val="13"/>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1" w:name="page52"/>
    <w:bookmarkEnd w:id="51"/>
    <w:p>
      <w:pPr>
        <w:ind w:left="380" w:right="260" w:hanging="372"/>
        <w:spacing w:after="0" w:line="221" w:lineRule="auto"/>
        <w:tabs>
          <w:tab w:leader="none" w:pos="366" w:val="left"/>
        </w:tabs>
        <w:numPr>
          <w:ilvl w:val="0"/>
          <w:numId w:val="58"/>
        </w:numPr>
        <w:rPr>
          <w:rFonts w:ascii="Arial" w:cs="Arial" w:eastAsia="Arial" w:hAnsi="Arial"/>
          <w:sz w:val="24"/>
          <w:szCs w:val="24"/>
          <w:color w:val="auto"/>
          <w:vertAlign w:val="superscript"/>
        </w:rPr>
      </w:pPr>
      <w:r>
        <w:rPr>
          <w:rFonts w:ascii="Arial" w:cs="Arial" w:eastAsia="Arial" w:hAnsi="Arial"/>
          <w:sz w:val="18"/>
          <w:szCs w:val="18"/>
          <w:color w:val="auto"/>
        </w:rPr>
        <w:t>Underlying assets of investment were liquidated in December 2020, remaining fair value of investment is based on future cash flow payment to be received in the first quarter of 2021.</w:t>
      </w:r>
    </w:p>
    <w:p>
      <w:pPr>
        <w:spacing w:after="0" w:line="122"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During the third quarter of 2019, the Company sold its entire investment in Bristol Hospice, LLC to an affiliate. This transaction was approved by the Board of Directors of the Company.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Joint Ventures</w:t>
      </w:r>
    </w:p>
    <w:p>
      <w:pPr>
        <w:spacing w:after="0" w:line="189"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color w:val="auto"/>
        </w:rPr>
        <w:t>For the three months ended September 30, 2021 and 2020, the Company recognized $2.4 million and $2.2 million, respectively, in investment income from its investments in Joint Ventures. For the nine months ended September 30, 2021 and 2020, the Company recognized $7.0 million and $4.8 million, respectively, in investment income from its investments in Joint Ventures. As of September 30, 2021 and December 31, 2020, the aggregate fair value of the Company’s investments in Joint Ventures was approximately $67.6 million and $49.3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KCAP Freedom 3 LLC</w:t>
      </w:r>
    </w:p>
    <w:p>
      <w:pPr>
        <w:spacing w:after="0" w:line="189" w:lineRule="exact"/>
        <w:rPr>
          <w:sz w:val="20"/>
          <w:szCs w:val="20"/>
          <w:color w:val="auto"/>
        </w:rPr>
      </w:pPr>
    </w:p>
    <w:p>
      <w:pPr>
        <w:ind w:right="20" w:firstLine="374"/>
        <w:spacing w:after="0" w:line="293" w:lineRule="auto"/>
        <w:rPr>
          <w:sz w:val="20"/>
          <w:szCs w:val="20"/>
          <w:color w:val="auto"/>
        </w:rPr>
      </w:pPr>
      <w:r>
        <w:rPr>
          <w:rFonts w:ascii="Arial" w:cs="Arial" w:eastAsia="Arial" w:hAnsi="Arial"/>
          <w:sz w:val="16"/>
          <w:szCs w:val="16"/>
          <w:color w:val="auto"/>
        </w:rPr>
        <w:t>During the third quarter of 2017, the Company and Freedom 3 Opportunities, an affiliate of Freedom 3 Capital LLC, entered into an agreement to create the Joint Venture. The Company and Freedom 3 Opportunities contributed approximately $37 million and $25 million, respectively, in assets to the Joint Venture, which in turn used the assets to capitalize the Fund managed by KCAP Management, LLC, one of the Asset Manager Affiliates. In addition, the Fund used cash on hand and borrowings under a credit facility to purchase approximately $184 million of primarily middle-market loans from the Company and the Company used the proceeds from such sale to redeem approximately $147 million in debt issued by KCAP Senior Funding. The Fund invests primarily in middle-market loans and the Joint Ventures partners may source middle-market loans from time-to-time for the Fund.</w:t>
      </w:r>
    </w:p>
    <w:p>
      <w:pPr>
        <w:spacing w:after="0" w:line="56"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84"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During the second quarter of 2021, the Company contributed an additional $2.5 million cash investment, increasing its equity ownership interest to 62.83%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70" w:lineRule="exact"/>
        <w:rPr>
          <w:sz w:val="20"/>
          <w:szCs w:val="20"/>
          <w:color w:val="auto"/>
        </w:rPr>
      </w:pPr>
    </w:p>
    <w:p>
      <w:pPr>
        <w:ind w:right="20" w:firstLine="374"/>
        <w:spacing w:after="0" w:line="293"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the Company is now entitled to receive a preferred distribution in an amount equal to the fees waived by KCAP Management. The impact of these transactions was a reduction in the fair value of the Asset Manager Affiliates and an increase in the fair value of the Company’s investment in the Joint Venture during the first quarter of 2019. The reduction in the fair value of the Asset Manager Affiliates was recognized as a realized loss on the consolidated statement of operations. The increase in the fair value of the Company’s investment in the Joint Venture was recognized as an unrealized gain in the consolidated statement of operations.</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has determined that the Joint Venture is an investment company under Accounting Standards Codification (“ASC”), Financial Services</w:t>
      </w:r>
    </w:p>
    <w:p>
      <w:pPr>
        <w:spacing w:after="0" w:line="46"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63" w:right="3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3"/>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60" w:type="dxa"/>
            <w:vAlign w:val="bottom"/>
            <w:gridSpan w:val="6"/>
          </w:tcPr>
          <w:p>
            <w:pPr>
              <w:ind w:left="1680"/>
              <w:spacing w:after="0"/>
              <w:rPr>
                <w:sz w:val="20"/>
                <w:szCs w:val="20"/>
                <w:color w:val="auto"/>
              </w:rPr>
            </w:pPr>
            <w:r>
              <w:rPr>
                <w:rFonts w:ascii="Arial" w:cs="Arial" w:eastAsia="Arial" w:hAnsi="Arial"/>
                <w:sz w:val="18"/>
                <w:szCs w:val="18"/>
                <w:b w:val="1"/>
                <w:bCs w:val="1"/>
                <w:color w:val="auto"/>
              </w:rPr>
              <w:t>KCAP Freedom 3 LLC</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60" w:type="dxa"/>
            <w:vAlign w:val="bottom"/>
            <w:gridSpan w:val="6"/>
          </w:tcPr>
          <w:p>
            <w:pPr>
              <w:jc w:val="center"/>
              <w:ind w:left="530"/>
              <w:spacing w:after="0"/>
              <w:rPr>
                <w:sz w:val="20"/>
                <w:szCs w:val="20"/>
                <w:color w:val="auto"/>
              </w:rPr>
            </w:pPr>
            <w:r>
              <w:rPr>
                <w:rFonts w:ascii="Arial" w:cs="Arial" w:eastAsia="Arial" w:hAnsi="Arial"/>
                <w:sz w:val="18"/>
                <w:szCs w:val="18"/>
                <w:color w:val="auto"/>
                <w:w w:val="91"/>
              </w:rPr>
              <w:t>Summarized Statement of Financial Condition</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8"/>
          </w:tcPr>
          <w:p>
            <w:pPr>
              <w:jc w:val="center"/>
              <w:spacing w:after="0"/>
              <w:rPr>
                <w:sz w:val="20"/>
                <w:szCs w:val="20"/>
                <w:color w:val="auto"/>
              </w:rPr>
            </w:pPr>
            <w:r>
              <w:rPr>
                <w:rFonts w:ascii="Arial" w:cs="Arial" w:eastAsia="Arial" w:hAnsi="Arial"/>
                <w:sz w:val="18"/>
                <w:szCs w:val="18"/>
                <w:b w:val="1"/>
                <w:bCs w:val="1"/>
                <w:color w:val="auto"/>
                <w:w w:val="89"/>
              </w:rPr>
              <w:t>As of September</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5"/>
          </w:tcPr>
          <w:p>
            <w:pPr>
              <w:jc w:val="center"/>
              <w:ind w:left="150"/>
              <w:spacing w:after="0"/>
              <w:rPr>
                <w:sz w:val="20"/>
                <w:szCs w:val="20"/>
                <w:color w:val="auto"/>
              </w:rPr>
            </w:pPr>
            <w:r>
              <w:rPr>
                <w:rFonts w:ascii="Arial" w:cs="Arial" w:eastAsia="Arial" w:hAnsi="Arial"/>
                <w:sz w:val="18"/>
                <w:szCs w:val="18"/>
                <w:b w:val="1"/>
                <w:bCs w:val="1"/>
                <w:color w:val="auto"/>
                <w:w w:val="91"/>
              </w:rPr>
              <w:t>30, 2021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080" w:type="dxa"/>
            <w:vAlign w:val="bottom"/>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Investment at fair value</w:t>
            </w:r>
          </w:p>
        </w:tc>
        <w:tc>
          <w:tcPr>
            <w:tcW w:w="160" w:type="dxa"/>
            <w:vAlign w:val="bottom"/>
            <w:tcBorders>
              <w:bottom w:val="single" w:sz="8" w:color="CFF0FC"/>
            </w:tcBorders>
            <w:shd w:val="clear" w:color="auto" w:fill="CFF0FC"/>
          </w:tcPr>
          <w:p>
            <w:pPr>
              <w:spacing w:after="0"/>
              <w:rPr>
                <w:sz w:val="22"/>
                <w:szCs w:val="22"/>
                <w:color w:val="auto"/>
              </w:rPr>
            </w:pPr>
          </w:p>
        </w:tc>
        <w:tc>
          <w:tcPr>
            <w:tcW w:w="28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gridSpan w:val="7"/>
            <w:shd w:val="clear" w:color="auto" w:fill="CFF0FC"/>
          </w:tcPr>
          <w:p>
            <w:pPr>
              <w:jc w:val="right"/>
              <w:spacing w:after="0"/>
              <w:rPr>
                <w:sz w:val="20"/>
                <w:szCs w:val="20"/>
                <w:color w:val="auto"/>
              </w:rPr>
            </w:pPr>
            <w:r>
              <w:rPr>
                <w:rFonts w:ascii="Arial" w:cs="Arial" w:eastAsia="Arial" w:hAnsi="Arial"/>
                <w:sz w:val="18"/>
                <w:szCs w:val="18"/>
                <w:color w:val="auto"/>
              </w:rPr>
              <w:t>36,834,689</w:t>
            </w:r>
          </w:p>
        </w:tc>
        <w:tc>
          <w:tcPr>
            <w:tcW w:w="4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31,404,100</w:t>
            </w:r>
          </w:p>
        </w:tc>
        <w:tc>
          <w:tcPr>
            <w:tcW w:w="0" w:type="dxa"/>
            <w:vAlign w:val="bottom"/>
          </w:tcPr>
          <w:p>
            <w:pPr>
              <w:spacing w:after="0"/>
              <w:rPr>
                <w:sz w:val="1"/>
                <w:szCs w:val="1"/>
                <w:color w:val="auto"/>
              </w:rPr>
            </w:pPr>
          </w:p>
        </w:tc>
      </w:tr>
      <w:tr>
        <w:trPr>
          <w:trHeight w:val="250"/>
        </w:trPr>
        <w:tc>
          <w:tcPr>
            <w:tcW w:w="30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36,834,689</w:t>
            </w:r>
          </w:p>
        </w:tc>
        <w:tc>
          <w:tcPr>
            <w:tcW w:w="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31,404,100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FF0FC"/>
          </w:tcPr>
          <w:p>
            <w:pPr>
              <w:spacing w:after="0"/>
              <w:rPr>
                <w:sz w:val="20"/>
                <w:szCs w:val="20"/>
                <w:color w:val="auto"/>
              </w:rPr>
            </w:pPr>
          </w:p>
        </w:tc>
        <w:tc>
          <w:tcPr>
            <w:tcW w:w="28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89"/>
              </w:rPr>
              <w:t>166,234</w:t>
            </w:r>
          </w:p>
        </w:tc>
        <w:tc>
          <w:tcPr>
            <w:tcW w:w="54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167,389</w:t>
            </w:r>
          </w:p>
        </w:tc>
        <w:tc>
          <w:tcPr>
            <w:tcW w:w="0" w:type="dxa"/>
            <w:vAlign w:val="bottom"/>
          </w:tcPr>
          <w:p>
            <w:pPr>
              <w:spacing w:after="0"/>
              <w:rPr>
                <w:sz w:val="1"/>
                <w:szCs w:val="1"/>
                <w:color w:val="auto"/>
              </w:rPr>
            </w:pPr>
          </w:p>
        </w:tc>
      </w:tr>
      <w:tr>
        <w:trPr>
          <w:trHeight w:val="250"/>
        </w:trPr>
        <w:tc>
          <w:tcPr>
            <w:tcW w:w="30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CFF0FC"/>
            </w:tcBorders>
          </w:tcPr>
          <w:p>
            <w:pPr>
              <w:spacing w:after="0"/>
              <w:rPr>
                <w:sz w:val="21"/>
                <w:szCs w:val="21"/>
                <w:color w:val="auto"/>
              </w:rPr>
            </w:pPr>
          </w:p>
        </w:tc>
        <w:tc>
          <w:tcPr>
            <w:tcW w:w="2820" w:type="dxa"/>
            <w:vAlign w:val="bottom"/>
            <w:tcBorders>
              <w:top w:val="single" w:sz="8" w:color="CFF0FC"/>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480" w:type="dxa"/>
            <w:vAlign w:val="bottom"/>
            <w:tcBorders>
              <w:top w:val="single" w:sz="8" w:color="CFF0FC"/>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gridSpan w:val="7"/>
          </w:tcPr>
          <w:p>
            <w:pPr>
              <w:jc w:val="right"/>
              <w:spacing w:after="0"/>
              <w:rPr>
                <w:sz w:val="20"/>
                <w:szCs w:val="20"/>
                <w:color w:val="auto"/>
              </w:rPr>
            </w:pPr>
            <w:r>
              <w:rPr>
                <w:rFonts w:ascii="Arial" w:cs="Arial" w:eastAsia="Arial" w:hAnsi="Arial"/>
                <w:sz w:val="18"/>
                <w:szCs w:val="18"/>
                <w:color w:val="auto"/>
              </w:rPr>
              <w:t>36,668,455</w:t>
            </w:r>
          </w:p>
        </w:tc>
        <w:tc>
          <w:tcPr>
            <w:tcW w:w="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31,236,711</w:t>
            </w:r>
          </w:p>
        </w:tc>
        <w:tc>
          <w:tcPr>
            <w:tcW w:w="0" w:type="dxa"/>
            <w:vAlign w:val="bottom"/>
          </w:tcPr>
          <w:p>
            <w:pPr>
              <w:spacing w:after="0"/>
              <w:rPr>
                <w:sz w:val="1"/>
                <w:szCs w:val="1"/>
                <w:color w:val="auto"/>
              </w:rPr>
            </w:pPr>
          </w:p>
        </w:tc>
      </w:tr>
      <w:tr>
        <w:trPr>
          <w:trHeight w:val="290"/>
        </w:trPr>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 and Equity</w:t>
            </w:r>
          </w:p>
        </w:tc>
        <w:tc>
          <w:tcPr>
            <w:tcW w:w="160" w:type="dxa"/>
            <w:vAlign w:val="bottom"/>
            <w:shd w:val="clear" w:color="auto" w:fill="CFF0FC"/>
          </w:tcPr>
          <w:p>
            <w:pPr>
              <w:spacing w:after="0"/>
              <w:rPr>
                <w:sz w:val="24"/>
                <w:szCs w:val="24"/>
                <w:color w:val="auto"/>
              </w:rPr>
            </w:pPr>
          </w:p>
        </w:tc>
        <w:tc>
          <w:tcPr>
            <w:tcW w:w="28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7"/>
            <w:shd w:val="clear" w:color="auto" w:fill="CFF0FC"/>
          </w:tcPr>
          <w:p>
            <w:pPr>
              <w:jc w:val="right"/>
              <w:spacing w:after="0"/>
              <w:rPr>
                <w:sz w:val="20"/>
                <w:szCs w:val="20"/>
                <w:color w:val="auto"/>
              </w:rPr>
            </w:pPr>
            <w:r>
              <w:rPr>
                <w:rFonts w:ascii="Arial" w:cs="Arial" w:eastAsia="Arial" w:hAnsi="Arial"/>
                <w:sz w:val="18"/>
                <w:szCs w:val="18"/>
                <w:color w:val="auto"/>
              </w:rPr>
              <w:t>36,834,689</w:t>
            </w:r>
          </w:p>
        </w:tc>
        <w:tc>
          <w:tcPr>
            <w:tcW w:w="54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31,404,100</w:t>
            </w:r>
          </w:p>
        </w:tc>
        <w:tc>
          <w:tcPr>
            <w:tcW w:w="0" w:type="dxa"/>
            <w:vAlign w:val="bottom"/>
          </w:tcPr>
          <w:p>
            <w:pPr>
              <w:spacing w:after="0"/>
              <w:rPr>
                <w:sz w:val="1"/>
                <w:szCs w:val="1"/>
                <w:color w:val="auto"/>
              </w:rPr>
            </w:pPr>
          </w:p>
        </w:tc>
      </w:tr>
      <w:tr>
        <w:trPr>
          <w:trHeight w:val="216"/>
        </w:trPr>
        <w:tc>
          <w:tcPr>
            <w:tcW w:w="30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4160" w:type="dxa"/>
            <w:vAlign w:val="bottom"/>
            <w:tcBorders>
              <w:top w:val="single" w:sz="8" w:color="CFF0FC"/>
            </w:tcBorders>
            <w:gridSpan w:val="6"/>
          </w:tcPr>
          <w:p>
            <w:pPr>
              <w:jc w:val="center"/>
              <w:ind w:left="510"/>
              <w:spacing w:after="0"/>
              <w:rPr>
                <w:sz w:val="20"/>
                <w:szCs w:val="20"/>
                <w:color w:val="auto"/>
              </w:rPr>
            </w:pPr>
            <w:r>
              <w:rPr>
                <w:rFonts w:ascii="Arial" w:cs="Arial" w:eastAsia="Arial" w:hAnsi="Arial"/>
                <w:sz w:val="18"/>
                <w:szCs w:val="18"/>
                <w:b w:val="1"/>
                <w:bCs w:val="1"/>
                <w:color w:val="auto"/>
                <w:w w:val="96"/>
              </w:rPr>
              <w:t>KCAP Freedom 3 LLC</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60" w:type="dxa"/>
            <w:vAlign w:val="bottom"/>
            <w:gridSpan w:val="6"/>
          </w:tcPr>
          <w:p>
            <w:pPr>
              <w:jc w:val="center"/>
              <w:ind w:left="530"/>
              <w:spacing w:after="0"/>
              <w:rPr>
                <w:sz w:val="20"/>
                <w:szCs w:val="20"/>
                <w:color w:val="auto"/>
              </w:rPr>
            </w:pPr>
            <w:r>
              <w:rPr>
                <w:rFonts w:ascii="Arial" w:cs="Arial" w:eastAsia="Arial" w:hAnsi="Arial"/>
                <w:sz w:val="18"/>
                <w:szCs w:val="18"/>
                <w:color w:val="auto"/>
                <w:w w:val="89"/>
              </w:rPr>
              <w:t>Summarized Statement of Operations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2"/>
          </w:tcPr>
          <w:p>
            <w:pPr>
              <w:jc w:val="center"/>
              <w:ind w:left="15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gridSpan w:val="9"/>
          </w:tcPr>
          <w:p>
            <w:pPr>
              <w:jc w:val="right"/>
              <w:ind w:right="350"/>
              <w:spacing w:after="0"/>
              <w:rPr>
                <w:sz w:val="20"/>
                <w:szCs w:val="20"/>
                <w:color w:val="auto"/>
              </w:rPr>
            </w:pPr>
            <w:r>
              <w:rPr>
                <w:rFonts w:ascii="Arial" w:cs="Arial" w:eastAsia="Arial" w:hAnsi="Arial"/>
                <w:sz w:val="18"/>
                <w:szCs w:val="18"/>
                <w:b w:val="1"/>
                <w:bCs w:val="1"/>
                <w:color w:val="auto"/>
                <w:w w:val="95"/>
              </w:rPr>
              <w:t>Three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10"/>
          </w:tcPr>
          <w:p>
            <w:pPr>
              <w:jc w:val="right"/>
              <w:ind w:right="2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7"/>
          </w:tcPr>
          <w:p>
            <w:pPr>
              <w:jc w:val="right"/>
              <w:ind w:right="590"/>
              <w:spacing w:after="0"/>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94"/>
              </w:rPr>
              <w:t>2021</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income</w:t>
            </w:r>
          </w:p>
        </w:tc>
        <w:tc>
          <w:tcPr>
            <w:tcW w:w="330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w w:val="89"/>
              </w:rPr>
              <w:t>1,619,634</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2"/>
                <w:szCs w:val="22"/>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2"/>
              </w:rPr>
              <w:t>1,294,081</w:t>
            </w:r>
          </w:p>
        </w:tc>
        <w:tc>
          <w:tcPr>
            <w:tcW w:w="3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gridSpan w:val="5"/>
            <w:shd w:val="clear" w:color="auto" w:fill="CFF0FC"/>
          </w:tcPr>
          <w:p>
            <w:pPr>
              <w:jc w:val="right"/>
              <w:ind w:right="10"/>
              <w:spacing w:after="0"/>
              <w:rPr>
                <w:sz w:val="20"/>
                <w:szCs w:val="20"/>
                <w:color w:val="auto"/>
              </w:rPr>
            </w:pPr>
            <w:r>
              <w:rPr>
                <w:rFonts w:ascii="Arial" w:cs="Arial" w:eastAsia="Arial" w:hAnsi="Arial"/>
                <w:sz w:val="18"/>
                <w:szCs w:val="18"/>
                <w:color w:val="auto"/>
              </w:rPr>
              <w:t>4,918,670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3,689,714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36,279</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52,434</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33,497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investment income</w:t>
            </w:r>
          </w:p>
        </w:tc>
        <w:tc>
          <w:tcPr>
            <w:tcW w:w="160" w:type="dxa"/>
            <w:vAlign w:val="bottom"/>
            <w:shd w:val="clear" w:color="auto" w:fill="CFF0FC"/>
          </w:tcPr>
          <w:p>
            <w:pPr>
              <w:spacing w:after="0"/>
              <w:rPr>
                <w:sz w:val="22"/>
                <w:szCs w:val="22"/>
                <w:color w:val="auto"/>
              </w:rPr>
            </w:pPr>
          </w:p>
        </w:tc>
        <w:tc>
          <w:tcPr>
            <w:tcW w:w="28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6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w w:val="89"/>
              </w:rPr>
              <w:t>1,583,355</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2"/>
              </w:rPr>
              <w:t>1,292,084</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gridSpan w:val="5"/>
            <w:shd w:val="clear" w:color="auto" w:fill="CFF0FC"/>
          </w:tcPr>
          <w:p>
            <w:pPr>
              <w:jc w:val="right"/>
              <w:ind w:right="10"/>
              <w:spacing w:after="0"/>
              <w:rPr>
                <w:sz w:val="20"/>
                <w:szCs w:val="20"/>
                <w:color w:val="auto"/>
              </w:rPr>
            </w:pPr>
            <w:r>
              <w:rPr>
                <w:rFonts w:ascii="Arial" w:cs="Arial" w:eastAsia="Arial" w:hAnsi="Arial"/>
                <w:sz w:val="18"/>
                <w:szCs w:val="18"/>
                <w:color w:val="auto"/>
              </w:rPr>
              <w:t>4,866,236</w:t>
            </w: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3,656,217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80" w:type="dxa"/>
            <w:vAlign w:val="bottom"/>
          </w:tcPr>
          <w:p>
            <w:pPr>
              <w:ind w:left="20"/>
              <w:spacing w:after="0"/>
              <w:rPr>
                <w:sz w:val="20"/>
                <w:szCs w:val="20"/>
                <w:color w:val="auto"/>
              </w:rPr>
            </w:pPr>
            <w:r>
              <w:rPr>
                <w:rFonts w:ascii="Arial" w:cs="Arial" w:eastAsia="Arial" w:hAnsi="Arial"/>
                <w:sz w:val="18"/>
                <w:szCs w:val="18"/>
                <w:color w:val="auto"/>
                <w:w w:val="96"/>
              </w:rPr>
              <w:t>Unrealized appreciation on investments</w:t>
            </w:r>
          </w:p>
        </w:tc>
        <w:tc>
          <w:tcPr>
            <w:tcW w:w="1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(765,565 )</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1,779,745</w:t>
            </w:r>
          </w:p>
        </w:tc>
        <w:tc>
          <w:tcPr>
            <w:tcW w:w="1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86"/>
              </w:rPr>
              <w:t>564,353</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(5,583,581 )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3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980" w:type="dxa"/>
            <w:vAlign w:val="bottom"/>
            <w:tcBorders>
              <w:bottom w:val="single" w:sz="8" w:color="CFF0FC"/>
            </w:tcBorders>
            <w:gridSpan w:val="2"/>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817,790</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4"/>
                <w:szCs w:val="24"/>
                <w:color w:val="auto"/>
              </w:rPr>
            </w:pPr>
          </w:p>
        </w:tc>
        <w:tc>
          <w:tcPr>
            <w:tcW w:w="7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2"/>
              </w:rPr>
              <w:t>3,071,829</w:t>
            </w: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5"/>
            <w:shd w:val="clear" w:color="auto" w:fill="CFF0FC"/>
          </w:tcPr>
          <w:p>
            <w:pPr>
              <w:jc w:val="right"/>
              <w:ind w:right="10"/>
              <w:spacing w:after="0"/>
              <w:rPr>
                <w:sz w:val="20"/>
                <w:szCs w:val="20"/>
                <w:color w:val="auto"/>
              </w:rPr>
            </w:pPr>
            <w:r>
              <w:rPr>
                <w:rFonts w:ascii="Arial" w:cs="Arial" w:eastAsia="Arial" w:hAnsi="Arial"/>
                <w:sz w:val="18"/>
                <w:szCs w:val="18"/>
                <w:color w:val="auto"/>
              </w:rPr>
              <w:t>5,430,589</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(1,927,366 )</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60" w:type="dxa"/>
            <w:vAlign w:val="bottom"/>
            <w:gridSpan w:val="6"/>
          </w:tcPr>
          <w:p>
            <w:pPr>
              <w:jc w:val="center"/>
              <w:ind w:left="510"/>
              <w:spacing w:after="0"/>
              <w:rPr>
                <w:sz w:val="20"/>
                <w:szCs w:val="20"/>
                <w:color w:val="auto"/>
              </w:rPr>
            </w:pPr>
            <w:r>
              <w:rPr>
                <w:rFonts w:ascii="Arial" w:cs="Arial" w:eastAsia="Arial" w:hAnsi="Arial"/>
                <w:sz w:val="18"/>
                <w:szCs w:val="18"/>
                <w:b w:val="1"/>
                <w:bCs w:val="1"/>
                <w:color w:val="auto"/>
                <w:w w:val="96"/>
              </w:rPr>
              <w:t>KCAP Freedom 3 LLC</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60" w:type="dxa"/>
            <w:vAlign w:val="bottom"/>
            <w:gridSpan w:val="6"/>
          </w:tcPr>
          <w:p>
            <w:pPr>
              <w:jc w:val="center"/>
              <w:ind w:left="510"/>
              <w:spacing w:after="0"/>
              <w:rPr>
                <w:sz w:val="20"/>
                <w:szCs w:val="20"/>
                <w:color w:val="auto"/>
              </w:rPr>
            </w:pPr>
            <w:r>
              <w:rPr>
                <w:rFonts w:ascii="Arial" w:cs="Arial" w:eastAsia="Arial" w:hAnsi="Arial"/>
                <w:sz w:val="18"/>
                <w:szCs w:val="18"/>
                <w:color w:val="auto"/>
                <w:w w:val="89"/>
              </w:rPr>
              <w:t>Schedule of Investments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40" w:type="dxa"/>
            <w:vAlign w:val="bottom"/>
            <w:gridSpan w:val="2"/>
          </w:tcPr>
          <w:p>
            <w:pPr>
              <w:jc w:val="center"/>
              <w:ind w:left="1530"/>
              <w:spacing w:after="0"/>
              <w:rPr>
                <w:sz w:val="20"/>
                <w:szCs w:val="20"/>
                <w:color w:val="auto"/>
              </w:rPr>
            </w:pPr>
            <w:r>
              <w:rPr>
                <w:rFonts w:ascii="Arial" w:cs="Arial" w:eastAsia="Arial" w:hAnsi="Arial"/>
                <w:sz w:val="18"/>
                <w:szCs w:val="18"/>
                <w:color w:val="auto"/>
                <w:w w:val="88"/>
              </w:rPr>
              <w:t>September 30, 2021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2"/>
          </w:tcPr>
          <w:p>
            <w:pPr>
              <w:jc w:val="center"/>
              <w:ind w:left="15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86"/>
              </w:rPr>
              <w:t>Percentage</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90"/>
              </w:rPr>
              <w:t>Ownership</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by Joint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8"/>
          </w:tcPr>
          <w:p>
            <w:pPr>
              <w:jc w:val="right"/>
              <w:ind w:right="370"/>
              <w:spacing w:after="0"/>
              <w:rPr>
                <w:sz w:val="20"/>
                <w:szCs w:val="20"/>
                <w:color w:val="auto"/>
              </w:rPr>
            </w:pPr>
            <w:r>
              <w:rPr>
                <w:rFonts w:ascii="Arial" w:cs="Arial" w:eastAsia="Arial" w:hAnsi="Arial"/>
                <w:sz w:val="18"/>
                <w:szCs w:val="18"/>
                <w:b w:val="1"/>
                <w:bCs w:val="1"/>
                <w:color w:val="auto"/>
                <w:w w:val="95"/>
              </w:rPr>
              <w:t>Amortized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Portfolio Company</w:t>
            </w:r>
          </w:p>
        </w:tc>
        <w:tc>
          <w:tcPr>
            <w:tcW w:w="160" w:type="dxa"/>
            <w:vAlign w:val="bottom"/>
          </w:tcPr>
          <w:p>
            <w:pPr>
              <w:spacing w:after="0"/>
              <w:rPr>
                <w:sz w:val="20"/>
                <w:szCs w:val="20"/>
                <w:color w:val="auto"/>
              </w:rPr>
            </w:pPr>
          </w:p>
        </w:tc>
        <w:tc>
          <w:tcPr>
            <w:tcW w:w="3140" w:type="dxa"/>
            <w:vAlign w:val="bottom"/>
            <w:tcBorders>
              <w:bottom w:val="single" w:sz="8" w:color="auto"/>
            </w:tcBorders>
            <w:gridSpan w:val="2"/>
          </w:tcPr>
          <w:p>
            <w:pPr>
              <w:ind w:left="1260"/>
              <w:spacing w:after="0"/>
              <w:rPr>
                <w:sz w:val="20"/>
                <w:szCs w:val="20"/>
                <w:color w:val="auto"/>
              </w:rPr>
            </w:pPr>
            <w:r>
              <w:rPr>
                <w:rFonts w:ascii="Arial" w:cs="Arial" w:eastAsia="Arial" w:hAnsi="Arial"/>
                <w:sz w:val="18"/>
                <w:szCs w:val="18"/>
                <w:b w:val="1"/>
                <w:bCs w:val="1"/>
                <w:color w:val="auto"/>
              </w:rPr>
              <w:t>Investment</w:t>
            </w:r>
          </w:p>
        </w:tc>
        <w:tc>
          <w:tcPr>
            <w:tcW w:w="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bottom w:val="single" w:sz="8" w:color="auto"/>
            </w:tcBorders>
            <w:gridSpan w:val="4"/>
          </w:tcPr>
          <w:p>
            <w:pPr>
              <w:jc w:val="center"/>
              <w:ind w:left="50"/>
              <w:spacing w:after="0"/>
              <w:rPr>
                <w:sz w:val="20"/>
                <w:szCs w:val="20"/>
                <w:color w:val="auto"/>
              </w:rPr>
            </w:pPr>
            <w:r>
              <w:rPr>
                <w:rFonts w:ascii="Arial" w:cs="Arial" w:eastAsia="Arial" w:hAnsi="Arial"/>
                <w:sz w:val="18"/>
                <w:szCs w:val="18"/>
                <w:b w:val="1"/>
                <w:bCs w:val="1"/>
                <w:color w:val="auto"/>
                <w:w w:val="89"/>
              </w:rPr>
              <w:t>Venture</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4"/>
              </w:rPr>
              <w:t>Cost</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42"/>
        </w:trPr>
        <w:tc>
          <w:tcPr>
            <w:tcW w:w="3080" w:type="dxa"/>
            <w:vAlign w:val="bottom"/>
            <w:shd w:val="clear" w:color="auto" w:fill="CFF0FC"/>
          </w:tcPr>
          <w:p>
            <w:pPr>
              <w:ind w:left="20"/>
              <w:spacing w:after="0" w:line="242" w:lineRule="exact"/>
              <w:rPr>
                <w:sz w:val="20"/>
                <w:szCs w:val="20"/>
                <w:color w:val="auto"/>
              </w:rPr>
            </w:pPr>
            <w:r>
              <w:rPr>
                <w:rFonts w:ascii="Arial" w:cs="Arial" w:eastAsia="Arial" w:hAnsi="Arial"/>
                <w:sz w:val="18"/>
                <w:szCs w:val="18"/>
                <w:color w:val="auto"/>
                <w:w w:val="92"/>
              </w:rPr>
              <w:t>Great Lakes KCAP F3C Senior, LLC</w:t>
            </w:r>
            <w:r>
              <w:rPr>
                <w:rFonts w:ascii="Arial" w:cs="Arial" w:eastAsia="Arial" w:hAnsi="Arial"/>
                <w:sz w:val="24"/>
                <w:szCs w:val="24"/>
                <w:color w:val="auto"/>
                <w:w w:val="92"/>
                <w:vertAlign w:val="superscript"/>
              </w:rPr>
              <w:t>(1)(2)</w:t>
            </w:r>
          </w:p>
        </w:tc>
        <w:tc>
          <w:tcPr>
            <w:tcW w:w="160" w:type="dxa"/>
            <w:vAlign w:val="bottom"/>
            <w:shd w:val="clear" w:color="auto" w:fill="CFF0FC"/>
          </w:tcPr>
          <w:p>
            <w:pPr>
              <w:spacing w:after="0"/>
              <w:rPr>
                <w:sz w:val="21"/>
                <w:szCs w:val="21"/>
                <w:color w:val="auto"/>
              </w:rPr>
            </w:pPr>
          </w:p>
        </w:tc>
        <w:tc>
          <w:tcPr>
            <w:tcW w:w="31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3"/>
              </w:rPr>
              <w:t>Subordinated Securities, effective interest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5"/>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100.0 %   $</w:t>
            </w:r>
          </w:p>
        </w:tc>
        <w:tc>
          <w:tcPr>
            <w:tcW w:w="1180" w:type="dxa"/>
            <w:vAlign w:val="bottom"/>
            <w:gridSpan w:val="7"/>
            <w:vMerge w:val="restart"/>
            <w:shd w:val="clear" w:color="auto" w:fill="CFF0FC"/>
          </w:tcPr>
          <w:p>
            <w:pPr>
              <w:ind w:left="280"/>
              <w:spacing w:after="0"/>
              <w:rPr>
                <w:sz w:val="20"/>
                <w:szCs w:val="20"/>
                <w:color w:val="auto"/>
              </w:rPr>
            </w:pPr>
            <w:r>
              <w:rPr>
                <w:rFonts w:ascii="Arial" w:cs="Arial" w:eastAsia="Arial" w:hAnsi="Arial"/>
                <w:sz w:val="18"/>
                <w:szCs w:val="18"/>
                <w:color w:val="auto"/>
                <w:w w:val="97"/>
              </w:rPr>
              <w:t>42,299,908</w:t>
            </w:r>
          </w:p>
        </w:tc>
        <w:tc>
          <w:tcPr>
            <w:tcW w:w="140" w:type="dxa"/>
            <w:vAlign w:val="bottom"/>
            <w:shd w:val="clear" w:color="auto" w:fill="CFF0FC"/>
          </w:tcPr>
          <w:p>
            <w:pPr>
              <w:spacing w:after="0"/>
              <w:rPr>
                <w:sz w:val="21"/>
                <w:szCs w:val="21"/>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11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36,834,689</w:t>
            </w: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6.8%, 12/29 maturity</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5"/>
            <w:vMerge w:val="continue"/>
            <w:shd w:val="clear" w:color="auto" w:fill="CFF0FC"/>
          </w:tcPr>
          <w:p>
            <w:pPr>
              <w:spacing w:after="0"/>
              <w:rPr>
                <w:sz w:val="20"/>
                <w:szCs w:val="20"/>
                <w:color w:val="auto"/>
              </w:rPr>
            </w:pPr>
          </w:p>
        </w:tc>
        <w:tc>
          <w:tcPr>
            <w:tcW w:w="1180" w:type="dxa"/>
            <w:vAlign w:val="bottom"/>
            <w:gridSpan w:val="7"/>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tcBorders>
              <w:top w:val="single" w:sz="8" w:color="CFF0FC"/>
            </w:tcBorders>
          </w:tcPr>
          <w:p>
            <w:pPr>
              <w:spacing w:after="0"/>
              <w:rPr>
                <w:sz w:val="20"/>
                <w:szCs w:val="20"/>
                <w:color w:val="auto"/>
              </w:rPr>
            </w:pPr>
          </w:p>
        </w:tc>
        <w:tc>
          <w:tcPr>
            <w:tcW w:w="2820" w:type="dxa"/>
            <w:vAlign w:val="bottom"/>
            <w:tcBorders>
              <w:top w:val="single" w:sz="8" w:color="CFF0FC"/>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48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540" w:type="dxa"/>
            <w:vAlign w:val="bottom"/>
            <w:tcBorders>
              <w:top w:val="single" w:sz="8" w:color="CFF0FC"/>
            </w:tcBorders>
            <w:gridSpan w:val="2"/>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gridSpan w:val="7"/>
          </w:tcPr>
          <w:p>
            <w:pPr>
              <w:ind w:left="280"/>
              <w:spacing w:after="0"/>
              <w:rPr>
                <w:sz w:val="20"/>
                <w:szCs w:val="20"/>
                <w:color w:val="auto"/>
              </w:rPr>
            </w:pPr>
            <w:r>
              <w:rPr>
                <w:rFonts w:ascii="Arial" w:cs="Arial" w:eastAsia="Arial" w:hAnsi="Arial"/>
                <w:sz w:val="18"/>
                <w:szCs w:val="18"/>
                <w:b w:val="1"/>
                <w:bCs w:val="1"/>
                <w:color w:val="auto"/>
                <w:w w:val="97"/>
              </w:rPr>
              <w:t>42,299,908</w:t>
            </w: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36,834,689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-4497070</wp:posOffset>
            </wp:positionV>
            <wp:extent cx="111125" cy="571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-4137025</wp:posOffset>
            </wp:positionV>
            <wp:extent cx="111125"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-3796665</wp:posOffset>
            </wp:positionV>
            <wp:extent cx="11112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-3779520</wp:posOffset>
            </wp:positionV>
            <wp:extent cx="11112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-1851025</wp:posOffset>
            </wp:positionV>
            <wp:extent cx="9461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-1833880</wp:posOffset>
            </wp:positionV>
            <wp:extent cx="9461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-1851025</wp:posOffset>
            </wp:positionV>
            <wp:extent cx="8572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-1833880</wp:posOffset>
            </wp:positionV>
            <wp:extent cx="8572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-1851025</wp:posOffset>
            </wp:positionV>
            <wp:extent cx="8572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-1833880</wp:posOffset>
            </wp:positionV>
            <wp:extent cx="8572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-1851025</wp:posOffset>
            </wp:positionV>
            <wp:extent cx="596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-1833880</wp:posOffset>
            </wp:positionV>
            <wp:extent cx="596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-159385</wp:posOffset>
            </wp:positionV>
            <wp:extent cx="85725" cy="57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185166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6" w:lineRule="exact"/>
        <w:rPr>
          <w:sz w:val="20"/>
          <w:szCs w:val="20"/>
          <w:color w:val="auto"/>
        </w:rPr>
      </w:pPr>
    </w:p>
    <w:p>
      <w:pPr>
        <w:ind w:left="380" w:right="160" w:hanging="372"/>
        <w:spacing w:after="0" w:line="245" w:lineRule="auto"/>
        <w:tabs>
          <w:tab w:leader="none" w:pos="366" w:val="left"/>
        </w:tabs>
        <w:numPr>
          <w:ilvl w:val="0"/>
          <w:numId w:val="60"/>
        </w:numPr>
        <w:rPr>
          <w:rFonts w:ascii="Arial" w:cs="Arial" w:eastAsia="Arial" w:hAnsi="Arial"/>
          <w:sz w:val="24"/>
          <w:szCs w:val="24"/>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3" w:lineRule="exact"/>
        <w:rPr>
          <w:rFonts w:ascii="Arial" w:cs="Arial" w:eastAsia="Arial" w:hAnsi="Arial"/>
          <w:sz w:val="24"/>
          <w:szCs w:val="24"/>
          <w:color w:val="auto"/>
          <w:vertAlign w:val="superscript"/>
        </w:rPr>
      </w:pPr>
    </w:p>
    <w:p>
      <w:pPr>
        <w:ind w:left="360" w:hanging="352"/>
        <w:spacing w:after="0" w:line="208" w:lineRule="auto"/>
        <w:tabs>
          <w:tab w:leader="none" w:pos="360" w:val="left"/>
        </w:tabs>
        <w:numPr>
          <w:ilvl w:val="0"/>
          <w:numId w:val="60"/>
        </w:numPr>
        <w:rPr>
          <w:rFonts w:ascii="Arial" w:cs="Arial" w:eastAsia="Arial" w:hAnsi="Arial"/>
          <w:sz w:val="23"/>
          <w:szCs w:val="23"/>
          <w:color w:val="auto"/>
          <w:vertAlign w:val="superscript"/>
        </w:rPr>
      </w:pPr>
      <w:r>
        <w:rPr>
          <w:rFonts w:ascii="Arial" w:cs="Arial" w:eastAsia="Arial" w:hAnsi="Arial"/>
          <w:sz w:val="17"/>
          <w:szCs w:val="17"/>
          <w:color w:val="auto"/>
        </w:rPr>
        <w:t>Fair value of this investment was determined using significant unobservable inputs, including default rates, prepayment rates, spreads, and the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discount rate by which to value the resulting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Percentage</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Ownership</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by Joint</w:t>
            </w:r>
          </w:p>
        </w:tc>
        <w:tc>
          <w:tcPr>
            <w:tcW w:w="220" w:type="dxa"/>
            <w:vAlign w:val="bottom"/>
          </w:tcPr>
          <w:p>
            <w:pPr>
              <w:spacing w:after="0"/>
              <w:rPr>
                <w:sz w:val="19"/>
                <w:szCs w:val="19"/>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Amortized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Portfolio Company</w:t>
            </w:r>
          </w:p>
        </w:tc>
        <w:tc>
          <w:tcPr>
            <w:tcW w:w="180" w:type="dxa"/>
            <w:vAlign w:val="bottom"/>
          </w:tcPr>
          <w:p>
            <w:pPr>
              <w:spacing w:after="0"/>
              <w:rPr>
                <w:sz w:val="20"/>
                <w:szCs w:val="20"/>
                <w:color w:val="auto"/>
              </w:rPr>
            </w:pPr>
          </w:p>
        </w:tc>
        <w:tc>
          <w:tcPr>
            <w:tcW w:w="1980" w:type="dxa"/>
            <w:vAlign w:val="bottom"/>
          </w:tcPr>
          <w:p>
            <w:pPr>
              <w:ind w:left="560"/>
              <w:spacing w:after="0"/>
              <w:rPr>
                <w:sz w:val="20"/>
                <w:szCs w:val="20"/>
                <w:color w:val="auto"/>
              </w:rPr>
            </w:pPr>
            <w:r>
              <w:rPr>
                <w:rFonts w:ascii="Arial" w:cs="Arial" w:eastAsia="Arial" w:hAnsi="Arial"/>
                <w:sz w:val="18"/>
                <w:szCs w:val="18"/>
                <w:b w:val="1"/>
                <w:bCs w:val="1"/>
                <w:color w:val="auto"/>
              </w:rPr>
              <w:t>Investment</w:t>
            </w:r>
          </w:p>
        </w:tc>
        <w:tc>
          <w:tcPr>
            <w:tcW w:w="160" w:type="dxa"/>
            <w:vAlign w:val="bottom"/>
          </w:tcPr>
          <w:p>
            <w:pPr>
              <w:spacing w:after="0"/>
              <w:rPr>
                <w:sz w:val="20"/>
                <w:szCs w:val="20"/>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Venture</w:t>
            </w:r>
          </w:p>
        </w:tc>
        <w:tc>
          <w:tcPr>
            <w:tcW w:w="22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860" w:type="dxa"/>
            <w:vAlign w:val="bottom"/>
            <w:tcBorders>
              <w:top w:val="single" w:sz="8" w:color="auto"/>
            </w:tcBorders>
            <w:shd w:val="clear" w:color="auto" w:fill="CFF0FC"/>
          </w:tcPr>
          <w:p>
            <w:pPr>
              <w:ind w:left="20"/>
              <w:spacing w:after="0" w:line="242" w:lineRule="exact"/>
              <w:rPr>
                <w:sz w:val="20"/>
                <w:szCs w:val="20"/>
                <w:color w:val="auto"/>
              </w:rPr>
            </w:pPr>
            <w:r>
              <w:rPr>
                <w:rFonts w:ascii="Arial" w:cs="Arial" w:eastAsia="Arial" w:hAnsi="Arial"/>
                <w:sz w:val="18"/>
                <w:szCs w:val="18"/>
                <w:color w:val="auto"/>
              </w:rPr>
              <w:t>Great Lakes KCAP F3C Senior, LLC</w:t>
            </w:r>
            <w:r>
              <w:rPr>
                <w:rFonts w:ascii="Arial" w:cs="Arial" w:eastAsia="Arial" w:hAnsi="Arial"/>
                <w:sz w:val="24"/>
                <w:szCs w:val="24"/>
                <w:color w:val="auto"/>
                <w:vertAlign w:val="superscript"/>
              </w:rPr>
              <w:t>(1)(2)</w:t>
            </w:r>
          </w:p>
        </w:tc>
        <w:tc>
          <w:tcPr>
            <w:tcW w:w="180" w:type="dxa"/>
            <w:vAlign w:val="bottom"/>
            <w:shd w:val="clear" w:color="auto" w:fill="CFF0FC"/>
          </w:tcPr>
          <w:p>
            <w:pPr>
              <w:spacing w:after="0"/>
              <w:rPr>
                <w:sz w:val="21"/>
                <w:szCs w:val="21"/>
                <w:color w:val="auto"/>
              </w:rPr>
            </w:pPr>
          </w:p>
        </w:tc>
        <w:tc>
          <w:tcPr>
            <w:tcW w:w="1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Subordinated Securities,</w:t>
            </w:r>
          </w:p>
        </w:tc>
        <w:tc>
          <w:tcPr>
            <w:tcW w:w="160" w:type="dxa"/>
            <w:vAlign w:val="bottom"/>
            <w:shd w:val="clear" w:color="auto" w:fill="CFF0FC"/>
          </w:tcPr>
          <w:p>
            <w:pPr>
              <w:spacing w:after="0"/>
              <w:rPr>
                <w:sz w:val="21"/>
                <w:szCs w:val="21"/>
                <w:color w:val="auto"/>
              </w:rPr>
            </w:pPr>
          </w:p>
        </w:tc>
        <w:tc>
          <w:tcPr>
            <w:tcW w:w="1400" w:type="dxa"/>
            <w:vAlign w:val="bottom"/>
            <w:tcBorders>
              <w:top w:val="single" w:sz="8" w:color="auto"/>
            </w:tcBorders>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effective interest 12.3%,</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38,986,212</w:t>
            </w:r>
          </w:p>
        </w:tc>
        <w:tc>
          <w:tcPr>
            <w:tcW w:w="240" w:type="dxa"/>
            <w:vAlign w:val="bottom"/>
            <w:vMerge w:val="restart"/>
            <w:shd w:val="clear" w:color="auto" w:fill="CFF0FC"/>
          </w:tcPr>
          <w:p>
            <w:pPr>
              <w:spacing w:after="0"/>
              <w:rPr>
                <w:sz w:val="19"/>
                <w:szCs w:val="19"/>
                <w:color w:val="auto"/>
              </w:rPr>
            </w:pP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31,404,100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12/29 maturity</w:t>
            </w:r>
          </w:p>
        </w:tc>
        <w:tc>
          <w:tcPr>
            <w:tcW w:w="1980" w:type="dxa"/>
            <w:vAlign w:val="bottom"/>
            <w:tcBorders>
              <w:bottom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12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vMerge w:val="continue"/>
            <w:shd w:val="clear" w:color="auto" w:fill="CFF0FC"/>
          </w:tcPr>
          <w:p>
            <w:pPr>
              <w:spacing w:after="0"/>
              <w:rPr>
                <w:sz w:val="20"/>
                <w:szCs w:val="20"/>
                <w:color w:val="auto"/>
              </w:rPr>
            </w:pP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Total Investments</w:t>
            </w:r>
          </w:p>
        </w:tc>
        <w:tc>
          <w:tcPr>
            <w:tcW w:w="1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38,986,212</w:t>
            </w:r>
          </w:p>
        </w:tc>
        <w:tc>
          <w:tcPr>
            <w:tcW w:w="24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31,404,100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-176530</wp:posOffset>
            </wp:positionV>
            <wp:extent cx="154305" cy="571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-176530</wp:posOffset>
            </wp:positionV>
            <wp:extent cx="59690"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9" w:lineRule="exact"/>
        <w:rPr>
          <w:sz w:val="20"/>
          <w:szCs w:val="20"/>
          <w:color w:val="auto"/>
        </w:rPr>
      </w:pPr>
    </w:p>
    <w:p>
      <w:pPr>
        <w:ind w:left="380" w:right="160" w:hanging="372"/>
        <w:spacing w:after="0" w:line="245" w:lineRule="auto"/>
        <w:tabs>
          <w:tab w:leader="none" w:pos="366" w:val="left"/>
        </w:tabs>
        <w:numPr>
          <w:ilvl w:val="0"/>
          <w:numId w:val="61"/>
        </w:numPr>
        <w:rPr>
          <w:rFonts w:ascii="Arial" w:cs="Arial" w:eastAsia="Arial" w:hAnsi="Arial"/>
          <w:sz w:val="24"/>
          <w:szCs w:val="24"/>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3" w:lineRule="exact"/>
        <w:rPr>
          <w:rFonts w:ascii="Arial" w:cs="Arial" w:eastAsia="Arial" w:hAnsi="Arial"/>
          <w:sz w:val="24"/>
          <w:szCs w:val="24"/>
          <w:color w:val="auto"/>
          <w:vertAlign w:val="superscript"/>
        </w:rPr>
      </w:pPr>
    </w:p>
    <w:p>
      <w:pPr>
        <w:ind w:left="380" w:right="640" w:hanging="372"/>
        <w:spacing w:after="0" w:line="228" w:lineRule="auto"/>
        <w:tabs>
          <w:tab w:leader="none" w:pos="366" w:val="left"/>
        </w:tabs>
        <w:numPr>
          <w:ilvl w:val="0"/>
          <w:numId w:val="61"/>
        </w:numPr>
        <w:rPr>
          <w:rFonts w:ascii="Arial" w:cs="Arial" w:eastAsia="Arial" w:hAnsi="Arial"/>
          <w:sz w:val="24"/>
          <w:szCs w:val="24"/>
          <w:color w:val="auto"/>
          <w:vertAlign w:val="superscript"/>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BCP Great Lakes Partnership LP</w:t>
      </w:r>
    </w:p>
    <w:p>
      <w:pPr>
        <w:spacing w:after="0" w:line="27" w:lineRule="exact"/>
        <w:rPr>
          <w:sz w:val="20"/>
          <w:szCs w:val="20"/>
          <w:color w:val="auto"/>
        </w:rPr>
      </w:pPr>
    </w:p>
    <w:p>
      <w:pPr>
        <w:ind w:right="80"/>
        <w:spacing w:after="0" w:line="305" w:lineRule="auto"/>
        <w:rPr>
          <w:sz w:val="20"/>
          <w:szCs w:val="20"/>
          <w:color w:val="auto"/>
        </w:rPr>
      </w:pPr>
      <w:r>
        <w:rPr>
          <w:rFonts w:ascii="Arial" w:cs="Arial" w:eastAsia="Arial" w:hAnsi="Arial"/>
          <w:sz w:val="16"/>
          <w:szCs w:val="16"/>
          <w:color w:val="auto"/>
        </w:rPr>
        <w:t>BCP Great Lakes Fund LP (the “BCP Great Lakes Partnership”) has invested in BCP Great Lakes Holdings LP, a vehicle formed as a co-investment vehicle to facilitate the participation of certain co-investors to invest, directly or indirectly, in BCP Great Lakes Funding, LLC (the “Great Lakes Joint Venture”). The Company is a limited partner in the BCP Great Lakes Partnership and does not have any direct or indirect voting interests in the Great Lakes Joint Venture, and treats the investment as a joint venture since an affiliate of the Adviser manages BCP Great Lakes Holdings LP and controls a 50% voting interest in the Great Lakes Joint Venture. This investment was made prior to the Externalization and as such the Company has changed its characterization from an equity investment prior to the Externalization to a joint venture investment once the Company became externally managed and an affiliate of the Adviser. The investment strategy of BCP Great Lakes Funding, LLC is to underwrite and hold senior, secured unitranche loans made to middle-market companies. The Company does not pay any advisory fees in connection with its investment in the BCP Great Lakes Partnership.</w:t>
      </w:r>
    </w:p>
    <w:p>
      <w:pPr>
        <w:spacing w:after="0" w:line="59" w:lineRule="exact"/>
        <w:rPr>
          <w:sz w:val="20"/>
          <w:szCs w:val="20"/>
          <w:color w:val="auto"/>
        </w:rPr>
      </w:pPr>
    </w:p>
    <w:p>
      <w:pPr>
        <w:ind w:right="120" w:firstLine="374"/>
        <w:spacing w:after="0" w:line="271" w:lineRule="auto"/>
        <w:rPr>
          <w:sz w:val="20"/>
          <w:szCs w:val="20"/>
          <w:color w:val="auto"/>
        </w:rPr>
      </w:pPr>
      <w:r>
        <w:rPr>
          <w:rFonts w:ascii="Arial" w:cs="Arial" w:eastAsia="Arial" w:hAnsi="Arial"/>
          <w:sz w:val="18"/>
          <w:szCs w:val="18"/>
          <w:color w:val="auto"/>
        </w:rPr>
        <w:t>The fair value of the Company’s investment in the BCP Great Lakes Partnership at September 30, 2021 and December 31, 2020 was $43.7 million and $29.6 million. Fair value has been determined utilizing the practical expedient pursuant to ASC 820-10. Pursuant to the terms of the BCP Great Lakes Fund LP Amended and Restated Exempted Limited Partnership Agreement (the “BCP Great Lakes Partnership Agreement”), the Company generally may not sell, exchange, assign, pledge or otherwise transfer its interest, in whole or in part, without the prior written consent of the General Partner which consent may be given or withheld in its sole and absolute discretion, and may be conditioned upon repayment of its share of indebtedness incurred by the partnership.</w:t>
      </w:r>
    </w:p>
    <w:p>
      <w:pPr>
        <w:spacing w:after="0" w:line="150" w:lineRule="exact"/>
        <w:rPr>
          <w:sz w:val="20"/>
          <w:szCs w:val="20"/>
          <w:color w:val="auto"/>
        </w:rPr>
      </w:pPr>
    </w:p>
    <w:p>
      <w:pPr>
        <w:ind w:right="340" w:firstLine="374"/>
        <w:spacing w:after="0" w:line="243" w:lineRule="auto"/>
        <w:rPr>
          <w:sz w:val="20"/>
          <w:szCs w:val="20"/>
          <w:color w:val="auto"/>
        </w:rPr>
      </w:pPr>
      <w:r>
        <w:rPr>
          <w:rFonts w:ascii="Arial" w:cs="Arial" w:eastAsia="Arial" w:hAnsi="Arial"/>
          <w:sz w:val="18"/>
          <w:szCs w:val="18"/>
          <w:color w:val="auto"/>
        </w:rPr>
        <w:t>In March 2019, prior to the Externalization, the Company increased its aggregate commitment to the BCP Great Lakes Partnership to $50 million, subject to certain limitations (including that the Company is not obligated to fund capital calls if such funding would cause the Company to be out of compliance with certain provisions of the 1940 Act). As of September 30, 2021 and December 31, 2020, the Company has a $6.9 million and $20.0 million, respectively unfunded commitment to the BCP Great Lakes Partnership.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ind w:right="40" w:firstLine="374"/>
        <w:spacing w:after="0" w:line="299" w:lineRule="auto"/>
        <w:rPr>
          <w:sz w:val="20"/>
          <w:szCs w:val="20"/>
          <w:color w:val="auto"/>
        </w:rPr>
      </w:pPr>
      <w:r>
        <w:rPr>
          <w:rFonts w:ascii="Arial" w:cs="Arial" w:eastAsia="Arial" w:hAnsi="Arial"/>
          <w:sz w:val="16"/>
          <w:szCs w:val="16"/>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w:t>
      </w:r>
    </w:p>
    <w:p>
      <w:pPr>
        <w:spacing w:after="0" w:line="2" w:lineRule="exact"/>
        <w:rPr>
          <w:sz w:val="20"/>
          <w:szCs w:val="20"/>
          <w:color w:val="auto"/>
        </w:rPr>
      </w:pPr>
    </w:p>
    <w:p>
      <w:pPr>
        <w:ind w:right="120" w:firstLine="8"/>
        <w:spacing w:after="0" w:line="266" w:lineRule="auto"/>
        <w:tabs>
          <w:tab w:leader="none" w:pos="365"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ind w:right="200" w:firstLine="374"/>
        <w:spacing w:after="0" w:line="293"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43" w:lineRule="exact"/>
        <w:rPr>
          <w:sz w:val="20"/>
          <w:szCs w:val="20"/>
          <w:color w:val="auto"/>
        </w:rPr>
      </w:pPr>
    </w:p>
    <w:p>
      <w:pPr>
        <w:ind w:right="80" w:firstLine="374"/>
        <w:spacing w:after="0" w:line="303" w:lineRule="auto"/>
        <w:rPr>
          <w:sz w:val="20"/>
          <w:szCs w:val="20"/>
          <w:color w:val="auto"/>
        </w:rPr>
      </w:pPr>
      <w:r>
        <w:rPr>
          <w:rFonts w:ascii="Arial" w:cs="Arial" w:eastAsia="Arial" w:hAnsi="Arial"/>
          <w:sz w:val="17"/>
          <w:szCs w:val="17"/>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24" w:lineRule="exact"/>
        <w:rPr>
          <w:sz w:val="20"/>
          <w:szCs w:val="20"/>
          <w:color w:val="auto"/>
        </w:rPr>
      </w:pPr>
    </w:p>
    <w:p>
      <w:pPr>
        <w:ind w:right="40" w:firstLine="374"/>
        <w:spacing w:after="0" w:line="292"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34" w:lineRule="exact"/>
        <w:rPr>
          <w:sz w:val="20"/>
          <w:szCs w:val="20"/>
          <w:color w:val="auto"/>
        </w:rPr>
      </w:pPr>
    </w:p>
    <w:p>
      <w:pPr>
        <w:ind w:right="40" w:firstLine="374"/>
        <w:spacing w:after="0" w:line="290" w:lineRule="auto"/>
        <w:rPr>
          <w:sz w:val="20"/>
          <w:szCs w:val="20"/>
          <w:color w:val="auto"/>
        </w:rPr>
      </w:pPr>
      <w:r>
        <w:rPr>
          <w:rFonts w:ascii="Arial" w:cs="Arial" w:eastAsia="Arial" w:hAnsi="Arial"/>
          <w:sz w:val="17"/>
          <w:szCs w:val="17"/>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49" w:lineRule="exact"/>
        <w:rPr>
          <w:sz w:val="20"/>
          <w:szCs w:val="20"/>
          <w:color w:val="auto"/>
        </w:rPr>
      </w:pPr>
    </w:p>
    <w:p>
      <w:pPr>
        <w:ind w:right="20" w:firstLine="374"/>
        <w:spacing w:after="0" w:line="287"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37" w:lineRule="exact"/>
        <w:rPr>
          <w:sz w:val="20"/>
          <w:szCs w:val="20"/>
          <w:color w:val="auto"/>
        </w:rPr>
      </w:pPr>
    </w:p>
    <w:p>
      <w:pPr>
        <w:ind w:right="360" w:firstLine="374"/>
        <w:spacing w:after="0" w:line="271" w:lineRule="auto"/>
        <w:rPr>
          <w:sz w:val="20"/>
          <w:szCs w:val="20"/>
          <w:color w:val="auto"/>
        </w:rPr>
      </w:pPr>
      <w:r>
        <w:rPr>
          <w:rFonts w:ascii="Arial" w:cs="Arial" w:eastAsia="Arial" w:hAnsi="Arial"/>
          <w:sz w:val="18"/>
          <w:szCs w:val="18"/>
          <w:color w:val="auto"/>
        </w:rPr>
        <w:t>The following table summarizes the fair value of investments by fair value hierarchy levels provided by ASC 820: Fair Value as of September 30, 2021(unaudited) and December 31, 2020, respectively: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As of September 30, 2021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6"/>
        </w:trPr>
        <w:tc>
          <w:tcPr>
            <w:tcW w:w="4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3"/>
        </w:trPr>
        <w:tc>
          <w:tcPr>
            <w:tcW w:w="4720" w:type="dxa"/>
            <w:vAlign w:val="bottom"/>
          </w:tcPr>
          <w:p>
            <w:pPr>
              <w:spacing w:after="0"/>
              <w:rPr>
                <w:sz w:val="22"/>
                <w:szCs w:val="22"/>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I</w:t>
            </w:r>
          </w:p>
        </w:tc>
        <w:tc>
          <w:tcPr>
            <w:tcW w:w="120" w:type="dxa"/>
            <w:vAlign w:val="bottom"/>
          </w:tcPr>
          <w:p>
            <w:pPr>
              <w:spacing w:after="0"/>
              <w:rPr>
                <w:sz w:val="22"/>
                <w:szCs w:val="22"/>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II</w:t>
            </w: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III</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NAV</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57"/>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 securities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71,815,844</w:t>
            </w:r>
          </w:p>
        </w:tc>
        <w:tc>
          <w:tcPr>
            <w:tcW w:w="1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383,264,032</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455,079,876</w:t>
            </w:r>
          </w:p>
        </w:tc>
      </w:tr>
      <w:tr>
        <w:trPr>
          <w:trHeight w:val="250"/>
        </w:trPr>
        <w:tc>
          <w:tcPr>
            <w:tcW w:w="4720" w:type="dxa"/>
            <w:vAlign w:val="bottom"/>
          </w:tcPr>
          <w:p>
            <w:pPr>
              <w:ind w:left="20"/>
              <w:spacing w:after="0"/>
              <w:rPr>
                <w:sz w:val="20"/>
                <w:szCs w:val="20"/>
                <w:color w:val="auto"/>
              </w:rPr>
            </w:pPr>
            <w:r>
              <w:rPr>
                <w:rFonts w:ascii="Arial" w:cs="Arial" w:eastAsia="Arial" w:hAnsi="Arial"/>
                <w:sz w:val="18"/>
                <w:szCs w:val="18"/>
                <w:color w:val="auto"/>
              </w:rPr>
              <w:t>CLO Fund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17,173,634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17,173,634</w:t>
            </w:r>
          </w:p>
        </w:tc>
      </w:tr>
      <w:tr>
        <w:trPr>
          <w:trHeight w:val="263"/>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securities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1,546,700</w:t>
            </w: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20,752,059</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22,298,759</w:t>
            </w:r>
          </w:p>
        </w:tc>
      </w:tr>
      <w:tr>
        <w:trPr>
          <w:trHeight w:val="250"/>
        </w:trPr>
        <w:tc>
          <w:tcPr>
            <w:tcW w:w="4720" w:type="dxa"/>
            <w:vAlign w:val="bottom"/>
          </w:tcPr>
          <w:p>
            <w:pPr>
              <w:ind w:left="20"/>
              <w:spacing w:after="0"/>
              <w:rPr>
                <w:sz w:val="20"/>
                <w:szCs w:val="20"/>
                <w:color w:val="auto"/>
              </w:rPr>
            </w:pPr>
            <w:r>
              <w:rPr>
                <w:rFonts w:ascii="Arial" w:cs="Arial" w:eastAsia="Arial" w:hAnsi="Arial"/>
                <w:sz w:val="18"/>
                <w:szCs w:val="18"/>
                <w:color w:val="auto"/>
              </w:rPr>
              <w:t>Joint Ventures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23,946,301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43,682,813</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67,629,114</w:t>
            </w:r>
          </w:p>
        </w:tc>
      </w:tr>
      <w:tr>
        <w:trPr>
          <w:trHeight w:val="257"/>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Derivatives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(1,982,091 )</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(1,982,091 )</w:t>
            </w:r>
          </w:p>
        </w:tc>
      </w:tr>
      <w:tr>
        <w:trPr>
          <w:trHeight w:val="250"/>
        </w:trPr>
        <w:tc>
          <w:tcPr>
            <w:tcW w:w="4720" w:type="dxa"/>
            <w:vAlign w:val="bottom"/>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w w:val="98"/>
              </w:rPr>
              <w:t>$   1,546,700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71,815,844</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  443,153,935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0"/>
              </w:rPr>
              <w:t>43,682,813</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  560,199,292</w:t>
            </w:r>
          </w:p>
        </w:tc>
      </w:tr>
      <w:tr>
        <w:trPr>
          <w:trHeight w:val="20"/>
        </w:trPr>
        <w:tc>
          <w:tcPr>
            <w:tcW w:w="4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-193675</wp:posOffset>
            </wp:positionV>
            <wp:extent cx="76835"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-193675</wp:posOffset>
            </wp:positionV>
            <wp:extent cx="68580"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-193675</wp:posOffset>
            </wp:positionV>
            <wp:extent cx="68580" cy="57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-193675</wp:posOffset>
            </wp:positionV>
            <wp:extent cx="68580"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6"/>
          </w:tcPr>
          <w:p>
            <w:pPr>
              <w:jc w:val="right"/>
              <w:spacing w:after="0"/>
              <w:rPr>
                <w:sz w:val="20"/>
                <w:szCs w:val="20"/>
                <w:color w:val="auto"/>
              </w:rPr>
            </w:pPr>
            <w:r>
              <w:rPr>
                <w:rFonts w:ascii="Arial" w:cs="Arial" w:eastAsia="Arial" w:hAnsi="Arial"/>
                <w:sz w:val="18"/>
                <w:szCs w:val="18"/>
                <w:b w:val="1"/>
                <w:bCs w:val="1"/>
                <w:color w:val="auto"/>
              </w:rPr>
              <w:t>As of December 31, 2020</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4780" w:type="dxa"/>
            <w:vAlign w:val="bottom"/>
          </w:tcPr>
          <w:p>
            <w:pPr>
              <w:spacing w:after="0"/>
              <w:rPr>
                <w:sz w:val="22"/>
                <w:szCs w:val="22"/>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I</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II</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III</w:t>
            </w:r>
          </w:p>
        </w:tc>
        <w:tc>
          <w:tcPr>
            <w:tcW w:w="260" w:type="dxa"/>
            <w:vAlign w:val="bottom"/>
          </w:tcPr>
          <w:p>
            <w:pPr>
              <w:spacing w:after="0"/>
              <w:rPr>
                <w:sz w:val="22"/>
                <w:szCs w:val="22"/>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NAV</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5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 securities</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70,615,841</w:t>
            </w:r>
          </w:p>
        </w:tc>
        <w:tc>
          <w:tcPr>
            <w:tcW w:w="16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334,245,014</w:t>
            </w:r>
          </w:p>
        </w:tc>
        <w:tc>
          <w:tcPr>
            <w:tcW w:w="16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404,860,855</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CLO Fund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19,582,555</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19,582,555</w:t>
            </w:r>
          </w:p>
        </w:tc>
        <w:tc>
          <w:tcPr>
            <w:tcW w:w="100" w:type="dxa"/>
            <w:vAlign w:val="bottom"/>
          </w:tcPr>
          <w:p>
            <w:pPr>
              <w:spacing w:after="0"/>
              <w:rPr>
                <w:sz w:val="21"/>
                <w:szCs w:val="21"/>
                <w:color w:val="auto"/>
              </w:rPr>
            </w:pPr>
          </w:p>
        </w:tc>
      </w:tr>
      <w:tr>
        <w:trPr>
          <w:trHeight w:val="26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securities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1,407,907</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12,536,969</w:t>
            </w:r>
          </w:p>
        </w:tc>
        <w:tc>
          <w:tcPr>
            <w:tcW w:w="1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13,944,876</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Joint Ventures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19,748,808</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29,600,355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49,349,163</w:t>
            </w:r>
          </w:p>
        </w:tc>
        <w:tc>
          <w:tcPr>
            <w:tcW w:w="100" w:type="dxa"/>
            <w:vAlign w:val="bottom"/>
          </w:tcPr>
          <w:p>
            <w:pPr>
              <w:spacing w:after="0"/>
              <w:rPr>
                <w:sz w:val="21"/>
                <w:szCs w:val="21"/>
                <w:color w:val="auto"/>
              </w:rPr>
            </w:pPr>
          </w:p>
        </w:tc>
      </w:tr>
      <w:tr>
        <w:trPr>
          <w:trHeight w:val="257"/>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(1,108,618 )</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(1,108,618 )</w:t>
            </w:r>
          </w:p>
        </w:tc>
      </w:tr>
      <w:tr>
        <w:trPr>
          <w:trHeight w:val="250"/>
        </w:trPr>
        <w:tc>
          <w:tcPr>
            <w:tcW w:w="47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1,407,907</w:t>
            </w:r>
          </w:p>
        </w:tc>
        <w:tc>
          <w:tcPr>
            <w:tcW w:w="16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70,615,841</w:t>
            </w:r>
          </w:p>
        </w:tc>
        <w:tc>
          <w:tcPr>
            <w:tcW w:w="16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385,004,728</w:t>
            </w:r>
          </w:p>
        </w:tc>
        <w:tc>
          <w:tcPr>
            <w:tcW w:w="16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29,600,355</w:t>
            </w:r>
          </w:p>
        </w:tc>
        <w:tc>
          <w:tcPr>
            <w:tcW w:w="12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486,628,831</w:t>
            </w:r>
          </w:p>
        </w:tc>
        <w:tc>
          <w:tcPr>
            <w:tcW w:w="100" w:type="dxa"/>
            <w:vAlign w:val="bottom"/>
            <w:tcBorders>
              <w:top w:val="single" w:sz="8" w:color="CFF0FC"/>
            </w:tcBorders>
          </w:tcPr>
          <w:p>
            <w:pPr>
              <w:spacing w:after="0"/>
              <w:rPr>
                <w:sz w:val="21"/>
                <w:szCs w:val="21"/>
                <w:color w:val="auto"/>
              </w:rPr>
            </w:pPr>
          </w:p>
        </w:tc>
      </w:tr>
      <w:tr>
        <w:trPr>
          <w:trHeight w:val="20"/>
        </w:trPr>
        <w:tc>
          <w:tcPr>
            <w:tcW w:w="4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-193675</wp:posOffset>
            </wp:positionV>
            <wp:extent cx="94615" cy="57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-193675</wp:posOffset>
            </wp:positionV>
            <wp:extent cx="93980" cy="571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-193675</wp:posOffset>
            </wp:positionV>
            <wp:extent cx="93980" cy="571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-193675</wp:posOffset>
            </wp:positionV>
            <wp:extent cx="77470" cy="571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9" w:lineRule="exact"/>
        <w:rPr>
          <w:sz w:val="20"/>
          <w:szCs w:val="20"/>
          <w:color w:val="auto"/>
        </w:rPr>
      </w:pPr>
    </w:p>
    <w:p>
      <w:pPr>
        <w:ind w:right="180" w:firstLine="374"/>
        <w:spacing w:after="0" w:line="266" w:lineRule="auto"/>
        <w:rPr>
          <w:sz w:val="20"/>
          <w:szCs w:val="20"/>
          <w:color w:val="auto"/>
        </w:rPr>
      </w:pPr>
      <w:r>
        <w:rPr>
          <w:rFonts w:ascii="Arial" w:cs="Arial" w:eastAsia="Arial" w:hAnsi="Arial"/>
          <w:sz w:val="18"/>
          <w:szCs w:val="18"/>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Level III investments. Investment values derived by a third-party pricing service are generally deemed to be Level III values. For those that have observable trades, the Company considers them to be Level II.</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5" w:name="page56"/>
    <w:bookmarkEnd w:id="55"/>
    <w:p>
      <w:pPr>
        <w:ind w:right="300" w:firstLine="374"/>
        <w:spacing w:after="0" w:line="293" w:lineRule="auto"/>
        <w:rPr>
          <w:sz w:val="20"/>
          <w:szCs w:val="20"/>
          <w:color w:val="auto"/>
        </w:rPr>
      </w:pPr>
      <w:r>
        <w:rPr>
          <w:rFonts w:ascii="Arial" w:cs="Arial" w:eastAsia="Arial" w:hAnsi="Arial"/>
          <w:sz w:val="18"/>
          <w:szCs w:val="18"/>
          <w:color w:val="auto"/>
        </w:rPr>
        <w:t>The fair value of the Company’s investment in the BCP Great Lakes Partnership at September 30, 2021 and December 31, 2020 was $43.7 million and $23.8 million. Fair value has been determined utilizing the practical expedient pursuant to ASC 820-10.</w:t>
      </w:r>
    </w:p>
    <w:p>
      <w:pPr>
        <w:spacing w:after="0" w:line="143" w:lineRule="exact"/>
        <w:rPr>
          <w:sz w:val="20"/>
          <w:szCs w:val="20"/>
          <w:color w:val="auto"/>
        </w:rPr>
      </w:pPr>
    </w:p>
    <w:p>
      <w:pPr>
        <w:ind w:right="100" w:firstLine="374"/>
        <w:spacing w:after="0" w:line="314" w:lineRule="auto"/>
        <w:rPr>
          <w:sz w:val="20"/>
          <w:szCs w:val="20"/>
          <w:color w:val="auto"/>
        </w:rPr>
      </w:pPr>
      <w:r>
        <w:rPr>
          <w:rFonts w:ascii="Arial" w:cs="Arial" w:eastAsia="Arial" w:hAnsi="Arial"/>
          <w:sz w:val="16"/>
          <w:szCs w:val="16"/>
          <w:color w:val="auto"/>
        </w:rPr>
        <w:t>Subject to the limitations noted above, 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19" w:lineRule="exact"/>
        <w:rPr>
          <w:sz w:val="20"/>
          <w:szCs w:val="20"/>
          <w:color w:val="auto"/>
        </w:rPr>
      </w:pPr>
    </w:p>
    <w:p>
      <w:pPr>
        <w:ind w:right="120" w:firstLine="374"/>
        <w:spacing w:after="0" w:line="266"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7"/>
          </w:tcPr>
          <w:p>
            <w:pPr>
              <w:jc w:val="right"/>
              <w:ind w:right="259"/>
              <w:spacing w:after="0"/>
              <w:rPr>
                <w:sz w:val="20"/>
                <w:szCs w:val="20"/>
                <w:color w:val="auto"/>
              </w:rPr>
            </w:pPr>
            <w:r>
              <w:rPr>
                <w:rFonts w:ascii="Arial" w:cs="Arial" w:eastAsia="Arial" w:hAnsi="Arial"/>
                <w:sz w:val="16"/>
                <w:szCs w:val="16"/>
                <w:b w:val="1"/>
                <w:bCs w:val="1"/>
                <w:color w:val="auto"/>
                <w:w w:val="91"/>
              </w:rPr>
              <w:t>Nine Months Ended September 30, 2021</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140"/>
              <w:spacing w:after="0"/>
              <w:rPr>
                <w:sz w:val="20"/>
                <w:szCs w:val="20"/>
                <w:color w:val="auto"/>
              </w:rPr>
            </w:pPr>
            <w:r>
              <w:rPr>
                <w:rFonts w:ascii="Arial" w:cs="Arial" w:eastAsia="Arial" w:hAnsi="Arial"/>
                <w:sz w:val="16"/>
                <w:szCs w:val="16"/>
                <w:b w:val="1"/>
                <w:bCs w:val="1"/>
                <w:color w:val="auto"/>
              </w:rPr>
              <w:t>Asset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Debt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CLO Fund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b w:val="1"/>
                <w:bCs w:val="1"/>
                <w:color w:val="auto"/>
              </w:rPr>
              <w:t>Equity</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6"/>
                <w:szCs w:val="16"/>
                <w:b w:val="1"/>
                <w:bCs w:val="1"/>
                <w:color w:val="auto"/>
              </w:rPr>
              <w:t>Manager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Joint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6"/>
              </w:rPr>
              <w:t>Securities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Securities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Securities</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Affiliate</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3"/>
              </w:rPr>
              <w:t>Ventures</w:t>
            </w:r>
          </w:p>
        </w:tc>
        <w:tc>
          <w:tcPr>
            <w:tcW w:w="60" w:type="dxa"/>
            <w:vAlign w:val="bottom"/>
          </w:tcPr>
          <w:p>
            <w:pPr>
              <w:spacing w:after="0"/>
              <w:rPr>
                <w:sz w:val="19"/>
                <w:szCs w:val="19"/>
                <w:color w:val="auto"/>
              </w:rPr>
            </w:pPr>
          </w:p>
        </w:tc>
        <w:tc>
          <w:tcPr>
            <w:tcW w:w="10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w w:val="98"/>
              </w:rPr>
              <w:t>Derivatives</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December 31, 2020</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334,245,014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19,582,555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12,536,969</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19,748,808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(1,108,618 )</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385,004,728</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6"/>
                <w:szCs w:val="16"/>
                <w:color w:val="auto"/>
              </w:rPr>
              <w:t>Transfers out of Level III¹</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(13,819,153 )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(13,819,153 )</w:t>
            </w:r>
          </w:p>
        </w:tc>
        <w:tc>
          <w:tcPr>
            <w:tcW w:w="0" w:type="dxa"/>
            <w:vAlign w:val="bottom"/>
          </w:tcPr>
          <w:p>
            <w:pPr>
              <w:spacing w:after="0"/>
              <w:rPr>
                <w:sz w:val="1"/>
                <w:szCs w:val="1"/>
                <w:color w:val="auto"/>
              </w:rPr>
            </w:pPr>
          </w:p>
        </w:tc>
      </w:tr>
      <w:tr>
        <w:trPr>
          <w:trHeight w:val="239"/>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Transfers into Level III²</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20,127,220</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20,127,220</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6"/>
                <w:szCs w:val="16"/>
                <w:color w:val="auto"/>
              </w:rPr>
              <w:t>Net accretion</w:t>
            </w:r>
          </w:p>
        </w:tc>
        <w:tc>
          <w:tcPr>
            <w:tcW w:w="16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23,179,552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23,179,552</w:t>
            </w:r>
          </w:p>
        </w:tc>
        <w:tc>
          <w:tcPr>
            <w:tcW w:w="0" w:type="dxa"/>
            <w:vAlign w:val="bottom"/>
          </w:tcPr>
          <w:p>
            <w:pPr>
              <w:spacing w:after="0"/>
              <w:rPr>
                <w:sz w:val="1"/>
                <w:szCs w:val="1"/>
                <w:color w:val="auto"/>
              </w:rPr>
            </w:pPr>
          </w:p>
        </w:tc>
      </w:tr>
      <w:tr>
        <w:trPr>
          <w:trHeight w:val="239"/>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443,995,812</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8,755,374</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2,500,000</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455,251,186</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6"/>
                <w:szCs w:val="16"/>
                <w:color w:val="auto"/>
              </w:rPr>
              <w:t>Sales/Paydowns/Return of Capital</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w w:val="99"/>
              </w:rPr>
              <w:t>(409,189,744 )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(6,440,089 )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(4,480,717 )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(880,000 )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w w:val="96"/>
              </w:rPr>
              <w:t>(420,990,550 )</w:t>
            </w:r>
          </w:p>
        </w:tc>
        <w:tc>
          <w:tcPr>
            <w:tcW w:w="0" w:type="dxa"/>
            <w:vAlign w:val="bottom"/>
          </w:tcPr>
          <w:p>
            <w:pPr>
              <w:spacing w:after="0"/>
              <w:rPr>
                <w:sz w:val="1"/>
                <w:szCs w:val="1"/>
                <w:color w:val="auto"/>
              </w:rPr>
            </w:pPr>
          </w:p>
        </w:tc>
      </w:tr>
      <w:tr>
        <w:trPr>
          <w:trHeight w:val="239"/>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w w:val="97"/>
              </w:rPr>
              <w:t>Total realized gain (loss) included in earnings</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(7,208,326 )</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(5,323,484 )</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173,666</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880,000</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(11,478,144 )</w:t>
            </w:r>
          </w:p>
        </w:tc>
        <w:tc>
          <w:tcPr>
            <w:tcW w:w="0" w:type="dxa"/>
            <w:vAlign w:val="bottom"/>
          </w:tcPr>
          <w:p>
            <w:pPr>
              <w:spacing w:after="0"/>
              <w:rPr>
                <w:sz w:val="1"/>
                <w:szCs w:val="1"/>
                <w:color w:val="auto"/>
              </w:rPr>
            </w:pPr>
          </w:p>
        </w:tc>
      </w:tr>
      <w:tr>
        <w:trPr>
          <w:trHeight w:val="206"/>
        </w:trPr>
        <w:tc>
          <w:tcPr>
            <w:tcW w:w="3160" w:type="dxa"/>
            <w:vAlign w:val="bottom"/>
          </w:tcPr>
          <w:p>
            <w:pPr>
              <w:ind w:left="20"/>
              <w:spacing w:after="0"/>
              <w:rPr>
                <w:sz w:val="20"/>
                <w:szCs w:val="20"/>
                <w:color w:val="auto"/>
              </w:rPr>
            </w:pPr>
            <w:r>
              <w:rPr>
                <w:rFonts w:ascii="Arial" w:cs="Arial" w:eastAsia="Arial" w:hAnsi="Arial"/>
                <w:sz w:val="16"/>
                <w:szCs w:val="16"/>
                <w:color w:val="auto"/>
              </w:rPr>
              <w:t>Change in unrealized gain (loss) included in</w:t>
            </w: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(8,066,343 )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9,354,652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3,766,767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1,697,493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(873,473 )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5,879,096</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Arial" w:cs="Arial" w:eastAsia="Arial" w:hAnsi="Arial"/>
                <w:sz w:val="16"/>
                <w:szCs w:val="16"/>
                <w:color w:val="auto"/>
              </w:rPr>
              <w:t>earnings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September 30, 2021</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383,264,032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17,173,634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20,752,059</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23,946,301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(1,982,091 )</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443,153,935</w:t>
            </w:r>
          </w:p>
        </w:tc>
        <w:tc>
          <w:tcPr>
            <w:tcW w:w="0" w:type="dxa"/>
            <w:vAlign w:val="bottom"/>
          </w:tcPr>
          <w:p>
            <w:pPr>
              <w:spacing w:after="0"/>
              <w:rPr>
                <w:sz w:val="1"/>
                <w:szCs w:val="1"/>
                <w:color w:val="auto"/>
              </w:rPr>
            </w:pPr>
          </w:p>
        </w:tc>
      </w:tr>
      <w:tr>
        <w:trPr>
          <w:trHeight w:val="193"/>
        </w:trPr>
        <w:tc>
          <w:tcPr>
            <w:tcW w:w="316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w w:val="95"/>
              </w:rPr>
              <w:t>Changes in unrealized gains (losses) included</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6"/>
                <w:szCs w:val="16"/>
                <w:color w:val="auto"/>
                <w:w w:val="97"/>
              </w:rPr>
              <w:t>in earnings related to investments still held at</w:t>
            </w:r>
          </w:p>
        </w:tc>
        <w:tc>
          <w:tcPr>
            <w:tcW w:w="160" w:type="dxa"/>
            <w:vAlign w:val="bottom"/>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7,904,884</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4,031,169</w:t>
            </w: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3,067,453</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1,697,493</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16,700,999</w:t>
            </w:r>
          </w:p>
        </w:tc>
        <w:tc>
          <w:tcPr>
            <w:tcW w:w="0" w:type="dxa"/>
            <w:vAlign w:val="bottom"/>
          </w:tcPr>
          <w:p>
            <w:pPr>
              <w:spacing w:after="0"/>
              <w:rPr>
                <w:sz w:val="1"/>
                <w:szCs w:val="1"/>
                <w:color w:val="auto"/>
              </w:rPr>
            </w:pPr>
          </w:p>
        </w:tc>
      </w:tr>
      <w:tr>
        <w:trPr>
          <w:trHeight w:val="185"/>
        </w:trPr>
        <w:tc>
          <w:tcPr>
            <w:tcW w:w="3160" w:type="dxa"/>
            <w:vAlign w:val="bottom"/>
          </w:tcPr>
          <w:p>
            <w:pPr>
              <w:ind w:left="20"/>
              <w:spacing w:after="0"/>
              <w:rPr>
                <w:sz w:val="20"/>
                <w:szCs w:val="20"/>
                <w:color w:val="auto"/>
              </w:rPr>
            </w:pPr>
            <w:r>
              <w:rPr>
                <w:rFonts w:ascii="Arial" w:cs="Arial" w:eastAsia="Arial" w:hAnsi="Arial"/>
                <w:sz w:val="16"/>
                <w:szCs w:val="16"/>
                <w:color w:val="auto"/>
              </w:rPr>
              <w:t>reporting date</w:t>
            </w:r>
          </w:p>
        </w:tc>
        <w:tc>
          <w:tcPr>
            <w:tcW w:w="1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-427990</wp:posOffset>
            </wp:positionV>
            <wp:extent cx="5143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-410845</wp:posOffset>
            </wp:positionV>
            <wp:extent cx="5143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-427990</wp:posOffset>
            </wp:positionV>
            <wp:extent cx="5143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-410845</wp:posOffset>
            </wp:positionV>
            <wp:extent cx="5143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-427990</wp:posOffset>
            </wp:positionV>
            <wp:extent cx="431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-410845</wp:posOffset>
            </wp:positionV>
            <wp:extent cx="4318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-427990</wp:posOffset>
            </wp:positionV>
            <wp:extent cx="431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-410845</wp:posOffset>
            </wp:positionV>
            <wp:extent cx="4318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-427990</wp:posOffset>
            </wp:positionV>
            <wp:extent cx="342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-410845</wp:posOffset>
            </wp:positionV>
            <wp:extent cx="342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-427990</wp:posOffset>
            </wp:positionV>
            <wp:extent cx="431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-410845</wp:posOffset>
            </wp:positionV>
            <wp:extent cx="4318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ind w:left="380" w:right="60" w:hanging="372"/>
        <w:spacing w:after="0" w:line="201" w:lineRule="auto"/>
        <w:tabs>
          <w:tab w:leader="none" w:pos="366" w:val="left"/>
        </w:tabs>
        <w:numPr>
          <w:ilvl w:val="0"/>
          <w:numId w:val="63"/>
        </w:numPr>
        <w:rPr>
          <w:rFonts w:ascii="Arial" w:cs="Arial" w:eastAsia="Arial" w:hAnsi="Arial"/>
          <w:sz w:val="24"/>
          <w:szCs w:val="24"/>
          <w:color w:val="auto"/>
          <w:vertAlign w:val="superscript"/>
        </w:rPr>
      </w:pPr>
      <w:r>
        <w:rPr>
          <w:rFonts w:ascii="Arial" w:cs="Arial" w:eastAsia="Arial" w:hAnsi="Arial"/>
          <w:sz w:val="18"/>
          <w:szCs w:val="18"/>
          <w:color w:val="auto"/>
        </w:rPr>
        <w:t>Transfers out of Level III represent a transfer of $13.8 million relating to debt securities and equity securities for which pricing inputs, other than their quoted prices in active markets were observable as of September 30, 2021.</w:t>
      </w:r>
    </w:p>
    <w:p>
      <w:pPr>
        <w:spacing w:after="0" w:line="1" w:lineRule="exact"/>
        <w:rPr>
          <w:sz w:val="20"/>
          <w:szCs w:val="20"/>
          <w:color w:val="auto"/>
        </w:rPr>
      </w:pPr>
    </w:p>
    <w:p>
      <w:pPr>
        <w:ind w:left="380" w:right="60" w:hanging="372"/>
        <w:spacing w:after="0" w:line="207" w:lineRule="auto"/>
        <w:tabs>
          <w:tab w:leader="none" w:pos="366" w:val="left"/>
        </w:tabs>
        <w:numPr>
          <w:ilvl w:val="0"/>
          <w:numId w:val="64"/>
        </w:numPr>
        <w:rPr>
          <w:rFonts w:ascii="Arial" w:cs="Arial" w:eastAsia="Arial" w:hAnsi="Arial"/>
          <w:sz w:val="24"/>
          <w:szCs w:val="24"/>
          <w:color w:val="auto"/>
          <w:vertAlign w:val="superscript"/>
        </w:rPr>
      </w:pPr>
      <w:r>
        <w:rPr>
          <w:rFonts w:ascii="Arial" w:cs="Arial" w:eastAsia="Arial" w:hAnsi="Arial"/>
          <w:sz w:val="18"/>
          <w:szCs w:val="18"/>
          <w:color w:val="auto"/>
        </w:rPr>
        <w:t>Transfers into Level III represent a transfer of $20.1 million relating to debt securities for which pricing inputs, other than their quoted prices in active markets were unobservable as of September 30,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8"/>
                <w:szCs w:val="18"/>
                <w:b w:val="1"/>
                <w:bCs w:val="1"/>
                <w:color w:val="auto"/>
                <w:w w:val="96"/>
              </w:rPr>
              <w:t>Year Ended December 31, 2020</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51"/>
              <w:spacing w:after="0"/>
              <w:rPr>
                <w:sz w:val="20"/>
                <w:szCs w:val="20"/>
                <w:color w:val="auto"/>
              </w:rPr>
            </w:pPr>
            <w:r>
              <w:rPr>
                <w:rFonts w:ascii="Arial" w:cs="Arial" w:eastAsia="Arial" w:hAnsi="Arial"/>
                <w:sz w:val="18"/>
                <w:szCs w:val="18"/>
                <w:b w:val="1"/>
                <w:bCs w:val="1"/>
                <w:color w:val="auto"/>
                <w:w w:val="97"/>
              </w:rPr>
              <w:t>Asset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CLO Fund</w:t>
            </w:r>
          </w:p>
        </w:tc>
        <w:tc>
          <w:tcPr>
            <w:tcW w:w="14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Equity</w:t>
            </w:r>
          </w:p>
        </w:tc>
        <w:tc>
          <w:tcPr>
            <w:tcW w:w="86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99"/>
              </w:rPr>
              <w:t>Manager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Joint</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5"/>
              </w:rPr>
              <w:t>Securities</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5"/>
              </w:rPr>
              <w:t>Securities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0"/>
              </w:rPr>
              <w:t>Securities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0"/>
              </w:rPr>
              <w:t>Affiliate</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3"/>
              </w:rPr>
              <w:t>Ventures</w:t>
            </w:r>
          </w:p>
        </w:tc>
        <w:tc>
          <w:tcPr>
            <w:tcW w:w="100" w:type="dxa"/>
            <w:vAlign w:val="bottom"/>
          </w:tcPr>
          <w:p>
            <w:pPr>
              <w:spacing w:after="0"/>
              <w:rPr>
                <w:sz w:val="20"/>
                <w:szCs w:val="20"/>
                <w:color w:val="auto"/>
              </w:rPr>
            </w:pPr>
          </w:p>
        </w:tc>
        <w:tc>
          <w:tcPr>
            <w:tcW w:w="10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b w:val="1"/>
                <w:bCs w:val="1"/>
                <w:color w:val="auto"/>
                <w:w w:val="97"/>
              </w:rPr>
              <w:t>Derivatives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December 31, 2019</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148,382,726</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31,968,202</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9,864,419</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21,307,899</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(33,437 ) $</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211,489,810</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Transfers out of Level III¹</w:t>
            </w:r>
          </w:p>
        </w:tc>
        <w:tc>
          <w:tcPr>
            <w:tcW w:w="18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(5,522,415 )</w:t>
            </w: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(5,522,415 )</w:t>
            </w:r>
          </w:p>
        </w:tc>
        <w:tc>
          <w:tcPr>
            <w:tcW w:w="0" w:type="dxa"/>
            <w:vAlign w:val="bottom"/>
          </w:tcPr>
          <w:p>
            <w:pPr>
              <w:spacing w:after="0"/>
              <w:rPr>
                <w:sz w:val="1"/>
                <w:szCs w:val="1"/>
                <w:color w:val="auto"/>
              </w:rPr>
            </w:pPr>
          </w:p>
        </w:tc>
      </w:tr>
      <w:tr>
        <w:trPr>
          <w:trHeight w:val="263"/>
        </w:trPr>
        <w:tc>
          <w:tcPr>
            <w:tcW w:w="2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Transfers into Level III²</w:t>
            </w:r>
          </w:p>
        </w:tc>
        <w:tc>
          <w:tcPr>
            <w:tcW w:w="18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5,292,441</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16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5,292,441</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Net accretion</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7,414,985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3,541,296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10,956,281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w:t>
            </w:r>
          </w:p>
        </w:tc>
        <w:tc>
          <w:tcPr>
            <w:tcW w:w="18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297,330,176</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3,529,804</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16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300,859,980</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w w:val="95"/>
              </w:rPr>
              <w:t>Sales/Paydowns/Return of Capital</w:t>
            </w:r>
          </w:p>
        </w:tc>
        <w:tc>
          <w:tcPr>
            <w:tcW w:w="18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(100,652,817 )</w:t>
            </w:r>
          </w:p>
        </w:tc>
        <w:tc>
          <w:tcPr>
            <w:tcW w:w="12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(4,432,200 )</w:t>
            </w:r>
          </w:p>
        </w:tc>
        <w:tc>
          <w:tcPr>
            <w:tcW w:w="1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(1,515,936 )</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(976,968 )</w:t>
            </w:r>
          </w:p>
        </w:tc>
        <w:tc>
          <w:tcPr>
            <w:tcW w:w="2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7"/>
              </w:rPr>
              <w:t>(107,577,921 )</w:t>
            </w:r>
          </w:p>
        </w:tc>
        <w:tc>
          <w:tcPr>
            <w:tcW w:w="0" w:type="dxa"/>
            <w:vAlign w:val="bottom"/>
          </w:tcPr>
          <w:p>
            <w:pPr>
              <w:spacing w:after="0"/>
              <w:rPr>
                <w:sz w:val="1"/>
                <w:szCs w:val="1"/>
                <w:color w:val="auto"/>
              </w:rPr>
            </w:pPr>
          </w:p>
        </w:tc>
      </w:tr>
      <w:tr>
        <w:trPr>
          <w:trHeight w:val="249"/>
        </w:trPr>
        <w:tc>
          <w:tcPr>
            <w:tcW w:w="26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Total realized gain (loss) included</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 earnings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7,928,224</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(989,131 )</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976,968</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7,916,061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660" w:type="dxa"/>
            <w:vAlign w:val="bottom"/>
          </w:tcPr>
          <w:p>
            <w:pPr>
              <w:ind w:left="20"/>
              <w:spacing w:after="0"/>
              <w:rPr>
                <w:sz w:val="20"/>
                <w:szCs w:val="20"/>
                <w:color w:val="auto"/>
              </w:rPr>
            </w:pPr>
            <w:r>
              <w:rPr>
                <w:rFonts w:ascii="Arial" w:cs="Arial" w:eastAsia="Arial" w:hAnsi="Arial"/>
                <w:sz w:val="18"/>
                <w:szCs w:val="18"/>
                <w:color w:val="auto"/>
              </w:rPr>
              <w:t>Change in unrealized gain (loss)</w:t>
            </w:r>
          </w:p>
        </w:tc>
        <w:tc>
          <w:tcPr>
            <w:tcW w:w="180" w:type="dxa"/>
            <w:vAlign w:val="bottom"/>
          </w:tcPr>
          <w:p>
            <w:pPr>
              <w:spacing w:after="0"/>
              <w:rPr>
                <w:sz w:val="21"/>
                <w:szCs w:val="21"/>
                <w:color w:val="auto"/>
              </w:rPr>
            </w:pPr>
          </w:p>
        </w:tc>
        <w:tc>
          <w:tcPr>
            <w:tcW w:w="12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(25,928,306 )</w:t>
            </w:r>
          </w:p>
        </w:tc>
        <w:tc>
          <w:tcPr>
            <w:tcW w:w="120" w:type="dxa"/>
            <w:vAlign w:val="bottom"/>
          </w:tcPr>
          <w:p>
            <w:pPr>
              <w:spacing w:after="0"/>
              <w:rPr>
                <w:sz w:val="21"/>
                <w:szCs w:val="21"/>
                <w:color w:val="auto"/>
              </w:rPr>
            </w:pPr>
          </w:p>
        </w:tc>
        <w:tc>
          <w:tcPr>
            <w:tcW w:w="11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(11,494,743 )</w:t>
            </w:r>
          </w:p>
        </w:tc>
        <w:tc>
          <w:tcPr>
            <w:tcW w:w="140" w:type="dxa"/>
            <w:vAlign w:val="bottom"/>
          </w:tcPr>
          <w:p>
            <w:pPr>
              <w:spacing w:after="0"/>
              <w:rPr>
                <w:sz w:val="21"/>
                <w:szCs w:val="2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1,647,812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(1,559,091 )</w:t>
            </w:r>
          </w:p>
        </w:tc>
        <w:tc>
          <w:tcPr>
            <w:tcW w:w="180" w:type="dxa"/>
            <w:vAlign w:val="bottom"/>
          </w:tcPr>
          <w:p>
            <w:pPr>
              <w:spacing w:after="0"/>
              <w:rPr>
                <w:sz w:val="21"/>
                <w:szCs w:val="21"/>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4"/>
              </w:rPr>
              <w:t>(1,075,182 )</w:t>
            </w:r>
          </w:p>
        </w:tc>
        <w:tc>
          <w:tcPr>
            <w:tcW w:w="200" w:type="dxa"/>
            <w:vAlign w:val="bottom"/>
          </w:tcPr>
          <w:p>
            <w:pPr>
              <w:spacing w:after="0"/>
              <w:rPr>
                <w:sz w:val="21"/>
                <w:szCs w:val="21"/>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(38,409,510 )</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included in earnings</w:t>
            </w:r>
          </w:p>
        </w:tc>
        <w:tc>
          <w:tcPr>
            <w:tcW w:w="1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December 31, 2020</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334,245,014</w:t>
            </w:r>
          </w:p>
        </w:tc>
        <w:tc>
          <w:tcPr>
            <w:tcW w:w="14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19,582,555</w:t>
            </w:r>
          </w:p>
        </w:tc>
        <w:tc>
          <w:tcPr>
            <w:tcW w:w="12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12,536,969</w:t>
            </w: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19,748,808</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w w:val="94"/>
              </w:rPr>
              <w:t>(1,108,618 ) $</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385,004,728</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6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Changes in unrealized gains</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w w:val="90"/>
              </w:rPr>
              <w:t>(losses) included in earnings related</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to investments still held at</w:t>
            </w: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1360" w:type="dxa"/>
            <w:vAlign w:val="bottom"/>
            <w:gridSpan w:val="3"/>
            <w:vMerge w:val="restart"/>
          </w:tcPr>
          <w:p>
            <w:pPr>
              <w:jc w:val="right"/>
              <w:spacing w:after="0"/>
              <w:rPr>
                <w:sz w:val="20"/>
                <w:szCs w:val="20"/>
                <w:color w:val="auto"/>
              </w:rPr>
            </w:pPr>
            <w:r>
              <w:rPr>
                <w:rFonts w:ascii="Arial" w:cs="Arial" w:eastAsia="Arial" w:hAnsi="Arial"/>
                <w:sz w:val="16"/>
                <w:szCs w:val="16"/>
                <w:color w:val="auto"/>
              </w:rPr>
              <w:t>(7,416,722 ) $</w:t>
            </w:r>
          </w:p>
        </w:tc>
        <w:tc>
          <w:tcPr>
            <w:tcW w:w="1320" w:type="dxa"/>
            <w:vAlign w:val="bottom"/>
            <w:gridSpan w:val="3"/>
            <w:vMerge w:val="restart"/>
          </w:tcPr>
          <w:p>
            <w:pPr>
              <w:jc w:val="right"/>
              <w:spacing w:after="0"/>
              <w:rPr>
                <w:sz w:val="20"/>
                <w:szCs w:val="20"/>
                <w:color w:val="auto"/>
              </w:rPr>
            </w:pPr>
            <w:r>
              <w:rPr>
                <w:rFonts w:ascii="Arial" w:cs="Arial" w:eastAsia="Arial" w:hAnsi="Arial"/>
                <w:sz w:val="16"/>
                <w:szCs w:val="16"/>
                <w:color w:val="auto"/>
              </w:rPr>
              <w:t>(11,494,743 ) $</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1,647,812</w:t>
            </w:r>
          </w:p>
        </w:tc>
        <w:tc>
          <w:tcPr>
            <w:tcW w:w="120" w:type="dxa"/>
            <w:vAlign w:val="bottom"/>
          </w:tcPr>
          <w:p>
            <w:pPr>
              <w:spacing w:after="0"/>
              <w:rPr>
                <w:sz w:val="19"/>
                <w:szCs w:val="19"/>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220" w:type="dxa"/>
            <w:vAlign w:val="bottom"/>
            <w:gridSpan w:val="3"/>
            <w:vMerge w:val="restart"/>
          </w:tcPr>
          <w:p>
            <w:pPr>
              <w:jc w:val="right"/>
              <w:spacing w:after="0"/>
              <w:rPr>
                <w:sz w:val="20"/>
                <w:szCs w:val="20"/>
                <w:color w:val="auto"/>
              </w:rPr>
            </w:pPr>
            <w:r>
              <w:rPr>
                <w:rFonts w:ascii="Arial" w:cs="Arial" w:eastAsia="Arial" w:hAnsi="Arial"/>
                <w:sz w:val="16"/>
                <w:szCs w:val="16"/>
                <w:color w:val="auto"/>
              </w:rPr>
              <w:t>(1,559,091 ) $</w:t>
            </w:r>
          </w:p>
        </w:tc>
        <w:tc>
          <w:tcPr>
            <w:tcW w:w="1160" w:type="dxa"/>
            <w:vAlign w:val="bottom"/>
            <w:gridSpan w:val="3"/>
            <w:vMerge w:val="restart"/>
          </w:tcPr>
          <w:p>
            <w:pPr>
              <w:jc w:val="right"/>
              <w:ind w:right="100"/>
              <w:spacing w:after="0"/>
              <w:rPr>
                <w:sz w:val="20"/>
                <w:szCs w:val="20"/>
                <w:color w:val="auto"/>
              </w:rPr>
            </w:pPr>
            <w:r>
              <w:rPr>
                <w:rFonts w:ascii="Arial" w:cs="Arial" w:eastAsia="Arial" w:hAnsi="Arial"/>
                <w:sz w:val="16"/>
                <w:szCs w:val="16"/>
                <w:color w:val="auto"/>
              </w:rPr>
              <w:t>(1,075,182 ) $</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(19,897,926 )</w:t>
            </w:r>
          </w:p>
        </w:tc>
        <w:tc>
          <w:tcPr>
            <w:tcW w:w="0" w:type="dxa"/>
            <w:vAlign w:val="bottom"/>
          </w:tcPr>
          <w:p>
            <w:pPr>
              <w:spacing w:after="0"/>
              <w:rPr>
                <w:sz w:val="1"/>
                <w:szCs w:val="1"/>
                <w:color w:val="auto"/>
              </w:rPr>
            </w:pPr>
          </w:p>
        </w:tc>
      </w:tr>
      <w:tr>
        <w:trPr>
          <w:trHeight w:val="203"/>
        </w:trPr>
        <w:tc>
          <w:tcPr>
            <w:tcW w:w="2660" w:type="dxa"/>
            <w:vAlign w:val="bottom"/>
          </w:tcPr>
          <w:p>
            <w:pPr>
              <w:ind w:left="20"/>
              <w:spacing w:after="0" w:line="203" w:lineRule="exact"/>
              <w:rPr>
                <w:sz w:val="20"/>
                <w:szCs w:val="20"/>
                <w:color w:val="auto"/>
              </w:rPr>
            </w:pPr>
            <w:r>
              <w:rPr>
                <w:rFonts w:ascii="Arial" w:cs="Arial" w:eastAsia="Arial" w:hAnsi="Arial"/>
                <w:sz w:val="18"/>
                <w:szCs w:val="18"/>
                <w:color w:val="auto"/>
              </w:rPr>
              <w:t>reporting date</w:t>
            </w:r>
          </w:p>
        </w:tc>
        <w:tc>
          <w:tcPr>
            <w:tcW w:w="180" w:type="dxa"/>
            <w:vAlign w:val="bottom"/>
            <w:vMerge w:val="continue"/>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-624840</wp:posOffset>
            </wp:positionV>
            <wp:extent cx="7747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-608330</wp:posOffset>
            </wp:positionV>
            <wp:extent cx="7747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-624840</wp:posOffset>
            </wp:positionV>
            <wp:extent cx="7683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-608330</wp:posOffset>
            </wp:positionV>
            <wp:extent cx="7683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-624840</wp:posOffset>
            </wp:positionV>
            <wp:extent cx="7747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-608330</wp:posOffset>
            </wp:positionV>
            <wp:extent cx="7747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-624840</wp:posOffset>
            </wp:positionV>
            <wp:extent cx="5143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-608330</wp:posOffset>
            </wp:positionV>
            <wp:extent cx="5143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-624840</wp:posOffset>
            </wp:positionV>
            <wp:extent cx="596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-608330</wp:posOffset>
            </wp:positionV>
            <wp:extent cx="596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-624840</wp:posOffset>
            </wp:positionV>
            <wp:extent cx="6032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-608330</wp:posOffset>
            </wp:positionV>
            <wp:extent cx="6032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-624840</wp:posOffset>
            </wp:positionV>
            <wp:extent cx="5143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-608330</wp:posOffset>
            </wp:positionV>
            <wp:extent cx="5143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38" w:lineRule="exact"/>
        <w:rPr>
          <w:sz w:val="20"/>
          <w:szCs w:val="20"/>
          <w:color w:val="auto"/>
        </w:rPr>
      </w:pPr>
    </w:p>
    <w:p>
      <w:pPr>
        <w:ind w:left="360" w:hanging="352"/>
        <w:spacing w:after="0"/>
        <w:tabs>
          <w:tab w:leader="none" w:pos="360" w:val="left"/>
        </w:tabs>
        <w:numPr>
          <w:ilvl w:val="0"/>
          <w:numId w:val="65"/>
        </w:numPr>
        <w:rPr>
          <w:rFonts w:ascii="Arial" w:cs="Arial" w:eastAsia="Arial" w:hAnsi="Arial"/>
          <w:sz w:val="21"/>
          <w:szCs w:val="21"/>
          <w:color w:val="auto"/>
          <w:vertAlign w:val="superscript"/>
        </w:rPr>
      </w:pPr>
      <w:r>
        <w:rPr>
          <w:rFonts w:ascii="Arial" w:cs="Arial" w:eastAsia="Arial" w:hAnsi="Arial"/>
          <w:sz w:val="16"/>
          <w:szCs w:val="16"/>
          <w:color w:val="auto"/>
        </w:rPr>
        <w:t>Transfers out of Level III represent a transfer of $5.5 million relating to debt securities for which pricing inputs, other than their quoted prices in active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markets were observable as of December 31, 2020.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6" w:name="page57"/>
    <w:bookmarkEnd w:id="56"/>
    <w:p>
      <w:pPr>
        <w:ind w:left="380" w:right="160" w:hanging="372"/>
        <w:spacing w:after="0" w:line="228" w:lineRule="auto"/>
        <w:tabs>
          <w:tab w:leader="none" w:pos="366" w:val="left"/>
        </w:tabs>
        <w:numPr>
          <w:ilvl w:val="0"/>
          <w:numId w:val="66"/>
        </w:numPr>
        <w:rPr>
          <w:rFonts w:ascii="Arial" w:cs="Arial" w:eastAsia="Arial" w:hAnsi="Arial"/>
          <w:sz w:val="24"/>
          <w:szCs w:val="24"/>
          <w:color w:val="auto"/>
          <w:vertAlign w:val="superscript"/>
        </w:rPr>
      </w:pPr>
      <w:r>
        <w:rPr>
          <w:rFonts w:ascii="Arial" w:cs="Arial" w:eastAsia="Arial" w:hAnsi="Arial"/>
          <w:sz w:val="18"/>
          <w:szCs w:val="18"/>
          <w:color w:val="auto"/>
        </w:rPr>
        <w:t>Transfers into Level III represent a transfer of $5.3 million relating to debt securities for which pricing inputs, other than their quoted prices in active markets were unobservable as of December 31, 2020.</w:t>
      </w:r>
    </w:p>
    <w:p>
      <w:pPr>
        <w:spacing w:after="0" w:line="176" w:lineRule="exact"/>
        <w:rPr>
          <w:sz w:val="20"/>
          <w:szCs w:val="20"/>
          <w:color w:val="auto"/>
        </w:rPr>
      </w:pPr>
    </w:p>
    <w:p>
      <w:pPr>
        <w:ind w:right="180" w:firstLine="374"/>
        <w:spacing w:after="0" w:line="319" w:lineRule="auto"/>
        <w:rPr>
          <w:sz w:val="20"/>
          <w:szCs w:val="20"/>
          <w:color w:val="auto"/>
        </w:rPr>
      </w:pPr>
      <w:r>
        <w:rPr>
          <w:rFonts w:ascii="Arial" w:cs="Arial" w:eastAsia="Arial" w:hAnsi="Arial"/>
          <w:sz w:val="16"/>
          <w:szCs w:val="16"/>
          <w:color w:val="auto"/>
        </w:rPr>
        <w:t>As of September 30, 2021 and December 31, 2020,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$71.8 million and $70.6 million as of September 30, 2021 and December 31, 2020, respectively.</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September 30, 2021 the Company’s Level III portfolio investments had the following valuation techniques and significant inputs:</w:t>
      </w: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1580" w:type="dxa"/>
            <w:vAlign w:val="bottom"/>
            <w:tcBorders>
              <w:top w:val="single" w:sz="8" w:color="auto"/>
              <w:left w:val="single" w:sz="8" w:color="auto"/>
              <w:right w:val="single" w:sz="8" w:color="auto"/>
            </w:tcBorders>
            <w:shd w:val="clear" w:color="auto" w:fill="DAEEF3"/>
          </w:tcPr>
          <w:p>
            <w:pPr>
              <w:spacing w:after="0"/>
              <w:rPr>
                <w:sz w:val="17"/>
                <w:szCs w:val="17"/>
                <w:color w:val="auto"/>
              </w:rPr>
            </w:pPr>
          </w:p>
        </w:tc>
        <w:tc>
          <w:tcPr>
            <w:tcW w:w="20" w:type="dxa"/>
            <w:vAlign w:val="bottom"/>
            <w:tcBorders>
              <w:top w:val="single" w:sz="8" w:color="auto"/>
            </w:tcBorders>
            <w:shd w:val="clear" w:color="auto" w:fill="DAEEF3"/>
          </w:tcPr>
          <w:p>
            <w:pPr>
              <w:spacing w:after="0"/>
              <w:rPr>
                <w:sz w:val="17"/>
                <w:szCs w:val="17"/>
                <w:color w:val="auto"/>
              </w:rPr>
            </w:pPr>
          </w:p>
        </w:tc>
        <w:tc>
          <w:tcPr>
            <w:tcW w:w="1520" w:type="dxa"/>
            <w:vAlign w:val="bottom"/>
            <w:tcBorders>
              <w:top w:val="single" w:sz="8" w:color="auto"/>
            </w:tcBorders>
            <w:shd w:val="clear" w:color="auto" w:fill="DAEEF3"/>
          </w:tcPr>
          <w:p>
            <w:pPr>
              <w:spacing w:after="0"/>
              <w:rPr>
                <w:sz w:val="17"/>
                <w:szCs w:val="17"/>
                <w:color w:val="auto"/>
              </w:rPr>
            </w:pPr>
          </w:p>
        </w:tc>
        <w:tc>
          <w:tcPr>
            <w:tcW w:w="1220" w:type="dxa"/>
            <w:vAlign w:val="bottom"/>
            <w:tcBorders>
              <w:top w:val="single" w:sz="8" w:color="auto"/>
              <w:right w:val="single" w:sz="8" w:color="auto"/>
            </w:tcBorders>
            <w:shd w:val="clear" w:color="auto" w:fill="DAEEF3"/>
          </w:tcPr>
          <w:p>
            <w:pPr>
              <w:spacing w:after="0"/>
              <w:rPr>
                <w:sz w:val="17"/>
                <w:szCs w:val="17"/>
                <w:color w:val="auto"/>
              </w:rPr>
            </w:pPr>
          </w:p>
        </w:tc>
        <w:tc>
          <w:tcPr>
            <w:tcW w:w="2260" w:type="dxa"/>
            <w:vAlign w:val="bottom"/>
            <w:tcBorders>
              <w:top w:val="single" w:sz="8" w:color="auto"/>
              <w:right w:val="single" w:sz="8" w:color="auto"/>
            </w:tcBorders>
            <w:shd w:val="clear" w:color="auto" w:fill="DAEEF3"/>
          </w:tcPr>
          <w:p>
            <w:pPr>
              <w:ind w:left="860"/>
              <w:spacing w:after="0"/>
              <w:rPr>
                <w:sz w:val="20"/>
                <w:szCs w:val="20"/>
                <w:color w:val="auto"/>
              </w:rPr>
            </w:pPr>
            <w:r>
              <w:rPr>
                <w:rFonts w:ascii="Arial" w:cs="Arial" w:eastAsia="Arial" w:hAnsi="Arial"/>
                <w:sz w:val="16"/>
                <w:szCs w:val="16"/>
                <w:b w:val="1"/>
                <w:bCs w:val="1"/>
                <w:color w:val="auto"/>
                <w:w w:val="99"/>
              </w:rPr>
              <w:t>Primary Valuation</w:t>
            </w:r>
          </w:p>
        </w:tc>
        <w:tc>
          <w:tcPr>
            <w:tcW w:w="2400" w:type="dxa"/>
            <w:vAlign w:val="bottom"/>
            <w:tcBorders>
              <w:top w:val="single" w:sz="8" w:color="auto"/>
              <w:right w:val="single" w:sz="8" w:color="auto"/>
            </w:tcBorders>
            <w:shd w:val="clear" w:color="auto" w:fill="DAEEF3"/>
          </w:tcPr>
          <w:p>
            <w:pPr>
              <w:ind w:left="1100"/>
              <w:spacing w:after="0"/>
              <w:rPr>
                <w:sz w:val="20"/>
                <w:szCs w:val="20"/>
                <w:color w:val="auto"/>
              </w:rPr>
            </w:pPr>
            <w:r>
              <w:rPr>
                <w:rFonts w:ascii="Arial" w:cs="Arial" w:eastAsia="Arial" w:hAnsi="Arial"/>
                <w:sz w:val="16"/>
                <w:szCs w:val="16"/>
                <w:b w:val="1"/>
                <w:bCs w:val="1"/>
                <w:color w:val="auto"/>
              </w:rPr>
              <w:t>Unobservable</w:t>
            </w:r>
          </w:p>
        </w:tc>
        <w:tc>
          <w:tcPr>
            <w:tcW w:w="2240" w:type="dxa"/>
            <w:vAlign w:val="bottom"/>
            <w:tcBorders>
              <w:top w:val="single" w:sz="8" w:color="auto"/>
              <w:right w:val="single" w:sz="8" w:color="auto"/>
            </w:tcBorders>
            <w:shd w:val="clear" w:color="auto" w:fill="DAEEF3"/>
          </w:tcPr>
          <w:p>
            <w:pPr>
              <w:ind w:left="960"/>
              <w:spacing w:after="0"/>
              <w:rPr>
                <w:sz w:val="20"/>
                <w:szCs w:val="20"/>
                <w:color w:val="auto"/>
              </w:rPr>
            </w:pPr>
            <w:r>
              <w:rPr>
                <w:rFonts w:ascii="Arial" w:cs="Arial" w:eastAsia="Arial" w:hAnsi="Arial"/>
                <w:sz w:val="16"/>
                <w:szCs w:val="16"/>
                <w:b w:val="1"/>
                <w:bCs w:val="1"/>
                <w:color w:val="auto"/>
              </w:rPr>
              <w:t>Range of Inputs</w:t>
            </w:r>
          </w:p>
        </w:tc>
        <w:tc>
          <w:tcPr>
            <w:tcW w:w="0" w:type="dxa"/>
            <w:vAlign w:val="bottom"/>
          </w:tcPr>
          <w:p>
            <w:pPr>
              <w:spacing w:after="0"/>
              <w:rPr>
                <w:sz w:val="1"/>
                <w:szCs w:val="1"/>
                <w:color w:val="auto"/>
              </w:rPr>
            </w:pPr>
          </w:p>
        </w:tc>
      </w:tr>
      <w:tr>
        <w:trPr>
          <w:trHeight w:val="243"/>
        </w:trPr>
        <w:tc>
          <w:tcPr>
            <w:tcW w:w="1580" w:type="dxa"/>
            <w:vAlign w:val="bottom"/>
            <w:tcBorders>
              <w:left w:val="single" w:sz="8" w:color="auto"/>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6"/>
                <w:szCs w:val="16"/>
                <w:b w:val="1"/>
                <w:bCs w:val="1"/>
                <w:color w:val="auto"/>
                <w:w w:val="90"/>
              </w:rPr>
              <w:t>Type</w:t>
            </w:r>
          </w:p>
        </w:tc>
        <w:tc>
          <w:tcPr>
            <w:tcW w:w="20" w:type="dxa"/>
            <w:vAlign w:val="bottom"/>
            <w:tcBorders>
              <w:bottom w:val="single" w:sz="8" w:color="auto"/>
            </w:tcBorders>
            <w:shd w:val="clear" w:color="auto" w:fill="DAEEF3"/>
          </w:tcPr>
          <w:p>
            <w:pPr>
              <w:spacing w:after="0"/>
              <w:rPr>
                <w:sz w:val="21"/>
                <w:szCs w:val="21"/>
                <w:color w:val="auto"/>
              </w:rPr>
            </w:pPr>
          </w:p>
        </w:tc>
        <w:tc>
          <w:tcPr>
            <w:tcW w:w="1520" w:type="dxa"/>
            <w:vAlign w:val="bottom"/>
            <w:tcBorders>
              <w:bottom w:val="single" w:sz="8" w:color="auto"/>
            </w:tcBorders>
            <w:shd w:val="clear" w:color="auto" w:fill="DAEEF3"/>
          </w:tcPr>
          <w:p>
            <w:pPr>
              <w:spacing w:after="0"/>
              <w:rPr>
                <w:sz w:val="21"/>
                <w:szCs w:val="21"/>
                <w:color w:val="auto"/>
              </w:rPr>
            </w:pPr>
          </w:p>
        </w:tc>
        <w:tc>
          <w:tcPr>
            <w:tcW w:w="1220" w:type="dxa"/>
            <w:vAlign w:val="bottom"/>
            <w:tcBorders>
              <w:bottom w:val="single" w:sz="8" w:color="auto"/>
              <w:right w:val="single" w:sz="8" w:color="auto"/>
            </w:tcBorders>
            <w:shd w:val="clear" w:color="auto" w:fill="DAEEF3"/>
          </w:tcPr>
          <w:p>
            <w:pPr>
              <w:jc w:val="right"/>
              <w:ind w:right="319"/>
              <w:spacing w:after="0"/>
              <w:rPr>
                <w:sz w:val="20"/>
                <w:szCs w:val="20"/>
                <w:color w:val="auto"/>
              </w:rPr>
            </w:pPr>
            <w:r>
              <w:rPr>
                <w:rFonts w:ascii="Arial" w:cs="Arial" w:eastAsia="Arial" w:hAnsi="Arial"/>
                <w:sz w:val="16"/>
                <w:szCs w:val="16"/>
                <w:b w:val="1"/>
                <w:bCs w:val="1"/>
                <w:color w:val="auto"/>
              </w:rPr>
              <w:t>Fair Value</w:t>
            </w:r>
          </w:p>
        </w:tc>
        <w:tc>
          <w:tcPr>
            <w:tcW w:w="2260" w:type="dxa"/>
            <w:vAlign w:val="bottom"/>
            <w:tcBorders>
              <w:bottom w:val="single" w:sz="8" w:color="auto"/>
              <w:right w:val="single" w:sz="8" w:color="auto"/>
            </w:tcBorders>
            <w:shd w:val="clear" w:color="auto" w:fill="DAEEF3"/>
          </w:tcPr>
          <w:p>
            <w:pPr>
              <w:ind w:left="1140"/>
              <w:spacing w:after="0"/>
              <w:rPr>
                <w:sz w:val="20"/>
                <w:szCs w:val="20"/>
                <w:color w:val="auto"/>
              </w:rPr>
            </w:pPr>
            <w:r>
              <w:rPr>
                <w:rFonts w:ascii="Arial" w:cs="Arial" w:eastAsia="Arial" w:hAnsi="Arial"/>
                <w:sz w:val="16"/>
                <w:szCs w:val="16"/>
                <w:b w:val="1"/>
                <w:bCs w:val="1"/>
                <w:color w:val="auto"/>
              </w:rPr>
              <w:t>Techniques</w:t>
            </w:r>
          </w:p>
        </w:tc>
        <w:tc>
          <w:tcPr>
            <w:tcW w:w="2400" w:type="dxa"/>
            <w:vAlign w:val="bottom"/>
            <w:tcBorders>
              <w:bottom w:val="single" w:sz="8" w:color="auto"/>
              <w:right w:val="single" w:sz="8" w:color="auto"/>
            </w:tcBorders>
            <w:shd w:val="clear" w:color="auto" w:fill="DAEEF3"/>
          </w:tcPr>
          <w:p>
            <w:pPr>
              <w:ind w:left="1360"/>
              <w:spacing w:after="0"/>
              <w:rPr>
                <w:sz w:val="20"/>
                <w:szCs w:val="20"/>
                <w:color w:val="auto"/>
              </w:rPr>
            </w:pPr>
            <w:r>
              <w:rPr>
                <w:rFonts w:ascii="Arial" w:cs="Arial" w:eastAsia="Arial" w:hAnsi="Arial"/>
                <w:sz w:val="16"/>
                <w:szCs w:val="16"/>
                <w:b w:val="1"/>
                <w:bCs w:val="1"/>
                <w:color w:val="auto"/>
              </w:rPr>
              <w:t>Inputs</w:t>
            </w:r>
          </w:p>
        </w:tc>
        <w:tc>
          <w:tcPr>
            <w:tcW w:w="2240" w:type="dxa"/>
            <w:vAlign w:val="bottom"/>
            <w:tcBorders>
              <w:bottom w:val="single" w:sz="8" w:color="auto"/>
              <w:right w:val="single" w:sz="8" w:color="auto"/>
            </w:tcBorders>
            <w:shd w:val="clear" w:color="auto" w:fill="DAEEF3"/>
          </w:tcPr>
          <w:p>
            <w:pPr>
              <w:ind w:left="820"/>
              <w:spacing w:after="0"/>
              <w:rPr>
                <w:sz w:val="20"/>
                <w:szCs w:val="20"/>
                <w:color w:val="auto"/>
              </w:rPr>
            </w:pPr>
            <w:r>
              <w:rPr>
                <w:rFonts w:ascii="Arial" w:cs="Arial" w:eastAsia="Arial" w:hAnsi="Arial"/>
                <w:sz w:val="16"/>
                <w:szCs w:val="16"/>
                <w:b w:val="1"/>
                <w:bCs w:val="1"/>
                <w:color w:val="auto"/>
                <w:w w:val="91"/>
              </w:rPr>
              <w:t>(Weighted Average)</w:t>
            </w:r>
          </w:p>
        </w:tc>
        <w:tc>
          <w:tcPr>
            <w:tcW w:w="0" w:type="dxa"/>
            <w:vAlign w:val="bottom"/>
          </w:tcPr>
          <w:p>
            <w:pPr>
              <w:spacing w:after="0"/>
              <w:rPr>
                <w:sz w:val="1"/>
                <w:szCs w:val="1"/>
                <w:color w:val="auto"/>
              </w:rPr>
            </w:pPr>
          </w:p>
        </w:tc>
      </w:tr>
      <w:tr>
        <w:trPr>
          <w:trHeight w:val="186"/>
        </w:trPr>
        <w:tc>
          <w:tcPr>
            <w:tcW w:w="1580" w:type="dxa"/>
            <w:vAlign w:val="bottom"/>
            <w:tcBorders>
              <w:left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240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Average</w:t>
            </w:r>
          </w:p>
        </w:tc>
        <w:tc>
          <w:tcPr>
            <w:tcW w:w="2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tcPr>
          <w:p>
            <w:pPr>
              <w:spacing w:after="0"/>
              <w:rPr>
                <w:sz w:val="17"/>
                <w:szCs w:val="17"/>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21,830,243</w:t>
            </w:r>
          </w:p>
        </w:tc>
        <w:tc>
          <w:tcPr>
            <w:tcW w:w="226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Enterprise Value</w:t>
            </w:r>
          </w:p>
        </w:tc>
        <w:tc>
          <w:tcPr>
            <w:tcW w:w="240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EBITDA</w:t>
            </w:r>
          </w:p>
        </w:tc>
        <w:tc>
          <w:tcPr>
            <w:tcW w:w="224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0.0x-9.3x (5.5x)</w:t>
            </w:r>
          </w:p>
        </w:tc>
        <w:tc>
          <w:tcPr>
            <w:tcW w:w="0" w:type="dxa"/>
            <w:vAlign w:val="bottom"/>
          </w:tcPr>
          <w:p>
            <w:pPr>
              <w:spacing w:after="0"/>
              <w:rPr>
                <w:sz w:val="1"/>
                <w:szCs w:val="1"/>
                <w:color w:val="auto"/>
              </w:rPr>
            </w:pPr>
          </w:p>
        </w:tc>
      </w:tr>
      <w:tr>
        <w:trPr>
          <w:trHeight w:val="219"/>
        </w:trPr>
        <w:tc>
          <w:tcPr>
            <w:tcW w:w="15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Multiple</w:t>
            </w:r>
          </w:p>
        </w:tc>
        <w:tc>
          <w:tcPr>
            <w:tcW w:w="2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Debt Securities</w:t>
            </w:r>
          </w:p>
        </w:tc>
        <w:tc>
          <w:tcPr>
            <w:tcW w:w="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w w:val="94"/>
              </w:rPr>
              <w:t>Recovery Rate Multiple</w:t>
            </w:r>
          </w:p>
        </w:tc>
        <w:tc>
          <w:tcPr>
            <w:tcW w:w="224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0.0x-0.1x (0.1x)</w:t>
            </w:r>
          </w:p>
        </w:tc>
        <w:tc>
          <w:tcPr>
            <w:tcW w:w="0" w:type="dxa"/>
            <w:vAlign w:val="bottom"/>
          </w:tcPr>
          <w:p>
            <w:pPr>
              <w:spacing w:after="0"/>
              <w:rPr>
                <w:sz w:val="1"/>
                <w:szCs w:val="1"/>
                <w:color w:val="auto"/>
              </w:rPr>
            </w:pPr>
          </w:p>
        </w:tc>
      </w:tr>
      <w:tr>
        <w:trPr>
          <w:trHeight w:val="206"/>
        </w:trPr>
        <w:tc>
          <w:tcPr>
            <w:tcW w:w="15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Borders>
              <w:right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308,345,527</w:t>
            </w:r>
          </w:p>
        </w:tc>
        <w:tc>
          <w:tcPr>
            <w:tcW w:w="2260" w:type="dxa"/>
            <w:vAlign w:val="bottom"/>
            <w:tcBorders>
              <w:right w:val="single" w:sz="8" w:color="auto"/>
            </w:tcBorders>
            <w:vMerge w:val="restart"/>
          </w:tcPr>
          <w:p>
            <w:pPr>
              <w:ind w:left="820"/>
              <w:spacing w:after="0"/>
              <w:rPr>
                <w:sz w:val="20"/>
                <w:szCs w:val="20"/>
                <w:color w:val="auto"/>
              </w:rPr>
            </w:pPr>
            <w:r>
              <w:rPr>
                <w:rFonts w:ascii="Arial" w:cs="Arial" w:eastAsia="Arial" w:hAnsi="Arial"/>
                <w:sz w:val="16"/>
                <w:szCs w:val="16"/>
                <w:color w:val="auto"/>
              </w:rPr>
              <w:t>Income Approach</w:t>
            </w:r>
          </w:p>
        </w:tc>
        <w:tc>
          <w:tcPr>
            <w:tcW w:w="240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Implied</w:t>
            </w:r>
          </w:p>
        </w:tc>
        <w:tc>
          <w:tcPr>
            <w:tcW w:w="2240" w:type="dxa"/>
            <w:vAlign w:val="bottom"/>
            <w:tcBorders>
              <w:right w:val="single" w:sz="8" w:color="auto"/>
            </w:tcBorders>
            <w:vMerge w:val="restart"/>
          </w:tcPr>
          <w:p>
            <w:pPr>
              <w:ind w:left="800"/>
              <w:spacing w:after="0"/>
              <w:rPr>
                <w:sz w:val="20"/>
                <w:szCs w:val="20"/>
                <w:color w:val="auto"/>
              </w:rPr>
            </w:pPr>
            <w:r>
              <w:rPr>
                <w:rFonts w:ascii="Arial" w:cs="Arial" w:eastAsia="Arial" w:hAnsi="Arial"/>
                <w:sz w:val="16"/>
                <w:szCs w:val="16"/>
                <w:color w:val="auto"/>
                <w:w w:val="94"/>
              </w:rPr>
              <w:t>4.9%-51.4% (11.5%)</w:t>
            </w:r>
          </w:p>
        </w:tc>
        <w:tc>
          <w:tcPr>
            <w:tcW w:w="0" w:type="dxa"/>
            <w:vAlign w:val="bottom"/>
          </w:tcPr>
          <w:p>
            <w:pPr>
              <w:spacing w:after="0"/>
              <w:rPr>
                <w:sz w:val="1"/>
                <w:szCs w:val="1"/>
                <w:color w:val="auto"/>
              </w:rPr>
            </w:pPr>
          </w:p>
        </w:tc>
      </w:tr>
      <w:tr>
        <w:trPr>
          <w:trHeight w:val="98"/>
        </w:trPr>
        <w:tc>
          <w:tcPr>
            <w:tcW w:w="1580" w:type="dxa"/>
            <w:vAlign w:val="bottom"/>
            <w:tcBorders>
              <w:left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2400" w:type="dxa"/>
            <w:vAlign w:val="bottom"/>
            <w:tcBorders>
              <w:right w:val="single" w:sz="8" w:color="auto"/>
            </w:tcBorders>
            <w:vMerge w:val="restart"/>
          </w:tcPr>
          <w:p>
            <w:pPr>
              <w:ind w:left="800"/>
              <w:spacing w:after="0"/>
              <w:rPr>
                <w:sz w:val="20"/>
                <w:szCs w:val="20"/>
                <w:color w:val="auto"/>
              </w:rPr>
            </w:pPr>
            <w:r>
              <w:rPr>
                <w:rFonts w:ascii="Arial" w:cs="Arial" w:eastAsia="Arial" w:hAnsi="Arial"/>
                <w:sz w:val="16"/>
                <w:szCs w:val="16"/>
                <w:color w:val="auto"/>
              </w:rPr>
              <w:t>Discount Rate</w:t>
            </w:r>
          </w:p>
        </w:tc>
        <w:tc>
          <w:tcPr>
            <w:tcW w:w="2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80" w:type="dxa"/>
            <w:vAlign w:val="bottom"/>
            <w:tcBorders>
              <w:left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58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53,088,262</w:t>
            </w:r>
          </w:p>
        </w:tc>
        <w:tc>
          <w:tcPr>
            <w:tcW w:w="226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Recent Transaction</w:t>
            </w:r>
          </w:p>
        </w:tc>
        <w:tc>
          <w:tcPr>
            <w:tcW w:w="240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Transaction Price</w:t>
            </w:r>
          </w:p>
        </w:tc>
        <w:tc>
          <w:tcPr>
            <w:tcW w:w="224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97.3 - 99.3 (98.1)</w:t>
            </w:r>
          </w:p>
        </w:tc>
        <w:tc>
          <w:tcPr>
            <w:tcW w:w="0" w:type="dxa"/>
            <w:vAlign w:val="bottom"/>
          </w:tcPr>
          <w:p>
            <w:pPr>
              <w:spacing w:after="0"/>
              <w:rPr>
                <w:sz w:val="1"/>
                <w:szCs w:val="1"/>
                <w:color w:val="auto"/>
              </w:rPr>
            </w:pPr>
          </w:p>
        </w:tc>
      </w:tr>
      <w:tr>
        <w:trPr>
          <w:trHeight w:val="206"/>
        </w:trPr>
        <w:tc>
          <w:tcPr>
            <w:tcW w:w="15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Average</w:t>
            </w: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tcPr>
          <w:p>
            <w:pPr>
              <w:spacing w:after="0"/>
              <w:rPr>
                <w:sz w:val="17"/>
                <w:szCs w:val="17"/>
                <w:color w:val="auto"/>
              </w:rPr>
            </w:pPr>
          </w:p>
        </w:tc>
        <w:tc>
          <w:tcPr>
            <w:tcW w:w="15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14,643,561</w:t>
            </w:r>
          </w:p>
        </w:tc>
        <w:tc>
          <w:tcPr>
            <w:tcW w:w="2260" w:type="dxa"/>
            <w:vAlign w:val="bottom"/>
            <w:tcBorders>
              <w:right w:val="single" w:sz="8" w:color="auto"/>
            </w:tcBorders>
            <w:vMerge w:val="restart"/>
          </w:tcPr>
          <w:p>
            <w:pPr>
              <w:ind w:left="820"/>
              <w:spacing w:after="0"/>
              <w:rPr>
                <w:sz w:val="20"/>
                <w:szCs w:val="20"/>
                <w:color w:val="auto"/>
              </w:rPr>
            </w:pPr>
            <w:r>
              <w:rPr>
                <w:rFonts w:ascii="Arial" w:cs="Arial" w:eastAsia="Arial" w:hAnsi="Arial"/>
                <w:sz w:val="16"/>
                <w:szCs w:val="16"/>
                <w:color w:val="auto"/>
              </w:rPr>
              <w:t>Enterprise Value</w:t>
            </w:r>
          </w:p>
        </w:tc>
        <w:tc>
          <w:tcPr>
            <w:tcW w:w="240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EBITDA</w:t>
            </w:r>
          </w:p>
        </w:tc>
        <w:tc>
          <w:tcPr>
            <w:tcW w:w="2240" w:type="dxa"/>
            <w:vAlign w:val="bottom"/>
            <w:tcBorders>
              <w:right w:val="single" w:sz="8" w:color="auto"/>
            </w:tcBorders>
            <w:vMerge w:val="restart"/>
          </w:tcPr>
          <w:p>
            <w:pPr>
              <w:ind w:left="800"/>
              <w:spacing w:after="0"/>
              <w:rPr>
                <w:sz w:val="20"/>
                <w:szCs w:val="20"/>
                <w:color w:val="auto"/>
              </w:rPr>
            </w:pPr>
            <w:r>
              <w:rPr>
                <w:rFonts w:ascii="Arial" w:cs="Arial" w:eastAsia="Arial" w:hAnsi="Arial"/>
                <w:sz w:val="16"/>
                <w:szCs w:val="16"/>
                <w:color w:val="auto"/>
              </w:rPr>
              <w:t>0.0x-12.8x (8.9x)</w:t>
            </w:r>
          </w:p>
        </w:tc>
        <w:tc>
          <w:tcPr>
            <w:tcW w:w="0" w:type="dxa"/>
            <w:vAlign w:val="bottom"/>
          </w:tcPr>
          <w:p>
            <w:pPr>
              <w:spacing w:after="0"/>
              <w:rPr>
                <w:sz w:val="1"/>
                <w:szCs w:val="1"/>
                <w:color w:val="auto"/>
              </w:rPr>
            </w:pPr>
          </w:p>
        </w:tc>
      </w:tr>
      <w:tr>
        <w:trPr>
          <w:trHeight w:val="112"/>
        </w:trPr>
        <w:tc>
          <w:tcPr>
            <w:tcW w:w="1580" w:type="dxa"/>
            <w:vAlign w:val="bottom"/>
            <w:tcBorders>
              <w:left w:val="single" w:sz="8" w:color="auto"/>
              <w:right w:val="single" w:sz="8" w:color="auto"/>
            </w:tcBorders>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2260" w:type="dxa"/>
            <w:vAlign w:val="bottom"/>
            <w:tcBorders>
              <w:right w:val="single" w:sz="8" w:color="auto"/>
            </w:tcBorders>
            <w:vMerge w:val="continue"/>
          </w:tcPr>
          <w:p>
            <w:pPr>
              <w:spacing w:after="0"/>
              <w:rPr>
                <w:sz w:val="9"/>
                <w:szCs w:val="9"/>
                <w:color w:val="auto"/>
              </w:rPr>
            </w:pPr>
          </w:p>
        </w:tc>
        <w:tc>
          <w:tcPr>
            <w:tcW w:w="2400" w:type="dxa"/>
            <w:vAlign w:val="bottom"/>
            <w:tcBorders>
              <w:right w:val="single" w:sz="8" w:color="auto"/>
            </w:tcBorders>
            <w:vMerge w:val="restart"/>
          </w:tcPr>
          <w:p>
            <w:pPr>
              <w:ind w:left="800"/>
              <w:spacing w:after="0"/>
              <w:rPr>
                <w:sz w:val="20"/>
                <w:szCs w:val="20"/>
                <w:color w:val="auto"/>
              </w:rPr>
            </w:pPr>
            <w:r>
              <w:rPr>
                <w:rFonts w:ascii="Arial" w:cs="Arial" w:eastAsia="Arial" w:hAnsi="Arial"/>
                <w:sz w:val="16"/>
                <w:szCs w:val="16"/>
                <w:color w:val="auto"/>
              </w:rPr>
              <w:t>Multiple /</w:t>
            </w:r>
          </w:p>
        </w:tc>
        <w:tc>
          <w:tcPr>
            <w:tcW w:w="2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580" w:type="dxa"/>
            <w:vAlign w:val="bottom"/>
            <w:tcBorders>
              <w:left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15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WACC</w:t>
            </w:r>
          </w:p>
        </w:tc>
        <w:tc>
          <w:tcPr>
            <w:tcW w:w="2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Equity Securities</w:t>
            </w:r>
          </w:p>
        </w:tc>
        <w:tc>
          <w:tcPr>
            <w:tcW w:w="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w w:val="94"/>
              </w:rPr>
              <w:t>Recovery Rate Multiple</w:t>
            </w:r>
          </w:p>
        </w:tc>
        <w:tc>
          <w:tcPr>
            <w:tcW w:w="224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0.0x-8.0x (0.3x)</w:t>
            </w:r>
          </w:p>
        </w:tc>
        <w:tc>
          <w:tcPr>
            <w:tcW w:w="0" w:type="dxa"/>
            <w:vAlign w:val="bottom"/>
          </w:tcPr>
          <w:p>
            <w:pPr>
              <w:spacing w:after="0"/>
              <w:rPr>
                <w:sz w:val="1"/>
                <w:szCs w:val="1"/>
                <w:color w:val="auto"/>
              </w:rPr>
            </w:pPr>
          </w:p>
        </w:tc>
      </w:tr>
      <w:tr>
        <w:trPr>
          <w:trHeight w:val="206"/>
        </w:trPr>
        <w:tc>
          <w:tcPr>
            <w:tcW w:w="15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Borders>
              <w:right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6,108,498</w:t>
            </w:r>
          </w:p>
        </w:tc>
        <w:tc>
          <w:tcPr>
            <w:tcW w:w="2260" w:type="dxa"/>
            <w:vAlign w:val="bottom"/>
            <w:tcBorders>
              <w:right w:val="single" w:sz="8" w:color="auto"/>
            </w:tcBorders>
            <w:vMerge w:val="restart"/>
          </w:tcPr>
          <w:p>
            <w:pPr>
              <w:ind w:left="820"/>
              <w:spacing w:after="0"/>
              <w:rPr>
                <w:sz w:val="20"/>
                <w:szCs w:val="20"/>
                <w:color w:val="auto"/>
              </w:rPr>
            </w:pPr>
            <w:r>
              <w:rPr>
                <w:rFonts w:ascii="Arial" w:cs="Arial" w:eastAsia="Arial" w:hAnsi="Arial"/>
                <w:sz w:val="16"/>
                <w:szCs w:val="16"/>
                <w:color w:val="auto"/>
              </w:rPr>
              <w:t>Income Approach</w:t>
            </w:r>
          </w:p>
        </w:tc>
        <w:tc>
          <w:tcPr>
            <w:tcW w:w="240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Implied</w:t>
            </w:r>
          </w:p>
        </w:tc>
        <w:tc>
          <w:tcPr>
            <w:tcW w:w="224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15.5%-15.7%</w:t>
            </w:r>
          </w:p>
        </w:tc>
        <w:tc>
          <w:tcPr>
            <w:tcW w:w="0" w:type="dxa"/>
            <w:vAlign w:val="bottom"/>
          </w:tcPr>
          <w:p>
            <w:pPr>
              <w:spacing w:after="0"/>
              <w:rPr>
                <w:sz w:val="1"/>
                <w:szCs w:val="1"/>
                <w:color w:val="auto"/>
              </w:rPr>
            </w:pPr>
          </w:p>
        </w:tc>
      </w:tr>
      <w:tr>
        <w:trPr>
          <w:trHeight w:val="98"/>
        </w:trPr>
        <w:tc>
          <w:tcPr>
            <w:tcW w:w="1580" w:type="dxa"/>
            <w:vAlign w:val="bottom"/>
            <w:tcBorders>
              <w:left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2400" w:type="dxa"/>
            <w:vAlign w:val="bottom"/>
            <w:tcBorders>
              <w:right w:val="single" w:sz="8" w:color="auto"/>
            </w:tcBorders>
            <w:vMerge w:val="restart"/>
          </w:tcPr>
          <w:p>
            <w:pPr>
              <w:ind w:left="800"/>
              <w:spacing w:after="0"/>
              <w:rPr>
                <w:sz w:val="20"/>
                <w:szCs w:val="20"/>
                <w:color w:val="auto"/>
              </w:rPr>
            </w:pPr>
            <w:r>
              <w:rPr>
                <w:rFonts w:ascii="Arial" w:cs="Arial" w:eastAsia="Arial" w:hAnsi="Arial"/>
                <w:sz w:val="16"/>
                <w:szCs w:val="16"/>
                <w:color w:val="auto"/>
              </w:rPr>
              <w:t>Discount Rate</w:t>
            </w:r>
          </w:p>
        </w:tc>
        <w:tc>
          <w:tcPr>
            <w:tcW w:w="2240" w:type="dxa"/>
            <w:vAlign w:val="bottom"/>
            <w:tcBorders>
              <w:right w:val="single" w:sz="8" w:color="auto"/>
            </w:tcBorders>
            <w:vMerge w:val="restart"/>
          </w:tcPr>
          <w:p>
            <w:pPr>
              <w:ind w:left="80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21"/>
        </w:trPr>
        <w:tc>
          <w:tcPr>
            <w:tcW w:w="1580" w:type="dxa"/>
            <w:vAlign w:val="bottom"/>
            <w:tcBorders>
              <w:left w:val="single" w:sz="8" w:color="auto"/>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15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13.0%-13.5%</w:t>
            </w:r>
          </w:p>
        </w:tc>
        <w:tc>
          <w:tcPr>
            <w:tcW w:w="0" w:type="dxa"/>
            <w:vAlign w:val="bottom"/>
          </w:tcPr>
          <w:p>
            <w:pPr>
              <w:spacing w:after="0"/>
              <w:rPr>
                <w:sz w:val="1"/>
                <w:szCs w:val="1"/>
                <w:color w:val="auto"/>
              </w:rPr>
            </w:pPr>
          </w:p>
        </w:tc>
      </w:tr>
      <w:tr>
        <w:trPr>
          <w:trHeight w:val="219"/>
        </w:trPr>
        <w:tc>
          <w:tcPr>
            <w:tcW w:w="15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Discount Rate</w:t>
            </w:r>
          </w:p>
        </w:tc>
        <w:tc>
          <w:tcPr>
            <w:tcW w:w="224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6"/>
        </w:trPr>
        <w:tc>
          <w:tcPr>
            <w:tcW w:w="15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Probability of</w:t>
            </w: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Default</w:t>
            </w:r>
          </w:p>
        </w:tc>
        <w:tc>
          <w:tcPr>
            <w:tcW w:w="224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1.5%-2.0% (1.8%)</w:t>
            </w:r>
          </w:p>
        </w:tc>
        <w:tc>
          <w:tcPr>
            <w:tcW w:w="0" w:type="dxa"/>
            <w:vAlign w:val="bottom"/>
          </w:tcPr>
          <w:p>
            <w:pPr>
              <w:spacing w:after="0"/>
              <w:rPr>
                <w:sz w:val="1"/>
                <w:szCs w:val="1"/>
                <w:color w:val="auto"/>
              </w:rPr>
            </w:pPr>
          </w:p>
        </w:tc>
      </w:tr>
      <w:tr>
        <w:trPr>
          <w:trHeight w:val="206"/>
        </w:trPr>
        <w:tc>
          <w:tcPr>
            <w:tcW w:w="1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CLO Fund Securities</w:t>
            </w: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Borders>
              <w:right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17,173,634</w:t>
            </w:r>
          </w:p>
        </w:tc>
        <w:tc>
          <w:tcPr>
            <w:tcW w:w="226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Discounted Cash</w:t>
            </w:r>
          </w:p>
        </w:tc>
        <w:tc>
          <w:tcPr>
            <w:tcW w:w="240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25.0%-35.0%</w:t>
            </w:r>
          </w:p>
        </w:tc>
        <w:tc>
          <w:tcPr>
            <w:tcW w:w="0" w:type="dxa"/>
            <w:vAlign w:val="bottom"/>
          </w:tcPr>
          <w:p>
            <w:pPr>
              <w:spacing w:after="0"/>
              <w:rPr>
                <w:sz w:val="1"/>
                <w:szCs w:val="1"/>
                <w:color w:val="auto"/>
              </w:rPr>
            </w:pPr>
          </w:p>
        </w:tc>
      </w:tr>
      <w:tr>
        <w:trPr>
          <w:trHeight w:val="112"/>
        </w:trPr>
        <w:tc>
          <w:tcPr>
            <w:tcW w:w="1580" w:type="dxa"/>
            <w:vAlign w:val="bottom"/>
            <w:tcBorders>
              <w:left w:val="single" w:sz="8" w:color="auto"/>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2260" w:type="dxa"/>
            <w:vAlign w:val="bottom"/>
            <w:tcBorders>
              <w:right w:val="single" w:sz="8" w:color="auto"/>
            </w:tcBorders>
            <w:vMerge w:val="restart"/>
          </w:tcPr>
          <w:p>
            <w:pPr>
              <w:ind w:left="820"/>
              <w:spacing w:after="0"/>
              <w:rPr>
                <w:sz w:val="20"/>
                <w:szCs w:val="20"/>
                <w:color w:val="auto"/>
              </w:rPr>
            </w:pPr>
            <w:r>
              <w:rPr>
                <w:rFonts w:ascii="Arial" w:cs="Arial" w:eastAsia="Arial" w:hAnsi="Arial"/>
                <w:sz w:val="16"/>
                <w:szCs w:val="16"/>
                <w:color w:val="auto"/>
              </w:rPr>
              <w:t>Flow</w:t>
            </w:r>
          </w:p>
        </w:tc>
        <w:tc>
          <w:tcPr>
            <w:tcW w:w="2400" w:type="dxa"/>
            <w:vAlign w:val="bottom"/>
            <w:tcBorders>
              <w:right w:val="single" w:sz="8" w:color="auto"/>
            </w:tcBorders>
            <w:vMerge w:val="restart"/>
          </w:tcPr>
          <w:p>
            <w:pPr>
              <w:ind w:left="800"/>
              <w:spacing w:after="0"/>
              <w:rPr>
                <w:sz w:val="20"/>
                <w:szCs w:val="20"/>
                <w:color w:val="auto"/>
              </w:rPr>
            </w:pPr>
            <w:r>
              <w:rPr>
                <w:rFonts w:ascii="Arial" w:cs="Arial" w:eastAsia="Arial" w:hAnsi="Arial"/>
                <w:sz w:val="16"/>
                <w:szCs w:val="16"/>
                <w:color w:val="auto"/>
              </w:rPr>
              <w:t>Loss Severity</w:t>
            </w:r>
          </w:p>
        </w:tc>
        <w:tc>
          <w:tcPr>
            <w:tcW w:w="2240" w:type="dxa"/>
            <w:vAlign w:val="bottom"/>
            <w:tcBorders>
              <w:right w:val="single" w:sz="8" w:color="auto"/>
            </w:tcBorders>
            <w:vMerge w:val="restart"/>
          </w:tcPr>
          <w:p>
            <w:pPr>
              <w:ind w:left="80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13"/>
        </w:trPr>
        <w:tc>
          <w:tcPr>
            <w:tcW w:w="1580" w:type="dxa"/>
            <w:vAlign w:val="bottom"/>
            <w:tcBorders>
              <w:left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vMerge w:val="continue"/>
          </w:tcPr>
          <w:p>
            <w:pPr>
              <w:spacing w:after="0"/>
              <w:rPr>
                <w:sz w:val="9"/>
                <w:szCs w:val="9"/>
                <w:color w:val="auto"/>
              </w:rPr>
            </w:pPr>
          </w:p>
        </w:tc>
        <w:tc>
          <w:tcPr>
            <w:tcW w:w="240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5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65.0%-75.0%</w:t>
            </w:r>
          </w:p>
        </w:tc>
        <w:tc>
          <w:tcPr>
            <w:tcW w:w="0" w:type="dxa"/>
            <w:vAlign w:val="bottom"/>
          </w:tcPr>
          <w:p>
            <w:pPr>
              <w:spacing w:after="0"/>
              <w:rPr>
                <w:sz w:val="1"/>
                <w:szCs w:val="1"/>
                <w:color w:val="auto"/>
              </w:rPr>
            </w:pPr>
          </w:p>
        </w:tc>
      </w:tr>
      <w:tr>
        <w:trPr>
          <w:trHeight w:val="219"/>
        </w:trPr>
        <w:tc>
          <w:tcPr>
            <w:tcW w:w="15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Recovery Rate</w:t>
            </w:r>
          </w:p>
        </w:tc>
        <w:tc>
          <w:tcPr>
            <w:tcW w:w="224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06"/>
        </w:trPr>
        <w:tc>
          <w:tcPr>
            <w:tcW w:w="15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Prepayment</w:t>
            </w:r>
          </w:p>
        </w:tc>
        <w:tc>
          <w:tcPr>
            <w:tcW w:w="224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15.0%-25.0%</w:t>
            </w:r>
          </w:p>
        </w:tc>
        <w:tc>
          <w:tcPr>
            <w:tcW w:w="0" w:type="dxa"/>
            <w:vAlign w:val="bottom"/>
          </w:tcPr>
          <w:p>
            <w:pPr>
              <w:spacing w:after="0"/>
              <w:rPr>
                <w:sz w:val="1"/>
                <w:szCs w:val="1"/>
                <w:color w:val="auto"/>
              </w:rPr>
            </w:pPr>
          </w:p>
        </w:tc>
      </w:tr>
      <w:tr>
        <w:trPr>
          <w:trHeight w:val="219"/>
        </w:trPr>
        <w:tc>
          <w:tcPr>
            <w:tcW w:w="158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Rate</w:t>
            </w:r>
          </w:p>
        </w:tc>
        <w:tc>
          <w:tcPr>
            <w:tcW w:w="224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6"/>
        </w:trPr>
        <w:tc>
          <w:tcPr>
            <w:tcW w:w="15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14.0%-15.5%</w:t>
            </w:r>
          </w:p>
        </w:tc>
        <w:tc>
          <w:tcPr>
            <w:tcW w:w="0" w:type="dxa"/>
            <w:vAlign w:val="bottom"/>
          </w:tcPr>
          <w:p>
            <w:pPr>
              <w:spacing w:after="0"/>
              <w:rPr>
                <w:sz w:val="1"/>
                <w:szCs w:val="1"/>
                <w:color w:val="auto"/>
              </w:rPr>
            </w:pPr>
          </w:p>
        </w:tc>
      </w:tr>
      <w:tr>
        <w:trPr>
          <w:trHeight w:val="219"/>
        </w:trPr>
        <w:tc>
          <w:tcPr>
            <w:tcW w:w="15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Discount Rate</w:t>
            </w:r>
          </w:p>
        </w:tc>
        <w:tc>
          <w:tcPr>
            <w:tcW w:w="224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6"/>
        </w:trPr>
        <w:tc>
          <w:tcPr>
            <w:tcW w:w="15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Probability of</w:t>
            </w: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Default</w:t>
            </w:r>
          </w:p>
        </w:tc>
        <w:tc>
          <w:tcPr>
            <w:tcW w:w="224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2.5%-3.0% (2.8%)</w:t>
            </w:r>
          </w:p>
        </w:tc>
        <w:tc>
          <w:tcPr>
            <w:tcW w:w="0" w:type="dxa"/>
            <w:vAlign w:val="bottom"/>
          </w:tcPr>
          <w:p>
            <w:pPr>
              <w:spacing w:after="0"/>
              <w:rPr>
                <w:sz w:val="1"/>
                <w:szCs w:val="1"/>
                <w:color w:val="auto"/>
              </w:rPr>
            </w:pPr>
          </w:p>
        </w:tc>
      </w:tr>
      <w:tr>
        <w:trPr>
          <w:trHeight w:val="206"/>
        </w:trPr>
        <w:tc>
          <w:tcPr>
            <w:tcW w:w="1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Joint Ventures</w:t>
            </w: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Borders>
              <w:right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23,946,301</w:t>
            </w:r>
          </w:p>
        </w:tc>
        <w:tc>
          <w:tcPr>
            <w:tcW w:w="226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Discounted Cash</w:t>
            </w:r>
          </w:p>
        </w:tc>
        <w:tc>
          <w:tcPr>
            <w:tcW w:w="240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25.0%-35.0%</w:t>
            </w:r>
          </w:p>
        </w:tc>
        <w:tc>
          <w:tcPr>
            <w:tcW w:w="0" w:type="dxa"/>
            <w:vAlign w:val="bottom"/>
          </w:tcPr>
          <w:p>
            <w:pPr>
              <w:spacing w:after="0"/>
              <w:rPr>
                <w:sz w:val="1"/>
                <w:szCs w:val="1"/>
                <w:color w:val="auto"/>
              </w:rPr>
            </w:pPr>
          </w:p>
        </w:tc>
      </w:tr>
      <w:tr>
        <w:trPr>
          <w:trHeight w:val="112"/>
        </w:trPr>
        <w:tc>
          <w:tcPr>
            <w:tcW w:w="1580" w:type="dxa"/>
            <w:vAlign w:val="bottom"/>
            <w:tcBorders>
              <w:left w:val="single" w:sz="8" w:color="auto"/>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2260" w:type="dxa"/>
            <w:vAlign w:val="bottom"/>
            <w:tcBorders>
              <w:right w:val="single" w:sz="8" w:color="auto"/>
            </w:tcBorders>
            <w:vMerge w:val="restart"/>
          </w:tcPr>
          <w:p>
            <w:pPr>
              <w:ind w:left="820"/>
              <w:spacing w:after="0"/>
              <w:rPr>
                <w:sz w:val="20"/>
                <w:szCs w:val="20"/>
                <w:color w:val="auto"/>
              </w:rPr>
            </w:pPr>
            <w:r>
              <w:rPr>
                <w:rFonts w:ascii="Arial" w:cs="Arial" w:eastAsia="Arial" w:hAnsi="Arial"/>
                <w:sz w:val="16"/>
                <w:szCs w:val="16"/>
                <w:color w:val="auto"/>
              </w:rPr>
              <w:t>Flow</w:t>
            </w:r>
          </w:p>
        </w:tc>
        <w:tc>
          <w:tcPr>
            <w:tcW w:w="2400" w:type="dxa"/>
            <w:vAlign w:val="bottom"/>
            <w:tcBorders>
              <w:right w:val="single" w:sz="8" w:color="auto"/>
            </w:tcBorders>
            <w:vMerge w:val="restart"/>
          </w:tcPr>
          <w:p>
            <w:pPr>
              <w:ind w:left="800"/>
              <w:spacing w:after="0"/>
              <w:rPr>
                <w:sz w:val="20"/>
                <w:szCs w:val="20"/>
                <w:color w:val="auto"/>
              </w:rPr>
            </w:pPr>
            <w:r>
              <w:rPr>
                <w:rFonts w:ascii="Arial" w:cs="Arial" w:eastAsia="Arial" w:hAnsi="Arial"/>
                <w:sz w:val="16"/>
                <w:szCs w:val="16"/>
                <w:color w:val="auto"/>
              </w:rPr>
              <w:t>Loss Severity</w:t>
            </w:r>
          </w:p>
        </w:tc>
        <w:tc>
          <w:tcPr>
            <w:tcW w:w="2240" w:type="dxa"/>
            <w:vAlign w:val="bottom"/>
            <w:tcBorders>
              <w:right w:val="single" w:sz="8" w:color="auto"/>
            </w:tcBorders>
            <w:vMerge w:val="restart"/>
          </w:tcPr>
          <w:p>
            <w:pPr>
              <w:ind w:left="80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13"/>
        </w:trPr>
        <w:tc>
          <w:tcPr>
            <w:tcW w:w="1580" w:type="dxa"/>
            <w:vAlign w:val="bottom"/>
            <w:tcBorders>
              <w:left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vMerge w:val="continue"/>
          </w:tcPr>
          <w:p>
            <w:pPr>
              <w:spacing w:after="0"/>
              <w:rPr>
                <w:sz w:val="9"/>
                <w:szCs w:val="9"/>
                <w:color w:val="auto"/>
              </w:rPr>
            </w:pPr>
          </w:p>
        </w:tc>
        <w:tc>
          <w:tcPr>
            <w:tcW w:w="2400" w:type="dxa"/>
            <w:vAlign w:val="bottom"/>
            <w:tcBorders>
              <w:bottom w:val="single" w:sz="8" w:color="auto"/>
              <w:right w:val="single" w:sz="8" w:color="auto"/>
            </w:tcBorders>
            <w:vMerge w:val="continue"/>
          </w:tcPr>
          <w:p>
            <w:pPr>
              <w:spacing w:after="0"/>
              <w:rPr>
                <w:sz w:val="9"/>
                <w:szCs w:val="9"/>
                <w:color w:val="auto"/>
              </w:rPr>
            </w:pPr>
          </w:p>
        </w:tc>
        <w:tc>
          <w:tcPr>
            <w:tcW w:w="22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5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65.0%-75.0%</w:t>
            </w:r>
          </w:p>
        </w:tc>
        <w:tc>
          <w:tcPr>
            <w:tcW w:w="0" w:type="dxa"/>
            <w:vAlign w:val="bottom"/>
          </w:tcPr>
          <w:p>
            <w:pPr>
              <w:spacing w:after="0"/>
              <w:rPr>
                <w:sz w:val="1"/>
                <w:szCs w:val="1"/>
                <w:color w:val="auto"/>
              </w:rPr>
            </w:pPr>
          </w:p>
        </w:tc>
      </w:tr>
      <w:tr>
        <w:trPr>
          <w:trHeight w:val="219"/>
        </w:trPr>
        <w:tc>
          <w:tcPr>
            <w:tcW w:w="15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Recovery Rate</w:t>
            </w:r>
          </w:p>
        </w:tc>
        <w:tc>
          <w:tcPr>
            <w:tcW w:w="224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06"/>
        </w:trPr>
        <w:tc>
          <w:tcPr>
            <w:tcW w:w="15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Prepayment</w:t>
            </w:r>
          </w:p>
        </w:tc>
        <w:tc>
          <w:tcPr>
            <w:tcW w:w="224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15.0%-25.0%</w:t>
            </w:r>
          </w:p>
        </w:tc>
        <w:tc>
          <w:tcPr>
            <w:tcW w:w="0" w:type="dxa"/>
            <w:vAlign w:val="bottom"/>
          </w:tcPr>
          <w:p>
            <w:pPr>
              <w:spacing w:after="0"/>
              <w:rPr>
                <w:sz w:val="1"/>
                <w:szCs w:val="1"/>
                <w:color w:val="auto"/>
              </w:rPr>
            </w:pPr>
          </w:p>
        </w:tc>
      </w:tr>
      <w:tr>
        <w:trPr>
          <w:trHeight w:val="219"/>
        </w:trPr>
        <w:tc>
          <w:tcPr>
            <w:tcW w:w="158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Rate</w:t>
            </w:r>
          </w:p>
        </w:tc>
        <w:tc>
          <w:tcPr>
            <w:tcW w:w="224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6"/>
        </w:trPr>
        <w:tc>
          <w:tcPr>
            <w:tcW w:w="1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Derivatives</w:t>
            </w: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Transacted</w:t>
            </w: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Borders>
              <w:left w:val="single" w:sz="8" w:color="auto"/>
              <w:right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(1,982,091 )</w:t>
            </w:r>
          </w:p>
        </w:tc>
        <w:tc>
          <w:tcPr>
            <w:tcW w:w="2260" w:type="dxa"/>
            <w:vAlign w:val="bottom"/>
            <w:tcBorders>
              <w:right w:val="single" w:sz="8" w:color="auto"/>
            </w:tcBorders>
          </w:tcPr>
          <w:p>
            <w:pPr>
              <w:ind w:left="820"/>
              <w:spacing w:after="0"/>
              <w:rPr>
                <w:sz w:val="20"/>
                <w:szCs w:val="20"/>
                <w:color w:val="auto"/>
              </w:rPr>
            </w:pPr>
            <w:r>
              <w:rPr>
                <w:rFonts w:ascii="Arial" w:cs="Arial" w:eastAsia="Arial" w:hAnsi="Arial"/>
                <w:sz w:val="16"/>
                <w:szCs w:val="16"/>
                <w:color w:val="auto"/>
              </w:rPr>
              <w:t>Market Approach</w:t>
            </w:r>
          </w:p>
        </w:tc>
        <w:tc>
          <w:tcPr>
            <w:tcW w:w="2400" w:type="dxa"/>
            <w:vAlign w:val="bottom"/>
            <w:tcBorders>
              <w:right w:val="single" w:sz="8" w:color="auto"/>
            </w:tcBorders>
          </w:tcPr>
          <w:p>
            <w:pPr>
              <w:ind w:left="800"/>
              <w:spacing w:after="0"/>
              <w:rPr>
                <w:sz w:val="20"/>
                <w:szCs w:val="20"/>
                <w:color w:val="auto"/>
              </w:rPr>
            </w:pPr>
            <w:r>
              <w:rPr>
                <w:rFonts w:ascii="Arial" w:cs="Arial" w:eastAsia="Arial" w:hAnsi="Arial"/>
                <w:sz w:val="16"/>
                <w:szCs w:val="16"/>
                <w:color w:val="auto"/>
              </w:rPr>
              <w:t>Value/Contractual</w:t>
            </w:r>
          </w:p>
        </w:tc>
        <w:tc>
          <w:tcPr>
            <w:tcW w:w="2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8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6"/>
                <w:szCs w:val="16"/>
                <w:color w:val="auto"/>
              </w:rPr>
              <w:t>Financing Rate</w:t>
            </w:r>
          </w:p>
        </w:tc>
        <w:tc>
          <w:tcPr>
            <w:tcW w:w="2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8"/>
              </w:rPr>
              <w:t>Total Level III</w:t>
            </w:r>
          </w:p>
        </w:tc>
        <w:tc>
          <w:tcPr>
            <w:tcW w:w="15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39"/>
              <w:spacing w:after="0"/>
              <w:rPr>
                <w:sz w:val="20"/>
                <w:szCs w:val="20"/>
                <w:color w:val="auto"/>
              </w:rPr>
            </w:pPr>
            <w:r>
              <w:rPr>
                <w:rFonts w:ascii="Arial" w:cs="Arial" w:eastAsia="Arial" w:hAnsi="Arial"/>
                <w:sz w:val="16"/>
                <w:szCs w:val="16"/>
                <w:color w:val="auto"/>
              </w:rPr>
              <w:t>443,153,935</w:t>
            </w:r>
          </w:p>
        </w:tc>
        <w:tc>
          <w:tcPr>
            <w:tcW w:w="22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Investments</w:t>
            </w:r>
          </w:p>
        </w:tc>
        <w:tc>
          <w:tcPr>
            <w:tcW w:w="15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24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580" w:type="dxa"/>
            <w:vAlign w:val="bottom"/>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80" w:right="80" w:hanging="372"/>
        <w:spacing w:after="0" w:line="258" w:lineRule="auto"/>
        <w:tabs>
          <w:tab w:leader="none" w:pos="366" w:val="left"/>
        </w:tabs>
        <w:numPr>
          <w:ilvl w:val="0"/>
          <w:numId w:val="67"/>
        </w:numPr>
        <w:rPr>
          <w:rFonts w:ascii="Arial" w:cs="Arial" w:eastAsia="Arial" w:hAnsi="Arial"/>
          <w:sz w:val="21"/>
          <w:szCs w:val="21"/>
          <w:color w:val="auto"/>
          <w:vertAlign w:val="superscript"/>
        </w:rPr>
      </w:pPr>
      <w:r>
        <w:rPr>
          <w:rFonts w:ascii="Arial" w:cs="Arial" w:eastAsia="Arial" w:hAnsi="Arial"/>
          <w:sz w:val="16"/>
          <w:szCs w:val="16"/>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position at a nominal amount to account for the investment’s option value.</w:t>
      </w:r>
    </w:p>
    <w:p>
      <w:pPr>
        <w:spacing w:after="0" w:line="23" w:lineRule="exact"/>
        <w:rPr>
          <w:sz w:val="20"/>
          <w:szCs w:val="20"/>
          <w:color w:val="auto"/>
        </w:rPr>
      </w:pPr>
    </w:p>
    <w:p>
      <w:pPr>
        <w:ind w:left="5540" w:right="3560" w:hanging="5532"/>
        <w:spacing w:after="0" w:line="228" w:lineRule="auto"/>
        <w:tabs>
          <w:tab w:leader="none" w:pos="374" w:val="left"/>
        </w:tabs>
        <w:numPr>
          <w:ilvl w:val="0"/>
          <w:numId w:val="68"/>
        </w:numPr>
        <w:rPr>
          <w:rFonts w:ascii="Arial" w:cs="Arial" w:eastAsia="Arial" w:hAnsi="Arial"/>
          <w:sz w:val="24"/>
          <w:szCs w:val="24"/>
          <w:color w:val="auto"/>
          <w:vertAlign w:val="superscript"/>
        </w:rPr>
      </w:pPr>
      <w:r>
        <w:rPr>
          <w:rFonts w:ascii="Arial" w:cs="Arial" w:eastAsia="Arial" w:hAnsi="Arial"/>
          <w:sz w:val="18"/>
          <w:szCs w:val="18"/>
          <w:color w:val="auto"/>
        </w:rPr>
        <w:t>The qualitative inputs used in the fair value measurements include the value of the pledged collateral.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7" w:name="page58"/>
    <w:bookmarkEnd w:id="57"/>
    <w:p>
      <w:pPr>
        <w:ind w:left="380"/>
        <w:spacing w:after="0"/>
        <w:rPr>
          <w:sz w:val="20"/>
          <w:szCs w:val="20"/>
          <w:color w:val="auto"/>
        </w:rPr>
      </w:pPr>
      <w:r>
        <w:rPr>
          <w:rFonts w:ascii="Arial" w:cs="Arial" w:eastAsia="Arial" w:hAnsi="Arial"/>
          <w:sz w:val="18"/>
          <w:szCs w:val="18"/>
          <w:color w:val="auto"/>
        </w:rPr>
        <w:t>As of December 31, 2020, the Company’s Level III portfolio investments had the following valuation techniques and significant inputs:</w:t>
      </w: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3980" w:type="dxa"/>
            <w:vAlign w:val="bottom"/>
            <w:tcBorders>
              <w:top w:val="single" w:sz="8" w:color="auto"/>
              <w:left w:val="single" w:sz="8" w:color="auto"/>
              <w:right w:val="single" w:sz="8" w:color="auto"/>
            </w:tcBorders>
            <w:shd w:val="clear" w:color="auto" w:fill="DAEEF3"/>
          </w:tcPr>
          <w:p>
            <w:pPr>
              <w:spacing w:after="0"/>
              <w:rPr>
                <w:sz w:val="19"/>
                <w:szCs w:val="19"/>
                <w:color w:val="auto"/>
              </w:rPr>
            </w:pPr>
          </w:p>
        </w:tc>
        <w:tc>
          <w:tcPr>
            <w:tcW w:w="20" w:type="dxa"/>
            <w:vAlign w:val="bottom"/>
            <w:tcBorders>
              <w:top w:val="single" w:sz="8" w:color="auto"/>
            </w:tcBorders>
            <w:shd w:val="clear" w:color="auto" w:fill="DAEEF3"/>
          </w:tcPr>
          <w:p>
            <w:pPr>
              <w:spacing w:after="0"/>
              <w:rPr>
                <w:sz w:val="19"/>
                <w:szCs w:val="19"/>
                <w:color w:val="auto"/>
              </w:rPr>
            </w:pPr>
          </w:p>
        </w:tc>
        <w:tc>
          <w:tcPr>
            <w:tcW w:w="360" w:type="dxa"/>
            <w:vAlign w:val="bottom"/>
            <w:tcBorders>
              <w:top w:val="single" w:sz="8" w:color="auto"/>
            </w:tcBorders>
            <w:shd w:val="clear" w:color="auto" w:fill="DAEEF3"/>
          </w:tcPr>
          <w:p>
            <w:pPr>
              <w:spacing w:after="0"/>
              <w:rPr>
                <w:sz w:val="19"/>
                <w:szCs w:val="19"/>
                <w:color w:val="auto"/>
              </w:rPr>
            </w:pPr>
          </w:p>
        </w:tc>
        <w:tc>
          <w:tcPr>
            <w:tcW w:w="1440" w:type="dxa"/>
            <w:vAlign w:val="bottom"/>
            <w:tcBorders>
              <w:top w:val="single" w:sz="8" w:color="auto"/>
              <w:right w:val="single" w:sz="8" w:color="auto"/>
            </w:tcBorders>
            <w:shd w:val="clear" w:color="auto" w:fill="DAEEF3"/>
          </w:tcPr>
          <w:p>
            <w:pPr>
              <w:spacing w:after="0"/>
              <w:rPr>
                <w:sz w:val="19"/>
                <w:szCs w:val="19"/>
                <w:color w:val="auto"/>
              </w:rPr>
            </w:pPr>
          </w:p>
        </w:tc>
        <w:tc>
          <w:tcPr>
            <w:tcW w:w="1780" w:type="dxa"/>
            <w:vAlign w:val="bottom"/>
            <w:tcBorders>
              <w:top w:val="single" w:sz="8" w:color="auto"/>
              <w:right w:val="single" w:sz="8" w:color="auto"/>
            </w:tcBorders>
            <w:shd w:val="clear" w:color="auto" w:fill="DAEEF3"/>
          </w:tcPr>
          <w:p>
            <w:pPr>
              <w:ind w:left="300"/>
              <w:spacing w:after="0"/>
              <w:rPr>
                <w:sz w:val="20"/>
                <w:szCs w:val="20"/>
                <w:color w:val="auto"/>
              </w:rPr>
            </w:pPr>
            <w:r>
              <w:rPr>
                <w:rFonts w:ascii="Arial" w:cs="Arial" w:eastAsia="Arial" w:hAnsi="Arial"/>
                <w:sz w:val="16"/>
                <w:szCs w:val="16"/>
                <w:b w:val="1"/>
                <w:bCs w:val="1"/>
                <w:color w:val="auto"/>
              </w:rPr>
              <w:t>Primary Valuation</w:t>
            </w:r>
          </w:p>
        </w:tc>
        <w:tc>
          <w:tcPr>
            <w:tcW w:w="1760" w:type="dxa"/>
            <w:vAlign w:val="bottom"/>
            <w:tcBorders>
              <w:top w:val="single" w:sz="8" w:color="auto"/>
              <w:right w:val="single" w:sz="8" w:color="auto"/>
            </w:tcBorders>
            <w:shd w:val="clear" w:color="auto" w:fill="DAEEF3"/>
          </w:tcPr>
          <w:p>
            <w:pPr>
              <w:ind w:left="460"/>
              <w:spacing w:after="0"/>
              <w:rPr>
                <w:sz w:val="20"/>
                <w:szCs w:val="20"/>
                <w:color w:val="auto"/>
              </w:rPr>
            </w:pPr>
            <w:r>
              <w:rPr>
                <w:rFonts w:ascii="Arial" w:cs="Arial" w:eastAsia="Arial" w:hAnsi="Arial"/>
                <w:sz w:val="16"/>
                <w:szCs w:val="16"/>
                <w:b w:val="1"/>
                <w:bCs w:val="1"/>
                <w:color w:val="auto"/>
              </w:rPr>
              <w:t>Unobservable</w:t>
            </w:r>
          </w:p>
        </w:tc>
        <w:tc>
          <w:tcPr>
            <w:tcW w:w="1900" w:type="dxa"/>
            <w:vAlign w:val="bottom"/>
            <w:tcBorders>
              <w:top w:val="single" w:sz="8" w:color="auto"/>
              <w:right w:val="single" w:sz="8" w:color="auto"/>
            </w:tcBorders>
            <w:shd w:val="clear" w:color="auto" w:fill="DAEEF3"/>
          </w:tcPr>
          <w:p>
            <w:pPr>
              <w:ind w:left="460"/>
              <w:spacing w:after="0"/>
              <w:rPr>
                <w:sz w:val="20"/>
                <w:szCs w:val="20"/>
                <w:color w:val="auto"/>
              </w:rPr>
            </w:pPr>
            <w:r>
              <w:rPr>
                <w:rFonts w:ascii="Arial" w:cs="Arial" w:eastAsia="Arial" w:hAnsi="Arial"/>
                <w:sz w:val="16"/>
                <w:szCs w:val="16"/>
                <w:b w:val="1"/>
                <w:bCs w:val="1"/>
                <w:color w:val="auto"/>
              </w:rPr>
              <w:t>Range of Inputs</w:t>
            </w:r>
          </w:p>
        </w:tc>
        <w:tc>
          <w:tcPr>
            <w:tcW w:w="0" w:type="dxa"/>
            <w:vAlign w:val="bottom"/>
          </w:tcPr>
          <w:p>
            <w:pPr>
              <w:spacing w:after="0"/>
              <w:rPr>
                <w:sz w:val="1"/>
                <w:szCs w:val="1"/>
                <w:color w:val="auto"/>
              </w:rPr>
            </w:pPr>
          </w:p>
        </w:tc>
      </w:tr>
      <w:tr>
        <w:trPr>
          <w:trHeight w:val="232"/>
        </w:trPr>
        <w:tc>
          <w:tcPr>
            <w:tcW w:w="3980" w:type="dxa"/>
            <w:vAlign w:val="bottom"/>
            <w:tcBorders>
              <w:left w:val="single" w:sz="8" w:color="auto"/>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6"/>
                <w:szCs w:val="16"/>
                <w:b w:val="1"/>
                <w:bCs w:val="1"/>
                <w:color w:val="auto"/>
                <w:w w:val="90"/>
              </w:rPr>
              <w:t>Type</w:t>
            </w:r>
          </w:p>
        </w:tc>
        <w:tc>
          <w:tcPr>
            <w:tcW w:w="20" w:type="dxa"/>
            <w:vAlign w:val="bottom"/>
            <w:tcBorders>
              <w:bottom w:val="single" w:sz="8" w:color="auto"/>
            </w:tcBorders>
            <w:shd w:val="clear" w:color="auto" w:fill="DAEEF3"/>
          </w:tcPr>
          <w:p>
            <w:pPr>
              <w:spacing w:after="0"/>
              <w:rPr>
                <w:sz w:val="20"/>
                <w:szCs w:val="20"/>
                <w:color w:val="auto"/>
              </w:rPr>
            </w:pPr>
          </w:p>
        </w:tc>
        <w:tc>
          <w:tcPr>
            <w:tcW w:w="360" w:type="dxa"/>
            <w:vAlign w:val="bottom"/>
            <w:tcBorders>
              <w:bottom w:val="single" w:sz="8" w:color="auto"/>
            </w:tcBorders>
            <w:shd w:val="clear" w:color="auto" w:fill="DAEEF3"/>
          </w:tcPr>
          <w:p>
            <w:pPr>
              <w:spacing w:after="0"/>
              <w:rPr>
                <w:sz w:val="20"/>
                <w:szCs w:val="20"/>
                <w:color w:val="auto"/>
              </w:rPr>
            </w:pPr>
          </w:p>
        </w:tc>
        <w:tc>
          <w:tcPr>
            <w:tcW w:w="1440" w:type="dxa"/>
            <w:vAlign w:val="bottom"/>
            <w:tcBorders>
              <w:bottom w:val="single" w:sz="8" w:color="auto"/>
              <w:right w:val="single" w:sz="8" w:color="auto"/>
            </w:tcBorders>
            <w:shd w:val="clear" w:color="auto" w:fill="DAEEF3"/>
          </w:tcPr>
          <w:p>
            <w:pPr>
              <w:jc w:val="right"/>
              <w:ind w:right="459"/>
              <w:spacing w:after="0"/>
              <w:rPr>
                <w:sz w:val="20"/>
                <w:szCs w:val="20"/>
                <w:color w:val="auto"/>
              </w:rPr>
            </w:pPr>
            <w:r>
              <w:rPr>
                <w:rFonts w:ascii="Arial" w:cs="Arial" w:eastAsia="Arial" w:hAnsi="Arial"/>
                <w:sz w:val="16"/>
                <w:szCs w:val="16"/>
                <w:b w:val="1"/>
                <w:bCs w:val="1"/>
                <w:color w:val="auto"/>
              </w:rPr>
              <w:t>Fair Value</w:t>
            </w:r>
          </w:p>
        </w:tc>
        <w:tc>
          <w:tcPr>
            <w:tcW w:w="1780" w:type="dxa"/>
            <w:vAlign w:val="bottom"/>
            <w:tcBorders>
              <w:bottom w:val="single" w:sz="8" w:color="auto"/>
              <w:right w:val="single" w:sz="8" w:color="auto"/>
            </w:tcBorders>
            <w:shd w:val="clear" w:color="auto" w:fill="DAEEF3"/>
          </w:tcPr>
          <w:p>
            <w:pPr>
              <w:ind w:left="580"/>
              <w:spacing w:after="0"/>
              <w:rPr>
                <w:sz w:val="20"/>
                <w:szCs w:val="20"/>
                <w:color w:val="auto"/>
              </w:rPr>
            </w:pPr>
            <w:r>
              <w:rPr>
                <w:rFonts w:ascii="Arial" w:cs="Arial" w:eastAsia="Arial" w:hAnsi="Arial"/>
                <w:sz w:val="16"/>
                <w:szCs w:val="16"/>
                <w:b w:val="1"/>
                <w:bCs w:val="1"/>
                <w:color w:val="auto"/>
              </w:rPr>
              <w:t>Techniques</w:t>
            </w:r>
          </w:p>
        </w:tc>
        <w:tc>
          <w:tcPr>
            <w:tcW w:w="1760" w:type="dxa"/>
            <w:vAlign w:val="bottom"/>
            <w:tcBorders>
              <w:bottom w:val="single" w:sz="8" w:color="auto"/>
              <w:right w:val="single" w:sz="8" w:color="auto"/>
            </w:tcBorders>
            <w:shd w:val="clear" w:color="auto" w:fill="DAEEF3"/>
          </w:tcPr>
          <w:p>
            <w:pPr>
              <w:ind w:left="720"/>
              <w:spacing w:after="0"/>
              <w:rPr>
                <w:sz w:val="20"/>
                <w:szCs w:val="20"/>
                <w:color w:val="auto"/>
              </w:rPr>
            </w:pPr>
            <w:r>
              <w:rPr>
                <w:rFonts w:ascii="Arial" w:cs="Arial" w:eastAsia="Arial" w:hAnsi="Arial"/>
                <w:sz w:val="16"/>
                <w:szCs w:val="16"/>
                <w:b w:val="1"/>
                <w:bCs w:val="1"/>
                <w:color w:val="auto"/>
              </w:rPr>
              <w:t>Inputs</w:t>
            </w:r>
          </w:p>
        </w:tc>
        <w:tc>
          <w:tcPr>
            <w:tcW w:w="1900" w:type="dxa"/>
            <w:vAlign w:val="bottom"/>
            <w:tcBorders>
              <w:bottom w:val="single" w:sz="8" w:color="auto"/>
              <w:right w:val="single" w:sz="8" w:color="auto"/>
            </w:tcBorders>
            <w:shd w:val="clear" w:color="auto" w:fill="DAEEF3"/>
          </w:tcPr>
          <w:p>
            <w:pPr>
              <w:ind w:left="320"/>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84"/>
        </w:trPr>
        <w:tc>
          <w:tcPr>
            <w:tcW w:w="3980" w:type="dxa"/>
            <w:vAlign w:val="bottom"/>
            <w:tcBorders>
              <w:left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Average</w:t>
            </w: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auto"/>
              <w:right w:val="single" w:sz="8" w:color="auto"/>
            </w:tcBorders>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8,651,448</w:t>
            </w:r>
          </w:p>
        </w:tc>
        <w:tc>
          <w:tcPr>
            <w:tcW w:w="17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Enterprise Value</w:t>
            </w:r>
          </w:p>
        </w:tc>
        <w:tc>
          <w:tcPr>
            <w:tcW w:w="17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EBITDA</w:t>
            </w:r>
          </w:p>
        </w:tc>
        <w:tc>
          <w:tcPr>
            <w:tcW w:w="19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4.8x-7.5x (5.6x)</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Multiple</w:t>
            </w:r>
          </w:p>
        </w:tc>
        <w:tc>
          <w:tcPr>
            <w:tcW w:w="1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Debt Securities</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w w:val="94"/>
              </w:rPr>
              <w:t>Recovery Rate Multiple</w:t>
            </w:r>
          </w:p>
        </w:tc>
        <w:tc>
          <w:tcPr>
            <w:tcW w:w="1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0.0x-1.0x (0.7x)</w:t>
            </w:r>
          </w:p>
        </w:tc>
        <w:tc>
          <w:tcPr>
            <w:tcW w:w="0" w:type="dxa"/>
            <w:vAlign w:val="bottom"/>
          </w:tcPr>
          <w:p>
            <w:pPr>
              <w:spacing w:after="0"/>
              <w:rPr>
                <w:sz w:val="1"/>
                <w:szCs w:val="1"/>
                <w:color w:val="auto"/>
              </w:rPr>
            </w:pPr>
          </w:p>
        </w:tc>
      </w:tr>
      <w:tr>
        <w:trPr>
          <w:trHeight w:val="206"/>
        </w:trPr>
        <w:tc>
          <w:tcPr>
            <w:tcW w:w="39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325,593,566</w:t>
            </w:r>
          </w:p>
        </w:tc>
        <w:tc>
          <w:tcPr>
            <w:tcW w:w="17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Income Approach</w:t>
            </w:r>
          </w:p>
        </w:tc>
        <w:tc>
          <w:tcPr>
            <w:tcW w:w="17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Implied</w:t>
            </w:r>
          </w:p>
        </w:tc>
        <w:tc>
          <w:tcPr>
            <w:tcW w:w="19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5.2%-27.6% (10.2%)</w:t>
            </w:r>
          </w:p>
        </w:tc>
        <w:tc>
          <w:tcPr>
            <w:tcW w:w="0" w:type="dxa"/>
            <w:vAlign w:val="bottom"/>
          </w:tcPr>
          <w:p>
            <w:pPr>
              <w:spacing w:after="0"/>
              <w:rPr>
                <w:sz w:val="1"/>
                <w:szCs w:val="1"/>
                <w:color w:val="auto"/>
              </w:rPr>
            </w:pPr>
          </w:p>
        </w:tc>
      </w:tr>
      <w:tr>
        <w:trPr>
          <w:trHeight w:val="98"/>
        </w:trPr>
        <w:tc>
          <w:tcPr>
            <w:tcW w:w="3980" w:type="dxa"/>
            <w:vAlign w:val="bottom"/>
            <w:tcBorders>
              <w:left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Discount Rate</w:t>
            </w:r>
          </w:p>
        </w:tc>
        <w:tc>
          <w:tcPr>
            <w:tcW w:w="1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980" w:type="dxa"/>
            <w:vAlign w:val="bottom"/>
            <w:tcBorders>
              <w:left w:val="single" w:sz="8" w:color="auto"/>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760" w:type="dxa"/>
            <w:vAlign w:val="bottom"/>
            <w:tcBorders>
              <w:bottom w:val="single" w:sz="8" w:color="auto"/>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39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Average</w:t>
            </w: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auto"/>
              <w:right w:val="single" w:sz="8" w:color="auto"/>
            </w:tcBorders>
          </w:tcPr>
          <w:p>
            <w:pPr>
              <w:spacing w:after="0"/>
              <w:rPr>
                <w:sz w:val="17"/>
                <w:szCs w:val="17"/>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7,036,969</w:t>
            </w:r>
          </w:p>
        </w:tc>
        <w:tc>
          <w:tcPr>
            <w:tcW w:w="17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Enterprise Value</w:t>
            </w:r>
          </w:p>
        </w:tc>
        <w:tc>
          <w:tcPr>
            <w:tcW w:w="17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EBITDA</w:t>
            </w:r>
          </w:p>
        </w:tc>
        <w:tc>
          <w:tcPr>
            <w:tcW w:w="19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1.0x-9.0x (5.9x)</w:t>
            </w:r>
          </w:p>
        </w:tc>
        <w:tc>
          <w:tcPr>
            <w:tcW w:w="0" w:type="dxa"/>
            <w:vAlign w:val="bottom"/>
          </w:tcPr>
          <w:p>
            <w:pPr>
              <w:spacing w:after="0"/>
              <w:rPr>
                <w:sz w:val="1"/>
                <w:szCs w:val="1"/>
                <w:color w:val="auto"/>
              </w:rPr>
            </w:pPr>
          </w:p>
        </w:tc>
      </w:tr>
      <w:tr>
        <w:trPr>
          <w:trHeight w:val="112"/>
        </w:trPr>
        <w:tc>
          <w:tcPr>
            <w:tcW w:w="3980" w:type="dxa"/>
            <w:vAlign w:val="bottom"/>
            <w:tcBorders>
              <w:left w:val="single" w:sz="8" w:color="auto"/>
              <w:right w:val="single" w:sz="8" w:color="auto"/>
            </w:tcBorders>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Multiple /</w:t>
            </w:r>
          </w:p>
        </w:tc>
        <w:tc>
          <w:tcPr>
            <w:tcW w:w="1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980" w:type="dxa"/>
            <w:vAlign w:val="bottom"/>
            <w:tcBorders>
              <w:left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176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WACC</w:t>
            </w:r>
          </w:p>
        </w:tc>
        <w:tc>
          <w:tcPr>
            <w:tcW w:w="1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left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w w:val="94"/>
              </w:rPr>
              <w:t>Recovery Rate Multiple</w:t>
            </w:r>
          </w:p>
        </w:tc>
        <w:tc>
          <w:tcPr>
            <w:tcW w:w="1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0.0x-12.5x (0.6x)</w:t>
            </w:r>
          </w:p>
        </w:tc>
        <w:tc>
          <w:tcPr>
            <w:tcW w:w="0" w:type="dxa"/>
            <w:vAlign w:val="bottom"/>
          </w:tcPr>
          <w:p>
            <w:pPr>
              <w:spacing w:after="0"/>
              <w:rPr>
                <w:sz w:val="1"/>
                <w:szCs w:val="1"/>
                <w:color w:val="auto"/>
              </w:rPr>
            </w:pPr>
          </w:p>
        </w:tc>
      </w:tr>
      <w:tr>
        <w:trPr>
          <w:trHeight w:val="206"/>
        </w:trPr>
        <w:tc>
          <w:tcPr>
            <w:tcW w:w="3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Equity Securities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5,500,000</w:t>
            </w:r>
          </w:p>
        </w:tc>
        <w:tc>
          <w:tcPr>
            <w:tcW w:w="17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Income Approach</w:t>
            </w:r>
          </w:p>
        </w:tc>
        <w:tc>
          <w:tcPr>
            <w:tcW w:w="17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Implied</w:t>
            </w:r>
          </w:p>
        </w:tc>
        <w:tc>
          <w:tcPr>
            <w:tcW w:w="19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17.8%-18.5% (18.1%)</w:t>
            </w:r>
          </w:p>
        </w:tc>
        <w:tc>
          <w:tcPr>
            <w:tcW w:w="0" w:type="dxa"/>
            <w:vAlign w:val="bottom"/>
          </w:tcPr>
          <w:p>
            <w:pPr>
              <w:spacing w:after="0"/>
              <w:rPr>
                <w:sz w:val="1"/>
                <w:szCs w:val="1"/>
                <w:color w:val="auto"/>
              </w:rPr>
            </w:pPr>
          </w:p>
        </w:tc>
      </w:tr>
      <w:tr>
        <w:trPr>
          <w:trHeight w:val="98"/>
        </w:trPr>
        <w:tc>
          <w:tcPr>
            <w:tcW w:w="3980" w:type="dxa"/>
            <w:vAlign w:val="bottom"/>
            <w:tcBorders>
              <w:left w:val="single" w:sz="8" w:color="auto"/>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color w:val="auto"/>
              </w:rPr>
              <w:t>Discount Rate</w:t>
            </w:r>
          </w:p>
        </w:tc>
        <w:tc>
          <w:tcPr>
            <w:tcW w:w="19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980" w:type="dxa"/>
            <w:vAlign w:val="bottom"/>
            <w:tcBorders>
              <w:left w:val="single" w:sz="8" w:color="auto"/>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760" w:type="dxa"/>
            <w:vAlign w:val="bottom"/>
            <w:tcBorders>
              <w:bottom w:val="single" w:sz="8" w:color="auto"/>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9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Discount Rate</w:t>
            </w:r>
          </w:p>
        </w:tc>
        <w:tc>
          <w:tcPr>
            <w:tcW w:w="1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13.0%-14.5% (13.8%)</w:t>
            </w:r>
          </w:p>
        </w:tc>
        <w:tc>
          <w:tcPr>
            <w:tcW w:w="0" w:type="dxa"/>
            <w:vAlign w:val="bottom"/>
          </w:tcPr>
          <w:p>
            <w:pPr>
              <w:spacing w:after="0"/>
              <w:rPr>
                <w:sz w:val="1"/>
                <w:szCs w:val="1"/>
                <w:color w:val="auto"/>
              </w:rPr>
            </w:pPr>
          </w:p>
        </w:tc>
      </w:tr>
      <w:tr>
        <w:trPr>
          <w:trHeight w:val="206"/>
        </w:trPr>
        <w:tc>
          <w:tcPr>
            <w:tcW w:w="39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Probability of</w:t>
            </w: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Default</w:t>
            </w:r>
          </w:p>
        </w:tc>
        <w:tc>
          <w:tcPr>
            <w:tcW w:w="1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1.5%-4.0% (2.7%)</w:t>
            </w:r>
          </w:p>
        </w:tc>
        <w:tc>
          <w:tcPr>
            <w:tcW w:w="0" w:type="dxa"/>
            <w:vAlign w:val="bottom"/>
          </w:tcPr>
          <w:p>
            <w:pPr>
              <w:spacing w:after="0"/>
              <w:rPr>
                <w:sz w:val="1"/>
                <w:szCs w:val="1"/>
                <w:color w:val="auto"/>
              </w:rPr>
            </w:pPr>
          </w:p>
        </w:tc>
      </w:tr>
      <w:tr>
        <w:trPr>
          <w:trHeight w:val="223"/>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CLO Fund Securities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19,582,555</w:t>
            </w:r>
          </w:p>
        </w:tc>
        <w:tc>
          <w:tcPr>
            <w:tcW w:w="17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w w:val="98"/>
              </w:rPr>
              <w:t>Discounted Cash Flow</w:t>
            </w:r>
          </w:p>
        </w:tc>
        <w:tc>
          <w:tcPr>
            <w:tcW w:w="17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Loss Severity</w:t>
            </w:r>
          </w:p>
        </w:tc>
        <w:tc>
          <w:tcPr>
            <w:tcW w:w="1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20.5%-30.5% (25.5%)</w:t>
            </w:r>
          </w:p>
        </w:tc>
        <w:tc>
          <w:tcPr>
            <w:tcW w:w="0" w:type="dxa"/>
            <w:vAlign w:val="bottom"/>
          </w:tcPr>
          <w:p>
            <w:pPr>
              <w:spacing w:after="0"/>
              <w:rPr>
                <w:sz w:val="1"/>
                <w:szCs w:val="1"/>
                <w:color w:val="auto"/>
              </w:rPr>
            </w:pPr>
          </w:p>
        </w:tc>
      </w:tr>
      <w:tr>
        <w:trPr>
          <w:trHeight w:val="223"/>
        </w:trPr>
        <w:tc>
          <w:tcPr>
            <w:tcW w:w="39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Recovery Rate</w:t>
            </w:r>
          </w:p>
        </w:tc>
        <w:tc>
          <w:tcPr>
            <w:tcW w:w="1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69.5%-79.5% (74.5%)</w:t>
            </w:r>
          </w:p>
        </w:tc>
        <w:tc>
          <w:tcPr>
            <w:tcW w:w="0" w:type="dxa"/>
            <w:vAlign w:val="bottom"/>
          </w:tcPr>
          <w:p>
            <w:pPr>
              <w:spacing w:after="0"/>
              <w:rPr>
                <w:sz w:val="1"/>
                <w:szCs w:val="1"/>
                <w:color w:val="auto"/>
              </w:rPr>
            </w:pPr>
          </w:p>
        </w:tc>
      </w:tr>
      <w:tr>
        <w:trPr>
          <w:trHeight w:val="206"/>
        </w:trPr>
        <w:tc>
          <w:tcPr>
            <w:tcW w:w="39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Prepayment</w:t>
            </w: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Rate</w:t>
            </w:r>
          </w:p>
        </w:tc>
        <w:tc>
          <w:tcPr>
            <w:tcW w:w="1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0.0%-25.0% (12.5%)</w:t>
            </w:r>
          </w:p>
        </w:tc>
        <w:tc>
          <w:tcPr>
            <w:tcW w:w="0" w:type="dxa"/>
            <w:vAlign w:val="bottom"/>
          </w:tcPr>
          <w:p>
            <w:pPr>
              <w:spacing w:after="0"/>
              <w:rPr>
                <w:sz w:val="1"/>
                <w:szCs w:val="1"/>
                <w:color w:val="auto"/>
              </w:rPr>
            </w:pPr>
          </w:p>
        </w:tc>
      </w:tr>
      <w:tr>
        <w:trPr>
          <w:trHeight w:val="223"/>
        </w:trPr>
        <w:tc>
          <w:tcPr>
            <w:tcW w:w="39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Discount Rate</w:t>
            </w:r>
          </w:p>
        </w:tc>
        <w:tc>
          <w:tcPr>
            <w:tcW w:w="1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14.0%-16.0% (15.0%)</w:t>
            </w:r>
          </w:p>
        </w:tc>
        <w:tc>
          <w:tcPr>
            <w:tcW w:w="0" w:type="dxa"/>
            <w:vAlign w:val="bottom"/>
          </w:tcPr>
          <w:p>
            <w:pPr>
              <w:spacing w:after="0"/>
              <w:rPr>
                <w:sz w:val="1"/>
                <w:szCs w:val="1"/>
                <w:color w:val="auto"/>
              </w:rPr>
            </w:pPr>
          </w:p>
        </w:tc>
      </w:tr>
      <w:tr>
        <w:trPr>
          <w:trHeight w:val="206"/>
        </w:trPr>
        <w:tc>
          <w:tcPr>
            <w:tcW w:w="39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Probability of</w:t>
            </w: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Default</w:t>
            </w:r>
          </w:p>
        </w:tc>
        <w:tc>
          <w:tcPr>
            <w:tcW w:w="1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3.0%-5.0% (4.0%)</w:t>
            </w:r>
          </w:p>
        </w:tc>
        <w:tc>
          <w:tcPr>
            <w:tcW w:w="0" w:type="dxa"/>
            <w:vAlign w:val="bottom"/>
          </w:tcPr>
          <w:p>
            <w:pPr>
              <w:spacing w:after="0"/>
              <w:rPr>
                <w:sz w:val="1"/>
                <w:szCs w:val="1"/>
                <w:color w:val="auto"/>
              </w:rPr>
            </w:pPr>
          </w:p>
        </w:tc>
      </w:tr>
      <w:tr>
        <w:trPr>
          <w:trHeight w:val="223"/>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Joint Ventures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19,748,808</w:t>
            </w:r>
          </w:p>
        </w:tc>
        <w:tc>
          <w:tcPr>
            <w:tcW w:w="17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w w:val="98"/>
              </w:rPr>
              <w:t>Discounted Cash Flow</w:t>
            </w:r>
          </w:p>
        </w:tc>
        <w:tc>
          <w:tcPr>
            <w:tcW w:w="17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Loss Severity</w:t>
            </w:r>
          </w:p>
        </w:tc>
        <w:tc>
          <w:tcPr>
            <w:tcW w:w="1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21.0%-31.0% (26.0%)</w:t>
            </w:r>
          </w:p>
        </w:tc>
        <w:tc>
          <w:tcPr>
            <w:tcW w:w="0" w:type="dxa"/>
            <w:vAlign w:val="bottom"/>
          </w:tcPr>
          <w:p>
            <w:pPr>
              <w:spacing w:after="0"/>
              <w:rPr>
                <w:sz w:val="1"/>
                <w:szCs w:val="1"/>
                <w:color w:val="auto"/>
              </w:rPr>
            </w:pPr>
          </w:p>
        </w:tc>
      </w:tr>
      <w:tr>
        <w:trPr>
          <w:trHeight w:val="223"/>
        </w:trPr>
        <w:tc>
          <w:tcPr>
            <w:tcW w:w="3980" w:type="dxa"/>
            <w:vAlign w:val="bottom"/>
            <w:tcBorders>
              <w:left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Recovery Rate</w:t>
            </w:r>
          </w:p>
        </w:tc>
        <w:tc>
          <w:tcPr>
            <w:tcW w:w="1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69.0%-79.0% (74.0%)</w:t>
            </w:r>
          </w:p>
        </w:tc>
        <w:tc>
          <w:tcPr>
            <w:tcW w:w="0" w:type="dxa"/>
            <w:vAlign w:val="bottom"/>
          </w:tcPr>
          <w:p>
            <w:pPr>
              <w:spacing w:after="0"/>
              <w:rPr>
                <w:sz w:val="1"/>
                <w:szCs w:val="1"/>
                <w:color w:val="auto"/>
              </w:rPr>
            </w:pPr>
          </w:p>
        </w:tc>
      </w:tr>
      <w:tr>
        <w:trPr>
          <w:trHeight w:val="206"/>
        </w:trPr>
        <w:tc>
          <w:tcPr>
            <w:tcW w:w="398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Prepayment</w:t>
            </w: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Rate</w:t>
            </w:r>
          </w:p>
        </w:tc>
        <w:tc>
          <w:tcPr>
            <w:tcW w:w="1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0.0%-25.0% (12.5%)</w:t>
            </w:r>
          </w:p>
        </w:tc>
        <w:tc>
          <w:tcPr>
            <w:tcW w:w="0" w:type="dxa"/>
            <w:vAlign w:val="bottom"/>
          </w:tcPr>
          <w:p>
            <w:pPr>
              <w:spacing w:after="0"/>
              <w:rPr>
                <w:sz w:val="1"/>
                <w:szCs w:val="1"/>
                <w:color w:val="auto"/>
              </w:rPr>
            </w:pPr>
          </w:p>
        </w:tc>
      </w:tr>
      <w:tr>
        <w:trPr>
          <w:trHeight w:val="206"/>
        </w:trPr>
        <w:tc>
          <w:tcPr>
            <w:tcW w:w="3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Derivatives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Transacted</w:t>
            </w: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Borders>
              <w:left w:val="single" w:sz="8" w:color="auto"/>
              <w:right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(1,108,618 )</w:t>
            </w:r>
          </w:p>
        </w:tc>
        <w:tc>
          <w:tcPr>
            <w:tcW w:w="17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Market Approach</w:t>
            </w:r>
          </w:p>
        </w:tc>
        <w:tc>
          <w:tcPr>
            <w:tcW w:w="17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Value/Contractual</w:t>
            </w:r>
          </w:p>
        </w:tc>
        <w:tc>
          <w:tcPr>
            <w:tcW w:w="1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Financing Rate</w:t>
            </w:r>
          </w:p>
        </w:tc>
        <w:tc>
          <w:tcPr>
            <w:tcW w:w="1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80" w:type="dxa"/>
            <w:vAlign w:val="bottom"/>
          </w:tcPr>
          <w:p>
            <w:pPr>
              <w:jc w:val="center"/>
              <w:spacing w:after="0"/>
              <w:rPr>
                <w:sz w:val="20"/>
                <w:szCs w:val="20"/>
                <w:color w:val="auto"/>
              </w:rPr>
            </w:pPr>
            <w:r>
              <w:rPr>
                <w:rFonts w:ascii="Arial" w:cs="Arial" w:eastAsia="Arial" w:hAnsi="Arial"/>
                <w:sz w:val="16"/>
                <w:szCs w:val="16"/>
                <w:b w:val="1"/>
                <w:bCs w:val="1"/>
                <w:color w:val="auto"/>
                <w:w w:val="94"/>
              </w:rPr>
              <w:t>Total Level III Investments</w:t>
            </w:r>
          </w:p>
        </w:tc>
        <w:tc>
          <w:tcPr>
            <w:tcW w:w="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385,004,728</w:t>
            </w:r>
          </w:p>
        </w:tc>
        <w:tc>
          <w:tcPr>
            <w:tcW w:w="1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380" w:right="80" w:hanging="372"/>
        <w:spacing w:after="0" w:line="239" w:lineRule="auto"/>
        <w:tabs>
          <w:tab w:leader="none" w:pos="366" w:val="left"/>
        </w:tabs>
        <w:numPr>
          <w:ilvl w:val="0"/>
          <w:numId w:val="69"/>
        </w:numPr>
        <w:rPr>
          <w:rFonts w:ascii="Arial" w:cs="Arial" w:eastAsia="Arial" w:hAnsi="Arial"/>
          <w:sz w:val="24"/>
          <w:szCs w:val="24"/>
          <w:color w:val="auto"/>
          <w:vertAlign w:val="superscript"/>
        </w:rPr>
      </w:pPr>
      <w:r>
        <w:rPr>
          <w:rFonts w:ascii="Arial" w:cs="Arial" w:eastAsia="Arial" w:hAnsi="Arial"/>
          <w:sz w:val="18"/>
          <w:szCs w:val="18"/>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 its position at a nominal amount to account for the investment’s option value.</w:t>
      </w:r>
    </w:p>
    <w:p>
      <w:pPr>
        <w:ind w:left="360" w:hanging="352"/>
        <w:spacing w:after="0" w:line="201" w:lineRule="auto"/>
        <w:tabs>
          <w:tab w:leader="none" w:pos="360" w:val="left"/>
        </w:tabs>
        <w:numPr>
          <w:ilvl w:val="0"/>
          <w:numId w:val="70"/>
        </w:numPr>
        <w:rPr>
          <w:rFonts w:ascii="Arial" w:cs="Arial" w:eastAsia="Arial" w:hAnsi="Arial"/>
          <w:sz w:val="24"/>
          <w:szCs w:val="24"/>
          <w:color w:val="auto"/>
          <w:vertAlign w:val="superscript"/>
        </w:rPr>
      </w:pPr>
      <w:r>
        <w:rPr>
          <w:rFonts w:ascii="Arial" w:cs="Arial" w:eastAsia="Arial" w:hAnsi="Arial"/>
          <w:sz w:val="18"/>
          <w:szCs w:val="18"/>
          <w:color w:val="auto"/>
        </w:rPr>
        <w:t>The qualitative inputs used in the fair value measurements include the value of the pledged collateral.</w:t>
      </w:r>
    </w:p>
    <w:p>
      <w:pPr>
        <w:spacing w:after="0" w:line="189" w:lineRule="exact"/>
        <w:rPr>
          <w:sz w:val="20"/>
          <w:szCs w:val="20"/>
          <w:color w:val="auto"/>
        </w:rPr>
      </w:pPr>
    </w:p>
    <w:p>
      <w:pPr>
        <w:ind w:right="60" w:firstLine="374"/>
        <w:spacing w:after="0" w:line="275" w:lineRule="auto"/>
        <w:rPr>
          <w:sz w:val="20"/>
          <w:szCs w:val="20"/>
          <w:color w:val="auto"/>
        </w:rPr>
      </w:pPr>
      <w:r>
        <w:rPr>
          <w:rFonts w:ascii="Arial" w:cs="Arial" w:eastAsia="Arial" w:hAnsi="Arial"/>
          <w:sz w:val="18"/>
          <w:szCs w:val="18"/>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 respectively.</w:t>
      </w:r>
    </w:p>
    <w:p>
      <w:pPr>
        <w:spacing w:after="0" w:line="145" w:lineRule="exact"/>
        <w:rPr>
          <w:sz w:val="20"/>
          <w:szCs w:val="20"/>
          <w:color w:val="auto"/>
        </w:rPr>
      </w:pPr>
    </w:p>
    <w:p>
      <w:pPr>
        <w:jc w:val="both"/>
        <w:ind w:right="220" w:firstLine="374"/>
        <w:spacing w:after="0" w:line="266"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8" w:name="page59"/>
    <w:bookmarkEnd w:id="58"/>
    <w:p>
      <w:pPr>
        <w:ind w:right="20" w:firstLine="374"/>
        <w:spacing w:after="0" w:line="306" w:lineRule="auto"/>
        <w:rPr>
          <w:sz w:val="20"/>
          <w:szCs w:val="20"/>
          <w:color w:val="auto"/>
        </w:rPr>
      </w:pPr>
      <w:r>
        <w:rPr>
          <w:rFonts w:ascii="Arial" w:cs="Arial" w:eastAsia="Arial" w:hAnsi="Arial"/>
          <w:sz w:val="16"/>
          <w:szCs w:val="16"/>
          <w:color w:val="auto"/>
        </w:rPr>
        <w:t>Significant unobservable inputs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respectively.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38" w:lineRule="exact"/>
        <w:rPr>
          <w:sz w:val="20"/>
          <w:szCs w:val="20"/>
          <w:color w:val="auto"/>
        </w:rPr>
      </w:pPr>
    </w:p>
    <w:p>
      <w:pPr>
        <w:ind w:right="220" w:firstLine="374"/>
        <w:spacing w:after="0" w:line="293" w:lineRule="auto"/>
        <w:rPr>
          <w:sz w:val="20"/>
          <w:szCs w:val="20"/>
          <w:color w:val="auto"/>
        </w:rPr>
      </w:pPr>
      <w:r>
        <w:rPr>
          <w:rFonts w:ascii="Arial" w:cs="Arial" w:eastAsia="Arial" w:hAnsi="Arial"/>
          <w:sz w:val="18"/>
          <w:szCs w:val="18"/>
          <w:color w:val="auto"/>
        </w:rPr>
        <w:t>The Company’s investment in the Joint Venture- KCAP Freedom 3 LLC is carried at fair value based upon the fair value of the investments held by the Joint Venture.</w:t>
      </w:r>
    </w:p>
    <w:p>
      <w:pPr>
        <w:spacing w:after="0" w:line="62" w:lineRule="exact"/>
        <w:rPr>
          <w:sz w:val="20"/>
          <w:szCs w:val="20"/>
          <w:color w:val="auto"/>
        </w:rPr>
      </w:pPr>
    </w:p>
    <w:p>
      <w:pPr>
        <w:ind w:right="40" w:firstLine="374"/>
        <w:spacing w:after="0" w:line="324" w:lineRule="auto"/>
        <w:rPr>
          <w:sz w:val="20"/>
          <w:szCs w:val="20"/>
          <w:color w:val="auto"/>
        </w:rPr>
      </w:pPr>
      <w:r>
        <w:rPr>
          <w:rFonts w:ascii="Arial" w:cs="Arial" w:eastAsia="Arial" w:hAnsi="Arial"/>
          <w:sz w:val="17"/>
          <w:szCs w:val="17"/>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details derivative investments at September 30, 2021 and December 31, 2020: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September 30, 2021</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203"/>
        </w:trPr>
        <w:tc>
          <w:tcPr>
            <w:tcW w:w="3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88"/>
              </w:rPr>
              <w:t>Derivative assets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Realized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83"/>
        </w:trPr>
        <w:tc>
          <w:tcPr>
            <w:tcW w:w="332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Types of contracts</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Notional amounts</w:t>
            </w: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 xml:space="preserve">(liabilities) </w:t>
            </w:r>
            <w:r>
              <w:rPr>
                <w:rFonts w:ascii="Arial" w:cs="Arial" w:eastAsia="Arial" w:hAnsi="Arial"/>
                <w:sz w:val="24"/>
                <w:szCs w:val="24"/>
                <w:b w:val="1"/>
                <w:bCs w:val="1"/>
                <w:color w:val="auto"/>
                <w:w w:val="89"/>
                <w:vertAlign w:val="superscript"/>
              </w:rPr>
              <w:t>1</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gain(loss)</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Unrealized gain(loss)</w:t>
            </w:r>
          </w:p>
        </w:tc>
      </w:tr>
      <w:tr>
        <w:trPr>
          <w:trHeight w:val="250"/>
        </w:trPr>
        <w:tc>
          <w:tcPr>
            <w:tcW w:w="3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Call option</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7,656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18,054</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18,054</w:t>
            </w:r>
          </w:p>
        </w:tc>
      </w:tr>
      <w:tr>
        <w:trPr>
          <w:trHeight w:val="25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Put option</w:t>
            </w:r>
          </w:p>
        </w:tc>
        <w:tc>
          <w:tcPr>
            <w:tcW w:w="1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150,000</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Securities Swap and Option Agreement</w:t>
            </w:r>
          </w:p>
        </w:tc>
        <w:tc>
          <w:tcPr>
            <w:tcW w:w="100" w:type="dxa"/>
            <w:vAlign w:val="bottom"/>
            <w:tcBorders>
              <w:bottom w:val="single" w:sz="8" w:color="auto"/>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5,500,000</w:t>
            </w:r>
          </w:p>
        </w:tc>
        <w:tc>
          <w:tcPr>
            <w:tcW w:w="3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(2,000,145 )</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880,000</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(1,120,145 )</w:t>
            </w:r>
          </w:p>
        </w:tc>
      </w:tr>
      <w:tr>
        <w:trPr>
          <w:trHeight w:val="25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5,657,656</w:t>
            </w:r>
          </w:p>
        </w:tc>
        <w:tc>
          <w:tcPr>
            <w:tcW w:w="3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(1,982,091 )</w:t>
            </w:r>
          </w:p>
        </w:tc>
        <w:tc>
          <w:tcPr>
            <w:tcW w:w="2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880,000</w:t>
            </w:r>
          </w:p>
        </w:tc>
        <w:tc>
          <w:tcPr>
            <w:tcW w:w="2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(1,102,091 )</w:t>
            </w:r>
          </w:p>
        </w:tc>
      </w:tr>
      <w:tr>
        <w:trPr>
          <w:trHeight w:val="20"/>
        </w:trPr>
        <w:tc>
          <w:tcPr>
            <w:tcW w:w="3620" w:type="dxa"/>
            <w:vAlign w:val="bottom"/>
            <w:gridSpan w:val="2"/>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78"/>
        </w:trPr>
        <w:tc>
          <w:tcPr>
            <w:tcW w:w="5320" w:type="dxa"/>
            <w:vAlign w:val="bottom"/>
            <w:gridSpan w:val="4"/>
          </w:tcPr>
          <w:p>
            <w:pPr>
              <w:ind w:left="20"/>
              <w:spacing w:after="0"/>
              <w:rPr>
                <w:sz w:val="20"/>
                <w:szCs w:val="20"/>
                <w:color w:val="auto"/>
              </w:rPr>
            </w:pPr>
            <w:r>
              <w:rPr>
                <w:rFonts w:ascii="Arial" w:cs="Arial" w:eastAsia="Arial" w:hAnsi="Arial"/>
                <w:sz w:val="14"/>
                <w:szCs w:val="14"/>
                <w:color w:val="auto"/>
              </w:rPr>
              <w:t>(1) Net amount included in the derivative caption on the consolidated balance sheets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76"/>
        </w:trPr>
        <w:tc>
          <w:tcPr>
            <w:tcW w:w="3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2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December 31, 2020</w:t>
            </w:r>
          </w:p>
        </w:tc>
        <w:tc>
          <w:tcPr>
            <w:tcW w:w="2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spacing w:after="0"/>
              <w:rPr>
                <w:sz w:val="23"/>
                <w:szCs w:val="23"/>
                <w:color w:val="auto"/>
              </w:rPr>
            </w:pPr>
          </w:p>
        </w:tc>
      </w:tr>
      <w:tr>
        <w:trPr>
          <w:trHeight w:val="203"/>
        </w:trPr>
        <w:tc>
          <w:tcPr>
            <w:tcW w:w="3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88"/>
              </w:rPr>
              <w:t>Derivative assets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Realized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83"/>
        </w:trPr>
        <w:tc>
          <w:tcPr>
            <w:tcW w:w="332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Types of contracts</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Notional amounts</w:t>
            </w: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 xml:space="preserve">(liabilities) </w:t>
            </w:r>
            <w:r>
              <w:rPr>
                <w:rFonts w:ascii="Arial" w:cs="Arial" w:eastAsia="Arial" w:hAnsi="Arial"/>
                <w:sz w:val="24"/>
                <w:szCs w:val="24"/>
                <w:b w:val="1"/>
                <w:bCs w:val="1"/>
                <w:color w:val="auto"/>
                <w:w w:val="89"/>
                <w:vertAlign w:val="superscript"/>
              </w:rPr>
              <w:t>1</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gain(loss)</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Unrealized gain(loss)</w:t>
            </w:r>
          </w:p>
        </w:tc>
      </w:tr>
      <w:tr>
        <w:trPr>
          <w:trHeight w:val="250"/>
        </w:trPr>
        <w:tc>
          <w:tcPr>
            <w:tcW w:w="3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Call option</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7,656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12,077</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(18,532 )</w:t>
            </w:r>
          </w:p>
        </w:tc>
      </w:tr>
      <w:tr>
        <w:trPr>
          <w:trHeight w:val="25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Securities Swap and Option Agreement</w:t>
            </w: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5,500,000</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(1,120,695 )</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(1,120,695 )</w:t>
            </w:r>
          </w:p>
        </w:tc>
      </w:tr>
      <w:tr>
        <w:trPr>
          <w:trHeight w:val="290"/>
        </w:trPr>
        <w:tc>
          <w:tcPr>
            <w:tcW w:w="3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5,507,656</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(1,108,618 )</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(1,139,227 )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-1342390</wp:posOffset>
            </wp:positionV>
            <wp:extent cx="188595" cy="571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-1342390</wp:posOffset>
            </wp:positionV>
            <wp:extent cx="188595" cy="571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-1342390</wp:posOffset>
            </wp:positionV>
            <wp:extent cx="179705" cy="571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-24765</wp:posOffset>
            </wp:positionV>
            <wp:extent cx="18859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-8255</wp:posOffset>
            </wp:positionV>
            <wp:extent cx="18859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18859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18859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17970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17970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ind w:left="220" w:hanging="199"/>
        <w:spacing w:after="0"/>
        <w:tabs>
          <w:tab w:leader="none" w:pos="220" w:val="left"/>
        </w:tabs>
        <w:numPr>
          <w:ilvl w:val="1"/>
          <w:numId w:val="71"/>
        </w:numPr>
        <w:rPr>
          <w:rFonts w:ascii="Arial" w:cs="Arial" w:eastAsia="Arial" w:hAnsi="Arial"/>
          <w:sz w:val="14"/>
          <w:szCs w:val="14"/>
          <w:color w:val="auto"/>
        </w:rPr>
      </w:pPr>
      <w:r>
        <w:rPr>
          <w:rFonts w:ascii="Arial" w:cs="Arial" w:eastAsia="Arial" w:hAnsi="Arial"/>
          <w:sz w:val="14"/>
          <w:szCs w:val="14"/>
          <w:color w:val="auto"/>
        </w:rPr>
        <w:t>Net amount included in the derivative caption on the consolidated balance sheets</w:t>
      </w:r>
    </w:p>
    <w:p>
      <w:pPr>
        <w:spacing w:after="0" w:line="200" w:lineRule="exact"/>
        <w:rPr>
          <w:rFonts w:ascii="Arial" w:cs="Arial" w:eastAsia="Arial" w:hAnsi="Arial"/>
          <w:sz w:val="14"/>
          <w:szCs w:val="14"/>
          <w:color w:val="auto"/>
        </w:rPr>
      </w:pPr>
    </w:p>
    <w:p>
      <w:pPr>
        <w:spacing w:after="0" w:line="314" w:lineRule="exact"/>
        <w:rPr>
          <w:rFonts w:ascii="Arial" w:cs="Arial" w:eastAsia="Arial" w:hAnsi="Arial"/>
          <w:sz w:val="14"/>
          <w:szCs w:val="14"/>
          <w:color w:val="auto"/>
        </w:rPr>
      </w:pPr>
    </w:p>
    <w:p>
      <w:pPr>
        <w:ind w:left="360" w:hanging="352"/>
        <w:spacing w:after="0"/>
        <w:tabs>
          <w:tab w:leader="none" w:pos="3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Agreement</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Adviser provides management services to the Company pursuant to the Advisory Agreement. Under the terms of the Advisory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Adviser is responsible for the following:</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managing the Company’s assets in accordance with our investment objective, policies and restrictions;</w:t>
      </w:r>
    </w:p>
    <w:p>
      <w:pPr>
        <w:spacing w:after="0" w:line="212" w:lineRule="exact"/>
        <w:rPr>
          <w:sz w:val="20"/>
          <w:szCs w:val="20"/>
          <w:color w:val="auto"/>
        </w:rPr>
      </w:pPr>
    </w:p>
    <w:p>
      <w:pPr>
        <w:ind w:left="700" w:right="240"/>
        <w:spacing w:after="0" w:line="293" w:lineRule="auto"/>
        <w:rPr>
          <w:sz w:val="20"/>
          <w:szCs w:val="20"/>
          <w:color w:val="auto"/>
        </w:rPr>
      </w:pPr>
      <w:r>
        <w:rPr>
          <w:rFonts w:ascii="Arial" w:cs="Arial" w:eastAsia="Arial" w:hAnsi="Arial"/>
          <w:sz w:val="18"/>
          <w:szCs w:val="18"/>
          <w:color w:val="auto"/>
        </w:rPr>
        <w:t>determining the composition of the Company’s portfolio, the nature and timing of the changes to the portfolio and the manner of implementing such changes;</w:t>
      </w:r>
    </w:p>
    <w:p>
      <w:pPr>
        <w:spacing w:after="0" w:line="129" w:lineRule="exact"/>
        <w:rPr>
          <w:sz w:val="20"/>
          <w:szCs w:val="20"/>
          <w:color w:val="auto"/>
        </w:rPr>
      </w:pPr>
    </w:p>
    <w:p>
      <w:pPr>
        <w:ind w:left="700" w:right="4520"/>
        <w:spacing w:after="0" w:line="477" w:lineRule="auto"/>
        <w:rPr>
          <w:sz w:val="20"/>
          <w:szCs w:val="20"/>
          <w:color w:val="auto"/>
        </w:rPr>
      </w:pPr>
      <w:r>
        <w:rPr>
          <w:rFonts w:ascii="Arial" w:cs="Arial" w:eastAsia="Arial" w:hAnsi="Arial"/>
          <w:sz w:val="18"/>
          <w:szCs w:val="18"/>
          <w:color w:val="auto"/>
        </w:rPr>
        <w:t>identifying, evaluating and negotiating the structure of the Company’s investments; monitoring the Company’s investments;</w:t>
      </w:r>
    </w:p>
    <w:p>
      <w:pPr>
        <w:spacing w:after="0" w:line="1" w:lineRule="exact"/>
        <w:rPr>
          <w:sz w:val="20"/>
          <w:szCs w:val="20"/>
          <w:color w:val="auto"/>
        </w:rPr>
      </w:pPr>
    </w:p>
    <w:p>
      <w:pPr>
        <w:ind w:left="700" w:right="4120"/>
        <w:spacing w:after="0" w:line="469" w:lineRule="auto"/>
        <w:rPr>
          <w:sz w:val="20"/>
          <w:szCs w:val="20"/>
          <w:color w:val="auto"/>
        </w:rPr>
      </w:pPr>
      <w:r>
        <w:rPr>
          <w:rFonts w:ascii="Arial" w:cs="Arial" w:eastAsia="Arial" w:hAnsi="Arial"/>
          <w:sz w:val="18"/>
          <w:szCs w:val="18"/>
          <w:color w:val="auto"/>
        </w:rPr>
        <w:t>determining the securities and other assets that the Company will purchase, retain or sell; assisting the Board with its valuation of the Company’s assets;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directing investment professionals of the Adviser to provide managerial assistance to the Company’s portfolio companies;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performing due diligence on prospective portfolio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9" w:name="page60"/>
    <w:bookmarkEnd w:id="59"/>
    <w:p>
      <w:pPr>
        <w:ind w:left="700"/>
        <w:spacing w:after="0"/>
        <w:rPr>
          <w:sz w:val="20"/>
          <w:szCs w:val="20"/>
          <w:color w:val="auto"/>
        </w:rPr>
      </w:pPr>
      <w:r>
        <w:rPr>
          <w:rFonts w:ascii="Arial" w:cs="Arial" w:eastAsia="Arial" w:hAnsi="Arial"/>
          <w:sz w:val="18"/>
          <w:szCs w:val="18"/>
          <w:color w:val="auto"/>
        </w:rPr>
        <w:t>exercising voting rights in respect of portfolio securities and other investments for the Company;</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serving on, and exercising observer rights for, boards of directors and similar committees of our portfolio companies; and</w:t>
      </w:r>
    </w:p>
    <w:p>
      <w:pPr>
        <w:spacing w:after="0" w:line="198" w:lineRule="exact"/>
        <w:rPr>
          <w:sz w:val="20"/>
          <w:szCs w:val="20"/>
          <w:color w:val="auto"/>
        </w:rPr>
      </w:pPr>
    </w:p>
    <w:p>
      <w:pPr>
        <w:ind w:left="700" w:right="200"/>
        <w:spacing w:after="0" w:line="293" w:lineRule="auto"/>
        <w:rPr>
          <w:sz w:val="20"/>
          <w:szCs w:val="20"/>
          <w:color w:val="auto"/>
        </w:rPr>
      </w:pPr>
      <w:r>
        <w:rPr>
          <w:rFonts w:ascii="Arial" w:cs="Arial" w:eastAsia="Arial" w:hAnsi="Arial"/>
          <w:sz w:val="18"/>
          <w:szCs w:val="18"/>
          <w:color w:val="auto"/>
        </w:rPr>
        <w:t>providing the Company with such other investment advisory, research and related services as we may, from time to time, reasonably require for the investment of capital.</w:t>
      </w:r>
    </w:p>
    <w:p>
      <w:pPr>
        <w:spacing w:after="0" w:line="129" w:lineRule="exact"/>
        <w:rPr>
          <w:sz w:val="20"/>
          <w:szCs w:val="20"/>
          <w:color w:val="auto"/>
        </w:rPr>
      </w:pPr>
    </w:p>
    <w:p>
      <w:pPr>
        <w:ind w:firstLine="374"/>
        <w:spacing w:after="0" w:line="293" w:lineRule="auto"/>
        <w:rPr>
          <w:sz w:val="20"/>
          <w:szCs w:val="20"/>
          <w:color w:val="auto"/>
        </w:rPr>
      </w:pPr>
      <w:r>
        <w:rPr>
          <w:rFonts w:ascii="Arial" w:cs="Arial" w:eastAsia="Arial" w:hAnsi="Arial"/>
          <w:sz w:val="18"/>
          <w:szCs w:val="18"/>
          <w:color w:val="auto"/>
        </w:rPr>
        <w:t>The Adviser’s services under the Advisory Agreement are not exclusive, and it is free to furnish similar services to other entities so long as its services to the Company are not impaired.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w:t>
      </w:r>
    </w:p>
    <w:p>
      <w:pPr>
        <w:spacing w:after="0" w:line="198" w:lineRule="exact"/>
        <w:rPr>
          <w:sz w:val="20"/>
          <w:szCs w:val="20"/>
          <w:color w:val="auto"/>
        </w:rPr>
      </w:pPr>
    </w:p>
    <w:p>
      <w:pPr>
        <w:ind w:right="220" w:firstLine="374"/>
        <w:spacing w:after="0" w:line="324" w:lineRule="auto"/>
        <w:rPr>
          <w:sz w:val="20"/>
          <w:szCs w:val="20"/>
          <w:color w:val="auto"/>
        </w:rPr>
      </w:pPr>
      <w:r>
        <w:rPr>
          <w:rFonts w:ascii="Arial" w:cs="Arial" w:eastAsia="Arial" w:hAnsi="Arial"/>
          <w:sz w:val="17"/>
          <w:szCs w:val="17"/>
          <w:color w:val="auto"/>
        </w:rPr>
        <w:t>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p>
    <w:p>
      <w:pPr>
        <w:spacing w:after="0" w:line="107" w:lineRule="exact"/>
        <w:rPr>
          <w:sz w:val="20"/>
          <w:szCs w:val="20"/>
          <w:color w:val="auto"/>
        </w:rPr>
      </w:pPr>
    </w:p>
    <w:p>
      <w:pPr>
        <w:ind w:right="40" w:firstLine="419"/>
        <w:spacing w:after="0" w:line="290" w:lineRule="auto"/>
        <w:rPr>
          <w:sz w:val="20"/>
          <w:szCs w:val="20"/>
          <w:color w:val="auto"/>
        </w:rPr>
      </w:pPr>
      <w:r>
        <w:rPr>
          <w:rFonts w:ascii="Arial" w:cs="Arial" w:eastAsia="Arial" w:hAnsi="Arial"/>
          <w:sz w:val="17"/>
          <w:szCs w:val="17"/>
          <w:color w:val="auto"/>
        </w:rPr>
        <w:t>The Advisory Agreement will automatically terminate within the meaning of the 1940 Act and related Securities and Exchange Commission (“SEC”) guidance and interpretations in the event of its assignment. In accordance with the 1940 Act, without payment of any penalty, we may terminate the Advisory Agreement with the Adviser upon 60 days’ written notice. The decision to terminate the agreement may be made by a majority of the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Removal of Adviser</w:t>
      </w:r>
    </w:p>
    <w:p>
      <w:pPr>
        <w:spacing w:after="0" w:line="198" w:lineRule="exact"/>
        <w:rPr>
          <w:sz w:val="20"/>
          <w:szCs w:val="20"/>
          <w:color w:val="auto"/>
        </w:rPr>
      </w:pPr>
    </w:p>
    <w:p>
      <w:pPr>
        <w:ind w:right="180" w:firstLine="374"/>
        <w:spacing w:after="0" w:line="303" w:lineRule="auto"/>
        <w:rPr>
          <w:sz w:val="20"/>
          <w:szCs w:val="20"/>
          <w:color w:val="auto"/>
        </w:rPr>
      </w:pPr>
      <w:r>
        <w:rPr>
          <w:rFonts w:ascii="Arial" w:cs="Arial" w:eastAsia="Arial" w:hAnsi="Arial"/>
          <w:sz w:val="17"/>
          <w:szCs w:val="17"/>
          <w:color w:val="auto"/>
        </w:rPr>
        <w:t>The Adviser may be removed by the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Adviser</w:t>
      </w:r>
    </w:p>
    <w:p>
      <w:pPr>
        <w:spacing w:after="0" w:line="212" w:lineRule="exact"/>
        <w:rPr>
          <w:sz w:val="20"/>
          <w:szCs w:val="20"/>
          <w:color w:val="auto"/>
        </w:rPr>
      </w:pPr>
    </w:p>
    <w:p>
      <w:pPr>
        <w:ind w:right="60" w:firstLine="374"/>
        <w:spacing w:after="0" w:line="285" w:lineRule="auto"/>
        <w:rPr>
          <w:sz w:val="20"/>
          <w:szCs w:val="20"/>
          <w:color w:val="auto"/>
        </w:rPr>
      </w:pPr>
      <w:r>
        <w:rPr>
          <w:rFonts w:ascii="Arial" w:cs="Arial" w:eastAsia="Arial" w:hAnsi="Arial"/>
          <w:sz w:val="17"/>
          <w:szCs w:val="17"/>
          <w:color w:val="auto"/>
        </w:rPr>
        <w:t>Pursuant to the terms of the Advisory Agreement, the Company pays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the Company’s gross assets, excluding cash and cash equivalents, but including assets purchased with borrowed amounts, as of the end of such calendar quarter. Subsequently, the Base Management Fee will be 1.50% of the Company’s average gross assets, excluding cash and cash equivalents, but including assets purchased with borrowed amounts, at the end of the two most recently completed calendar quarters; provided, however, that the Base Management Fee will be 1.00% of the Company’s average gross assets, excluding cash and cash equivalents, but including assets purchased with borrowed amounts, that exceed the product of (i) 200% and (ii) the value of the Company’s net asset value at the end of the most recently completed calendar quarter. The Incentive Fee consists of two parts: (1) a portion based on the Company’s pre-incentive fee net investment income (the “Income-Based Fee”) and (2) a portion based on the net capital gains received on the Company’s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w:t>
      </w:r>
    </w:p>
    <w:p>
      <w:pPr>
        <w:spacing w:after="0" w:line="141" w:lineRule="exact"/>
        <w:rPr>
          <w:sz w:val="20"/>
          <w:szCs w:val="20"/>
          <w:color w:val="auto"/>
        </w:rPr>
      </w:pPr>
    </w:p>
    <w:p>
      <w:pPr>
        <w:ind w:right="60" w:firstLine="374"/>
        <w:spacing w:after="0" w:line="281" w:lineRule="auto"/>
        <w:rPr>
          <w:sz w:val="20"/>
          <w:szCs w:val="20"/>
          <w:color w:val="auto"/>
        </w:rPr>
      </w:pPr>
      <w:r>
        <w:rPr>
          <w:rFonts w:ascii="Arial" w:cs="Arial" w:eastAsia="Arial" w:hAnsi="Arial"/>
          <w:sz w:val="17"/>
          <w:szCs w:val="17"/>
          <w:color w:val="auto"/>
        </w:rPr>
        <w:t>Pre-incentive fee net investment income means dividends (including reinvested dividends), interest and fee income accrued by the Company during the calendar quarter, minus operating expenses for the quarter (including the management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 (“PIK”) interest and zero coupon securities), accrued income that the Company may not have received in cash. The Adviser is not obligated to return the incentive fee it receives on PIK interest that is later determined to be uncollectible in cash. Pre-incentive fee net investment income does not include any realized capital gains, realized capital losses or unrealized capital appreciation or depreciation.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0" w:name="page61"/>
    <w:bookmarkEnd w:id="60"/>
    <w:p>
      <w:pPr>
        <w:ind w:firstLine="374"/>
        <w:spacing w:after="0" w:line="306" w:lineRule="auto"/>
        <w:rPr>
          <w:sz w:val="20"/>
          <w:szCs w:val="20"/>
          <w:color w:val="auto"/>
        </w:rPr>
      </w:pPr>
      <w:r>
        <w:rPr>
          <w:rFonts w:ascii="Arial" w:cs="Arial" w:eastAsia="Arial" w:hAnsi="Arial"/>
          <w:sz w:val="16"/>
          <w:szCs w:val="16"/>
          <w:color w:val="auto"/>
        </w:rPr>
        <w:t>To determine the income incentive fee, pre-incentive fee net investment income is expressed as a rate of return on the value of our net assets at the end of the immediately preceding calendar quarter. Because of the structure of the incentive fee, it is possible that the Company may pay an incentive fee in a calendar quarter in which the Company incurs a loss. For example, if the Company receives pre-incentive fee net investment income in excess of the quarterly hurdle rate, the Company will pay the applicable incentive fee even if the Company has incurred a loss in that calendar quarter due to realized capital losses and unrealized capital depreciation. In addition, because the quarterly hurdle rate is calculated based on our net assets, decreases in the Company’s net assets due to realized capital losses or unrealized capital depreciation in any given calendar quarter may increase the likelihood that the hurdle rate is reached and therefore the likelihood of the Company paying an incentive fee for the subsequent quarter. The Company’s net investment income used to calculate this component of the incentive fee is also included in the amount of the Company’s gross assets used to calculate the management fee because gross assets are total assets (including cash received) before deducting liabilities (such as declared dividend payments).</w:t>
      </w:r>
    </w:p>
    <w:p>
      <w:pPr>
        <w:spacing w:after="0" w:line="130"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the Effective Date, less the aggregate amount of any previously paid capital gains incentive fee for prior periods. The Company will accrue, but will not pay, a capital gains incentive fee with respect to unrealized appreciation because a capital gains incentive fee would be owed to the Adviser if the Company were to sell the relevant investment and realize a capital gain. In no event will the capital gains incentive fee payable pursuant to the Investment Advisory Agreement be in excess of the amount permitted by the Investment Advisers Act of 1940, as amended (the “Advisers Act”) including Section 205 thereof.</w:t>
      </w:r>
    </w:p>
    <w:p>
      <w:pPr>
        <w:spacing w:after="0" w:line="126" w:lineRule="exact"/>
        <w:rPr>
          <w:sz w:val="20"/>
          <w:szCs w:val="20"/>
          <w:color w:val="auto"/>
        </w:rPr>
      </w:pPr>
    </w:p>
    <w:p>
      <w:pPr>
        <w:ind w:right="2120" w:firstLine="374"/>
        <w:spacing w:after="0" w:line="461" w:lineRule="auto"/>
        <w:rPr>
          <w:sz w:val="20"/>
          <w:szCs w:val="20"/>
          <w:color w:val="auto"/>
        </w:rPr>
      </w:pPr>
      <w:r>
        <w:rPr>
          <w:rFonts w:ascii="Arial" w:cs="Arial" w:eastAsia="Arial" w:hAnsi="Arial"/>
          <w:sz w:val="18"/>
          <w:szCs w:val="18"/>
          <w:color w:val="auto"/>
        </w:rPr>
        <w:t xml:space="preserve">The fees that are payable under the Investment Advisory Agreement for any partial period will be appropriately prorated. </w:t>
      </w:r>
      <w:r>
        <w:rPr>
          <w:rFonts w:ascii="Arial" w:cs="Arial" w:eastAsia="Arial" w:hAnsi="Arial"/>
          <w:sz w:val="18"/>
          <w:szCs w:val="18"/>
          <w:i w:val="1"/>
          <w:iCs w:val="1"/>
          <w:color w:val="auto"/>
        </w:rPr>
        <w:t>Limitations of Liability and Indemnification</w:t>
      </w:r>
    </w:p>
    <w:p>
      <w:pPr>
        <w:spacing w:after="0" w:line="1"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auto"/>
        </w:rPr>
        <w:t>Under the Advisory Agreement, the Adviser, its officers, managers, partners, agents, employees, controlling persons, members and any other person or entity affiliated with the Adviser, including without limitation its managing member, will not be liable to the Company for acts or omissions performed in accordance with and pursuant to the Advisory Agreement, except those resulting from acts constituting criminal conduct, gross negligence, willful misfeasance, bad faith or reckless disregard of the duties that the Adviser owes to the Company under the Advisory Agreement. In addition, as part of the Advisory Agreement, the Company has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Approval of the Advisory Agreement</w:t>
      </w:r>
    </w:p>
    <w:p>
      <w:pPr>
        <w:spacing w:after="0" w:line="185"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auto"/>
        </w:rPr>
        <w:t>On December 12, 2018, the then-current Board of the Company held an in-person meeting to consider and approve the Advisory Agreement and related matters, and on April 1, 2019 the Company entered into the Advisory Agreement with the Adviser. The Board most recently determined to re-approve the Advisory Agreement at a meeting held on March 11, 2021. In reaching a decision to re-approve the Advisory Agreement, the Board was provided the information required to consider the Advisory Agreement, including: (a) the nature, quality and extent of the advisory and other services to be provided to the Company by the Adviser; (b) comparative data with respect to advisory fees or similar expenses paid by other BDCs with similar investment objectives; (c) the Company projected operating expenses and expense ratio compared to BDCs with similar investment objectives; (d) any existing and potential sources of indirect income to the Adviser from its relationship with the Company and the profitability of that relationship; (e) information about the services to be performed and the personnel performing such services under the Advisory Agreement; (f) the organizational capability and financial condition of the Adviser and its affiliates; (g) the Adviser’s practices regarding the selection and compensation of brokers that may execute our portfolio transactions and the brokers’ provision of brokerage and research services to the Adviser; and (h) the possibility of obtaining similar services from other third-party service providers or continuing to operate as an internally managed BDC.</w:t>
      </w:r>
    </w:p>
    <w:p>
      <w:pPr>
        <w:spacing w:after="0" w:line="168" w:lineRule="exact"/>
        <w:rPr>
          <w:sz w:val="20"/>
          <w:szCs w:val="20"/>
          <w:color w:val="auto"/>
        </w:rPr>
      </w:pPr>
    </w:p>
    <w:p>
      <w:pPr>
        <w:ind w:right="480" w:firstLine="374"/>
        <w:spacing w:after="0" w:line="266" w:lineRule="auto"/>
        <w:rPr>
          <w:sz w:val="20"/>
          <w:szCs w:val="20"/>
          <w:color w:val="auto"/>
        </w:rPr>
      </w:pPr>
      <w:r>
        <w:rPr>
          <w:rFonts w:ascii="Arial" w:cs="Arial" w:eastAsia="Arial" w:hAnsi="Arial"/>
          <w:sz w:val="18"/>
          <w:szCs w:val="18"/>
          <w:color w:val="auto"/>
        </w:rPr>
        <w:t>The Board, including a majority of independent directors oversee and monitor the Company’s investment performance and, annually review the compensation we pay to the Adviser.</w:t>
      </w:r>
    </w:p>
    <w:p>
      <w:pPr>
        <w:spacing w:after="0" w:line="1" w:lineRule="exact"/>
        <w:rPr>
          <w:sz w:val="20"/>
          <w:szCs w:val="20"/>
          <w:color w:val="auto"/>
        </w:rPr>
      </w:pPr>
    </w:p>
    <w:p>
      <w:pPr>
        <w:ind w:right="180" w:firstLine="419"/>
        <w:spacing w:after="0" w:line="266" w:lineRule="auto"/>
        <w:rPr>
          <w:sz w:val="20"/>
          <w:szCs w:val="20"/>
          <w:color w:val="auto"/>
        </w:rPr>
      </w:pPr>
      <w:r>
        <w:rPr>
          <w:rFonts w:ascii="Arial" w:cs="Arial" w:eastAsia="Arial" w:hAnsi="Arial"/>
          <w:sz w:val="18"/>
          <w:szCs w:val="18"/>
          <w:color w:val="auto"/>
        </w:rPr>
        <w:t>Management fees for the three months ended September 30, 2021 and 2020, were approximately $2.1 million and $1.0 million, respectively. Incentive fees earned during the three months ended September 30, 2021 were approximately $1.9 million, none of which were waived pursuant to the Externalization Agreement. Incentive fees earned during the three months ended September 30, 2020 were approximately $572 thousand, none of which were waived pursuant to the Externalization Agreement.</w:t>
      </w:r>
    </w:p>
    <w:p>
      <w:pPr>
        <w:ind w:right="60" w:firstLine="374"/>
        <w:spacing w:after="0" w:line="266" w:lineRule="auto"/>
        <w:rPr>
          <w:sz w:val="20"/>
          <w:szCs w:val="20"/>
          <w:color w:val="auto"/>
        </w:rPr>
      </w:pPr>
      <w:r>
        <w:rPr>
          <w:rFonts w:ascii="Arial" w:cs="Arial" w:eastAsia="Arial" w:hAnsi="Arial"/>
          <w:sz w:val="18"/>
          <w:szCs w:val="18"/>
          <w:color w:val="auto"/>
        </w:rPr>
        <w:t>Management fees for the nine months ended September 30, 2021 and 2020, were approximately $5.8 million and $3.1 million, respectively. Incentive fees earned during the nine months ended September 30, 2021 were approximately $6.3 million, none of which</w:t>
      </w: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1" w:name="page62"/>
    <w:bookmarkEnd w:id="61"/>
    <w:p>
      <w:pPr>
        <w:ind w:right="340"/>
        <w:spacing w:after="0" w:line="293" w:lineRule="auto"/>
        <w:rPr>
          <w:sz w:val="20"/>
          <w:szCs w:val="20"/>
          <w:color w:val="auto"/>
        </w:rPr>
      </w:pPr>
      <w:r>
        <w:rPr>
          <w:rFonts w:ascii="Arial" w:cs="Arial" w:eastAsia="Arial" w:hAnsi="Arial"/>
          <w:sz w:val="18"/>
          <w:szCs w:val="18"/>
          <w:color w:val="auto"/>
        </w:rPr>
        <w:t>were waived pursuant to the Externalization Agreement. Incentive fees earned during the nine months ended September 30, 2020 were approximately $1.1 million, of which $557 thousand were waived pursuant to the Externalization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131" w:lineRule="exact"/>
        <w:rPr>
          <w:sz w:val="20"/>
          <w:szCs w:val="20"/>
          <w:color w:val="auto"/>
        </w:rPr>
      </w:pPr>
    </w:p>
    <w:p>
      <w:pPr>
        <w:ind w:right="140" w:firstLine="374"/>
        <w:spacing w:after="0" w:line="288" w:lineRule="auto"/>
        <w:rPr>
          <w:sz w:val="20"/>
          <w:szCs w:val="20"/>
          <w:color w:val="auto"/>
        </w:rPr>
      </w:pPr>
      <w:r>
        <w:rPr>
          <w:rFonts w:ascii="Arial" w:cs="Arial" w:eastAsia="Arial" w:hAnsi="Arial"/>
          <w:sz w:val="17"/>
          <w:szCs w:val="17"/>
          <w:color w:val="auto"/>
        </w:rPr>
        <w:t>Under the terms of the administration agreement (the “Administration Agreement”) between the Company and BC Partners Management LLC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The Company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the Company will reimburse the Administrator for any services performed for it by such affiliate or third party.</w:t>
      </w:r>
    </w:p>
    <w:p>
      <w:pPr>
        <w:spacing w:after="0" w:line="73" w:lineRule="exact"/>
        <w:rPr>
          <w:sz w:val="20"/>
          <w:szCs w:val="20"/>
          <w:color w:val="auto"/>
        </w:rPr>
      </w:pPr>
    </w:p>
    <w:p>
      <w:pPr>
        <w:ind w:right="160" w:firstLine="374"/>
        <w:spacing w:after="0" w:line="271" w:lineRule="auto"/>
        <w:rPr>
          <w:sz w:val="20"/>
          <w:szCs w:val="20"/>
          <w:color w:val="auto"/>
        </w:rPr>
      </w:pPr>
      <w:r>
        <w:rPr>
          <w:rFonts w:ascii="Arial" w:cs="Arial" w:eastAsia="Arial" w:hAnsi="Arial"/>
          <w:sz w:val="18"/>
          <w:szCs w:val="18"/>
          <w:color w:val="auto"/>
        </w:rPr>
        <w:t>Payments under the Administration Agreement are equal to an amount that reimburses the Administrator for its costs and expenses in performing its obligations and providing personnel and facilities (including rent, office equipment and utilities) for the Company’s use under the Administration Agreement, including an allocable portion of the compensation paid to the Company’s chief compliance officer and chief financial officer and their respective staff who provide services to the Company. The Board, including the independent directors, will review the general nature of the services provided by the Administrator as well as the related cost to the Company for those services and consider whether the cost is reasonable in light of the services provided.</w:t>
      </w:r>
    </w:p>
    <w:p>
      <w:pPr>
        <w:spacing w:after="0" w:line="83" w:lineRule="exact"/>
        <w:rPr>
          <w:sz w:val="20"/>
          <w:szCs w:val="20"/>
          <w:color w:val="auto"/>
        </w:rPr>
      </w:pPr>
    </w:p>
    <w:p>
      <w:pPr>
        <w:ind w:right="80" w:firstLine="374"/>
        <w:spacing w:after="0" w:line="275" w:lineRule="auto"/>
        <w:rPr>
          <w:sz w:val="20"/>
          <w:szCs w:val="20"/>
          <w:color w:val="auto"/>
        </w:rPr>
      </w:pPr>
      <w:r>
        <w:rPr>
          <w:rFonts w:ascii="Arial" w:cs="Arial" w:eastAsia="Arial" w:hAnsi="Arial"/>
          <w:sz w:val="18"/>
          <w:szCs w:val="18"/>
          <w:color w:val="auto"/>
        </w:rPr>
        <w:t>Unless earlier terminated as described below, the Administration Agreement will remain in effect from year-to-year if approved annually by a majority of the Board or by the holders of a Majority of the Outstanding Shares, and, in each case, a majority of the independent directors. On April 1, 2019, the Board approved the Administration Agreement with the Administrator and the Board most recently determined to re-approve the Administration Agreement at a meeting held on March 11, 2021.</w:t>
      </w:r>
    </w:p>
    <w:p>
      <w:pPr>
        <w:spacing w:after="0" w:line="77" w:lineRule="exact"/>
        <w:rPr>
          <w:sz w:val="20"/>
          <w:szCs w:val="20"/>
          <w:color w:val="auto"/>
        </w:rPr>
      </w:pPr>
    </w:p>
    <w:p>
      <w:pPr>
        <w:ind w:firstLine="419"/>
        <w:spacing w:after="0" w:line="279" w:lineRule="auto"/>
        <w:rPr>
          <w:sz w:val="20"/>
          <w:szCs w:val="20"/>
          <w:color w:val="auto"/>
        </w:rPr>
      </w:pPr>
      <w:r>
        <w:rPr>
          <w:rFonts w:ascii="Arial" w:cs="Arial" w:eastAsia="Arial" w:hAnsi="Arial"/>
          <w:sz w:val="18"/>
          <w:szCs w:val="18"/>
          <w:color w:val="auto"/>
        </w:rPr>
        <w:t>The Company may terminate the Administration Agreement, without payment of any penalty, upon 60 days’ written notice. The decision to terminate the agreement may be made by a majority of the Board or the stockholders holding a Majority of the Outstanding Shares. In addition, the Adviser may terminate the Administration Agreement, without payment of any penalty, upon 60 days’ written notice.</w:t>
      </w:r>
    </w:p>
    <w:p>
      <w:pPr>
        <w:spacing w:after="0" w:line="156" w:lineRule="exact"/>
        <w:rPr>
          <w:sz w:val="20"/>
          <w:szCs w:val="20"/>
          <w:color w:val="auto"/>
        </w:rPr>
      </w:pPr>
    </w:p>
    <w:p>
      <w:pPr>
        <w:ind w:firstLine="374"/>
        <w:spacing w:after="0" w:line="279" w:lineRule="auto"/>
        <w:rPr>
          <w:sz w:val="20"/>
          <w:szCs w:val="20"/>
          <w:color w:val="auto"/>
        </w:rPr>
      </w:pPr>
      <w:r>
        <w:rPr>
          <w:rFonts w:ascii="Arial" w:cs="Arial" w:eastAsia="Arial" w:hAnsi="Arial"/>
          <w:sz w:val="18"/>
          <w:szCs w:val="18"/>
          <w:color w:val="auto"/>
        </w:rPr>
        <w:t>The Company incurred $0.8 million and $2.1 million, respectively, of Administrative services expense for the three and nine months ended September 30, 2021. The Company incurred $0.5 million and $1.4 million, respectively, of Administrative services expense for the three and nine months ended September 30,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Expenses under the Advisory and Administration Agreements</w:t>
      </w:r>
    </w:p>
    <w:p>
      <w:pPr>
        <w:spacing w:after="0" w:line="198" w:lineRule="exact"/>
        <w:rPr>
          <w:sz w:val="20"/>
          <w:szCs w:val="20"/>
          <w:color w:val="auto"/>
        </w:rPr>
      </w:pPr>
    </w:p>
    <w:p>
      <w:pPr>
        <w:ind w:firstLine="374"/>
        <w:spacing w:after="0" w:line="269" w:lineRule="auto"/>
        <w:rPr>
          <w:sz w:val="20"/>
          <w:szCs w:val="20"/>
          <w:color w:val="auto"/>
        </w:rPr>
      </w:pPr>
      <w:r>
        <w:rPr>
          <w:rFonts w:ascii="Arial" w:cs="Arial" w:eastAsia="Arial" w:hAnsi="Arial"/>
          <w:sz w:val="18"/>
          <w:szCs w:val="18"/>
          <w:color w:val="auto"/>
        </w:rPr>
        <w:t>Except as specifically provided below, all investment professionals and staffs of the Adviser, when and to the extent engaged in providing investment advisory and management services to the Company, and the compensation and routine overhead expenses (including rent, office equipment and utilities), of such personnel allocable to such services, is provided and paid for by the Adviser. The Company bears an allocable portion of the compensation paid by the Adviser (or its affiliates) to the Company’s chief compliance officer and chief financial officer and their respective staffs (based on a percentage of time such individuals devote, on an estimated basis, to our business affairs). The Company also bears all other costs and expenses of our operations, administration and transactions, including, but not limited to (i) investment advisory fees, including management fees and incentive fees, to the Adviser, pursuant to the Advisory Agreement; (ii) an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cost of calculating the Company’s net asset value, including the cost of any third-party valuation services;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cost of effecting any sales and repurchases of the Company’s common stock and other securities;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fees and expenses payable under any dealer manager or placement agent agreements, if any;</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administration fees payable under the Administration Agreement and any sub-administration agreements, including related expenses;</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debt service and other costs of borrowings or other financing arrangements;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costs of hedging;</w:t>
      </w:r>
    </w:p>
    <w:p>
      <w:pPr>
        <w:spacing w:after="0" w:line="212" w:lineRule="exact"/>
        <w:rPr>
          <w:sz w:val="20"/>
          <w:szCs w:val="20"/>
          <w:color w:val="auto"/>
        </w:rPr>
      </w:pPr>
    </w:p>
    <w:p>
      <w:pPr>
        <w:ind w:left="700" w:right="460"/>
        <w:spacing w:after="0" w:line="266" w:lineRule="auto"/>
        <w:rPr>
          <w:sz w:val="20"/>
          <w:szCs w:val="20"/>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2" w:name="page63"/>
    <w:bookmarkEnd w:id="62"/>
    <w:p>
      <w:pPr>
        <w:ind w:left="700"/>
        <w:spacing w:after="0"/>
        <w:rPr>
          <w:sz w:val="20"/>
          <w:szCs w:val="20"/>
          <w:color w:val="auto"/>
        </w:rPr>
      </w:pPr>
      <w:r>
        <w:rPr>
          <w:rFonts w:ascii="Arial" w:cs="Arial" w:eastAsia="Arial" w:hAnsi="Arial"/>
          <w:sz w:val="18"/>
          <w:szCs w:val="18"/>
          <w:color w:val="auto"/>
        </w:rPr>
        <w:t>transfer agent and custodial fees;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fees and expenses associated with marketing efforts;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federal, state and local taxes;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independent directors’ fees and expenses including certain travel expenses;</w:t>
      </w:r>
    </w:p>
    <w:p>
      <w:pPr>
        <w:spacing w:after="0" w:line="198" w:lineRule="exact"/>
        <w:rPr>
          <w:sz w:val="20"/>
          <w:szCs w:val="20"/>
          <w:color w:val="auto"/>
        </w:rPr>
      </w:pPr>
    </w:p>
    <w:p>
      <w:pPr>
        <w:ind w:left="700"/>
        <w:spacing w:after="0" w:line="279" w:lineRule="auto"/>
        <w:rPr>
          <w:sz w:val="20"/>
          <w:szCs w:val="20"/>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142" w:lineRule="exact"/>
        <w:rPr>
          <w:sz w:val="20"/>
          <w:szCs w:val="20"/>
          <w:color w:val="auto"/>
        </w:rPr>
      </w:pPr>
    </w:p>
    <w:p>
      <w:pPr>
        <w:ind w:left="700" w:right="160"/>
        <w:spacing w:after="0" w:line="324" w:lineRule="auto"/>
        <w:rPr>
          <w:sz w:val="20"/>
          <w:szCs w:val="20"/>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commissions and other compensation payable to brokers or dealers;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research and market data;</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fees and expenses associated with independent audits, outside legal and consulting costs;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costs of winding up our affairs;</w:t>
      </w:r>
    </w:p>
    <w:p>
      <w:pPr>
        <w:spacing w:after="0" w:line="212" w:lineRule="exact"/>
        <w:rPr>
          <w:sz w:val="20"/>
          <w:szCs w:val="20"/>
          <w:color w:val="auto"/>
        </w:rPr>
      </w:pPr>
    </w:p>
    <w:p>
      <w:pPr>
        <w:ind w:left="700" w:right="400"/>
        <w:spacing w:after="0" w:line="293" w:lineRule="auto"/>
        <w:rPr>
          <w:sz w:val="20"/>
          <w:szCs w:val="20"/>
          <w:color w:val="auto"/>
        </w:rPr>
      </w:pPr>
      <w:r>
        <w:rPr>
          <w:rFonts w:ascii="Arial" w:cs="Arial" w:eastAsia="Arial" w:hAnsi="Arial"/>
          <w:sz w:val="18"/>
          <w:szCs w:val="18"/>
          <w:color w:val="auto"/>
        </w:rPr>
        <w:t>costs incurred by either the Administrator or us in connection with administering our business, including payments under the Administration Agreement;</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extraordinary expenses (such as litigation or indemnification);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costs associated with reporting and compliance obligations under the 1940 Act and applicable federal and state securities laws; and</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costs associated with the Company’s legacy lease;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Co-investment Exemptive Relief</w:t>
      </w:r>
    </w:p>
    <w:p>
      <w:pPr>
        <w:spacing w:after="0" w:line="198" w:lineRule="exact"/>
        <w:rPr>
          <w:sz w:val="20"/>
          <w:szCs w:val="20"/>
          <w:color w:val="auto"/>
        </w:rPr>
      </w:pPr>
    </w:p>
    <w:p>
      <w:pPr>
        <w:ind w:right="120" w:firstLine="374"/>
        <w:spacing w:after="0" w:line="270" w:lineRule="auto"/>
        <w:rPr>
          <w:sz w:val="20"/>
          <w:szCs w:val="20"/>
          <w:color w:val="auto"/>
        </w:rPr>
      </w:pPr>
      <w:r>
        <w:rPr>
          <w:rFonts w:ascii="Arial" w:cs="Arial" w:eastAsia="Arial" w:hAnsi="Arial"/>
          <w:sz w:val="17"/>
          <w:szCs w:val="17"/>
          <w:color w:val="auto"/>
        </w:rPr>
        <w:t>As a BDC, the Company is subject to certain regulatory restrictions in making its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w:t>
      </w:r>
    </w:p>
    <w:p>
      <w:pPr>
        <w:spacing w:after="0" w:line="272" w:lineRule="exact"/>
        <w:rPr>
          <w:sz w:val="20"/>
          <w:szCs w:val="20"/>
          <w:color w:val="auto"/>
        </w:rPr>
      </w:pPr>
    </w:p>
    <w:p>
      <w:pPr>
        <w:ind w:right="20" w:firstLine="374"/>
        <w:spacing w:after="0" w:line="287" w:lineRule="auto"/>
        <w:rPr>
          <w:sz w:val="20"/>
          <w:szCs w:val="20"/>
          <w:color w:val="auto"/>
        </w:rPr>
      </w:pPr>
      <w:r>
        <w:rPr>
          <w:rFonts w:ascii="Arial" w:cs="Arial" w:eastAsia="Arial" w:hAnsi="Arial"/>
          <w:sz w:val="17"/>
          <w:szCs w:val="17"/>
          <w:color w:val="auto"/>
        </w:rPr>
        <w:t>On October 23, 2018, the SEC issued an order granting an application for exemptive relief to an affiliate of the Adviser that allows BDCs managed by the Adviser, including the Company, to co-invest, subject to the satisfaction of certain conditions, in certain private placement transactions, with other funds managed by the Advisers or its affiliates, including BCP Special Opportunities Fund I LP, BCP Special Opportunities Fund II LP, Logan Ridge Finance Corporation, BC Partners Lending Corporation and any future funds that are advised by the Adviser or its affiliated investment advisers. Under the terms of the exemptive order, in order for the Company to participate in a co-investment transaction a “required majority” (as defined in Section 57(o)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r>
              <w:rPr>
                <w:rFonts w:ascii="Arial" w:cs="Arial" w:eastAsia="Arial" w:hAnsi="Arial"/>
                <w:sz w:val="18"/>
                <w:szCs w:val="18"/>
                <w:b w:val="1"/>
                <w:bCs w:val="1"/>
                <w:color w:val="auto"/>
              </w:rPr>
              <w:t>6.   BORROWINGS</w:t>
            </w: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5"/>
        </w:trPr>
        <w:tc>
          <w:tcPr>
            <w:tcW w:w="7140" w:type="dxa"/>
            <w:vAlign w:val="bottom"/>
          </w:tcPr>
          <w:p>
            <w:pPr>
              <w:ind w:left="380"/>
              <w:spacing w:after="0"/>
              <w:rPr>
                <w:sz w:val="20"/>
                <w:szCs w:val="20"/>
                <w:color w:val="auto"/>
              </w:rPr>
            </w:pPr>
            <w:r>
              <w:rPr>
                <w:rFonts w:ascii="Arial" w:cs="Arial" w:eastAsia="Arial" w:hAnsi="Arial"/>
                <w:sz w:val="18"/>
                <w:szCs w:val="18"/>
                <w:color w:val="auto"/>
              </w:rPr>
              <w:t>The Company’s debt obligations consist of the following:</w:t>
            </w: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7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40" w:type="dxa"/>
            <w:vAlign w:val="bottom"/>
          </w:tcPr>
          <w:p>
            <w:pPr>
              <w:jc w:val="right"/>
              <w:ind w:right="710"/>
              <w:spacing w:after="0"/>
              <w:rPr>
                <w:sz w:val="20"/>
                <w:szCs w:val="20"/>
                <w:color w:val="auto"/>
              </w:rPr>
            </w:pPr>
            <w:r>
              <w:rPr>
                <w:rFonts w:ascii="Arial" w:cs="Arial" w:eastAsia="Arial" w:hAnsi="Arial"/>
                <w:sz w:val="18"/>
                <w:szCs w:val="18"/>
                <w:b w:val="1"/>
                <w:bCs w:val="1"/>
                <w:color w:val="auto"/>
              </w:rPr>
              <w:t>As of</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center"/>
              <w:ind w:right="270"/>
              <w:spacing w:after="0"/>
              <w:rPr>
                <w:sz w:val="20"/>
                <w:szCs w:val="20"/>
                <w:color w:val="auto"/>
              </w:rPr>
            </w:pPr>
            <w:r>
              <w:rPr>
                <w:rFonts w:ascii="Arial" w:cs="Arial" w:eastAsia="Arial" w:hAnsi="Arial"/>
                <w:sz w:val="18"/>
                <w:szCs w:val="18"/>
                <w:b w:val="1"/>
                <w:bCs w:val="1"/>
                <w:color w:val="auto"/>
                <w:w w:val="88"/>
              </w:rPr>
              <w:t>As of</w:t>
            </w:r>
          </w:p>
        </w:tc>
      </w:tr>
      <w:tr>
        <w:trPr>
          <w:trHeight w:val="481"/>
        </w:trPr>
        <w:tc>
          <w:tcPr>
            <w:tcW w:w="7140" w:type="dxa"/>
            <w:vAlign w:val="bottom"/>
          </w:tcPr>
          <w:p>
            <w:pPr>
              <w:spacing w:after="0"/>
              <w:rPr>
                <w:sz w:val="24"/>
                <w:szCs w:val="24"/>
                <w:color w:val="auto"/>
              </w:rPr>
            </w:pPr>
          </w:p>
        </w:tc>
        <w:tc>
          <w:tcPr>
            <w:tcW w:w="19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714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340" w:type="dxa"/>
            <w:vAlign w:val="bottom"/>
          </w:tcPr>
          <w:p>
            <w:pPr>
              <w:jc w:val="right"/>
              <w:ind w:right="9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2020</w:t>
            </w:r>
          </w:p>
        </w:tc>
      </w:tr>
      <w:tr>
        <w:trPr>
          <w:trHeight w:val="270"/>
        </w:trPr>
        <w:tc>
          <w:tcPr>
            <w:tcW w:w="714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r>
      <w:tr>
        <w:trPr>
          <w:trHeight w:val="250"/>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2018-2 Secured Notes (net of discount of: 2021 - $1,446,983; 2020 - $2,444,512)</w:t>
            </w:r>
          </w:p>
        </w:tc>
        <w:tc>
          <w:tcPr>
            <w:tcW w:w="5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162,415,715</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249,418,186</w:t>
            </w:r>
          </w:p>
        </w:tc>
      </w:tr>
      <w:tr>
        <w:trPr>
          <w:trHeight w:val="242"/>
        </w:trPr>
        <w:tc>
          <w:tcPr>
            <w:tcW w:w="7140" w:type="dxa"/>
            <w:vAlign w:val="bottom"/>
          </w:tcPr>
          <w:p>
            <w:pPr>
              <w:ind w:left="20"/>
              <w:spacing w:after="0"/>
              <w:rPr>
                <w:sz w:val="20"/>
                <w:szCs w:val="20"/>
                <w:color w:val="auto"/>
              </w:rPr>
            </w:pPr>
            <w:r>
              <w:rPr>
                <w:rFonts w:ascii="Arial" w:cs="Arial" w:eastAsia="Arial" w:hAnsi="Arial"/>
                <w:sz w:val="18"/>
                <w:szCs w:val="18"/>
                <w:color w:val="auto"/>
                <w:w w:val="94"/>
              </w:rPr>
              <w:t>4.875% Notes Due 2026 (net of discount of: 2021 - $2,266,656; 2020 - $0, net of offering costs</w:t>
            </w:r>
          </w:p>
        </w:tc>
        <w:tc>
          <w:tcPr>
            <w:tcW w:w="5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color w:val="auto"/>
              </w:rPr>
              <w:t>of: 2021 - $948,071; 2020 - $0)</w:t>
            </w:r>
          </w:p>
        </w:tc>
        <w:tc>
          <w:tcPr>
            <w:tcW w:w="58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104,785,273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9"/>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Great Lakes Portman Ridge Funding LLC Revolving Credit Facility (net of offering costs of:</w:t>
            </w:r>
          </w:p>
        </w:tc>
        <w:tc>
          <w:tcPr>
            <w:tcW w:w="5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r>
      <w:tr>
        <w:trPr>
          <w:trHeight w:val="244"/>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2021 - $823,375; 2020 - $1,097,815)</w:t>
            </w:r>
          </w:p>
        </w:tc>
        <w:tc>
          <w:tcPr>
            <w:tcW w:w="58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68,247,523</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48,223,083</w:t>
            </w:r>
          </w:p>
        </w:tc>
      </w:tr>
      <w:tr>
        <w:trPr>
          <w:trHeight w:val="507"/>
        </w:trPr>
        <w:tc>
          <w:tcPr>
            <w:tcW w:w="7140" w:type="dxa"/>
            <w:vAlign w:val="bottom"/>
          </w:tcPr>
          <w:p>
            <w:pPr>
              <w:ind w:left="20"/>
              <w:spacing w:after="0"/>
              <w:rPr>
                <w:sz w:val="20"/>
                <w:szCs w:val="20"/>
                <w:color w:val="auto"/>
              </w:rPr>
            </w:pPr>
            <w:r>
              <w:rPr>
                <w:rFonts w:ascii="Arial" w:cs="Arial" w:eastAsia="Arial" w:hAnsi="Arial"/>
                <w:sz w:val="18"/>
                <w:szCs w:val="18"/>
                <w:color w:val="auto"/>
              </w:rPr>
              <w:t>6.125% Notes Due 2022 (net of offering costs of: 2020 - $1,058,351)</w:t>
            </w: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75,667,624</w:t>
            </w:r>
          </w:p>
        </w:tc>
      </w:tr>
      <w:tr>
        <w:trPr>
          <w:trHeight w:val="290"/>
        </w:trPr>
        <w:tc>
          <w:tcPr>
            <w:tcW w:w="714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335,448,511</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373,308,893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-24765</wp:posOffset>
            </wp:positionV>
            <wp:extent cx="12001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12001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36"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September 30, 2021 was 3.2% and 6.1 years, respectively, and as of December 31, 2020 were 3.0% and 6.7 years, respectively.</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Notes Offering</w:t>
      </w:r>
    </w:p>
    <w:p>
      <w:pPr>
        <w:spacing w:after="0" w:line="252" w:lineRule="exact"/>
        <w:rPr>
          <w:sz w:val="20"/>
          <w:szCs w:val="20"/>
          <w:color w:val="auto"/>
        </w:rPr>
      </w:pPr>
    </w:p>
    <w:p>
      <w:pPr>
        <w:ind w:right="140" w:firstLine="374"/>
        <w:spacing w:after="0" w:line="290" w:lineRule="auto"/>
        <w:rPr>
          <w:sz w:val="20"/>
          <w:szCs w:val="20"/>
          <w:color w:val="auto"/>
        </w:rPr>
      </w:pPr>
      <w:r>
        <w:rPr>
          <w:rFonts w:ascii="Arial" w:cs="Arial" w:eastAsia="Arial" w:hAnsi="Arial"/>
          <w:sz w:val="17"/>
          <w:szCs w:val="17"/>
          <w:color w:val="auto"/>
        </w:rPr>
        <w:t>On April 30, 2021, the Company issued $80,000,000 in aggregate principal amount of unsecured 4.875% Notes due 2026 (the “4.875% Notes due 2026”) in a private placement exempt from registration under the Section 4(a)(2) of the Securities Act. The 4.875% Notes due 2026 have not been registered under the Securities Act or any state securities laws and may not be reoffered or resold in the United States absent registration or an applicable exemption from such registration requirements. The net proceeds to the Company were approximately $77.7 million, after deducting estimated offering expenses. The Company used the net proceeds of the offering to redeem in full its 6.125% Notes due 2022, to make investments in portfolio companies in accordance with its investment objectives, and for general corporate purposes.</w:t>
      </w:r>
    </w:p>
    <w:p>
      <w:pPr>
        <w:spacing w:after="0" w:line="189" w:lineRule="exact"/>
        <w:rPr>
          <w:sz w:val="20"/>
          <w:szCs w:val="20"/>
          <w:color w:val="auto"/>
        </w:rPr>
      </w:pPr>
    </w:p>
    <w:p>
      <w:pPr>
        <w:ind w:firstLine="374"/>
        <w:spacing w:after="0" w:line="275" w:lineRule="auto"/>
        <w:rPr>
          <w:sz w:val="20"/>
          <w:szCs w:val="20"/>
          <w:color w:val="auto"/>
        </w:rPr>
      </w:pPr>
      <w:r>
        <w:rPr>
          <w:rFonts w:ascii="Arial" w:cs="Arial" w:eastAsia="Arial" w:hAnsi="Arial"/>
          <w:sz w:val="18"/>
          <w:szCs w:val="18"/>
          <w:color w:val="auto"/>
        </w:rPr>
        <w:t>On April 30, 2021, the Company and U.S. Bank National Association (the “Trustee”) entered into a Supplemental Indenture (the “Third Supplemental Indenture”), which supplements that certain Base Indenture, dated as of October 10, 2012 (as may be further amended, supplemented or otherwise modified from time to time, the “Base Indenture” and, together with the Third Supplemental Indenture, the “Indenture”). The Third Supplemental Indenture relates to the Company’s issuance of the 4.875% Notes due 2026.</w:t>
      </w:r>
    </w:p>
    <w:p>
      <w:pPr>
        <w:spacing w:after="0" w:line="199"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The 4.875% Notes due 2026 will mature on April 30, 2026 and may be redeemed in whole or in part at the Company’s option at any time or from time to time at the redemption prices set forth in the Indenture and bear interest at a rate of 4.875% per year payable semi-annually on March 16 and September 16 of each year, commencing on September 16, 2021. The 4.875% Notes due 2026 are general unsecured obligations of the Company that rank senior in right of payment to all of the Company’s existing and future indebtedness that is expressly subordinated in right of payment to the 4.875% Notes due 2026,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spacing w:after="0" w:line="195" w:lineRule="exact"/>
        <w:rPr>
          <w:sz w:val="20"/>
          <w:szCs w:val="20"/>
          <w:color w:val="auto"/>
        </w:rPr>
      </w:pPr>
    </w:p>
    <w:p>
      <w:pPr>
        <w:jc w:val="both"/>
        <w:ind w:right="300" w:firstLine="374"/>
        <w:spacing w:after="0" w:line="299" w:lineRule="auto"/>
        <w:rPr>
          <w:sz w:val="20"/>
          <w:szCs w:val="20"/>
          <w:color w:val="auto"/>
        </w:rPr>
      </w:pPr>
      <w:r>
        <w:rPr>
          <w:rFonts w:ascii="Arial" w:cs="Arial" w:eastAsia="Arial" w:hAnsi="Arial"/>
          <w:sz w:val="16"/>
          <w:szCs w:val="16"/>
          <w:color w:val="auto"/>
        </w:rPr>
        <w:t>The Indenture contains certain covenants, including covenants requiring the Company to comply with the asset coverage requirements of Sections 18(a)(1)(A) and 18(a)(1)(B) as modified by Section 61(a)(2) of the 1940 Act, whether or not it is subject to those requirements, and to provide financial information to the holders of the Notes and the Trustee if the Company is no longer subject to the reporting requirements under the Exchange Act.</w:t>
      </w:r>
    </w:p>
    <w:p>
      <w:pPr>
        <w:spacing w:after="0" w:line="2" w:lineRule="exact"/>
        <w:rPr>
          <w:sz w:val="20"/>
          <w:szCs w:val="20"/>
          <w:color w:val="auto"/>
        </w:rPr>
      </w:pPr>
    </w:p>
    <w:p>
      <w:pPr>
        <w:ind w:right="180"/>
        <w:spacing w:after="0" w:line="358" w:lineRule="auto"/>
        <w:rPr>
          <w:sz w:val="20"/>
          <w:szCs w:val="20"/>
          <w:color w:val="auto"/>
        </w:rPr>
      </w:pPr>
      <w:r>
        <w:rPr>
          <w:rFonts w:ascii="Arial" w:cs="Arial" w:eastAsia="Arial" w:hAnsi="Arial"/>
          <w:sz w:val="16"/>
          <w:szCs w:val="16"/>
          <w:color w:val="auto"/>
        </w:rPr>
        <w:t>Additionally, the Company has agreed to use its commercially reasonable efforts to maintain a rating of the 4.875% Notes due 2026 from a rating agency, as long as the notes are outstanding. These covenants are subject to important limitations and exceptions that are described in the Indenture.</w:t>
      </w:r>
    </w:p>
    <w:p>
      <w:pPr>
        <w:spacing w:after="0" w:line="139" w:lineRule="exact"/>
        <w:rPr>
          <w:sz w:val="20"/>
          <w:szCs w:val="20"/>
          <w:color w:val="auto"/>
        </w:rPr>
      </w:pPr>
    </w:p>
    <w:p>
      <w:pPr>
        <w:jc w:val="both"/>
        <w:ind w:right="80" w:firstLine="374"/>
        <w:spacing w:after="0" w:line="279" w:lineRule="auto"/>
        <w:rPr>
          <w:sz w:val="20"/>
          <w:szCs w:val="20"/>
          <w:color w:val="auto"/>
        </w:rPr>
      </w:pPr>
      <w:r>
        <w:rPr>
          <w:rFonts w:ascii="Arial" w:cs="Arial" w:eastAsia="Arial" w:hAnsi="Arial"/>
          <w:sz w:val="18"/>
          <w:szCs w:val="18"/>
          <w:color w:val="auto"/>
        </w:rPr>
        <w:t>In addition, on the occurrence of a “change of control repurchase event,” as defined in the Indenture, the Company will generally be required to make an offer to purchase the outstanding notes at a price equal to 100% of the principal amount of such notes plus accrued and unpaid interest to the repurchase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p>
      <w:pPr>
        <w:ind w:left="380"/>
        <w:spacing w:after="0"/>
        <w:rPr>
          <w:sz w:val="20"/>
          <w:szCs w:val="20"/>
          <w:color w:val="auto"/>
        </w:rPr>
      </w:pPr>
      <w:r>
        <w:rPr>
          <w:rFonts w:ascii="Arial" w:cs="Arial" w:eastAsia="Arial" w:hAnsi="Arial"/>
          <w:sz w:val="18"/>
          <w:szCs w:val="18"/>
          <w:i w:val="1"/>
          <w:iCs w:val="1"/>
          <w:color w:val="auto"/>
        </w:rPr>
        <w:t>Registration Rights Agreement</w:t>
      </w:r>
    </w:p>
    <w:p>
      <w:pPr>
        <w:spacing w:after="0" w:line="252" w:lineRule="exact"/>
        <w:rPr>
          <w:sz w:val="20"/>
          <w:szCs w:val="20"/>
          <w:color w:val="auto"/>
        </w:rPr>
      </w:pPr>
    </w:p>
    <w:p>
      <w:pPr>
        <w:ind w:right="40" w:firstLine="374"/>
        <w:spacing w:after="0" w:line="308" w:lineRule="auto"/>
        <w:rPr>
          <w:sz w:val="20"/>
          <w:szCs w:val="20"/>
          <w:color w:val="auto"/>
        </w:rPr>
      </w:pPr>
      <w:r>
        <w:rPr>
          <w:rFonts w:ascii="Arial" w:cs="Arial" w:eastAsia="Arial" w:hAnsi="Arial"/>
          <w:sz w:val="16"/>
          <w:szCs w:val="16"/>
          <w:color w:val="auto"/>
        </w:rPr>
        <w:t>In connection with the offering of 4.875% Notes due 2026, the Company entered into a Registration Rights Agreement, dated as of April 30, 2021 (the “Registration Rights Agreement”), with the purchasers of the 4.875% Notes due 2026. Pursuant to the Registration Rights Agreement, the Company is obligated to file with the SEC a registration statement relating to an offer to exchange the 4.875% Notes due 2026 for new notes issued by the Company that are registered under the Securities Act and otherwise have terms substantially identical to those of the 4.875% Notes due 2026, and to use its commercially reasonable efforts to cause such registration statement to be declared effective. If the Company is not able to effect the exchange offer, the Company will be obligated to file a shelf registration statement covering the resale of the 4.875% Notes due 2026 and use its commercially reasonable efforts to cause such registration statement to be declared effective. If the Company fails to satisfy its registration obligations by certain dates specified in the Registration Rights Agreement, it will be required to pay additional interest to the holders of the 4.875% Notes due 2026.</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Sale of Additional 4.875% Notes due 2026</w:t>
      </w:r>
    </w:p>
    <w:p>
      <w:pPr>
        <w:spacing w:after="0" w:line="252" w:lineRule="exact"/>
        <w:rPr>
          <w:sz w:val="20"/>
          <w:szCs w:val="20"/>
          <w:color w:val="auto"/>
        </w:rPr>
      </w:pPr>
    </w:p>
    <w:p>
      <w:pPr>
        <w:ind w:right="180" w:firstLine="374"/>
        <w:spacing w:after="0" w:line="271" w:lineRule="auto"/>
        <w:rPr>
          <w:sz w:val="20"/>
          <w:szCs w:val="20"/>
          <w:color w:val="auto"/>
        </w:rPr>
      </w:pPr>
      <w:r>
        <w:rPr>
          <w:rFonts w:ascii="Arial" w:cs="Arial" w:eastAsia="Arial" w:hAnsi="Arial"/>
          <w:sz w:val="18"/>
          <w:szCs w:val="18"/>
          <w:color w:val="auto"/>
        </w:rPr>
        <w:t>On June 23, 2021, the Company issued $28,000,000 in aggregate principal amount of its 4.875% Notes due 2026 (the “New Notes”) in a private placement exempt from registration under the Section 4(a)(2) of the Securities Act. The New Notes have not been registered under the Securities Act or any state securities laws and may not be reoffered or resold in the United States absent registration or an applicable exemption from such registration requirements. The net proceeds to the Company were approximately $27.4 million, after deducting estimated offering expenses. The Company intends to use the net proceeds of the offering to redeem in full its HCAP Notes (as defined below), make investments in portfolio companies in accordance with its investment objectives, and for general corporate purposes.</w:t>
      </w:r>
    </w:p>
    <w:p>
      <w:pPr>
        <w:spacing w:after="0" w:line="204" w:lineRule="exact"/>
        <w:rPr>
          <w:sz w:val="20"/>
          <w:szCs w:val="20"/>
          <w:color w:val="auto"/>
        </w:rPr>
      </w:pPr>
    </w:p>
    <w:p>
      <w:pPr>
        <w:ind w:right="80" w:firstLine="374"/>
        <w:spacing w:after="0" w:line="275" w:lineRule="auto"/>
        <w:rPr>
          <w:sz w:val="20"/>
          <w:szCs w:val="20"/>
          <w:color w:val="auto"/>
        </w:rPr>
      </w:pPr>
      <w:r>
        <w:rPr>
          <w:rFonts w:ascii="Arial" w:cs="Arial" w:eastAsia="Arial" w:hAnsi="Arial"/>
          <w:sz w:val="18"/>
          <w:szCs w:val="18"/>
          <w:color w:val="auto"/>
        </w:rPr>
        <w:t>The New Notes were issued under the Indenture governing the 4.875% Notes due 2026. The New Notes were issued as “Additional Notes” under the Indenture and have identical terms to Company’s $80.0 million of aggregate principal amount of 4.875% Notes due 2026 that were issued on April 30, 2021, other than the issue date. The New Notes will be treated as a single class of notes with the Company’s existing 4.875% Notes due 2026 for all purposes under the Indenture.</w:t>
      </w:r>
    </w:p>
    <w:p>
      <w:pPr>
        <w:spacing w:after="0" w:line="145" w:lineRule="exact"/>
        <w:rPr>
          <w:sz w:val="20"/>
          <w:szCs w:val="20"/>
          <w:color w:val="auto"/>
        </w:rPr>
      </w:pPr>
    </w:p>
    <w:p>
      <w:pPr>
        <w:ind w:right="60" w:firstLine="374"/>
        <w:spacing w:after="0" w:line="279" w:lineRule="auto"/>
        <w:rPr>
          <w:sz w:val="20"/>
          <w:szCs w:val="20"/>
          <w:color w:val="auto"/>
        </w:rPr>
      </w:pPr>
      <w:r>
        <w:rPr>
          <w:rFonts w:ascii="Arial" w:cs="Arial" w:eastAsia="Arial" w:hAnsi="Arial"/>
          <w:sz w:val="18"/>
          <w:szCs w:val="18"/>
          <w:color w:val="auto"/>
        </w:rPr>
        <w:t>In connection with the issuance of the 4.875% Notes Due 2026, (including the New Notes) the Company incurred approximately $2.43 million of original issue discount, and $969 thousand of debt offering costs, both of which were being amortized over the expected term of the facility on an effective yield method.</w:t>
      </w:r>
    </w:p>
    <w:p>
      <w:pPr>
        <w:spacing w:after="0" w:line="156" w:lineRule="exact"/>
        <w:rPr>
          <w:sz w:val="20"/>
          <w:szCs w:val="20"/>
          <w:color w:val="auto"/>
        </w:rPr>
      </w:pPr>
    </w:p>
    <w:p>
      <w:pPr>
        <w:ind w:right="160" w:firstLine="374"/>
        <w:spacing w:after="0" w:line="319" w:lineRule="auto"/>
        <w:rPr>
          <w:sz w:val="20"/>
          <w:szCs w:val="20"/>
          <w:color w:val="auto"/>
        </w:rPr>
      </w:pPr>
      <w:r>
        <w:rPr>
          <w:rFonts w:ascii="Arial" w:cs="Arial" w:eastAsia="Arial" w:hAnsi="Arial"/>
          <w:sz w:val="16"/>
          <w:szCs w:val="16"/>
          <w:i w:val="1"/>
          <w:iCs w:val="1"/>
          <w:color w:val="auto"/>
        </w:rPr>
        <w:t xml:space="preserve">Fair Value of 4.875% Notes Due 2026. </w:t>
      </w:r>
      <w:r>
        <w:rPr>
          <w:rFonts w:ascii="Arial" w:cs="Arial" w:eastAsia="Arial" w:hAnsi="Arial"/>
          <w:sz w:val="16"/>
          <w:szCs w:val="16"/>
          <w:color w:val="auto"/>
        </w:rPr>
        <w:t>The 4.875% Notes Due 2026 were issued during the second quarter of 2021 and are carried at cost, net of</w:t>
      </w:r>
      <w:r>
        <w:rPr>
          <w:rFonts w:ascii="Arial" w:cs="Arial" w:eastAsia="Arial" w:hAnsi="Arial"/>
          <w:sz w:val="16"/>
          <w:szCs w:val="16"/>
          <w:i w:val="1"/>
          <w:iCs w:val="1"/>
          <w:color w:val="auto"/>
        </w:rPr>
        <w:t xml:space="preserve"> </w:t>
      </w:r>
      <w:r>
        <w:rPr>
          <w:rFonts w:ascii="Arial" w:cs="Arial" w:eastAsia="Arial" w:hAnsi="Arial"/>
          <w:sz w:val="16"/>
          <w:szCs w:val="16"/>
          <w:color w:val="auto"/>
        </w:rPr>
        <w:t>unamortized discount of approximately $2.27 million and unamortized offering costs of approximately $948 thousand as of September 30, 2021. The fair value of the Company’s outstanding 4.875% Notes Due 2026 was approximately $104.8 million at September 30, 2021. The fair value was determined based on the recent transaction price. The 4.875% Notes Due 2026 were categorized as Level II under the ASC 820 Fair Value.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6.125% Notes Due 2022</w:t>
      </w:r>
    </w:p>
    <w:p>
      <w:pPr>
        <w:spacing w:after="0" w:line="171" w:lineRule="exact"/>
        <w:rPr>
          <w:sz w:val="20"/>
          <w:szCs w:val="20"/>
          <w:color w:val="auto"/>
        </w:rPr>
      </w:pPr>
    </w:p>
    <w:p>
      <w:pPr>
        <w:ind w:right="20" w:firstLine="374"/>
        <w:spacing w:after="0" w:line="254" w:lineRule="auto"/>
        <w:rPr>
          <w:sz w:val="20"/>
          <w:szCs w:val="20"/>
          <w:color w:val="auto"/>
        </w:rPr>
      </w:pPr>
      <w:r>
        <w:rPr>
          <w:rFonts w:ascii="Arial" w:cs="Arial" w:eastAsia="Arial" w:hAnsi="Arial"/>
          <w:sz w:val="17"/>
          <w:szCs w:val="17"/>
          <w:color w:val="auto"/>
        </w:rPr>
        <w:t>During the third quarter of 2017, the Company issued $77.4 million in aggregate principal amount of unsecured 6.125% Notes due 2022 (the 6.125% Notes Due 2022). The net proceeds for these Notes, after the payment of underwriting expenses, were approximately $74.6 million. Interest on the 6.125% Notes Due 2022 is paid quarterly in arrears on March 30, June 30, September 30 and December 30, at a rate of 6.125%. The 6.125% Notes Due 2022 mature on September 30, 2022 and are unsecured obligations of the Company. The 6.125% Notes Due 2022 are subject to redemption in whole or in part at any time or from time to time, at the option of the Company, on or after September 30, 2019, at a redemption price per security equal to 100% of the outstanding principal amount thereof plus accrued and unpaid interest payments otherwise payable for the then-current quarterly interest period accrued to the date fixed for redemption. The indenture governing the 6.125% Notes Due 2022 contains certain restrictive covenants, including compliance with certain provisions of the 1940 Act related to borrowing and dividends.</w:t>
      </w:r>
    </w:p>
    <w:p>
      <w:pPr>
        <w:spacing w:after="0" w:line="167" w:lineRule="exact"/>
        <w:rPr>
          <w:sz w:val="20"/>
          <w:szCs w:val="20"/>
          <w:color w:val="auto"/>
        </w:rPr>
      </w:pPr>
    </w:p>
    <w:p>
      <w:pPr>
        <w:ind w:right="80" w:firstLine="374"/>
        <w:spacing w:after="0" w:line="279" w:lineRule="auto"/>
        <w:rPr>
          <w:sz w:val="20"/>
          <w:szCs w:val="20"/>
          <w:color w:val="auto"/>
        </w:rPr>
      </w:pPr>
      <w:r>
        <w:rPr>
          <w:rFonts w:ascii="Arial" w:cs="Arial" w:eastAsia="Arial" w:hAnsi="Arial"/>
          <w:sz w:val="18"/>
          <w:szCs w:val="18"/>
          <w:color w:val="auto"/>
        </w:rPr>
        <w:t>For the three months ended September 30, 2021 and 2020, interest expense related to the 6.125% Notes Due 2022 was approximately $0 and $1.2 million, respectively. For the nine months ended September 30, 2021 and 2020, interest expense related to the 6.125% Notes Due 2022 was approximately $2.0 and $3.5 million, respectively.</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Redemption of 6.125% Notes due 2022</w:t>
      </w:r>
    </w:p>
    <w:p>
      <w:pPr>
        <w:spacing w:after="0" w:line="198" w:lineRule="exact"/>
        <w:rPr>
          <w:sz w:val="20"/>
          <w:szCs w:val="20"/>
          <w:color w:val="auto"/>
        </w:rPr>
      </w:pPr>
    </w:p>
    <w:p>
      <w:pPr>
        <w:ind w:firstLine="374"/>
        <w:spacing w:after="0" w:line="266" w:lineRule="auto"/>
        <w:rPr>
          <w:sz w:val="20"/>
          <w:szCs w:val="20"/>
          <w:color w:val="auto"/>
        </w:rPr>
      </w:pPr>
      <w:r>
        <w:rPr>
          <w:rFonts w:ascii="Arial" w:cs="Arial" w:eastAsia="Arial" w:hAnsi="Arial"/>
          <w:sz w:val="18"/>
          <w:szCs w:val="18"/>
          <w:color w:val="auto"/>
        </w:rPr>
        <w:t>On April 30, 2021, Company notified the trustee for the Company’s 6.125% Notes due 2022 of the Company’s election to redeem the $77.4 million aggregate principal amount of the 6.125% Notes due 2022 outstanding, and instructed the trustee to provide notice of such redemption to the holders of the 6.125% Notes due 2022 in accordance with the terms of the indenture governing the 6.125% Notes due 2022. The redemption was completed on May 30, 2021. Following the redemption, none of the 6.125% Notes due 2022 remain outstanding, and they were delisted from the NASDAQ Global Select Market. In connection with the issuance of the 6.125% Notes Due 2022, the Company incurred approximately $2.9 million of debt offering costs which were being amortized over the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5" w:name="page66"/>
    <w:bookmarkEnd w:id="65"/>
    <w:p>
      <w:pPr>
        <w:ind w:right="40"/>
        <w:spacing w:after="0" w:line="296" w:lineRule="auto"/>
        <w:rPr>
          <w:sz w:val="20"/>
          <w:szCs w:val="20"/>
          <w:color w:val="auto"/>
        </w:rPr>
      </w:pPr>
      <w:r>
        <w:rPr>
          <w:rFonts w:ascii="Arial" w:cs="Arial" w:eastAsia="Arial" w:hAnsi="Arial"/>
          <w:sz w:val="17"/>
          <w:szCs w:val="17"/>
          <w:color w:val="auto"/>
        </w:rPr>
        <w:t>expected term of the facility on an effective yield method. In connection with the anticipated refinancing of the 6.125% Notes Due 2022 during the first quarter of 2021, the Company wrote off approximately $1.0 million of unamortized debt offering costs which are reflected in Realized Losses on Extinguishment of Debt on the Consolidated Statement of Operations. As of December 31, 2020 there was approximately $1.1 million of unamortized debt offering costs included on the consolidated balance sheets as a reduction in the related debt liability.</w:t>
      </w:r>
    </w:p>
    <w:p>
      <w:pPr>
        <w:spacing w:after="0" w:line="143" w:lineRule="exact"/>
        <w:rPr>
          <w:sz w:val="20"/>
          <w:szCs w:val="20"/>
          <w:color w:val="auto"/>
        </w:rPr>
      </w:pPr>
    </w:p>
    <w:p>
      <w:pPr>
        <w:ind w:firstLine="374"/>
        <w:spacing w:after="0" w:line="279" w:lineRule="auto"/>
        <w:rPr>
          <w:sz w:val="20"/>
          <w:szCs w:val="20"/>
          <w:color w:val="auto"/>
        </w:rPr>
      </w:pPr>
      <w:r>
        <w:rPr>
          <w:rFonts w:ascii="Arial" w:cs="Arial" w:eastAsia="Arial" w:hAnsi="Arial"/>
          <w:sz w:val="18"/>
          <w:szCs w:val="18"/>
          <w:color w:val="auto"/>
        </w:rPr>
        <w:t>During the quarter ended March 31, 2020, the Company repurchased approximately $573 thousand of principal amount of the 6.125% Notes Due 2022 at a cost of approximately $419 thousand, resulting in a realized gain on extinguishment of approximately $154 thousand. The Company subsequently surrendered these notes to the Trustee for cancellation.</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Fair Value of 6.125% Notes Due 2022. </w:t>
      </w:r>
      <w:r>
        <w:rPr>
          <w:rFonts w:ascii="Arial" w:cs="Arial" w:eastAsia="Arial" w:hAnsi="Arial"/>
          <w:sz w:val="16"/>
          <w:szCs w:val="16"/>
          <w:color w:val="auto"/>
        </w:rPr>
        <w:t>The 6.125% Notes Due 2022 were issued via public offering during the third quarter of 2017 and are carried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cost, net of offering costs $1.1 million at December 31, 2020. The fair value of the Company’s outstanding 6.125% Notes Due 2022 was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$78.1 million at December 31, 2020. The fair value was determined based on the closing price on December 31, 2020 for the 6.125% Notes Due 2022.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6.125% Notes Due 2022 were categorized as Level II under the ASC 820 Fair Value.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 of HCAP Notes</w:t>
      </w:r>
    </w:p>
    <w:p>
      <w:pPr>
        <w:spacing w:after="0" w:line="293" w:lineRule="exact"/>
        <w:rPr>
          <w:sz w:val="20"/>
          <w:szCs w:val="20"/>
          <w:color w:val="auto"/>
        </w:rPr>
      </w:pPr>
    </w:p>
    <w:p>
      <w:pPr>
        <w:ind w:right="240" w:firstLine="374"/>
        <w:spacing w:after="0" w:line="279" w:lineRule="auto"/>
        <w:rPr>
          <w:sz w:val="20"/>
          <w:szCs w:val="20"/>
          <w:color w:val="auto"/>
        </w:rPr>
      </w:pPr>
      <w:r>
        <w:rPr>
          <w:rFonts w:ascii="Arial" w:cs="Arial" w:eastAsia="Arial" w:hAnsi="Arial"/>
          <w:sz w:val="18"/>
          <w:szCs w:val="18"/>
          <w:color w:val="auto"/>
        </w:rPr>
        <w:t>In connection with the closing of the HCAP Acquisition, on June 9, 2021, the Company entered into the HCAP Third Supplemental Indenture, effective as of the closing of the HCAP Acquisition. The HCAP Third Supplemental Indenture relates to the Company’s assumption of $28.75 million in aggregate principal amount of HCAP Notes.</w:t>
      </w:r>
    </w:p>
    <w:p>
      <w:pPr>
        <w:spacing w:after="0" w:line="196" w:lineRule="exact"/>
        <w:rPr>
          <w:sz w:val="20"/>
          <w:szCs w:val="20"/>
          <w:color w:val="auto"/>
        </w:rPr>
      </w:pPr>
    </w:p>
    <w:p>
      <w:pPr>
        <w:ind w:right="40" w:firstLine="374"/>
        <w:spacing w:after="0" w:line="292" w:lineRule="auto"/>
        <w:rPr>
          <w:sz w:val="20"/>
          <w:szCs w:val="20"/>
          <w:color w:val="auto"/>
        </w:rPr>
      </w:pPr>
      <w:r>
        <w:rPr>
          <w:rFonts w:ascii="Arial" w:cs="Arial" w:eastAsia="Arial" w:hAnsi="Arial"/>
          <w:sz w:val="17"/>
          <w:szCs w:val="17"/>
          <w:color w:val="auto"/>
        </w:rPr>
        <w:t>Pursuant to the HCAP Third Supplemental Indenture, the Company expressly assumed the due and punctual payment of the principal of (and premium, if any) and interest, if any, on the HCAP Notes and the performance of HCAP’s covenants under the base indenture, dated as of January 27, 2015, by and between HCAP and the Trustee, as supplemented by the second supplemental indenture, dated as of August 24, 2017, by and between HCAP and the Trustee. The HCAP Notes could be redeemed by the Company at any time at par value plus accrued and unpaid interest. No change of control offer was required to be made in respect of the HCAP Notes in connection with the consummation of the HCAP Acquisition.</w:t>
      </w:r>
    </w:p>
    <w:p>
      <w:pPr>
        <w:spacing w:after="0" w:line="188" w:lineRule="exact"/>
        <w:rPr>
          <w:sz w:val="20"/>
          <w:szCs w:val="20"/>
          <w:color w:val="auto"/>
        </w:rPr>
      </w:pPr>
    </w:p>
    <w:p>
      <w:pPr>
        <w:ind w:right="60" w:firstLine="374"/>
        <w:spacing w:after="0" w:line="296" w:lineRule="auto"/>
        <w:rPr>
          <w:sz w:val="20"/>
          <w:szCs w:val="20"/>
          <w:color w:val="auto"/>
        </w:rPr>
      </w:pPr>
      <w:r>
        <w:rPr>
          <w:rFonts w:ascii="Arial" w:cs="Arial" w:eastAsia="Arial" w:hAnsi="Arial"/>
          <w:sz w:val="17"/>
          <w:szCs w:val="17"/>
          <w:color w:val="auto"/>
        </w:rPr>
        <w:t>On June 24, 2021, the Company notified the trustee for the Company’s HCAP Notes of the Company’s election to redeem the $28.75 million aggregate principal amount of the HCAP Notes outstanding, and instructed the trustee to provide notice of such redemptions to the holders of such notes in accordance with the terms of the indenture governing the HCAP Notes. The Company completed the redemption on July 23, 2021. Following the redemption, none of the HCAP Notes remain outstanding, and they were delisted from the NASDAQ Global Select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w:t>
      </w:r>
    </w:p>
    <w:p>
      <w:pPr>
        <w:spacing w:after="0" w:line="131" w:lineRule="exact"/>
        <w:rPr>
          <w:sz w:val="20"/>
          <w:szCs w:val="20"/>
          <w:color w:val="auto"/>
        </w:rPr>
      </w:pPr>
    </w:p>
    <w:p>
      <w:pPr>
        <w:ind w:right="140" w:firstLine="374"/>
        <w:spacing w:after="0" w:line="288" w:lineRule="auto"/>
        <w:rPr>
          <w:sz w:val="20"/>
          <w:szCs w:val="20"/>
          <w:color w:val="auto"/>
        </w:rPr>
      </w:pPr>
      <w:r>
        <w:rPr>
          <w:rFonts w:ascii="Arial" w:cs="Arial" w:eastAsia="Arial" w:hAnsi="Arial"/>
          <w:sz w:val="17"/>
          <w:szCs w:val="17"/>
          <w:color w:val="auto"/>
        </w:rPr>
        <w:t>On March 1, 2018, Great Lakes KCAP Funding I, LLC (“Funding”), our wholly owned subsidiary, entered into a senior secured revolving credit facility (the “Prior Revolving Credit Facility”) with certain institutional lenders, State Bank and Trust Company, as the administrative agent, lead arranger and bookrunner, CIBC Bank USA, as documentation agent and the Company, as the servicer. The maximum commitment amount of the Prior Revolving Credit Facility was increased on March 27, 2019 to $57.5 million, and on April 1, 2019 to $67.5 million, subject to availability under the borrowing base. In December 2019, the Prior Revolving Credit Facility was fully repaid and the related agreements, including security interests in assets pledged as collateral, were terminated on December 23, 2019. The Company recognized a realized loss on extinguishment of debt of approximately $1.1 million in connection with the termination of the Prior Revolving Credit Facility.</w:t>
      </w:r>
    </w:p>
    <w:p>
      <w:pPr>
        <w:spacing w:after="0" w:line="73" w:lineRule="exact"/>
        <w:rPr>
          <w:sz w:val="20"/>
          <w:szCs w:val="20"/>
          <w:color w:val="auto"/>
        </w:rPr>
      </w:pPr>
    </w:p>
    <w:p>
      <w:pPr>
        <w:ind w:right="580" w:firstLine="374"/>
        <w:spacing w:after="0" w:line="324" w:lineRule="auto"/>
        <w:rPr>
          <w:sz w:val="20"/>
          <w:szCs w:val="20"/>
          <w:color w:val="auto"/>
        </w:rPr>
      </w:pPr>
      <w:r>
        <w:rPr>
          <w:rFonts w:ascii="Arial" w:cs="Arial" w:eastAsia="Arial" w:hAnsi="Arial"/>
          <w:sz w:val="17"/>
          <w:szCs w:val="17"/>
          <w:color w:val="auto"/>
        </w:rPr>
        <w:t>Borrowings under the Prior Revolving Credit Facility bore interest at a rate per annum equal to (i) in the case of LIBOR rate loans, an adjusted LIBOR rate for the applicable interest period plus 3.25% or (ii) in the case of base rate loans, the prime rate plus 3.25%.</w:t>
      </w:r>
    </w:p>
    <w:p>
      <w:pPr>
        <w:spacing w:after="0" w:line="39" w:lineRule="exact"/>
        <w:rPr>
          <w:sz w:val="20"/>
          <w:szCs w:val="20"/>
          <w:color w:val="auto"/>
        </w:rPr>
      </w:pPr>
    </w:p>
    <w:p>
      <w:pPr>
        <w:ind w:right="440" w:firstLine="374"/>
        <w:spacing w:after="0" w:line="296" w:lineRule="auto"/>
        <w:rPr>
          <w:sz w:val="20"/>
          <w:szCs w:val="20"/>
          <w:color w:val="auto"/>
        </w:rPr>
      </w:pPr>
      <w:r>
        <w:rPr>
          <w:rFonts w:ascii="Arial" w:cs="Arial" w:eastAsia="Arial" w:hAnsi="Arial"/>
          <w:sz w:val="17"/>
          <w:szCs w:val="17"/>
          <w:color w:val="auto"/>
        </w:rPr>
        <w:t>The Prior Revolving Credit Facility was secured by all of the assets held by Funding, and the Company had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w:t>
      </w:r>
    </w:p>
    <w:p>
      <w:pPr>
        <w:spacing w:after="0" w:line="62" w:lineRule="exact"/>
        <w:rPr>
          <w:sz w:val="20"/>
          <w:szCs w:val="20"/>
          <w:color w:val="auto"/>
        </w:rPr>
      </w:pPr>
    </w:p>
    <w:p>
      <w:pPr>
        <w:ind w:right="60" w:firstLine="374"/>
        <w:spacing w:after="0" w:line="266" w:lineRule="auto"/>
        <w:rPr>
          <w:sz w:val="20"/>
          <w:szCs w:val="20"/>
          <w:color w:val="auto"/>
        </w:rPr>
      </w:pPr>
      <w:r>
        <w:rPr>
          <w:rFonts w:ascii="Arial" w:cs="Arial" w:eastAsia="Arial" w:hAnsi="Arial"/>
          <w:sz w:val="18"/>
          <w:szCs w:val="18"/>
          <w:color w:val="auto"/>
        </w:rPr>
        <w:t>On December 18, 2019, Great Lakes Portman Ridge Funding LLC (“GLPRF LLC”), our wholly-owned subsidiary, entered into a senior secured revolving credit facility (the “Revolving Credit Facility”) with JPMorgan Chase Bank, National Association (“JPM”). JPM serves as administrative agent, U.S. Bank National Association serves as collateral agent, securities intermediary and collateral administrator, and we serve as portfolio manager under the Revolving Credit Facility.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6" w:name="page67"/>
    <w:bookmarkEnd w:id="66"/>
    <w:p>
      <w:pPr>
        <w:ind w:right="40" w:firstLine="374"/>
        <w:spacing w:after="0" w:line="271" w:lineRule="auto"/>
        <w:rPr>
          <w:sz w:val="20"/>
          <w:szCs w:val="20"/>
          <w:color w:val="auto"/>
        </w:rPr>
      </w:pPr>
      <w:r>
        <w:rPr>
          <w:rFonts w:ascii="Arial" w:cs="Arial" w:eastAsia="Arial" w:hAnsi="Arial"/>
          <w:sz w:val="18"/>
          <w:szCs w:val="18"/>
          <w:color w:val="auto"/>
        </w:rPr>
        <w:t>Advances under the Revolving Credit Facility bear interest at a per annum rate equal to the three-month LIBOR in effect, plus the applicable margin of 2.85% per annum. GLPRF LLC is required to utilize a minimum of 80% of the commitments under the Revolving Credit Facility, after an initial six-month ramp-up period during which a lesser minimum utilization requirement applies. Unused amounts below such minimum utilization amount accrue interest as if such amounts are outstanding as borrowings under the Revolving Credit Facility. In addition, GLPRF LLC will pay a non-usage fee during the first three years after the closing date in an amount not to exceed 0.50% per annum on the average daily unborrowed portion of the financing commitments in excess of such minimum utilization amount.</w:t>
      </w:r>
    </w:p>
    <w:p>
      <w:pPr>
        <w:spacing w:after="0" w:line="83" w:lineRule="exact"/>
        <w:rPr>
          <w:sz w:val="20"/>
          <w:szCs w:val="20"/>
          <w:color w:val="auto"/>
        </w:rPr>
      </w:pPr>
    </w:p>
    <w:p>
      <w:pPr>
        <w:ind w:right="40" w:firstLine="374"/>
        <w:spacing w:after="0" w:line="272" w:lineRule="auto"/>
        <w:rPr>
          <w:sz w:val="20"/>
          <w:szCs w:val="20"/>
          <w:color w:val="auto"/>
        </w:rPr>
      </w:pPr>
      <w:r>
        <w:rPr>
          <w:rFonts w:ascii="Arial" w:cs="Arial" w:eastAsia="Arial" w:hAnsi="Arial"/>
          <w:sz w:val="18"/>
          <w:szCs w:val="18"/>
          <w:color w:val="auto"/>
        </w:rPr>
        <w:t>The initial principal amount of the Revolving Credit Facility is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 All amounts outstanding under the Revolving Credit Facility must be repaid by the maturity date of December 18, 2023.</w:t>
      </w:r>
    </w:p>
    <w:p>
      <w:pPr>
        <w:spacing w:after="0" w:line="83" w:lineRule="exact"/>
        <w:rPr>
          <w:sz w:val="20"/>
          <w:szCs w:val="20"/>
          <w:color w:val="auto"/>
        </w:rPr>
      </w:pPr>
    </w:p>
    <w:p>
      <w:pPr>
        <w:ind w:right="140" w:firstLine="374"/>
        <w:spacing w:after="0" w:line="290" w:lineRule="auto"/>
        <w:rPr>
          <w:sz w:val="20"/>
          <w:szCs w:val="20"/>
          <w:color w:val="auto"/>
        </w:rPr>
      </w:pPr>
      <w:r>
        <w:rPr>
          <w:rFonts w:ascii="Arial" w:cs="Arial" w:eastAsia="Arial" w:hAnsi="Arial"/>
          <w:sz w:val="17"/>
          <w:szCs w:val="17"/>
          <w:color w:val="auto"/>
        </w:rPr>
        <w:t>GLPRF LLC’s obligations to the lenders under the Revolving Credit Facility are secured by a first priority security interest in all of GLPRF LLC’s portfolio of investments and cash. The obligations of GLPRF LLC under the Revolving Credit Facility are non-recourse to us, and our exposure under the Revolving Credit Facility is limited to the value of our investment in GLPRF LLC. 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we are no longer the portfolio manager of GLPRF LLC.</w:t>
      </w:r>
    </w:p>
    <w:p>
      <w:pPr>
        <w:spacing w:after="0" w:line="68" w:lineRule="exact"/>
        <w:rPr>
          <w:sz w:val="20"/>
          <w:szCs w:val="20"/>
          <w:color w:val="auto"/>
        </w:rPr>
      </w:pPr>
    </w:p>
    <w:p>
      <w:pPr>
        <w:ind w:right="180" w:firstLine="374"/>
        <w:spacing w:after="0" w:line="303" w:lineRule="auto"/>
        <w:rPr>
          <w:sz w:val="20"/>
          <w:szCs w:val="20"/>
          <w:color w:val="auto"/>
        </w:rPr>
      </w:pPr>
      <w:r>
        <w:rPr>
          <w:rFonts w:ascii="Arial" w:cs="Arial" w:eastAsia="Arial" w:hAnsi="Arial"/>
          <w:sz w:val="18"/>
          <w:szCs w:val="18"/>
          <w:color w:val="auto"/>
        </w:rPr>
        <w:t>At September 30, 2021, GLPRF LLC was in compliance with all of its debt covenants and $69.1 million principal amount of borrowings was outstanding under the Revolving Credit Facility. The fair value of GLPRF LLC debt outstanding was approximately $68.2 million at September 30, 2021 and categorized as Level III under the ASC 820 Fair Value Hierarchy</w:t>
      </w:r>
    </w:p>
    <w:p>
      <w:pPr>
        <w:spacing w:after="0" w:line="107" w:lineRule="exact"/>
        <w:rPr>
          <w:sz w:val="20"/>
          <w:szCs w:val="20"/>
          <w:color w:val="auto"/>
        </w:rPr>
      </w:pPr>
    </w:p>
    <w:p>
      <w:pPr>
        <w:jc w:val="both"/>
        <w:ind w:right="180" w:firstLine="374"/>
        <w:spacing w:after="0" w:line="248" w:lineRule="auto"/>
        <w:rPr>
          <w:sz w:val="20"/>
          <w:szCs w:val="20"/>
          <w:color w:val="auto"/>
        </w:rPr>
      </w:pPr>
      <w:r>
        <w:rPr>
          <w:rFonts w:ascii="Arial" w:cs="Arial" w:eastAsia="Arial" w:hAnsi="Arial"/>
          <w:sz w:val="18"/>
          <w:szCs w:val="18"/>
          <w:color w:val="auto"/>
        </w:rPr>
        <w:t>For the three months ended September 30, 2021 and 2020 interest and fees expense related to the Revolving Credit Facility was approximately $0.7 million and $0.9 million, respectively. For the nine months ended September 30, 2021 and 2020 interest and fees expense related to the Revolving Credit Facility was approximately $2.2 million and $3.0 million, respectively.</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r>
              <w:rPr>
                <w:rFonts w:ascii="Arial" w:cs="Arial" w:eastAsia="Arial" w:hAnsi="Arial"/>
                <w:sz w:val="18"/>
                <w:szCs w:val="18"/>
                <w:i w:val="1"/>
                <w:iCs w:val="1"/>
                <w:color w:val="auto"/>
              </w:rPr>
              <w:t>2018-2 Secured Notes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170"/>
              <w:spacing w:after="0" w:line="194" w:lineRule="exact"/>
              <w:rPr>
                <w:sz w:val="20"/>
                <w:szCs w:val="20"/>
                <w:color w:val="auto"/>
              </w:rPr>
            </w:pPr>
            <w:r>
              <w:rPr>
                <w:rFonts w:ascii="Arial" w:cs="Arial" w:eastAsia="Arial" w:hAnsi="Arial"/>
                <w:sz w:val="18"/>
                <w:szCs w:val="18"/>
                <w:b w:val="1"/>
                <w:bCs w:val="1"/>
                <w:color w:val="auto"/>
                <w:w w:val="92"/>
              </w:rPr>
              <w:t>Principal at</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0"/>
              </w:rPr>
              <w:t>Stated</w:t>
            </w:r>
          </w:p>
        </w:tc>
        <w:tc>
          <w:tcPr>
            <w:tcW w:w="0" w:type="dxa"/>
            <w:vAlign w:val="bottom"/>
          </w:tcPr>
          <w:p>
            <w:pPr>
              <w:spacing w:after="0"/>
              <w:rPr>
                <w:sz w:val="1"/>
                <w:szCs w:val="1"/>
                <w:color w:val="auto"/>
              </w:rPr>
            </w:pPr>
          </w:p>
        </w:tc>
      </w:tr>
      <w:tr>
        <w:trPr>
          <w:trHeight w:val="28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September 30, 2021</w:t>
            </w:r>
          </w:p>
        </w:tc>
        <w:tc>
          <w:tcPr>
            <w:tcW w:w="120" w:type="dxa"/>
            <w:vAlign w:val="bottom"/>
          </w:tcPr>
          <w:p>
            <w:pPr>
              <w:spacing w:after="0"/>
              <w:rPr>
                <w:sz w:val="24"/>
                <w:szCs w:val="2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Carrying Value</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6"/>
              </w:rPr>
              <w:t>Par</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Spread</w:t>
            </w:r>
          </w:p>
        </w:tc>
        <w:tc>
          <w:tcPr>
            <w:tcW w:w="16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Rating</w:t>
            </w:r>
            <w:r>
              <w:rPr>
                <w:rFonts w:ascii="Arial" w:cs="Arial" w:eastAsia="Arial" w:hAnsi="Arial"/>
                <w:sz w:val="24"/>
                <w:szCs w:val="24"/>
                <w:color w:val="auto"/>
                <w:w w:val="87"/>
                <w:vertAlign w:val="superscript"/>
              </w:rPr>
              <w:t>(1)</w:t>
            </w:r>
          </w:p>
        </w:tc>
        <w:tc>
          <w:tcPr>
            <w:tcW w:w="14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Maturity</w:t>
            </w:r>
            <w:r>
              <w:rPr>
                <w:rFonts w:ascii="Arial" w:cs="Arial" w:eastAsia="Arial" w:hAnsi="Arial"/>
                <w:sz w:val="24"/>
                <w:szCs w:val="24"/>
                <w:b w:val="1"/>
                <w:bCs w:val="1"/>
                <w:color w:val="auto"/>
                <w:w w:val="93"/>
                <w:vertAlign w:val="superscript"/>
              </w:rPr>
              <w:t>(2)</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2018-2 Secured Notes: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center"/>
              <w:spacing w:after="0" w:line="195" w:lineRule="exact"/>
              <w:rPr>
                <w:sz w:val="20"/>
                <w:szCs w:val="20"/>
                <w:color w:val="auto"/>
              </w:rPr>
            </w:pPr>
            <w:r>
              <w:rPr>
                <w:rFonts w:ascii="Arial" w:cs="Arial" w:eastAsia="Arial" w:hAnsi="Arial"/>
                <w:sz w:val="18"/>
                <w:szCs w:val="18"/>
                <w:color w:val="auto"/>
                <w:w w:val="95"/>
              </w:rPr>
              <w:t>LIBOR + 1.58%</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920" w:type="dxa"/>
            <w:vAlign w:val="bottom"/>
            <w:vMerge w:val="restart"/>
            <w:shd w:val="clear" w:color="auto" w:fill="CFF0FC"/>
          </w:tcPr>
          <w:p>
            <w:pPr>
              <w:ind w:left="200"/>
              <w:spacing w:after="0"/>
              <w:rPr>
                <w:sz w:val="20"/>
                <w:szCs w:val="20"/>
                <w:color w:val="auto"/>
              </w:rPr>
            </w:pPr>
            <w:r>
              <w:rPr>
                <w:rFonts w:ascii="Arial" w:cs="Arial" w:eastAsia="Arial" w:hAnsi="Arial"/>
                <w:sz w:val="18"/>
                <w:szCs w:val="18"/>
                <w:color w:val="auto"/>
              </w:rPr>
              <w:t>Class A-1R-R Notes</w:t>
            </w:r>
          </w:p>
        </w:tc>
        <w:tc>
          <w:tcPr>
            <w:tcW w:w="26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center"/>
              <w:ind w:left="40"/>
              <w:spacing w:after="0"/>
              <w:rPr>
                <w:sz w:val="20"/>
                <w:szCs w:val="20"/>
                <w:color w:val="auto"/>
              </w:rPr>
            </w:pPr>
            <w:r>
              <w:rPr>
                <w:rFonts w:ascii="Arial" w:cs="Arial" w:eastAsia="Arial" w:hAnsi="Arial"/>
                <w:sz w:val="12"/>
                <w:szCs w:val="12"/>
                <w:color w:val="auto"/>
                <w:w w:val="95"/>
              </w:rPr>
              <w:t>(3)</w:t>
            </w:r>
          </w:p>
        </w:tc>
        <w:tc>
          <w:tcPr>
            <w:tcW w:w="16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rPr>
              <w:t>AAA(sf)</w:t>
            </w:r>
          </w:p>
        </w:tc>
        <w:tc>
          <w:tcPr>
            <w:tcW w:w="1520" w:type="dxa"/>
            <w:vAlign w:val="bottom"/>
            <w:gridSpan w:val="2"/>
            <w:vMerge w:val="restart"/>
            <w:shd w:val="clear" w:color="auto" w:fill="CFF0FC"/>
          </w:tcPr>
          <w:p>
            <w:pPr>
              <w:jc w:val="center"/>
              <w:ind w:left="50"/>
              <w:spacing w:after="0"/>
              <w:rPr>
                <w:sz w:val="20"/>
                <w:szCs w:val="20"/>
                <w:color w:val="auto"/>
              </w:rPr>
            </w:pPr>
            <w:r>
              <w:rPr>
                <w:rFonts w:ascii="Arial" w:cs="Arial" w:eastAsia="Arial" w:hAnsi="Arial"/>
                <w:sz w:val="18"/>
                <w:szCs w:val="18"/>
                <w:color w:val="auto"/>
                <w:w w:val="90"/>
              </w:rPr>
              <w:t>11/20/2029</w:t>
            </w:r>
          </w:p>
        </w:tc>
        <w:tc>
          <w:tcPr>
            <w:tcW w:w="0" w:type="dxa"/>
            <w:vAlign w:val="bottom"/>
          </w:tcPr>
          <w:p>
            <w:pPr>
              <w:spacing w:after="0"/>
              <w:rPr>
                <w:sz w:val="1"/>
                <w:szCs w:val="1"/>
                <w:color w:val="auto"/>
              </w:rPr>
            </w:pPr>
          </w:p>
        </w:tc>
      </w:tr>
      <w:tr>
        <w:trPr>
          <w:trHeight w:val="68"/>
        </w:trPr>
        <w:tc>
          <w:tcPr>
            <w:tcW w:w="3920" w:type="dxa"/>
            <w:vAlign w:val="bottom"/>
            <w:vMerge w:val="continue"/>
            <w:shd w:val="clear" w:color="auto" w:fill="CFF0FC"/>
          </w:tcPr>
          <w:p>
            <w:pPr>
              <w:spacing w:after="0"/>
              <w:rPr>
                <w:sz w:val="5"/>
                <w:szCs w:val="5"/>
                <w:color w:val="auto"/>
              </w:rPr>
            </w:pPr>
          </w:p>
        </w:tc>
        <w:tc>
          <w:tcPr>
            <w:tcW w:w="260" w:type="dxa"/>
            <w:vAlign w:val="bottom"/>
            <w:gridSpan w:val="2"/>
            <w:vMerge w:val="continue"/>
            <w:shd w:val="clear" w:color="auto" w:fill="CFF0FC"/>
          </w:tcPr>
          <w:p>
            <w:pPr>
              <w:spacing w:after="0"/>
              <w:rPr>
                <w:sz w:val="5"/>
                <w:szCs w:val="5"/>
                <w:color w:val="auto"/>
              </w:rPr>
            </w:pPr>
          </w:p>
        </w:tc>
        <w:tc>
          <w:tcPr>
            <w:tcW w:w="1180" w:type="dxa"/>
            <w:vAlign w:val="bottom"/>
            <w:vMerge w:val="continue"/>
            <w:shd w:val="clear" w:color="auto" w:fill="CFF0FC"/>
          </w:tcPr>
          <w:p>
            <w:pPr>
              <w:spacing w:after="0"/>
              <w:rPr>
                <w:sz w:val="5"/>
                <w:szCs w:val="5"/>
                <w:color w:val="auto"/>
              </w:rPr>
            </w:pPr>
          </w:p>
        </w:tc>
        <w:tc>
          <w:tcPr>
            <w:tcW w:w="240" w:type="dxa"/>
            <w:vAlign w:val="bottom"/>
            <w:gridSpan w:val="2"/>
            <w:vMerge w:val="continue"/>
            <w:shd w:val="clear" w:color="auto" w:fill="CFF0FC"/>
          </w:tcPr>
          <w:p>
            <w:pPr>
              <w:spacing w:after="0"/>
              <w:rPr>
                <w:sz w:val="5"/>
                <w:szCs w:val="5"/>
                <w:color w:val="auto"/>
              </w:rPr>
            </w:pPr>
          </w:p>
        </w:tc>
        <w:tc>
          <w:tcPr>
            <w:tcW w:w="116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34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360" w:type="dxa"/>
            <w:vAlign w:val="bottom"/>
            <w:vMerge w:val="continue"/>
            <w:shd w:val="clear" w:color="auto" w:fill="CFF0FC"/>
          </w:tcPr>
          <w:p>
            <w:pPr>
              <w:spacing w:after="0"/>
              <w:rPr>
                <w:sz w:val="5"/>
                <w:szCs w:val="5"/>
                <w:color w:val="auto"/>
              </w:rPr>
            </w:pPr>
          </w:p>
        </w:tc>
        <w:tc>
          <w:tcPr>
            <w:tcW w:w="152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200"/>
              <w:spacing w:after="0"/>
              <w:rPr>
                <w:sz w:val="20"/>
                <w:szCs w:val="20"/>
                <w:color w:val="auto"/>
              </w:rPr>
            </w:pPr>
            <w:r>
              <w:rPr>
                <w:rFonts w:ascii="Arial" w:cs="Arial" w:eastAsia="Arial" w:hAnsi="Arial"/>
                <w:sz w:val="18"/>
                <w:szCs w:val="18"/>
                <w:color w:val="auto"/>
              </w:rPr>
              <w:t>Class A-1T-R Notes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89,631,705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90,512,698</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LIBOR + 1.58%</w:t>
            </w:r>
          </w:p>
        </w:tc>
        <w:tc>
          <w:tcPr>
            <w:tcW w:w="1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AAA(sf)</w:t>
            </w:r>
          </w:p>
        </w:tc>
        <w:tc>
          <w:tcPr>
            <w:tcW w:w="152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11/20/2029</w:t>
            </w:r>
          </w:p>
        </w:tc>
        <w:tc>
          <w:tcPr>
            <w:tcW w:w="0" w:type="dxa"/>
            <w:vAlign w:val="bottom"/>
          </w:tcPr>
          <w:p>
            <w:pPr>
              <w:spacing w:after="0"/>
              <w:rPr>
                <w:sz w:val="1"/>
                <w:szCs w:val="1"/>
                <w:color w:val="auto"/>
              </w:rPr>
            </w:pPr>
          </w:p>
        </w:tc>
      </w:tr>
      <w:tr>
        <w:trPr>
          <w:trHeight w:val="263"/>
        </w:trPr>
        <w:tc>
          <w:tcPr>
            <w:tcW w:w="3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Class A-2-R Notes</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54,681,332</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55,100,000</w:t>
            </w:r>
          </w:p>
        </w:tc>
        <w:tc>
          <w:tcPr>
            <w:tcW w:w="100" w:type="dxa"/>
            <w:vAlign w:val="bottom"/>
            <w:shd w:val="clear" w:color="auto" w:fill="CFF0FC"/>
          </w:tcPr>
          <w:p>
            <w:pPr>
              <w:spacing w:after="0"/>
              <w:rPr>
                <w:sz w:val="22"/>
                <w:szCs w:val="22"/>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LIBOR + 2.45%</w:t>
            </w: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AA (sf)</w:t>
            </w:r>
          </w:p>
        </w:tc>
        <w:tc>
          <w:tcPr>
            <w:tcW w:w="15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0"/>
              </w:rPr>
              <w:t>11/20/2029</w:t>
            </w:r>
          </w:p>
        </w:tc>
        <w:tc>
          <w:tcPr>
            <w:tcW w:w="0" w:type="dxa"/>
            <w:vAlign w:val="bottom"/>
          </w:tcPr>
          <w:p>
            <w:pPr>
              <w:spacing w:after="0"/>
              <w:rPr>
                <w:sz w:val="1"/>
                <w:szCs w:val="1"/>
                <w:color w:val="auto"/>
              </w:rPr>
            </w:pPr>
          </w:p>
        </w:tc>
      </w:tr>
      <w:tr>
        <w:trPr>
          <w:trHeight w:val="243"/>
        </w:trPr>
        <w:tc>
          <w:tcPr>
            <w:tcW w:w="3920" w:type="dxa"/>
            <w:vAlign w:val="bottom"/>
          </w:tcPr>
          <w:p>
            <w:pPr>
              <w:ind w:left="200"/>
              <w:spacing w:after="0"/>
              <w:rPr>
                <w:sz w:val="20"/>
                <w:szCs w:val="20"/>
                <w:color w:val="auto"/>
              </w:rPr>
            </w:pPr>
            <w:r>
              <w:rPr>
                <w:rFonts w:ascii="Arial" w:cs="Arial" w:eastAsia="Arial" w:hAnsi="Arial"/>
                <w:sz w:val="18"/>
                <w:szCs w:val="18"/>
                <w:color w:val="auto"/>
              </w:rPr>
              <w:t>Class B-R Notes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18,102,679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18,250,000</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LIBOR + 3.17%</w:t>
            </w:r>
          </w:p>
        </w:tc>
        <w:tc>
          <w:tcPr>
            <w:tcW w:w="1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7"/>
              </w:rPr>
              <w:t>A (sf)</w:t>
            </w:r>
          </w:p>
        </w:tc>
        <w:tc>
          <w:tcPr>
            <w:tcW w:w="152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11/20/2029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6" w:lineRule="exact"/>
        <w:rPr>
          <w:sz w:val="20"/>
          <w:szCs w:val="20"/>
          <w:color w:val="auto"/>
        </w:rPr>
      </w:pPr>
    </w:p>
    <w:p>
      <w:pPr>
        <w:ind w:left="4360" w:hanging="302"/>
        <w:spacing w:after="0"/>
        <w:tabs>
          <w:tab w:leader="none" w:pos="43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162,415,716   $  163,862,698</w:t>
      </w:r>
    </w:p>
    <w:p>
      <w:pPr>
        <w:spacing w:after="0" w:line="391" w:lineRule="exact"/>
        <w:rPr>
          <w:rFonts w:ascii="Arial" w:cs="Arial" w:eastAsia="Arial" w:hAnsi="Arial"/>
          <w:sz w:val="18"/>
          <w:szCs w:val="18"/>
          <w:color w:val="auto"/>
        </w:rPr>
      </w:pPr>
    </w:p>
    <w:p>
      <w:pPr>
        <w:ind w:left="380" w:right="420" w:hanging="372"/>
        <w:spacing w:after="0" w:line="266" w:lineRule="auto"/>
        <w:tabs>
          <w:tab w:leader="none" w:pos="294" w:val="left"/>
        </w:tabs>
        <w:numPr>
          <w:ilvl w:val="0"/>
          <w:numId w:val="73"/>
        </w:numPr>
        <w:rPr>
          <w:rFonts w:ascii="Arial" w:cs="Arial" w:eastAsia="Arial" w:hAnsi="Arial"/>
          <w:sz w:val="14"/>
          <w:szCs w:val="14"/>
          <w:color w:val="auto"/>
        </w:rPr>
      </w:pPr>
      <w:r>
        <w:rPr>
          <w:rFonts w:ascii="Arial" w:cs="Arial" w:eastAsia="Arial" w:hAnsi="Arial"/>
          <w:sz w:val="16"/>
          <w:szCs w:val="16"/>
          <w:color w:val="auto"/>
        </w:rPr>
        <w:t>Represents ratings from each of S&amp;P and DBRS for the Class A-1R-R Notes and the Class A-1T-R Notes and from S&amp;P for the Class A-2-R Notes and Class B-R Notes as of the closing of the CLO on October 18, 2018.</w:t>
      </w:r>
    </w:p>
    <w:p>
      <w:pPr>
        <w:spacing w:after="0" w:line="1" w:lineRule="exact"/>
        <w:rPr>
          <w:rFonts w:ascii="Arial" w:cs="Arial" w:eastAsia="Arial" w:hAnsi="Arial"/>
          <w:sz w:val="14"/>
          <w:szCs w:val="14"/>
          <w:color w:val="auto"/>
        </w:rPr>
      </w:pPr>
    </w:p>
    <w:p>
      <w:pPr>
        <w:ind w:left="380" w:right="580" w:hanging="372"/>
        <w:spacing w:after="0" w:line="288" w:lineRule="auto"/>
        <w:tabs>
          <w:tab w:leader="none" w:pos="294" w:val="left"/>
        </w:tabs>
        <w:numPr>
          <w:ilvl w:val="0"/>
          <w:numId w:val="73"/>
        </w:numPr>
        <w:rPr>
          <w:rFonts w:ascii="Arial" w:cs="Arial" w:eastAsia="Arial" w:hAnsi="Arial"/>
          <w:sz w:val="14"/>
          <w:szCs w:val="14"/>
          <w:color w:val="auto"/>
        </w:rPr>
      </w:pPr>
      <w:r>
        <w:rPr>
          <w:rFonts w:ascii="Arial" w:cs="Arial" w:eastAsia="Arial" w:hAnsi="Arial"/>
          <w:sz w:val="16"/>
          <w:szCs w:val="16"/>
          <w:color w:val="auto"/>
        </w:rPr>
        <w:t>The indenture governing our CLO permits the repricing or refinancing of the secured notes after November 20, 2020, which may result in the redemption of the outstanding notes occurring prior to their stated maturity.</w:t>
      </w:r>
    </w:p>
    <w:p>
      <w:pPr>
        <w:spacing w:after="0" w:line="13" w:lineRule="exact"/>
        <w:rPr>
          <w:rFonts w:ascii="Arial" w:cs="Arial" w:eastAsia="Arial" w:hAnsi="Arial"/>
          <w:sz w:val="14"/>
          <w:szCs w:val="14"/>
          <w:color w:val="auto"/>
        </w:rPr>
      </w:pPr>
    </w:p>
    <w:p>
      <w:pPr>
        <w:ind w:left="440" w:hanging="432"/>
        <w:spacing w:after="0"/>
        <w:tabs>
          <w:tab w:leader="none" w:pos="440" w:val="left"/>
        </w:tabs>
        <w:numPr>
          <w:ilvl w:val="0"/>
          <w:numId w:val="73"/>
        </w:numPr>
        <w:rPr>
          <w:rFonts w:ascii="Arial" w:cs="Arial" w:eastAsia="Arial" w:hAnsi="Arial"/>
          <w:sz w:val="14"/>
          <w:szCs w:val="14"/>
          <w:color w:val="auto"/>
        </w:rPr>
      </w:pPr>
      <w:r>
        <w:rPr>
          <w:rFonts w:ascii="Arial" w:cs="Arial" w:eastAsia="Arial" w:hAnsi="Arial"/>
          <w:sz w:val="16"/>
          <w:szCs w:val="16"/>
          <w:color w:val="auto"/>
        </w:rPr>
        <w:t>Interest may be indexed to either the CP Rate (as defined in the governing indenture) or three-month USD LIBOR.</w:t>
      </w:r>
    </w:p>
    <w:p>
      <w:pPr>
        <w:spacing w:after="0" w:line="149" w:lineRule="exact"/>
        <w:rPr>
          <w:sz w:val="20"/>
          <w:szCs w:val="20"/>
          <w:color w:val="auto"/>
        </w:rPr>
      </w:pPr>
    </w:p>
    <w:p>
      <w:pPr>
        <w:ind w:right="140" w:firstLine="374"/>
        <w:spacing w:after="0" w:line="275" w:lineRule="auto"/>
        <w:rPr>
          <w:sz w:val="20"/>
          <w:szCs w:val="20"/>
          <w:color w:val="auto"/>
        </w:rPr>
      </w:pPr>
      <w:r>
        <w:rPr>
          <w:rFonts w:ascii="Arial" w:cs="Arial" w:eastAsia="Arial" w:hAnsi="Arial"/>
          <w:sz w:val="18"/>
          <w:szCs w:val="18"/>
          <w:color w:val="auto"/>
        </w:rPr>
        <w:t>October 28, 2020 the Company completed the GARS Acquisition, pursuant to the terms and conditions of the GARS Merger Agreement. In connection therewith, the Company now consolidates the financial statements the 2018-2 CLO a $420.0 million par value CLO facility. On the date of the transaction the debt assumed was recognized at fair value, resulting in a $2.4 million discount which is amortized over the remaining term of the borrowings.</w:t>
      </w:r>
    </w:p>
    <w:p>
      <w:pPr>
        <w:spacing w:after="0" w:line="185" w:lineRule="exact"/>
        <w:rPr>
          <w:sz w:val="20"/>
          <w:szCs w:val="20"/>
          <w:color w:val="auto"/>
        </w:rPr>
      </w:pPr>
    </w:p>
    <w:p>
      <w:pPr>
        <w:ind w:right="140" w:firstLine="374"/>
        <w:spacing w:after="0" w:line="266" w:lineRule="auto"/>
        <w:rPr>
          <w:sz w:val="20"/>
          <w:szCs w:val="20"/>
          <w:color w:val="auto"/>
        </w:rPr>
      </w:pPr>
      <w:r>
        <w:rPr>
          <w:rFonts w:ascii="Arial" w:cs="Arial" w:eastAsia="Arial" w:hAnsi="Arial"/>
          <w:sz w:val="18"/>
          <w:szCs w:val="18"/>
          <w:color w:val="auto"/>
        </w:rPr>
        <w:t>The CLO was executed by GF CLO 2018-2 (the “Issuer”) and Garrison Funding 2018-2 LLC (together with the Issuer, the “Co-Issuers”) who issued $312.0 million of senior secured notes (collectively referred to as the “2018-2 Secured Notes” individually defined above in the table) and $108.0 million of subordinated notes (the “2018-2 Subordinated Notes” and, together with the 2018-2 Secured Notes, the “2018-2 Notes”) backed by a diversified portfolio of primarily senior secured loans. The Company owns all $108.0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7" w:name="page68"/>
    <w:bookmarkEnd w:id="67"/>
    <w:p>
      <w:pPr>
        <w:ind w:right="20"/>
        <w:spacing w:after="0" w:line="305" w:lineRule="auto"/>
        <w:rPr>
          <w:sz w:val="20"/>
          <w:szCs w:val="20"/>
          <w:color w:val="auto"/>
        </w:rPr>
      </w:pPr>
      <w:r>
        <w:rPr>
          <w:rFonts w:ascii="Arial" w:cs="Arial" w:eastAsia="Arial" w:hAnsi="Arial"/>
          <w:sz w:val="16"/>
          <w:szCs w:val="16"/>
          <w:color w:val="auto"/>
        </w:rPr>
        <w:t>million of the 2018-2 Subordinated Notes and $18.3 million of the Class B-R Notes and serves as collateral manager for the Co-Issuers. The Company is entitled to receive interest from the Class B-R Notes, distributions from the 2018-2 Subordinated Notes and fees for serving as collateral manager in accordance with the CLO’s governing documents and to the extent funds are available for such purposes. However, as a result of retaining all of the 2018-2 Subordinated Notes, the Company consolidates the accounts of the Co-Issuers into its financial statements and all transactions between the Company and the Co-Issuers are eliminated on consolidation. As a result of this consolidation, the 2018-2 Secured Notes issued by the CLO is treated as the Company’s indebtedness, except any 2018-2 Secured Notes owned by the Company, which are eliminated in consolidation. The 2018-2 Notes are scheduled to mature on November 20, 2029, however the Co-Issuers may redeem the 2018-2 Notes on any business day after November 20, 2020. The indenture governing the 2018-2 Notes provides that, to the extent cash is available from cash collections, the holders of the 2018-2 Notes are to receive quarterly interest payments on the 20th day or, if not a business day, the next succeeding business day of February, May, August and November of each year until the stated maturity or earlier redemption. On July 18, 2019, $25.0 million outstanding of the aggregate $50.0 million Class A-1R-R Notes available under the CLO converted to Class A-1T-R Notes. The remaining $25.0 million of Class A-1R-R Notes, to the extent drawn, will convert to term notes on or before November 20, 2022.</w:t>
      </w:r>
    </w:p>
    <w:p>
      <w:pPr>
        <w:spacing w:after="0" w:line="169" w:lineRule="exact"/>
        <w:rPr>
          <w:sz w:val="20"/>
          <w:szCs w:val="20"/>
          <w:color w:val="auto"/>
        </w:rPr>
      </w:pPr>
    </w:p>
    <w:p>
      <w:pPr>
        <w:ind w:right="600" w:firstLine="374"/>
        <w:spacing w:after="0" w:line="293" w:lineRule="auto"/>
        <w:rPr>
          <w:sz w:val="20"/>
          <w:szCs w:val="20"/>
          <w:color w:val="auto"/>
        </w:rPr>
      </w:pPr>
      <w:r>
        <w:rPr>
          <w:rFonts w:ascii="Arial" w:cs="Arial" w:eastAsia="Arial" w:hAnsi="Arial"/>
          <w:sz w:val="18"/>
          <w:szCs w:val="18"/>
          <w:color w:val="auto"/>
        </w:rPr>
        <w:t>During the first quarter of 2021, the Company redeemed approximately $88 million of the 2018-2 Secured Notes. In connection therewith, the Company recognized a realized loss on extinguishment of debt of approximately $0.9 million.</w:t>
      </w:r>
    </w:p>
    <w:p>
      <w:pPr>
        <w:spacing w:after="0" w:line="170" w:lineRule="exact"/>
        <w:rPr>
          <w:sz w:val="20"/>
          <w:szCs w:val="20"/>
          <w:color w:val="auto"/>
        </w:rPr>
      </w:pPr>
    </w:p>
    <w:p>
      <w:pPr>
        <w:ind w:right="140" w:firstLine="374"/>
        <w:spacing w:after="0" w:line="293" w:lineRule="auto"/>
        <w:rPr>
          <w:sz w:val="20"/>
          <w:szCs w:val="20"/>
          <w:color w:val="auto"/>
        </w:rPr>
      </w:pPr>
      <w:r>
        <w:rPr>
          <w:rFonts w:ascii="Arial" w:cs="Arial" w:eastAsia="Arial" w:hAnsi="Arial"/>
          <w:sz w:val="18"/>
          <w:szCs w:val="18"/>
          <w:color w:val="auto"/>
        </w:rPr>
        <w:t>The fair value of the 2018-2 Notes approximated their carrying value on the consolidated statements of financial condition as of September 30, 2021 and are categorized as Level III under the ASC 820 Fair Value Hierarchy.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Loan Obligation Financing Covenants</w:t>
      </w:r>
    </w:p>
    <w:p>
      <w:pPr>
        <w:spacing w:after="0" w:line="239"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color w:val="auto"/>
        </w:rPr>
        <w:t>The documents governing the CLO include three overcollateralization tests which are comprised of the Class A Overcollateralization Test, the Class B Overcollateralization Test and the EoD Overcollateralization Test, each of which are individually defined below.</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documents governing the CLO include two coverage tests applicable to the 2018-2 Secured Notes as of September 30, 2021. The first test compares the amount of interest received on the collateral loans held by 2018-2 CLO to the amount of interest payable on the 2018-2 Secured Notes in respect of the amounts drawn and certain expenses. To meet this first test, at any time, the aggregate amount of interest received on the collateral loans must equal, after the payment of certain fees and expenses, at least 135.0% of the aggregate amount of interest payable on the Class A-1R-R Notes, the Class A-1T-R Notes and the Class A-2-R Notes (collectively, the “Class A-R Notes”) and 125.0% of the interest payable on the Class A-R Notes and Class B-R Notes, taken together.</w:t>
      </w:r>
    </w:p>
    <w:p>
      <w:pPr>
        <w:spacing w:after="0" w:line="191"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The second test compares the aggregate assets that serve as collateral for the 2018-2 Secured Notes, or the Total Capitalization, as defined and calculated in accordance with the indenture, to the aggregate outstanding principal amount of the 2018-2 Secured Notes in respect of the amounts drawn. To meet this second test at any time, the Total Capitalization must equal at least (1) 128.0% of the aggregate outstanding principal amount of the Class A-R Notes (“Class A Overcollateralization Test”), and (2) 118.2% of the aggregate principal amount of the Class A-R Notes and Class B-R Notes, taken together (the test in clause (2), the “Class B Overcollateralization Test”).</w:t>
      </w:r>
    </w:p>
    <w:p>
      <w:pPr>
        <w:spacing w:after="0" w:line="191"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auto"/>
        </w:rPr>
        <w:t>If the coverage tests are not satisfied with respect to a quarterly payment date, the CLO may be required to apply amounts to the repayment of interest on and principal of the 2018-2 Notes prior to their maturity to the extent necessary to satisfy the applicable coverage tests. As a result, there may be reduced funds available for 2018-2 CLO to make additional investments or to make distributions on the 2018-2 Notes held by the Company. Additionally, compliance was measured on each day collateral loans are purchased, originated or sold and in connection with monthly reporting to the note holders.</w:t>
      </w:r>
    </w:p>
    <w:p>
      <w:pPr>
        <w:spacing w:after="0" w:line="156"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Furthermore, if under the second coverage test the Total Capitalization equals 125.0% or less of the aggregate outstanding principal amount on the Class A-1R-R and Class A-1T-R Notes (“EoD Overcollateralization Test”), taken together remained so for ten business days, an event of default would be deemed to have occurred.</w:t>
      </w:r>
    </w:p>
    <w:p>
      <w:pPr>
        <w:spacing w:after="0" w:line="183"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color w:val="auto"/>
        </w:rPr>
        <w:t>As of September 30, 2021, the trustee for the CLO has asserted that the Class A Overcollateralization Test, Class B Overcollateralization, and the EoD Overcollateralization Test were met.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Securities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about the Company’s senior securities is shown as of the dates indicated in the below table.</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9"/>
        </w:trPr>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center"/>
              <w:ind w:right="191"/>
              <w:spacing w:after="0"/>
              <w:rPr>
                <w:sz w:val="20"/>
                <w:szCs w:val="20"/>
                <w:color w:val="auto"/>
              </w:rPr>
            </w:pPr>
            <w:r>
              <w:rPr>
                <w:rFonts w:ascii="Arial" w:cs="Arial" w:eastAsia="Arial" w:hAnsi="Arial"/>
                <w:sz w:val="18"/>
                <w:szCs w:val="18"/>
                <w:b w:val="1"/>
                <w:bCs w:val="1"/>
                <w:color w:val="auto"/>
                <w:w w:val="93"/>
              </w:rPr>
              <w:t>Total Amount</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center"/>
              <w:ind w:right="191"/>
              <w:spacing w:after="0"/>
              <w:rPr>
                <w:sz w:val="20"/>
                <w:szCs w:val="20"/>
                <w:color w:val="auto"/>
              </w:rPr>
            </w:pPr>
            <w:r>
              <w:rPr>
                <w:rFonts w:ascii="Arial" w:cs="Arial" w:eastAsia="Arial" w:hAnsi="Arial"/>
                <w:sz w:val="18"/>
                <w:szCs w:val="18"/>
                <w:b w:val="1"/>
                <w:bCs w:val="1"/>
                <w:color w:val="auto"/>
                <w:w w:val="90"/>
              </w:rPr>
              <w:t>Outstanding</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Involuntary</w:t>
            </w:r>
          </w:p>
        </w:tc>
        <w:tc>
          <w:tcPr>
            <w:tcW w:w="2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29"/>
        </w:trPr>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center"/>
              <w:ind w:right="191"/>
              <w:spacing w:after="0"/>
              <w:rPr>
                <w:sz w:val="20"/>
                <w:szCs w:val="20"/>
                <w:color w:val="auto"/>
              </w:rPr>
            </w:pPr>
            <w:r>
              <w:rPr>
                <w:rFonts w:ascii="Arial" w:cs="Arial" w:eastAsia="Arial" w:hAnsi="Arial"/>
                <w:sz w:val="18"/>
                <w:szCs w:val="18"/>
                <w:b w:val="1"/>
                <w:bCs w:val="1"/>
                <w:color w:val="auto"/>
                <w:w w:val="87"/>
              </w:rPr>
              <w:t>Exclusive of</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Liquidating</w:t>
            </w:r>
          </w:p>
        </w:tc>
        <w:tc>
          <w:tcPr>
            <w:tcW w:w="2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r>
      <w:tr>
        <w:trPr>
          <w:trHeight w:val="207"/>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center"/>
              <w:ind w:right="191"/>
              <w:spacing w:after="0"/>
              <w:rPr>
                <w:sz w:val="20"/>
                <w:szCs w:val="20"/>
                <w:color w:val="auto"/>
              </w:rPr>
            </w:pPr>
            <w:r>
              <w:rPr>
                <w:rFonts w:ascii="Arial" w:cs="Arial" w:eastAsia="Arial" w:hAnsi="Arial"/>
                <w:sz w:val="18"/>
                <w:szCs w:val="18"/>
                <w:b w:val="1"/>
                <w:bCs w:val="1"/>
                <w:color w:val="auto"/>
                <w:w w:val="89"/>
              </w:rPr>
              <w:t>Treasury</w:t>
            </w:r>
          </w:p>
        </w:tc>
        <w:tc>
          <w:tcPr>
            <w:tcW w:w="260" w:type="dxa"/>
            <w:vAlign w:val="bottom"/>
          </w:tcPr>
          <w:p>
            <w:pPr>
              <w:spacing w:after="0"/>
              <w:rPr>
                <w:sz w:val="18"/>
                <w:szCs w:val="18"/>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Asset Coverage per</w:t>
            </w:r>
          </w:p>
        </w:tc>
        <w:tc>
          <w:tcPr>
            <w:tcW w:w="2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Preference per</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Value per</w:t>
            </w:r>
          </w:p>
        </w:tc>
      </w:tr>
      <w:tr>
        <w:trPr>
          <w:trHeight w:val="27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Class and Period</w:t>
            </w:r>
          </w:p>
        </w:tc>
        <w:tc>
          <w:tcPr>
            <w:tcW w:w="2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center"/>
              <w:ind w:right="191"/>
              <w:spacing w:after="0" w:line="270" w:lineRule="exact"/>
              <w:rPr>
                <w:sz w:val="20"/>
                <w:szCs w:val="20"/>
                <w:color w:val="auto"/>
              </w:rPr>
            </w:pPr>
            <w:r>
              <w:rPr>
                <w:rFonts w:ascii="Arial" w:cs="Arial" w:eastAsia="Arial" w:hAnsi="Arial"/>
                <w:sz w:val="18"/>
                <w:szCs w:val="18"/>
                <w:b w:val="1"/>
                <w:bCs w:val="1"/>
                <w:color w:val="auto"/>
                <w:w w:val="83"/>
              </w:rPr>
              <w:t>Securities</w:t>
            </w:r>
            <w:r>
              <w:rPr>
                <w:rFonts w:ascii="Arial" w:cs="Arial" w:eastAsia="Arial" w:hAnsi="Arial"/>
                <w:sz w:val="24"/>
                <w:szCs w:val="24"/>
                <w:b w:val="1"/>
                <w:bCs w:val="1"/>
                <w:color w:val="auto"/>
                <w:w w:val="83"/>
                <w:vertAlign w:val="superscript"/>
              </w:rPr>
              <w:t>(1)</w:t>
            </w:r>
          </w:p>
        </w:tc>
        <w:tc>
          <w:tcPr>
            <w:tcW w:w="260" w:type="dxa"/>
            <w:vAlign w:val="bottom"/>
          </w:tcPr>
          <w:p>
            <w:pPr>
              <w:spacing w:after="0"/>
              <w:rPr>
                <w:sz w:val="23"/>
                <w:szCs w:val="23"/>
                <w:color w:val="auto"/>
              </w:rPr>
            </w:pPr>
          </w:p>
        </w:tc>
        <w:tc>
          <w:tcPr>
            <w:tcW w:w="1760" w:type="dxa"/>
            <w:vAlign w:val="bottom"/>
            <w:tcBorders>
              <w:bottom w:val="single" w:sz="8" w:color="auto"/>
            </w:tcBorders>
          </w:tcPr>
          <w:p>
            <w:pPr>
              <w:jc w:val="right"/>
              <w:ind w:right="590"/>
              <w:spacing w:after="0" w:line="270" w:lineRule="exact"/>
              <w:rPr>
                <w:sz w:val="20"/>
                <w:szCs w:val="20"/>
                <w:color w:val="auto"/>
              </w:rPr>
            </w:pPr>
            <w:r>
              <w:rPr>
                <w:rFonts w:ascii="Arial" w:cs="Arial" w:eastAsia="Arial" w:hAnsi="Arial"/>
                <w:sz w:val="18"/>
                <w:szCs w:val="18"/>
                <w:b w:val="1"/>
                <w:bCs w:val="1"/>
                <w:color w:val="auto"/>
              </w:rPr>
              <w:t>Unit</w:t>
            </w:r>
            <w:r>
              <w:rPr>
                <w:rFonts w:ascii="Arial" w:cs="Arial" w:eastAsia="Arial" w:hAnsi="Arial"/>
                <w:sz w:val="24"/>
                <w:szCs w:val="24"/>
                <w:b w:val="1"/>
                <w:bCs w:val="1"/>
                <w:color w:val="auto"/>
                <w:vertAlign w:val="superscript"/>
              </w:rPr>
              <w:t>(2)</w:t>
            </w:r>
          </w:p>
        </w:tc>
        <w:tc>
          <w:tcPr>
            <w:tcW w:w="260" w:type="dxa"/>
            <w:vAlign w:val="bottom"/>
          </w:tcPr>
          <w:p>
            <w:pPr>
              <w:spacing w:after="0"/>
              <w:rPr>
                <w:sz w:val="23"/>
                <w:szCs w:val="23"/>
                <w:color w:val="auto"/>
              </w:rPr>
            </w:pPr>
          </w:p>
        </w:tc>
        <w:tc>
          <w:tcPr>
            <w:tcW w:w="1500" w:type="dxa"/>
            <w:vAlign w:val="bottom"/>
            <w:tcBorders>
              <w:bottom w:val="single" w:sz="8" w:color="auto"/>
            </w:tcBorders>
          </w:tcPr>
          <w:p>
            <w:pPr>
              <w:jc w:val="center"/>
              <w:ind w:right="10"/>
              <w:spacing w:after="0" w:line="270" w:lineRule="exact"/>
              <w:rPr>
                <w:sz w:val="20"/>
                <w:szCs w:val="20"/>
                <w:color w:val="auto"/>
              </w:rPr>
            </w:pPr>
            <w:r>
              <w:rPr>
                <w:rFonts w:ascii="Arial" w:cs="Arial" w:eastAsia="Arial" w:hAnsi="Arial"/>
                <w:sz w:val="18"/>
                <w:szCs w:val="18"/>
                <w:b w:val="1"/>
                <w:bCs w:val="1"/>
                <w:color w:val="auto"/>
                <w:w w:val="87"/>
              </w:rPr>
              <w:t>Unit</w:t>
            </w:r>
            <w:r>
              <w:rPr>
                <w:rFonts w:ascii="Arial" w:cs="Arial" w:eastAsia="Arial" w:hAnsi="Arial"/>
                <w:sz w:val="24"/>
                <w:szCs w:val="24"/>
                <w:b w:val="1"/>
                <w:bCs w:val="1"/>
                <w:color w:val="auto"/>
                <w:w w:val="87"/>
                <w:vertAlign w:val="superscript"/>
              </w:rPr>
              <w:t>(3)</w:t>
            </w:r>
          </w:p>
        </w:tc>
        <w:tc>
          <w:tcPr>
            <w:tcW w:w="240" w:type="dxa"/>
            <w:vAlign w:val="bottom"/>
          </w:tcPr>
          <w:p>
            <w:pPr>
              <w:spacing w:after="0"/>
              <w:rPr>
                <w:sz w:val="23"/>
                <w:szCs w:val="23"/>
                <w:color w:val="auto"/>
              </w:rPr>
            </w:pPr>
          </w:p>
        </w:tc>
        <w:tc>
          <w:tcPr>
            <w:tcW w:w="98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7"/>
              </w:rPr>
              <w:t>Unit</w:t>
            </w:r>
            <w:r>
              <w:rPr>
                <w:rFonts w:ascii="Arial" w:cs="Arial" w:eastAsia="Arial" w:hAnsi="Arial"/>
                <w:sz w:val="24"/>
                <w:szCs w:val="24"/>
                <w:b w:val="1"/>
                <w:bCs w:val="1"/>
                <w:color w:val="auto"/>
                <w:w w:val="87"/>
                <w:vertAlign w:val="superscript"/>
              </w:rPr>
              <w:t>(4)</w:t>
            </w:r>
          </w:p>
        </w:tc>
      </w:tr>
      <w:tr>
        <w:trPr>
          <w:trHeight w:val="244"/>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center"/>
              <w:ind w:right="191"/>
              <w:spacing w:after="0"/>
              <w:rPr>
                <w:sz w:val="20"/>
                <w:szCs w:val="20"/>
                <w:color w:val="auto"/>
              </w:rPr>
            </w:pPr>
            <w:r>
              <w:rPr>
                <w:rFonts w:ascii="Arial" w:cs="Arial" w:eastAsia="Arial" w:hAnsi="Arial"/>
                <w:sz w:val="14"/>
                <w:szCs w:val="14"/>
                <w:b w:val="1"/>
                <w:bCs w:val="1"/>
                <w:color w:val="auto"/>
                <w:w w:val="90"/>
              </w:rPr>
              <w:t>(dollars in thousands)</w:t>
            </w: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2011</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60,000</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260" w:type="dxa"/>
            <w:vAlign w:val="bottom"/>
            <w:shd w:val="clear" w:color="auto" w:fill="CFF0FC"/>
          </w:tcPr>
          <w:p>
            <w:pPr>
              <w:spacing w:after="0"/>
              <w:rPr>
                <w:sz w:val="22"/>
                <w:szCs w:val="22"/>
                <w:color w:val="auto"/>
              </w:rPr>
            </w:pPr>
          </w:p>
        </w:tc>
        <w:tc>
          <w:tcPr>
            <w:tcW w:w="1500" w:type="dxa"/>
            <w:vAlign w:val="bottom"/>
            <w:shd w:val="clear" w:color="auto" w:fill="CFF0FC"/>
          </w:tcPr>
          <w:p>
            <w:pPr>
              <w:ind w:left="1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50"/>
        </w:trPr>
        <w:tc>
          <w:tcPr>
            <w:tcW w:w="4000" w:type="dxa"/>
            <w:vAlign w:val="bottom"/>
          </w:tcPr>
          <w:p>
            <w:pPr>
              <w:ind w:left="20"/>
              <w:spacing w:after="0"/>
              <w:rPr>
                <w:sz w:val="20"/>
                <w:szCs w:val="20"/>
                <w:color w:val="auto"/>
              </w:rPr>
            </w:pPr>
            <w:r>
              <w:rPr>
                <w:rFonts w:ascii="Arial" w:cs="Arial" w:eastAsia="Arial" w:hAnsi="Arial"/>
                <w:sz w:val="18"/>
                <w:szCs w:val="18"/>
                <w:color w:val="auto"/>
              </w:rPr>
              <w:t>Fiscal 2012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101,400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3,050</w:t>
            </w:r>
          </w:p>
        </w:tc>
        <w:tc>
          <w:tcPr>
            <w:tcW w:w="260" w:type="dxa"/>
            <w:vAlign w:val="bottom"/>
          </w:tcPr>
          <w:p>
            <w:pPr>
              <w:spacing w:after="0"/>
              <w:rPr>
                <w:sz w:val="21"/>
                <w:szCs w:val="21"/>
                <w:color w:val="auto"/>
              </w:rPr>
            </w:pP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63"/>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2013</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192,592</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260" w:type="dxa"/>
            <w:vAlign w:val="bottom"/>
            <w:shd w:val="clear" w:color="auto" w:fill="CFF0FC"/>
          </w:tcPr>
          <w:p>
            <w:pPr>
              <w:spacing w:after="0"/>
              <w:rPr>
                <w:sz w:val="22"/>
                <w:szCs w:val="22"/>
                <w:color w:val="auto"/>
              </w:rPr>
            </w:pPr>
          </w:p>
        </w:tc>
        <w:tc>
          <w:tcPr>
            <w:tcW w:w="1500" w:type="dxa"/>
            <w:vAlign w:val="bottom"/>
            <w:shd w:val="clear" w:color="auto" w:fill="CFF0FC"/>
          </w:tcPr>
          <w:p>
            <w:pPr>
              <w:ind w:left="1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50"/>
        </w:trPr>
        <w:tc>
          <w:tcPr>
            <w:tcW w:w="4000" w:type="dxa"/>
            <w:vAlign w:val="bottom"/>
          </w:tcPr>
          <w:p>
            <w:pPr>
              <w:ind w:left="20"/>
              <w:spacing w:after="0"/>
              <w:rPr>
                <w:sz w:val="20"/>
                <w:szCs w:val="20"/>
                <w:color w:val="auto"/>
              </w:rPr>
            </w:pPr>
            <w:r>
              <w:rPr>
                <w:rFonts w:ascii="Arial" w:cs="Arial" w:eastAsia="Arial" w:hAnsi="Arial"/>
                <w:sz w:val="18"/>
                <w:szCs w:val="18"/>
                <w:color w:val="auto"/>
              </w:rPr>
              <w:t>Fiscal 2014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223,885</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2,140</w:t>
            </w:r>
          </w:p>
        </w:tc>
        <w:tc>
          <w:tcPr>
            <w:tcW w:w="260" w:type="dxa"/>
            <w:vAlign w:val="bottom"/>
          </w:tcPr>
          <w:p>
            <w:pPr>
              <w:spacing w:after="0"/>
              <w:rPr>
                <w:sz w:val="21"/>
                <w:szCs w:val="21"/>
                <w:color w:val="auto"/>
              </w:rPr>
            </w:pP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63"/>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2015</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208,049</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FF0FC"/>
          </w:tcPr>
          <w:p>
            <w:pPr>
              <w:spacing w:after="0"/>
              <w:rPr>
                <w:sz w:val="22"/>
                <w:szCs w:val="22"/>
                <w:color w:val="auto"/>
              </w:rPr>
            </w:pPr>
          </w:p>
        </w:tc>
        <w:tc>
          <w:tcPr>
            <w:tcW w:w="1500" w:type="dxa"/>
            <w:vAlign w:val="bottom"/>
            <w:shd w:val="clear" w:color="auto" w:fill="CFF0FC"/>
          </w:tcPr>
          <w:p>
            <w:pPr>
              <w:ind w:left="1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50"/>
        </w:trPr>
        <w:tc>
          <w:tcPr>
            <w:tcW w:w="4000" w:type="dxa"/>
            <w:vAlign w:val="bottom"/>
          </w:tcPr>
          <w:p>
            <w:pPr>
              <w:ind w:left="20"/>
              <w:spacing w:after="0"/>
              <w:rPr>
                <w:sz w:val="20"/>
                <w:szCs w:val="20"/>
                <w:color w:val="auto"/>
              </w:rPr>
            </w:pPr>
            <w:r>
              <w:rPr>
                <w:rFonts w:ascii="Arial" w:cs="Arial" w:eastAsia="Arial" w:hAnsi="Arial"/>
                <w:sz w:val="18"/>
                <w:szCs w:val="18"/>
                <w:color w:val="auto"/>
              </w:rPr>
              <w:t>Fiscal 2016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180,881</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2,048</w:t>
            </w:r>
          </w:p>
        </w:tc>
        <w:tc>
          <w:tcPr>
            <w:tcW w:w="260" w:type="dxa"/>
            <w:vAlign w:val="bottom"/>
          </w:tcPr>
          <w:p>
            <w:pPr>
              <w:spacing w:after="0"/>
              <w:rPr>
                <w:sz w:val="21"/>
                <w:szCs w:val="21"/>
                <w:color w:val="auto"/>
              </w:rPr>
            </w:pP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63"/>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2017</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104,407</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2,713</w:t>
            </w:r>
          </w:p>
        </w:tc>
        <w:tc>
          <w:tcPr>
            <w:tcW w:w="260" w:type="dxa"/>
            <w:vAlign w:val="bottom"/>
            <w:shd w:val="clear" w:color="auto" w:fill="CFF0FC"/>
          </w:tcPr>
          <w:p>
            <w:pPr>
              <w:spacing w:after="0"/>
              <w:rPr>
                <w:sz w:val="22"/>
                <w:szCs w:val="22"/>
                <w:color w:val="auto"/>
              </w:rPr>
            </w:pPr>
          </w:p>
        </w:tc>
        <w:tc>
          <w:tcPr>
            <w:tcW w:w="1500" w:type="dxa"/>
            <w:vAlign w:val="bottom"/>
            <w:shd w:val="clear" w:color="auto" w:fill="CFF0FC"/>
          </w:tcPr>
          <w:p>
            <w:pPr>
              <w:ind w:left="1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50"/>
        </w:trPr>
        <w:tc>
          <w:tcPr>
            <w:tcW w:w="4000" w:type="dxa"/>
            <w:vAlign w:val="bottom"/>
          </w:tcPr>
          <w:p>
            <w:pPr>
              <w:ind w:left="20"/>
              <w:spacing w:after="0"/>
              <w:rPr>
                <w:sz w:val="20"/>
                <w:szCs w:val="20"/>
                <w:color w:val="auto"/>
              </w:rPr>
            </w:pPr>
            <w:r>
              <w:rPr>
                <w:rFonts w:ascii="Arial" w:cs="Arial" w:eastAsia="Arial" w:hAnsi="Arial"/>
                <w:sz w:val="18"/>
                <w:szCs w:val="18"/>
                <w:color w:val="auto"/>
              </w:rPr>
              <w:t>Fiscal 2018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103,763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2,490</w:t>
            </w:r>
          </w:p>
        </w:tc>
        <w:tc>
          <w:tcPr>
            <w:tcW w:w="260" w:type="dxa"/>
            <w:vAlign w:val="bottom"/>
          </w:tcPr>
          <w:p>
            <w:pPr>
              <w:spacing w:after="0"/>
              <w:rPr>
                <w:sz w:val="21"/>
                <w:szCs w:val="21"/>
                <w:color w:val="auto"/>
              </w:rPr>
            </w:pP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63"/>
        </w:trPr>
        <w:tc>
          <w:tcPr>
            <w:tcW w:w="4000" w:type="dxa"/>
            <w:vAlign w:val="bottom"/>
            <w:shd w:val="clear" w:color="auto" w:fill="CFF0FC"/>
          </w:tcPr>
          <w:p>
            <w:pPr>
              <w:ind w:left="20"/>
              <w:spacing w:after="0" w:line="263" w:lineRule="exact"/>
              <w:rPr>
                <w:sz w:val="20"/>
                <w:szCs w:val="20"/>
                <w:color w:val="auto"/>
              </w:rPr>
            </w:pPr>
            <w:r>
              <w:rPr>
                <w:rFonts w:ascii="Arial" w:cs="Arial" w:eastAsia="Arial" w:hAnsi="Arial"/>
                <w:sz w:val="18"/>
                <w:szCs w:val="18"/>
                <w:color w:val="auto"/>
              </w:rPr>
              <w:t>Fiscal 2019</w:t>
            </w:r>
            <w:r>
              <w:rPr>
                <w:rFonts w:ascii="Arial" w:cs="Arial" w:eastAsia="Arial" w:hAnsi="Arial"/>
                <w:sz w:val="24"/>
                <w:szCs w:val="24"/>
                <w:color w:val="auto"/>
                <w:vertAlign w:val="superscript"/>
              </w:rPr>
              <w:t>(5)</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156,978</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1,950</w:t>
            </w:r>
          </w:p>
        </w:tc>
        <w:tc>
          <w:tcPr>
            <w:tcW w:w="260" w:type="dxa"/>
            <w:vAlign w:val="bottom"/>
            <w:shd w:val="clear" w:color="auto" w:fill="CFF0FC"/>
          </w:tcPr>
          <w:p>
            <w:pPr>
              <w:spacing w:after="0"/>
              <w:rPr>
                <w:sz w:val="22"/>
                <w:szCs w:val="22"/>
                <w:color w:val="auto"/>
              </w:rPr>
            </w:pPr>
          </w:p>
        </w:tc>
        <w:tc>
          <w:tcPr>
            <w:tcW w:w="1500" w:type="dxa"/>
            <w:vAlign w:val="bottom"/>
            <w:shd w:val="clear" w:color="auto" w:fill="CFF0FC"/>
          </w:tcPr>
          <w:p>
            <w:pPr>
              <w:ind w:left="1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57"/>
        </w:trPr>
        <w:tc>
          <w:tcPr>
            <w:tcW w:w="4000" w:type="dxa"/>
            <w:vAlign w:val="bottom"/>
          </w:tcPr>
          <w:p>
            <w:pPr>
              <w:ind w:left="20"/>
              <w:spacing w:after="0" w:line="257" w:lineRule="exact"/>
              <w:rPr>
                <w:sz w:val="20"/>
                <w:szCs w:val="20"/>
                <w:color w:val="auto"/>
              </w:rPr>
            </w:pPr>
            <w:r>
              <w:rPr>
                <w:rFonts w:ascii="Arial" w:cs="Arial" w:eastAsia="Arial" w:hAnsi="Arial"/>
                <w:sz w:val="18"/>
                <w:szCs w:val="18"/>
                <w:color w:val="auto"/>
              </w:rPr>
              <w:t>Fiscal 2020</w:t>
            </w:r>
            <w:r>
              <w:rPr>
                <w:rFonts w:ascii="Arial" w:cs="Arial" w:eastAsia="Arial" w:hAnsi="Arial"/>
                <w:sz w:val="24"/>
                <w:szCs w:val="24"/>
                <w:color w:val="auto"/>
                <w:vertAlign w:val="superscript"/>
              </w:rPr>
              <w:t>(6)</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377,910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1,560</w:t>
            </w:r>
          </w:p>
        </w:tc>
        <w:tc>
          <w:tcPr>
            <w:tcW w:w="260" w:type="dxa"/>
            <w:vAlign w:val="bottom"/>
          </w:tcPr>
          <w:p>
            <w:pPr>
              <w:spacing w:after="0"/>
              <w:rPr>
                <w:sz w:val="22"/>
                <w:szCs w:val="22"/>
                <w:color w:val="auto"/>
              </w:rPr>
            </w:pP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56"/>
        </w:trPr>
        <w:tc>
          <w:tcPr>
            <w:tcW w:w="400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March 31, 2021</w:t>
            </w:r>
            <w:r>
              <w:rPr>
                <w:rFonts w:ascii="Arial" w:cs="Arial" w:eastAsia="Arial" w:hAnsi="Arial"/>
                <w:sz w:val="24"/>
                <w:szCs w:val="24"/>
                <w:color w:val="auto"/>
                <w:vertAlign w:val="superscript"/>
              </w:rPr>
              <w:t>(7)</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309,660</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260" w:type="dxa"/>
            <w:vAlign w:val="bottom"/>
            <w:shd w:val="clear" w:color="auto" w:fill="CFF0FC"/>
          </w:tcPr>
          <w:p>
            <w:pPr>
              <w:spacing w:after="0"/>
              <w:rPr>
                <w:sz w:val="22"/>
                <w:szCs w:val="22"/>
                <w:color w:val="auto"/>
              </w:rPr>
            </w:pPr>
          </w:p>
        </w:tc>
        <w:tc>
          <w:tcPr>
            <w:tcW w:w="1500" w:type="dxa"/>
            <w:vAlign w:val="bottom"/>
            <w:shd w:val="clear" w:color="auto" w:fill="CFF0FC"/>
          </w:tcPr>
          <w:p>
            <w:pPr>
              <w:ind w:left="1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57"/>
        </w:trPr>
        <w:tc>
          <w:tcPr>
            <w:tcW w:w="4000" w:type="dxa"/>
            <w:vAlign w:val="bottom"/>
          </w:tcPr>
          <w:p>
            <w:pPr>
              <w:ind w:left="20"/>
              <w:spacing w:after="0" w:line="257" w:lineRule="exact"/>
              <w:rPr>
                <w:sz w:val="20"/>
                <w:szCs w:val="20"/>
                <w:color w:val="auto"/>
              </w:rPr>
            </w:pPr>
            <w:r>
              <w:rPr>
                <w:rFonts w:ascii="Arial" w:cs="Arial" w:eastAsia="Arial" w:hAnsi="Arial"/>
                <w:sz w:val="18"/>
                <w:szCs w:val="18"/>
                <w:color w:val="auto"/>
              </w:rPr>
              <w:t>June 30, 2021</w:t>
            </w:r>
            <w:r>
              <w:rPr>
                <w:rFonts w:ascii="Arial" w:cs="Arial" w:eastAsia="Arial" w:hAnsi="Arial"/>
                <w:sz w:val="24"/>
                <w:szCs w:val="24"/>
                <w:color w:val="auto"/>
                <w:vertAlign w:val="superscript"/>
              </w:rPr>
              <w:t>(8)</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369,684</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1,711</w:t>
            </w:r>
          </w:p>
        </w:tc>
        <w:tc>
          <w:tcPr>
            <w:tcW w:w="260" w:type="dxa"/>
            <w:vAlign w:val="bottom"/>
          </w:tcPr>
          <w:p>
            <w:pPr>
              <w:spacing w:after="0"/>
              <w:rPr>
                <w:sz w:val="22"/>
                <w:szCs w:val="22"/>
                <w:color w:val="auto"/>
              </w:rPr>
            </w:pP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57"/>
        </w:trPr>
        <w:tc>
          <w:tcPr>
            <w:tcW w:w="400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September 30, 2021</w:t>
            </w:r>
            <w:r>
              <w:rPr>
                <w:rFonts w:ascii="Arial" w:cs="Arial" w:eastAsia="Arial" w:hAnsi="Arial"/>
                <w:sz w:val="24"/>
                <w:szCs w:val="24"/>
                <w:color w:val="auto"/>
                <w:vertAlign w:val="superscript"/>
              </w:rPr>
              <w:t>(9)</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340,934</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1,779</w:t>
            </w:r>
          </w:p>
        </w:tc>
        <w:tc>
          <w:tcPr>
            <w:tcW w:w="260" w:type="dxa"/>
            <w:vAlign w:val="bottom"/>
            <w:shd w:val="clear" w:color="auto" w:fill="CFF0FC"/>
          </w:tcPr>
          <w:p>
            <w:pPr>
              <w:spacing w:after="0"/>
              <w:rPr>
                <w:sz w:val="22"/>
                <w:szCs w:val="22"/>
                <w:color w:val="auto"/>
              </w:rPr>
            </w:pPr>
          </w:p>
        </w:tc>
        <w:tc>
          <w:tcPr>
            <w:tcW w:w="1500" w:type="dxa"/>
            <w:vAlign w:val="bottom"/>
            <w:shd w:val="clear" w:color="auto" w:fill="CFF0FC"/>
          </w:tcPr>
          <w:p>
            <w:pPr>
              <w:ind w:left="1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80" w:hanging="459"/>
        <w:spacing w:after="0"/>
        <w:tabs>
          <w:tab w:leader="none" w:pos="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w:t>
      </w:r>
    </w:p>
    <w:p>
      <w:pPr>
        <w:spacing w:after="0" w:line="49" w:lineRule="exact"/>
        <w:rPr>
          <w:rFonts w:ascii="Arial" w:cs="Arial" w:eastAsia="Arial" w:hAnsi="Arial"/>
          <w:sz w:val="18"/>
          <w:szCs w:val="18"/>
          <w:color w:val="auto"/>
        </w:rPr>
      </w:pPr>
    </w:p>
    <w:p>
      <w:pPr>
        <w:ind w:left="480" w:right="120" w:hanging="459"/>
        <w:spacing w:after="0" w:line="276" w:lineRule="auto"/>
        <w:tabs>
          <w:tab w:leader="none" w:pos="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PTMN’s total consolidated assets, less all liabilities and indebtedness not represented by senior securities, to the aggregate amount of senior securities representing indebtedness. Asset coverage per unit is expressed in terms of dollar amounts per $1,000 of indebtedness.</w:t>
      </w:r>
    </w:p>
    <w:p>
      <w:pPr>
        <w:spacing w:after="0" w:line="1" w:lineRule="exact"/>
        <w:rPr>
          <w:rFonts w:ascii="Arial" w:cs="Arial" w:eastAsia="Arial" w:hAnsi="Arial"/>
          <w:sz w:val="18"/>
          <w:szCs w:val="18"/>
          <w:color w:val="auto"/>
        </w:rPr>
      </w:pPr>
    </w:p>
    <w:p>
      <w:pPr>
        <w:ind w:left="480" w:right="480" w:hanging="459"/>
        <w:spacing w:after="0" w:line="316" w:lineRule="auto"/>
        <w:tabs>
          <w:tab w:leader="none" w:pos="4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p>
    <w:p>
      <w:pPr>
        <w:spacing w:after="0" w:line="1" w:lineRule="exact"/>
        <w:rPr>
          <w:rFonts w:ascii="Arial" w:cs="Arial" w:eastAsia="Arial" w:hAnsi="Arial"/>
          <w:sz w:val="16"/>
          <w:szCs w:val="16"/>
          <w:color w:val="auto"/>
        </w:rPr>
      </w:pPr>
    </w:p>
    <w:p>
      <w:pPr>
        <w:ind w:left="480" w:right="120" w:hanging="459"/>
        <w:spacing w:after="0" w:line="305" w:lineRule="auto"/>
        <w:tabs>
          <w:tab w:leader="none" w:pos="4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Not applicable, except with respect to the 7.375% Notes Due 2019 and the 6.125% Notes Due 2022, as other debt securities are not registered for public trading. For the years ended December 31, 2017, 2016, 2015, 2014, 2013 and for the period from October 17, 2012 (date of issuance) to December 31, 2012, the average market value per $1,000 of par value of the 7.375% Notes Due 2019 was $1,016.04, $1,000.00, $1,011.96, $1,037.72, $1,032.96 and $1,012.28, respectively. For the years-ended December 31, 2020, 2019 and 2018 and for the period from August 14, 2017 (date of issuance) to December 31, 2017, the average market value per $1,000 of par value of the 6.125% Notes Due 2022 was $953.20, $1,009.93, $1,009.20 and $1,006.00, respectively. Average market value is computed by taking the daily average of the closing prices for the period.</w:t>
      </w:r>
    </w:p>
    <w:p>
      <w:pPr>
        <w:spacing w:after="0" w:line="1" w:lineRule="exact"/>
        <w:rPr>
          <w:rFonts w:ascii="Arial" w:cs="Arial" w:eastAsia="Arial" w:hAnsi="Arial"/>
          <w:sz w:val="16"/>
          <w:szCs w:val="16"/>
          <w:color w:val="auto"/>
        </w:rPr>
      </w:pPr>
    </w:p>
    <w:p>
      <w:pPr>
        <w:ind w:left="480" w:right="380" w:hanging="459"/>
        <w:spacing w:after="0" w:line="281" w:lineRule="auto"/>
        <w:tabs>
          <w:tab w:leader="none" w:pos="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As of December 31, 2019, the Total Amount Outstanding Exclusive of Treasury Securities consisted of 6.125% Notes Due 2022 of $77,407 and Revolving Credit Facilities of $79,571.</w:t>
      </w:r>
    </w:p>
    <w:p>
      <w:pPr>
        <w:spacing w:after="0" w:line="1" w:lineRule="exact"/>
        <w:rPr>
          <w:rFonts w:ascii="Arial" w:cs="Arial" w:eastAsia="Arial" w:hAnsi="Arial"/>
          <w:sz w:val="18"/>
          <w:szCs w:val="18"/>
          <w:color w:val="auto"/>
        </w:rPr>
      </w:pPr>
    </w:p>
    <w:p>
      <w:pPr>
        <w:ind w:left="480" w:right="640" w:hanging="459"/>
        <w:spacing w:after="0" w:line="281" w:lineRule="auto"/>
        <w:tabs>
          <w:tab w:leader="none" w:pos="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As of December 31, 2020, the Total Amount Outstanding Exclusive of Treasury Securities consisted of 6.125% Notes Due 2022 of $76,726, Revolving Credit Facilities of $49,321 and 2018-2 Secured Notes of $251,863.</w:t>
      </w:r>
    </w:p>
    <w:p>
      <w:pPr>
        <w:spacing w:after="0" w:line="1" w:lineRule="exact"/>
        <w:rPr>
          <w:rFonts w:ascii="Arial" w:cs="Arial" w:eastAsia="Arial" w:hAnsi="Arial"/>
          <w:sz w:val="18"/>
          <w:szCs w:val="18"/>
          <w:color w:val="auto"/>
        </w:rPr>
      </w:pPr>
    </w:p>
    <w:p>
      <w:pPr>
        <w:ind w:left="480" w:right="120" w:hanging="459"/>
        <w:spacing w:after="0" w:line="281" w:lineRule="auto"/>
        <w:tabs>
          <w:tab w:leader="none" w:pos="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As of March 31, 2021, the Total Amount Outstanding Exclusive of Treasury Securities consisted of 6.125% Notes Due 2022 of $76,726, Revolving Credit Facilities of $69,071 and 2018-2 Secured Notes of $163,863.</w:t>
      </w:r>
    </w:p>
    <w:p>
      <w:pPr>
        <w:spacing w:after="0" w:line="1" w:lineRule="exact"/>
        <w:rPr>
          <w:rFonts w:ascii="Arial" w:cs="Arial" w:eastAsia="Arial" w:hAnsi="Arial"/>
          <w:sz w:val="18"/>
          <w:szCs w:val="18"/>
          <w:color w:val="auto"/>
        </w:rPr>
      </w:pPr>
    </w:p>
    <w:p>
      <w:pPr>
        <w:ind w:left="480" w:right="120" w:hanging="459"/>
        <w:spacing w:after="0" w:line="293" w:lineRule="auto"/>
        <w:tabs>
          <w:tab w:leader="none" w:pos="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As of June 30, 2021, the Total Amount Outstanding Exclusive of Treasury Securities consisted of HCAP Notes of $28.8 million, 4.875% Notes due 2026 of $108 million, Revolving Credit Facilities of $69.1 million and 2018-2 Secured Notes of $163.9 million.</w:t>
      </w:r>
    </w:p>
    <w:p>
      <w:pPr>
        <w:spacing w:after="0" w:line="210" w:lineRule="exact"/>
        <w:rPr>
          <w:rFonts w:ascii="Arial" w:cs="Arial" w:eastAsia="Arial" w:hAnsi="Arial"/>
          <w:sz w:val="18"/>
          <w:szCs w:val="18"/>
          <w:color w:val="auto"/>
        </w:rPr>
      </w:pPr>
    </w:p>
    <w:p>
      <w:pPr>
        <w:ind w:left="480" w:right="320" w:hanging="459"/>
        <w:spacing w:after="0" w:line="293" w:lineRule="auto"/>
        <w:tabs>
          <w:tab w:leader="none" w:pos="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As of September 30, 2021, the Total Amount Outstanding Exclusive of Treasury Securities consisted of 4.875% Notes due 2026 of $108 million, Revolving Credit Facilities of $69.1 million and 2018-2 Secured Notes of $163.9 million.</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360" w:hanging="352"/>
        <w:spacing w:after="0"/>
        <w:tabs>
          <w:tab w:leader="none" w:pos="3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DISTRIBUTABLE TAXABLE INCOME</w:t>
      </w:r>
    </w:p>
    <w:p>
      <w:pPr>
        <w:spacing w:after="0" w:line="216" w:lineRule="exact"/>
        <w:rPr>
          <w:sz w:val="20"/>
          <w:szCs w:val="20"/>
          <w:color w:val="auto"/>
        </w:rPr>
      </w:pPr>
    </w:p>
    <w:p>
      <w:pPr>
        <w:ind w:right="40" w:firstLine="374"/>
        <w:spacing w:after="0" w:line="281" w:lineRule="auto"/>
        <w:rPr>
          <w:sz w:val="20"/>
          <w:szCs w:val="20"/>
          <w:color w:val="auto"/>
        </w:rPr>
      </w:pPr>
      <w:r>
        <w:rPr>
          <w:rFonts w:ascii="Arial" w:cs="Arial" w:eastAsia="Arial" w:hAnsi="Arial"/>
          <w:sz w:val="17"/>
          <w:szCs w:val="17"/>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2020).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69" w:name="page70"/>
    <w:bookmarkEnd w:id="69"/>
    <w:p>
      <w:pPr>
        <w:ind w:right="40" w:firstLine="374"/>
        <w:spacing w:after="0" w:line="304" w:lineRule="auto"/>
        <w:rPr>
          <w:sz w:val="20"/>
          <w:szCs w:val="20"/>
          <w:color w:val="auto"/>
        </w:rPr>
      </w:pPr>
      <w:r>
        <w:rPr>
          <w:rFonts w:ascii="Arial" w:cs="Arial" w:eastAsia="Arial" w:hAnsi="Arial"/>
          <w:sz w:val="16"/>
          <w:szCs w:val="16"/>
          <w:color w:val="auto"/>
        </w:rPr>
        <w:t>The Company may distribute taxable dividends that are payable in cash or shares of its common stock at the election of each stockholder. Under certain applicable provisions of the Code and the Treasury regulations, distributions payable in cash or in shares of stock at the election of stockholders are treated as taxable dividends. The Internal Revenue Service has published guidance indicating that this rule will apply even where the total amount of cash that may be distributed is limited to no more than 20% of the total distribution. Under this guidance, if too many stockholders elect to receive their distributions in cash, the cash available for distribution must be allocated among the stockholders electing to receive cash (with the balance of the distribution paid in stock). If the Company decides to make any distributions consistent with this guidance that are payable in part in its stock, taxable stockholders receiving such dividends will be required to include the full amount of the dividend (whether received in cash, shares of the Company’s stock, or a combination thereof) as ordinary income (or as long-term capital gain to the extent such distribution is properly reported as a capital gain dividend) to the extent of the Company’s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the Company’s stock at the time of the sale. Furthermore, with respect to non-U.S. stockholders, the Company may be required to withhold U.S. tax with respect to such dividends, including in respect of all or a portion of such dividend that is payable in stock. In addition, if a significant number of the Company’s stockholders determine to sell shares of its stock in order to pay taxes owed on dividends, it may put downward pressure on the trading price of the Company’s stock.</w:t>
      </w:r>
    </w:p>
    <w:p>
      <w:pPr>
        <w:spacing w:after="0" w:line="139" w:lineRule="exact"/>
        <w:rPr>
          <w:sz w:val="20"/>
          <w:szCs w:val="20"/>
          <w:color w:val="auto"/>
        </w:rPr>
      </w:pPr>
    </w:p>
    <w:p>
      <w:pPr>
        <w:ind w:right="340" w:firstLine="374"/>
        <w:spacing w:after="0" w:line="293" w:lineRule="auto"/>
        <w:rPr>
          <w:sz w:val="20"/>
          <w:szCs w:val="20"/>
          <w:color w:val="auto"/>
        </w:rPr>
      </w:pPr>
      <w:r>
        <w:rPr>
          <w:rFonts w:ascii="Arial" w:cs="Arial" w:eastAsia="Arial" w:hAnsi="Arial"/>
          <w:sz w:val="18"/>
          <w:szCs w:val="18"/>
          <w:color w:val="auto"/>
        </w:rPr>
        <w:t>The following reconciles net increase in net assets resulting from operations to taxable income for the nine months ended September 30, 2021 and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50"/>
        </w:trPr>
        <w:tc>
          <w:tcPr>
            <w:tcW w:w="7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50"/>
        </w:trPr>
        <w:tc>
          <w:tcPr>
            <w:tcW w:w="7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(Unaudited)</w:t>
            </w:r>
          </w:p>
        </w:tc>
      </w:tr>
      <w:tr>
        <w:trPr>
          <w:trHeight w:val="25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net assets resulting from operations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28,025,986</w:t>
            </w:r>
          </w:p>
        </w:tc>
        <w:tc>
          <w:tcPr>
            <w:tcW w:w="1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(17,450,561</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Net change in unrealized depreciation (appreciation) from investments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(7,592,643 )</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21,848,028</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realized losses</w:t>
            </w:r>
          </w:p>
        </w:tc>
        <w:tc>
          <w:tcPr>
            <w:tcW w:w="24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13,207,766</w:t>
            </w:r>
          </w:p>
        </w:tc>
        <w:tc>
          <w:tcPr>
            <w:tcW w:w="1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3,665,280</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Book/tax differences on CLO equity investments</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3,029,882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516,284</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Book/tax differences related to mergers and partnership investments</w:t>
            </w:r>
          </w:p>
        </w:tc>
        <w:tc>
          <w:tcPr>
            <w:tcW w:w="24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(17,490,071 )</w:t>
            </w:r>
          </w:p>
        </w:tc>
        <w:tc>
          <w:tcPr>
            <w:tcW w:w="1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Other book/tax differences</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1,301,248</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(315,116</w:t>
            </w:r>
          </w:p>
        </w:tc>
      </w:tr>
      <w:tr>
        <w:trPr>
          <w:trHeight w:val="29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Taxable income before deductions for distributions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20,482,168</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8,263,915</w:t>
            </w:r>
          </w:p>
        </w:tc>
      </w:tr>
      <w:tr>
        <w:trPr>
          <w:trHeight w:val="194"/>
        </w:trPr>
        <w:tc>
          <w:tcPr>
            <w:tcW w:w="7680" w:type="dxa"/>
            <w:vAlign w:val="bottom"/>
            <w:tcBorders>
              <w:top w:val="single" w:sz="8" w:color="CFF0FC"/>
            </w:tcBorders>
          </w:tcPr>
          <w:p>
            <w:pPr>
              <w:ind w:left="20"/>
              <w:spacing w:after="0" w:line="194" w:lineRule="exact"/>
              <w:rPr>
                <w:sz w:val="20"/>
                <w:szCs w:val="20"/>
                <w:color w:val="auto"/>
              </w:rPr>
            </w:pPr>
            <w:r>
              <w:rPr>
                <w:rFonts w:ascii="Arial" w:cs="Arial" w:eastAsia="Arial" w:hAnsi="Arial"/>
                <w:sz w:val="18"/>
                <w:szCs w:val="18"/>
                <w:color w:val="auto"/>
              </w:rPr>
              <w:t>Taxable income before deductions for distributions per weighted</w:t>
            </w: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r>
      <w:tr>
        <w:trPr>
          <w:trHeight w:val="279"/>
        </w:trPr>
        <w:tc>
          <w:tcPr>
            <w:tcW w:w="7680" w:type="dxa"/>
            <w:vAlign w:val="bottom"/>
          </w:tcPr>
          <w:p>
            <w:pPr>
              <w:ind w:left="160"/>
              <w:spacing w:after="0"/>
              <w:rPr>
                <w:sz w:val="20"/>
                <w:szCs w:val="20"/>
                <w:color w:val="auto"/>
              </w:rPr>
            </w:pPr>
            <w:r>
              <w:rPr>
                <w:rFonts w:ascii="Arial" w:cs="Arial" w:eastAsia="Arial" w:hAnsi="Arial"/>
                <w:sz w:val="18"/>
                <w:szCs w:val="18"/>
                <w:color w:val="auto"/>
              </w:rPr>
              <w:t>average basic shares for the period</w:t>
            </w:r>
            <w:r>
              <w:rPr>
                <w:rFonts w:ascii="Arial" w:cs="Arial" w:eastAsia="Arial" w:hAnsi="Arial"/>
                <w:sz w:val="24"/>
                <w:szCs w:val="24"/>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0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Taxable income before deductions for distributions per weighted</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79"/>
        </w:trPr>
        <w:tc>
          <w:tcPr>
            <w:tcW w:w="76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average diluted shares for the period</w:t>
            </w:r>
            <w:r>
              <w:rPr>
                <w:rFonts w:ascii="Arial" w:cs="Arial" w:eastAsia="Arial" w:hAnsi="Arial"/>
                <w:sz w:val="24"/>
                <w:szCs w:val="24"/>
                <w:color w:val="auto"/>
                <w:vertAlign w:val="superscript"/>
              </w:rPr>
              <w:t>1</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2.49</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-642620</wp:posOffset>
            </wp:positionV>
            <wp:extent cx="11112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-624840</wp:posOffset>
            </wp:positionV>
            <wp:extent cx="11112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ind w:left="380"/>
        <w:spacing w:after="0"/>
        <w:tabs>
          <w:tab w:leader="none" w:pos="68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The Company completed a Reverse Stock Split of 10 to 1 effective August 26, 2021, amounts have been adjusted retroactively to reflect the split.</w:t>
      </w:r>
    </w:p>
    <w:p>
      <w:pPr>
        <w:spacing w:after="0" w:line="207"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three and nine months ended September 30, 2021, the Asset Manager Affiliates did not make any cash distributions to the Company.</w:t>
      </w:r>
    </w:p>
    <w:p>
      <w:pPr>
        <w:spacing w:after="0" w:line="93" w:lineRule="exact"/>
        <w:rPr>
          <w:sz w:val="20"/>
          <w:szCs w:val="20"/>
          <w:color w:val="auto"/>
        </w:rPr>
      </w:pPr>
    </w:p>
    <w:p>
      <w:pPr>
        <w:ind w:right="160" w:firstLine="374"/>
        <w:spacing w:after="0" w:line="272" w:lineRule="auto"/>
        <w:rPr>
          <w:sz w:val="20"/>
          <w:szCs w:val="20"/>
          <w:color w:val="auto"/>
        </w:rPr>
      </w:pPr>
      <w:r>
        <w:rPr>
          <w:rFonts w:ascii="Arial" w:cs="Arial" w:eastAsia="Arial" w:hAnsi="Arial"/>
          <w:sz w:val="18"/>
          <w:szCs w:val="18"/>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37" w:lineRule="exact"/>
        <w:rPr>
          <w:sz w:val="20"/>
          <w:szCs w:val="20"/>
          <w:color w:val="auto"/>
        </w:rPr>
      </w:pPr>
    </w:p>
    <w:p>
      <w:pPr>
        <w:ind w:right="320" w:firstLine="374"/>
        <w:spacing w:after="0" w:line="263" w:lineRule="auto"/>
        <w:rPr>
          <w:sz w:val="20"/>
          <w:szCs w:val="20"/>
          <w:color w:val="auto"/>
        </w:rPr>
      </w:pPr>
      <w:r>
        <w:rPr>
          <w:rFonts w:ascii="Arial" w:cs="Arial" w:eastAsia="Arial" w:hAnsi="Arial"/>
          <w:sz w:val="18"/>
          <w:szCs w:val="18"/>
          <w:color w:val="auto"/>
        </w:rPr>
        <w:t>At September 30, 2021, the Company had a net capital loss carryforward of $392.1 million to offset net capital gains. This net capital loss carryforward is not subject to expiration. A portion of the Company’s capital loss carryovers are subject to a significant annual use limitation under the Code and related regulations.</w:t>
      </w:r>
    </w:p>
    <w:p>
      <w:pPr>
        <w:spacing w:after="0" w:line="89" w:lineRule="exact"/>
        <w:rPr>
          <w:sz w:val="20"/>
          <w:szCs w:val="20"/>
          <w:color w:val="auto"/>
        </w:rPr>
      </w:pPr>
    </w:p>
    <w:p>
      <w:pPr>
        <w:ind w:right="20" w:firstLine="374"/>
        <w:spacing w:after="0" w:line="299" w:lineRule="auto"/>
        <w:rPr>
          <w:sz w:val="20"/>
          <w:szCs w:val="20"/>
          <w:color w:val="auto"/>
        </w:rPr>
      </w:pPr>
      <w:r>
        <w:rPr>
          <w:rFonts w:ascii="Arial" w:cs="Arial" w:eastAsia="Arial" w:hAnsi="Arial"/>
          <w:sz w:val="16"/>
          <w:szCs w:val="16"/>
          <w:color w:val="auto"/>
        </w:rPr>
        <w:t>The Company has certain taxable subsidiaries which have elected to be taxed as corporations for U.S. tax purposes. For the nine months ended September 30, 2021, the taxable subsidiaries’ activity did not result in a material provision for income taxes. As of September 30, 2021, $158 thousand of refundable AMT tax credits receivable was included as an asset on the consolidated balance sheets. The taxable subsidiaries have, in aggregate, approximately $826 thousand of deferred tax liabilities (primarily due to net operating loss and capital loss carryovers) and no deferred tax liabilities. The Company has assessed the realizability of the deferred tax assets and recorded a full valuation allowance as of September 30, 2021. A portion of the taxable subsidiaries’ net operating loss and capital loss carryovers are subject to a significant annual use limitation under the Code and related regulations.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0" w:name="page71"/>
    <w:bookmarkEnd w:id="70"/>
    <w:p>
      <w:pPr>
        <w:ind w:right="40" w:firstLine="374"/>
        <w:spacing w:after="0" w:line="269" w:lineRule="auto"/>
        <w:rPr>
          <w:sz w:val="20"/>
          <w:szCs w:val="20"/>
          <w:color w:val="auto"/>
        </w:rPr>
      </w:pPr>
      <w:r>
        <w:rPr>
          <w:rFonts w:ascii="Arial" w:cs="Arial" w:eastAsia="Arial" w:hAnsi="Arial"/>
          <w:sz w:val="17"/>
          <w:szCs w:val="17"/>
          <w:color w:val="auto"/>
        </w:rPr>
        <w:t>ASC Topic 740 Accounting for Uncertainty in Income Taxes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68" w:lineRule="exact"/>
        <w:rPr>
          <w:sz w:val="20"/>
          <w:szCs w:val="20"/>
          <w:color w:val="auto"/>
        </w:rPr>
      </w:pPr>
    </w:p>
    <w:p>
      <w:pPr>
        <w:ind w:left="360" w:hanging="352"/>
        <w:spacing w:after="0"/>
        <w:tabs>
          <w:tab w:leader="none" w:pos="3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2" w:lineRule="exact"/>
        <w:rPr>
          <w:sz w:val="20"/>
          <w:szCs w:val="20"/>
          <w:color w:val="auto"/>
        </w:rPr>
      </w:pPr>
    </w:p>
    <w:p>
      <w:pPr>
        <w:ind w:right="160" w:firstLine="374"/>
        <w:spacing w:after="0" w:line="314" w:lineRule="auto"/>
        <w:rPr>
          <w:sz w:val="20"/>
          <w:szCs w:val="20"/>
          <w:color w:val="auto"/>
        </w:rPr>
      </w:pPr>
      <w:r>
        <w:rPr>
          <w:rFonts w:ascii="Arial" w:cs="Arial" w:eastAsia="Arial" w:hAnsi="Arial"/>
          <w:sz w:val="16"/>
          <w:szCs w:val="16"/>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September 30, 2021 and December 31, 2020, the Company had $48.7 million and $32.9 million outstanding unfunded commitments, respectively.</w:t>
      </w:r>
    </w:p>
    <w:p>
      <w:pPr>
        <w:spacing w:after="0" w:line="38" w:lineRule="exact"/>
        <w:rPr>
          <w:sz w:val="20"/>
          <w:szCs w:val="20"/>
          <w:color w:val="auto"/>
        </w:rPr>
      </w:pPr>
    </w:p>
    <w:p>
      <w:pPr>
        <w:ind w:firstLine="374"/>
        <w:spacing w:after="0" w:line="243" w:lineRule="auto"/>
        <w:rPr>
          <w:sz w:val="20"/>
          <w:szCs w:val="20"/>
          <w:color w:val="auto"/>
        </w:rPr>
      </w:pPr>
      <w:r>
        <w:rPr>
          <w:rFonts w:ascii="Arial" w:cs="Arial" w:eastAsia="Arial" w:hAnsi="Arial"/>
          <w:sz w:val="18"/>
          <w:szCs w:val="18"/>
          <w:color w:val="auto"/>
        </w:rPr>
        <w:t>The Company has made an aggregate commitment to the BCP Great Lakes Partnership of $50 million, subject to certain limitations (including that the Company is not obligated to fund capital calls if such funding would cause the Company to be out of compliance with certain provisions of the 1940 Act). As of September 30, 2021 and December 31, 2020, the Company had a $6.9 million and $20.0 million, respectively unfunded commitment to the BCP Great Lakes Partnership, subject to the limitations noted above.</w:t>
      </w:r>
    </w:p>
    <w:p>
      <w:pPr>
        <w:spacing w:after="0" w:line="161" w:lineRule="exact"/>
        <w:rPr>
          <w:sz w:val="20"/>
          <w:szCs w:val="20"/>
          <w:color w:val="auto"/>
        </w:rPr>
      </w:pPr>
    </w:p>
    <w:p>
      <w:pPr>
        <w:ind w:right="600" w:firstLine="374"/>
        <w:spacing w:after="0" w:line="293" w:lineRule="auto"/>
        <w:rPr>
          <w:sz w:val="20"/>
          <w:szCs w:val="20"/>
          <w:color w:val="auto"/>
        </w:rPr>
      </w:pPr>
      <w:r>
        <w:rPr>
          <w:rFonts w:ascii="Arial" w:cs="Arial" w:eastAsia="Arial" w:hAnsi="Arial"/>
          <w:sz w:val="18"/>
          <w:szCs w:val="18"/>
          <w:color w:val="auto"/>
        </w:rPr>
        <w:t>The Company is involved in litigation in the normal course of its operations and does not expect that the outcome of those litigations to have a material adverse impact to the Company’s financial position or results of operations.</w:t>
      </w:r>
    </w:p>
    <w:p>
      <w:pPr>
        <w:spacing w:after="0" w:line="143" w:lineRule="exact"/>
        <w:rPr>
          <w:sz w:val="20"/>
          <w:szCs w:val="20"/>
          <w:color w:val="auto"/>
        </w:rPr>
      </w:pPr>
    </w:p>
    <w:p>
      <w:pPr>
        <w:ind w:right="460" w:firstLine="374"/>
        <w:spacing w:after="0" w:line="266" w:lineRule="auto"/>
        <w:rPr>
          <w:sz w:val="20"/>
          <w:szCs w:val="20"/>
          <w:color w:val="auto"/>
        </w:rPr>
      </w:pPr>
      <w:r>
        <w:rPr>
          <w:rFonts w:ascii="Arial" w:cs="Arial" w:eastAsia="Arial" w:hAnsi="Arial"/>
          <w:sz w:val="18"/>
          <w:szCs w:val="18"/>
          <w:color w:val="auto"/>
        </w:rPr>
        <w:t>In the fourth quarter of 2018, the Company undertook the commitments under a lease obligation for its former office space. Such obligation was previously with Katonah Debt Advisors. During 2018, the Company and the Asset Manager Affiliates shared the cost of such lease pursuant to an Overhead Allocation agreement.</w:t>
      </w:r>
    </w:p>
    <w:p>
      <w:pPr>
        <w:spacing w:after="0" w:line="1" w:lineRule="exact"/>
        <w:rPr>
          <w:sz w:val="20"/>
          <w:szCs w:val="20"/>
          <w:color w:val="auto"/>
        </w:rPr>
      </w:pPr>
    </w:p>
    <w:p>
      <w:pPr>
        <w:ind w:right="60" w:firstLine="374"/>
        <w:spacing w:after="0" w:line="274" w:lineRule="auto"/>
        <w:rPr>
          <w:sz w:val="20"/>
          <w:szCs w:val="20"/>
          <w:color w:val="auto"/>
        </w:rPr>
      </w:pPr>
      <w:r>
        <w:rPr>
          <w:rFonts w:ascii="Arial" w:cs="Arial" w:eastAsia="Arial" w:hAnsi="Arial"/>
          <w:sz w:val="18"/>
          <w:szCs w:val="18"/>
          <w:color w:val="auto"/>
        </w:rPr>
        <w:t>Effective January 1, 2019, the Company adopted ASU 2016-02, “Leases (Topic 842)”. The right-of-use asset and lease liability related to the Company’s office lease were recognized at lease commencement by calculating the present value of lease payments over the lease term. The discount rate used in determining the lease liability was the Company’s estimated incremental borrowing rate of 6.03%. In calculating the initial operating lease liability, the effect of the discounting was approximately $626 thousand.</w:t>
      </w:r>
    </w:p>
    <w:p>
      <w:pPr>
        <w:spacing w:after="0" w:line="80" w:lineRule="exact"/>
        <w:rPr>
          <w:sz w:val="20"/>
          <w:szCs w:val="20"/>
          <w:color w:val="auto"/>
        </w:rPr>
      </w:pPr>
    </w:p>
    <w:p>
      <w:pPr>
        <w:jc w:val="both"/>
        <w:ind w:right="80" w:firstLine="374"/>
        <w:spacing w:after="0" w:line="329" w:lineRule="auto"/>
        <w:rPr>
          <w:sz w:val="20"/>
          <w:szCs w:val="20"/>
          <w:color w:val="auto"/>
        </w:rPr>
      </w:pPr>
      <w:r>
        <w:rPr>
          <w:rFonts w:ascii="Arial" w:cs="Arial" w:eastAsia="Arial" w:hAnsi="Arial"/>
          <w:sz w:val="16"/>
          <w:szCs w:val="16"/>
          <w:color w:val="auto"/>
        </w:rPr>
        <w:t>During the second quarter of 2019, the Company recognized an impairment to the operating lease right-of-use asset of approximately $1.4 million to reduce the right-of-use asset to its estimated fair market value. The impairment charge was measured using a discounted cash flow analysis and recognized in the statement of operations during the second quarter of 2019 as a result of the Company’s estimated impact of entering into a sublease.</w:t>
      </w:r>
    </w:p>
    <w:p>
      <w:pPr>
        <w:spacing w:after="0" w:line="40"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8"/>
          <w:szCs w:val="18"/>
          <w:color w:val="auto"/>
        </w:rPr>
        <w:t>The Company may, from time to time, enter into commitments to fund investments. These unfunded commitments are assessed for fair value in accordance with ASC 820. As of September 30, 2021, the Company had the following outstanding commitments to fund investments in current portfolio companies: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Par Value</w:t>
            </w:r>
          </w:p>
        </w:tc>
      </w:tr>
      <w:tr>
        <w:trPr>
          <w:trHeight w:val="235"/>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Pr>
          <w:p>
            <w:pPr>
              <w:spacing w:after="0"/>
              <w:rPr>
                <w:sz w:val="20"/>
                <w:szCs w:val="20"/>
                <w:color w:val="auto"/>
              </w:rPr>
            </w:pPr>
          </w:p>
        </w:tc>
        <w:tc>
          <w:tcPr>
            <w:tcW w:w="4860" w:type="dxa"/>
            <w:vAlign w:val="bottom"/>
            <w:tcBorders>
              <w:bottom w:val="single" w:sz="8" w:color="auto"/>
            </w:tcBorders>
          </w:tcPr>
          <w:p>
            <w:pPr>
              <w:jc w:val="right"/>
              <w:ind w:right="2008"/>
              <w:spacing w:after="0"/>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1"/>
              </w:rPr>
              <w:t>September 30, 2021</w:t>
            </w:r>
          </w:p>
        </w:tc>
      </w:tr>
      <w:tr>
        <w:trPr>
          <w:trHeight w:val="203"/>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Accordion Partners LLC</w:t>
            </w:r>
          </w:p>
        </w:tc>
        <w:tc>
          <w:tcPr>
            <w:tcW w:w="120" w:type="dxa"/>
            <w:vAlign w:val="bottom"/>
            <w:shd w:val="clear" w:color="auto" w:fill="CFF0FC"/>
          </w:tcPr>
          <w:p>
            <w:pPr>
              <w:spacing w:after="0"/>
              <w:rPr>
                <w:sz w:val="17"/>
                <w:szCs w:val="17"/>
                <w:color w:val="auto"/>
              </w:rPr>
            </w:pPr>
          </w:p>
        </w:tc>
        <w:tc>
          <w:tcPr>
            <w:tcW w:w="5160" w:type="dxa"/>
            <w:vAlign w:val="bottom"/>
            <w:gridSpan w:val="2"/>
            <w:shd w:val="clear" w:color="auto" w:fill="CFF0FC"/>
          </w:tcPr>
          <w:p>
            <w:pPr>
              <w:ind w:left="1880"/>
              <w:spacing w:after="0"/>
              <w:rPr>
                <w:sz w:val="20"/>
                <w:szCs w:val="20"/>
                <w:color w:val="auto"/>
              </w:rPr>
            </w:pPr>
            <w:r>
              <w:rPr>
                <w:rFonts w:ascii="Arial" w:cs="Arial" w:eastAsia="Arial" w:hAnsi="Arial"/>
                <w:sz w:val="14"/>
                <w:szCs w:val="14"/>
                <w:color w:val="auto"/>
                <w:w w:val="97"/>
              </w:rPr>
              <w:t>Senior Secured Loan — Delayed Draw Term Loan  —</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2,800,000</w:t>
            </w:r>
          </w:p>
        </w:tc>
      </w:tr>
      <w:tr>
        <w:trPr>
          <w:trHeight w:val="196"/>
        </w:trPr>
        <w:tc>
          <w:tcPr>
            <w:tcW w:w="4220" w:type="dxa"/>
            <w:vAlign w:val="bottom"/>
          </w:tcPr>
          <w:p>
            <w:pPr>
              <w:ind w:left="20"/>
              <w:spacing w:after="0"/>
              <w:rPr>
                <w:sz w:val="20"/>
                <w:szCs w:val="20"/>
                <w:color w:val="auto"/>
              </w:rPr>
            </w:pPr>
            <w:r>
              <w:rPr>
                <w:rFonts w:ascii="Arial" w:cs="Arial" w:eastAsia="Arial" w:hAnsi="Arial"/>
                <w:sz w:val="14"/>
                <w:szCs w:val="14"/>
                <w:color w:val="auto"/>
              </w:rPr>
              <w:t>Accordion Partners LLC</w:t>
            </w:r>
          </w:p>
        </w:tc>
        <w:tc>
          <w:tcPr>
            <w:tcW w:w="120" w:type="dxa"/>
            <w:vAlign w:val="bottom"/>
          </w:tcPr>
          <w:p>
            <w:pPr>
              <w:spacing w:after="0"/>
              <w:rPr>
                <w:sz w:val="17"/>
                <w:szCs w:val="17"/>
                <w:color w:val="auto"/>
              </w:rPr>
            </w:pPr>
          </w:p>
        </w:tc>
        <w:tc>
          <w:tcPr>
            <w:tcW w:w="516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44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5,000,000</w:t>
            </w:r>
          </w:p>
        </w:tc>
      </w:tr>
      <w:tr>
        <w:trPr>
          <w:trHeight w:val="209"/>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AMCP Pet Holdings, Inc.</w:t>
            </w:r>
          </w:p>
        </w:tc>
        <w:tc>
          <w:tcPr>
            <w:tcW w:w="120" w:type="dxa"/>
            <w:vAlign w:val="bottom"/>
            <w:shd w:val="clear" w:color="auto" w:fill="CFF0FC"/>
          </w:tcPr>
          <w:p>
            <w:pPr>
              <w:spacing w:after="0"/>
              <w:rPr>
                <w:sz w:val="18"/>
                <w:szCs w:val="18"/>
                <w:color w:val="auto"/>
              </w:rPr>
            </w:pPr>
          </w:p>
        </w:tc>
        <w:tc>
          <w:tcPr>
            <w:tcW w:w="51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Delayed Draw Term Loan</w:t>
            </w: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1,000,000</w:t>
            </w:r>
          </w:p>
        </w:tc>
      </w:tr>
      <w:tr>
        <w:trPr>
          <w:trHeight w:val="196"/>
        </w:trPr>
        <w:tc>
          <w:tcPr>
            <w:tcW w:w="4220" w:type="dxa"/>
            <w:vAlign w:val="bottom"/>
          </w:tcPr>
          <w:p>
            <w:pPr>
              <w:ind w:left="20"/>
              <w:spacing w:after="0"/>
              <w:rPr>
                <w:sz w:val="20"/>
                <w:szCs w:val="20"/>
                <w:color w:val="auto"/>
              </w:rPr>
            </w:pPr>
            <w:r>
              <w:rPr>
                <w:rFonts w:ascii="Arial" w:cs="Arial" w:eastAsia="Arial" w:hAnsi="Arial"/>
                <w:sz w:val="14"/>
                <w:szCs w:val="14"/>
                <w:color w:val="auto"/>
              </w:rPr>
              <w:t>AMCP Pet Holdings, Inc.</w:t>
            </w:r>
          </w:p>
        </w:tc>
        <w:tc>
          <w:tcPr>
            <w:tcW w:w="120" w:type="dxa"/>
            <w:vAlign w:val="bottom"/>
          </w:tcPr>
          <w:p>
            <w:pPr>
              <w:spacing w:after="0"/>
              <w:rPr>
                <w:sz w:val="17"/>
                <w:szCs w:val="17"/>
                <w:color w:val="auto"/>
              </w:rPr>
            </w:pPr>
          </w:p>
        </w:tc>
        <w:tc>
          <w:tcPr>
            <w:tcW w:w="516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Revolving Loan</w:t>
            </w:r>
          </w:p>
        </w:tc>
        <w:tc>
          <w:tcPr>
            <w:tcW w:w="44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525,000</w:t>
            </w:r>
          </w:p>
        </w:tc>
      </w:tr>
      <w:tr>
        <w:trPr>
          <w:trHeight w:val="209"/>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Analogic Corporation</w:t>
            </w:r>
          </w:p>
        </w:tc>
        <w:tc>
          <w:tcPr>
            <w:tcW w:w="120" w:type="dxa"/>
            <w:vAlign w:val="bottom"/>
            <w:shd w:val="clear" w:color="auto" w:fill="CFF0FC"/>
          </w:tcPr>
          <w:p>
            <w:pPr>
              <w:spacing w:after="0"/>
              <w:rPr>
                <w:sz w:val="18"/>
                <w:szCs w:val="18"/>
                <w:color w:val="auto"/>
              </w:rPr>
            </w:pPr>
          </w:p>
        </w:tc>
        <w:tc>
          <w:tcPr>
            <w:tcW w:w="51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202,233</w:t>
            </w:r>
          </w:p>
        </w:tc>
      </w:tr>
      <w:tr>
        <w:trPr>
          <w:trHeight w:val="196"/>
        </w:trPr>
        <w:tc>
          <w:tcPr>
            <w:tcW w:w="4220" w:type="dxa"/>
            <w:vAlign w:val="bottom"/>
          </w:tcPr>
          <w:p>
            <w:pPr>
              <w:ind w:left="20"/>
              <w:spacing w:after="0"/>
              <w:rPr>
                <w:sz w:val="20"/>
                <w:szCs w:val="20"/>
                <w:color w:val="auto"/>
              </w:rPr>
            </w:pPr>
            <w:r>
              <w:rPr>
                <w:rFonts w:ascii="Arial" w:cs="Arial" w:eastAsia="Arial" w:hAnsi="Arial"/>
                <w:sz w:val="14"/>
                <w:szCs w:val="14"/>
                <w:color w:val="auto"/>
              </w:rPr>
              <w:t>Anthem Sports &amp; Entertainment Inc.</w:t>
            </w:r>
          </w:p>
        </w:tc>
        <w:tc>
          <w:tcPr>
            <w:tcW w:w="120" w:type="dxa"/>
            <w:vAlign w:val="bottom"/>
          </w:tcPr>
          <w:p>
            <w:pPr>
              <w:spacing w:after="0"/>
              <w:rPr>
                <w:sz w:val="17"/>
                <w:szCs w:val="17"/>
                <w:color w:val="auto"/>
              </w:rPr>
            </w:pPr>
          </w:p>
        </w:tc>
        <w:tc>
          <w:tcPr>
            <w:tcW w:w="516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Revolving Loan</w:t>
            </w:r>
          </w:p>
        </w:tc>
        <w:tc>
          <w:tcPr>
            <w:tcW w:w="44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875,000</w:t>
            </w:r>
          </w:p>
        </w:tc>
      </w:tr>
      <w:tr>
        <w:trPr>
          <w:trHeight w:val="209"/>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Appfire Technologies, LLC</w:t>
            </w:r>
          </w:p>
        </w:tc>
        <w:tc>
          <w:tcPr>
            <w:tcW w:w="120" w:type="dxa"/>
            <w:vAlign w:val="bottom"/>
            <w:shd w:val="clear" w:color="auto" w:fill="CFF0FC"/>
          </w:tcPr>
          <w:p>
            <w:pPr>
              <w:spacing w:after="0"/>
              <w:rPr>
                <w:sz w:val="18"/>
                <w:szCs w:val="18"/>
                <w:color w:val="auto"/>
              </w:rPr>
            </w:pPr>
          </w:p>
        </w:tc>
        <w:tc>
          <w:tcPr>
            <w:tcW w:w="51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Delayed Draw Term Loan</w:t>
            </w: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6,000,000</w:t>
            </w:r>
          </w:p>
        </w:tc>
      </w:tr>
      <w:tr>
        <w:trPr>
          <w:trHeight w:val="196"/>
        </w:trPr>
        <w:tc>
          <w:tcPr>
            <w:tcW w:w="4220" w:type="dxa"/>
            <w:vAlign w:val="bottom"/>
          </w:tcPr>
          <w:p>
            <w:pPr>
              <w:ind w:left="20"/>
              <w:spacing w:after="0"/>
              <w:rPr>
                <w:sz w:val="20"/>
                <w:szCs w:val="20"/>
                <w:color w:val="auto"/>
              </w:rPr>
            </w:pPr>
            <w:r>
              <w:rPr>
                <w:rFonts w:ascii="Arial" w:cs="Arial" w:eastAsia="Arial" w:hAnsi="Arial"/>
                <w:sz w:val="14"/>
                <w:szCs w:val="14"/>
                <w:color w:val="auto"/>
              </w:rPr>
              <w:t>BCP Great Lakes Holdings LP</w:t>
            </w:r>
          </w:p>
        </w:tc>
        <w:tc>
          <w:tcPr>
            <w:tcW w:w="120" w:type="dxa"/>
            <w:vAlign w:val="bottom"/>
          </w:tcPr>
          <w:p>
            <w:pPr>
              <w:spacing w:after="0"/>
              <w:rPr>
                <w:sz w:val="17"/>
                <w:szCs w:val="17"/>
                <w:color w:val="auto"/>
              </w:rPr>
            </w:pPr>
          </w:p>
        </w:tc>
        <w:tc>
          <w:tcPr>
            <w:tcW w:w="5160" w:type="dxa"/>
            <w:vAlign w:val="bottom"/>
            <w:gridSpan w:val="2"/>
          </w:tcPr>
          <w:p>
            <w:pPr>
              <w:jc w:val="right"/>
              <w:ind w:right="340"/>
              <w:spacing w:after="0"/>
              <w:rPr>
                <w:sz w:val="20"/>
                <w:szCs w:val="20"/>
                <w:color w:val="auto"/>
              </w:rPr>
            </w:pPr>
            <w:r>
              <w:rPr>
                <w:rFonts w:ascii="Arial" w:cs="Arial" w:eastAsia="Arial" w:hAnsi="Arial"/>
                <w:sz w:val="14"/>
                <w:szCs w:val="14"/>
                <w:color w:val="auto"/>
              </w:rPr>
              <w:t>Joint Venture</w:t>
            </w:r>
          </w:p>
        </w:tc>
        <w:tc>
          <w:tcPr>
            <w:tcW w:w="44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6,856,481</w:t>
            </w:r>
          </w:p>
        </w:tc>
      </w:tr>
      <w:tr>
        <w:trPr>
          <w:trHeight w:val="209"/>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Bristol Hospice</w:t>
            </w:r>
          </w:p>
        </w:tc>
        <w:tc>
          <w:tcPr>
            <w:tcW w:w="120" w:type="dxa"/>
            <w:vAlign w:val="bottom"/>
            <w:shd w:val="clear" w:color="auto" w:fill="CFF0FC"/>
          </w:tcPr>
          <w:p>
            <w:pPr>
              <w:spacing w:after="0"/>
              <w:rPr>
                <w:sz w:val="18"/>
                <w:szCs w:val="18"/>
                <w:color w:val="auto"/>
              </w:rPr>
            </w:pPr>
          </w:p>
        </w:tc>
        <w:tc>
          <w:tcPr>
            <w:tcW w:w="51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Delayed Draw Term Loan</w:t>
            </w: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821,918</w:t>
            </w:r>
          </w:p>
        </w:tc>
      </w:tr>
      <w:tr>
        <w:trPr>
          <w:trHeight w:val="196"/>
        </w:trPr>
        <w:tc>
          <w:tcPr>
            <w:tcW w:w="4220" w:type="dxa"/>
            <w:vAlign w:val="bottom"/>
          </w:tcPr>
          <w:p>
            <w:pPr>
              <w:ind w:left="20"/>
              <w:spacing w:after="0"/>
              <w:rPr>
                <w:sz w:val="20"/>
                <w:szCs w:val="20"/>
                <w:color w:val="auto"/>
              </w:rPr>
            </w:pPr>
            <w:r>
              <w:rPr>
                <w:rFonts w:ascii="Arial" w:cs="Arial" w:eastAsia="Arial" w:hAnsi="Arial"/>
                <w:sz w:val="14"/>
                <w:szCs w:val="14"/>
                <w:color w:val="auto"/>
              </w:rPr>
              <w:t>Centric Brands Inc.</w:t>
            </w:r>
          </w:p>
        </w:tc>
        <w:tc>
          <w:tcPr>
            <w:tcW w:w="120" w:type="dxa"/>
            <w:vAlign w:val="bottom"/>
          </w:tcPr>
          <w:p>
            <w:pPr>
              <w:spacing w:after="0"/>
              <w:rPr>
                <w:sz w:val="17"/>
                <w:szCs w:val="17"/>
                <w:color w:val="auto"/>
              </w:rPr>
            </w:pPr>
          </w:p>
        </w:tc>
        <w:tc>
          <w:tcPr>
            <w:tcW w:w="516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44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307,444</w:t>
            </w:r>
          </w:p>
        </w:tc>
      </w:tr>
      <w:tr>
        <w:trPr>
          <w:trHeight w:val="209"/>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Datalink, LLC</w:t>
            </w:r>
          </w:p>
        </w:tc>
        <w:tc>
          <w:tcPr>
            <w:tcW w:w="120" w:type="dxa"/>
            <w:vAlign w:val="bottom"/>
            <w:shd w:val="clear" w:color="auto" w:fill="CFF0FC"/>
          </w:tcPr>
          <w:p>
            <w:pPr>
              <w:spacing w:after="0"/>
              <w:rPr>
                <w:sz w:val="18"/>
                <w:szCs w:val="18"/>
                <w:color w:val="auto"/>
              </w:rPr>
            </w:pPr>
          </w:p>
        </w:tc>
        <w:tc>
          <w:tcPr>
            <w:tcW w:w="51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Delayed Draw Term Loan (First Lien)</w:t>
            </w: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525,000</w:t>
            </w:r>
          </w:p>
        </w:tc>
      </w:tr>
      <w:tr>
        <w:trPr>
          <w:trHeight w:val="196"/>
        </w:trPr>
        <w:tc>
          <w:tcPr>
            <w:tcW w:w="4220" w:type="dxa"/>
            <w:vAlign w:val="bottom"/>
          </w:tcPr>
          <w:p>
            <w:pPr>
              <w:ind w:left="20"/>
              <w:spacing w:after="0"/>
              <w:rPr>
                <w:sz w:val="20"/>
                <w:szCs w:val="20"/>
                <w:color w:val="auto"/>
              </w:rPr>
            </w:pPr>
            <w:r>
              <w:rPr>
                <w:rFonts w:ascii="Arial" w:cs="Arial" w:eastAsia="Arial" w:hAnsi="Arial"/>
                <w:sz w:val="14"/>
                <w:szCs w:val="14"/>
                <w:color w:val="auto"/>
              </w:rPr>
              <w:t>Global Integrated Flooring Systems Inc.</w:t>
            </w:r>
          </w:p>
        </w:tc>
        <w:tc>
          <w:tcPr>
            <w:tcW w:w="120" w:type="dxa"/>
            <w:vAlign w:val="bottom"/>
          </w:tcPr>
          <w:p>
            <w:pPr>
              <w:spacing w:after="0"/>
              <w:rPr>
                <w:sz w:val="17"/>
                <w:szCs w:val="17"/>
                <w:color w:val="auto"/>
              </w:rPr>
            </w:pPr>
          </w:p>
        </w:tc>
        <w:tc>
          <w:tcPr>
            <w:tcW w:w="516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44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42,857</w:t>
            </w:r>
          </w:p>
        </w:tc>
      </w:tr>
      <w:tr>
        <w:trPr>
          <w:trHeight w:val="209"/>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H.W. Lochner, Inc.</w:t>
            </w:r>
          </w:p>
        </w:tc>
        <w:tc>
          <w:tcPr>
            <w:tcW w:w="120" w:type="dxa"/>
            <w:vAlign w:val="bottom"/>
            <w:shd w:val="clear" w:color="auto" w:fill="CFF0FC"/>
          </w:tcPr>
          <w:p>
            <w:pPr>
              <w:spacing w:after="0"/>
              <w:rPr>
                <w:sz w:val="18"/>
                <w:szCs w:val="18"/>
                <w:color w:val="auto"/>
              </w:rPr>
            </w:pPr>
          </w:p>
        </w:tc>
        <w:tc>
          <w:tcPr>
            <w:tcW w:w="51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1,799,476</w:t>
            </w:r>
          </w:p>
        </w:tc>
      </w:tr>
      <w:tr>
        <w:trPr>
          <w:trHeight w:val="196"/>
        </w:trPr>
        <w:tc>
          <w:tcPr>
            <w:tcW w:w="4220" w:type="dxa"/>
            <w:vAlign w:val="bottom"/>
          </w:tcPr>
          <w:p>
            <w:pPr>
              <w:ind w:left="20"/>
              <w:spacing w:after="0"/>
              <w:rPr>
                <w:sz w:val="20"/>
                <w:szCs w:val="20"/>
                <w:color w:val="auto"/>
              </w:rPr>
            </w:pPr>
            <w:r>
              <w:rPr>
                <w:rFonts w:ascii="Arial" w:cs="Arial" w:eastAsia="Arial" w:hAnsi="Arial"/>
                <w:sz w:val="14"/>
                <w:szCs w:val="14"/>
                <w:color w:val="auto"/>
              </w:rPr>
              <w:t>Location Services Holdings, LLC</w:t>
            </w:r>
          </w:p>
        </w:tc>
        <w:tc>
          <w:tcPr>
            <w:tcW w:w="120" w:type="dxa"/>
            <w:vAlign w:val="bottom"/>
          </w:tcPr>
          <w:p>
            <w:pPr>
              <w:spacing w:after="0"/>
              <w:rPr>
                <w:sz w:val="17"/>
                <w:szCs w:val="17"/>
                <w:color w:val="auto"/>
              </w:rPr>
            </w:pPr>
          </w:p>
        </w:tc>
        <w:tc>
          <w:tcPr>
            <w:tcW w:w="516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Revolving Credit</w:t>
            </w:r>
          </w:p>
        </w:tc>
        <w:tc>
          <w:tcPr>
            <w:tcW w:w="44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1,458,333</w:t>
            </w:r>
          </w:p>
        </w:tc>
      </w:tr>
      <w:tr>
        <w:trPr>
          <w:trHeight w:val="209"/>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Luminii LLC</w:t>
            </w:r>
          </w:p>
        </w:tc>
        <w:tc>
          <w:tcPr>
            <w:tcW w:w="120" w:type="dxa"/>
            <w:vAlign w:val="bottom"/>
            <w:shd w:val="clear" w:color="auto" w:fill="CFF0FC"/>
          </w:tcPr>
          <w:p>
            <w:pPr>
              <w:spacing w:after="0"/>
              <w:rPr>
                <w:sz w:val="18"/>
                <w:szCs w:val="18"/>
                <w:color w:val="auto"/>
              </w:rPr>
            </w:pPr>
          </w:p>
        </w:tc>
        <w:tc>
          <w:tcPr>
            <w:tcW w:w="51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171,737</w:t>
            </w:r>
          </w:p>
        </w:tc>
      </w:tr>
      <w:tr>
        <w:trPr>
          <w:trHeight w:val="196"/>
        </w:trPr>
        <w:tc>
          <w:tcPr>
            <w:tcW w:w="4220" w:type="dxa"/>
            <w:vAlign w:val="bottom"/>
          </w:tcPr>
          <w:p>
            <w:pPr>
              <w:ind w:left="20"/>
              <w:spacing w:after="0"/>
              <w:rPr>
                <w:sz w:val="20"/>
                <w:szCs w:val="20"/>
                <w:color w:val="auto"/>
              </w:rPr>
            </w:pPr>
            <w:r>
              <w:rPr>
                <w:rFonts w:ascii="Arial" w:cs="Arial" w:eastAsia="Arial" w:hAnsi="Arial"/>
                <w:sz w:val="14"/>
                <w:szCs w:val="14"/>
                <w:color w:val="auto"/>
              </w:rPr>
              <w:t>Marble Point Credit Management LLC</w:t>
            </w:r>
          </w:p>
        </w:tc>
        <w:tc>
          <w:tcPr>
            <w:tcW w:w="120" w:type="dxa"/>
            <w:vAlign w:val="bottom"/>
          </w:tcPr>
          <w:p>
            <w:pPr>
              <w:spacing w:after="0"/>
              <w:rPr>
                <w:sz w:val="17"/>
                <w:szCs w:val="17"/>
                <w:color w:val="auto"/>
              </w:rPr>
            </w:pPr>
          </w:p>
        </w:tc>
        <w:tc>
          <w:tcPr>
            <w:tcW w:w="516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44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2,500,000</w:t>
            </w:r>
          </w:p>
        </w:tc>
      </w:tr>
      <w:tr>
        <w:trPr>
          <w:trHeight w:val="209"/>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Maxor National Pharmacy Services, LLC</w:t>
            </w:r>
          </w:p>
        </w:tc>
        <w:tc>
          <w:tcPr>
            <w:tcW w:w="120" w:type="dxa"/>
            <w:vAlign w:val="bottom"/>
            <w:shd w:val="clear" w:color="auto" w:fill="CFF0FC"/>
          </w:tcPr>
          <w:p>
            <w:pPr>
              <w:spacing w:after="0"/>
              <w:rPr>
                <w:sz w:val="18"/>
                <w:szCs w:val="18"/>
                <w:color w:val="auto"/>
              </w:rPr>
            </w:pPr>
          </w:p>
        </w:tc>
        <w:tc>
          <w:tcPr>
            <w:tcW w:w="51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585,000</w:t>
            </w:r>
          </w:p>
        </w:tc>
      </w:tr>
      <w:tr>
        <w:trPr>
          <w:trHeight w:val="196"/>
        </w:trPr>
        <w:tc>
          <w:tcPr>
            <w:tcW w:w="4220" w:type="dxa"/>
            <w:vAlign w:val="bottom"/>
          </w:tcPr>
          <w:p>
            <w:pPr>
              <w:ind w:left="20"/>
              <w:spacing w:after="0"/>
              <w:rPr>
                <w:sz w:val="20"/>
                <w:szCs w:val="20"/>
                <w:color w:val="auto"/>
              </w:rPr>
            </w:pPr>
            <w:r>
              <w:rPr>
                <w:rFonts w:ascii="Arial" w:cs="Arial" w:eastAsia="Arial" w:hAnsi="Arial"/>
                <w:sz w:val="14"/>
                <w:szCs w:val="14"/>
                <w:color w:val="auto"/>
              </w:rPr>
              <w:t>Naviga Inc.</w:t>
            </w:r>
          </w:p>
        </w:tc>
        <w:tc>
          <w:tcPr>
            <w:tcW w:w="120" w:type="dxa"/>
            <w:vAlign w:val="bottom"/>
          </w:tcPr>
          <w:p>
            <w:pPr>
              <w:spacing w:after="0"/>
              <w:rPr>
                <w:sz w:val="17"/>
                <w:szCs w:val="17"/>
                <w:color w:val="auto"/>
              </w:rPr>
            </w:pPr>
          </w:p>
        </w:tc>
        <w:tc>
          <w:tcPr>
            <w:tcW w:w="516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44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301,567</w:t>
            </w:r>
          </w:p>
        </w:tc>
      </w:tr>
      <w:tr>
        <w:trPr>
          <w:trHeight w:val="209"/>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Ritedose Holdings I, Inc.</w:t>
            </w:r>
          </w:p>
        </w:tc>
        <w:tc>
          <w:tcPr>
            <w:tcW w:w="120" w:type="dxa"/>
            <w:vAlign w:val="bottom"/>
            <w:shd w:val="clear" w:color="auto" w:fill="CFF0FC"/>
          </w:tcPr>
          <w:p>
            <w:pPr>
              <w:spacing w:after="0"/>
              <w:rPr>
                <w:sz w:val="18"/>
                <w:szCs w:val="18"/>
                <w:color w:val="auto"/>
              </w:rPr>
            </w:pPr>
          </w:p>
        </w:tc>
        <w:tc>
          <w:tcPr>
            <w:tcW w:w="51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537,175</w:t>
            </w:r>
          </w:p>
        </w:tc>
      </w:tr>
      <w:tr>
        <w:trPr>
          <w:trHeight w:val="196"/>
        </w:trPr>
        <w:tc>
          <w:tcPr>
            <w:tcW w:w="4220" w:type="dxa"/>
            <w:vAlign w:val="bottom"/>
          </w:tcPr>
          <w:p>
            <w:pPr>
              <w:ind w:left="20"/>
              <w:spacing w:after="0"/>
              <w:rPr>
                <w:sz w:val="20"/>
                <w:szCs w:val="20"/>
                <w:color w:val="auto"/>
              </w:rPr>
            </w:pPr>
            <w:r>
              <w:rPr>
                <w:rFonts w:ascii="Arial" w:cs="Arial" w:eastAsia="Arial" w:hAnsi="Arial"/>
                <w:sz w:val="14"/>
                <w:szCs w:val="14"/>
                <w:color w:val="auto"/>
              </w:rPr>
              <w:t>Surge Busy Bee Holdings LLC</w:t>
            </w:r>
          </w:p>
        </w:tc>
        <w:tc>
          <w:tcPr>
            <w:tcW w:w="120" w:type="dxa"/>
            <w:vAlign w:val="bottom"/>
          </w:tcPr>
          <w:p>
            <w:pPr>
              <w:spacing w:after="0"/>
              <w:rPr>
                <w:sz w:val="17"/>
                <w:szCs w:val="17"/>
                <w:color w:val="auto"/>
              </w:rPr>
            </w:pPr>
          </w:p>
        </w:tc>
        <w:tc>
          <w:tcPr>
            <w:tcW w:w="516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44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450,000</w:t>
            </w:r>
          </w:p>
        </w:tc>
      </w:tr>
      <w:tr>
        <w:trPr>
          <w:trHeight w:val="209"/>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TA/Weg Holdings, LLC</w:t>
            </w:r>
          </w:p>
        </w:tc>
        <w:tc>
          <w:tcPr>
            <w:tcW w:w="120" w:type="dxa"/>
            <w:vAlign w:val="bottom"/>
            <w:shd w:val="clear" w:color="auto" w:fill="CFF0FC"/>
          </w:tcPr>
          <w:p>
            <w:pPr>
              <w:spacing w:after="0"/>
              <w:rPr>
                <w:sz w:val="18"/>
                <w:szCs w:val="18"/>
                <w:color w:val="auto"/>
              </w:rPr>
            </w:pPr>
          </w:p>
        </w:tc>
        <w:tc>
          <w:tcPr>
            <w:tcW w:w="51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125,000</w:t>
            </w:r>
          </w:p>
        </w:tc>
      </w:tr>
      <w:tr>
        <w:trPr>
          <w:trHeight w:val="196"/>
        </w:trPr>
        <w:tc>
          <w:tcPr>
            <w:tcW w:w="4220" w:type="dxa"/>
            <w:vAlign w:val="bottom"/>
          </w:tcPr>
          <w:p>
            <w:pPr>
              <w:ind w:left="20"/>
              <w:spacing w:after="0"/>
              <w:rPr>
                <w:sz w:val="20"/>
                <w:szCs w:val="20"/>
                <w:color w:val="auto"/>
              </w:rPr>
            </w:pPr>
            <w:r>
              <w:rPr>
                <w:rFonts w:ascii="Arial" w:cs="Arial" w:eastAsia="Arial" w:hAnsi="Arial"/>
                <w:sz w:val="14"/>
                <w:szCs w:val="14"/>
                <w:color w:val="auto"/>
              </w:rPr>
              <w:t>TA/Weg Holdings, LLC</w:t>
            </w:r>
          </w:p>
        </w:tc>
        <w:tc>
          <w:tcPr>
            <w:tcW w:w="120" w:type="dxa"/>
            <w:vAlign w:val="bottom"/>
          </w:tcPr>
          <w:p>
            <w:pPr>
              <w:spacing w:after="0"/>
              <w:rPr>
                <w:sz w:val="17"/>
                <w:szCs w:val="17"/>
                <w:color w:val="auto"/>
              </w:rPr>
            </w:pPr>
          </w:p>
        </w:tc>
        <w:tc>
          <w:tcPr>
            <w:tcW w:w="516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Delayed Draw Term Loan</w:t>
            </w:r>
          </w:p>
        </w:tc>
        <w:tc>
          <w:tcPr>
            <w:tcW w:w="44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7,814,857</w:t>
            </w:r>
          </w:p>
        </w:tc>
      </w:tr>
      <w:tr>
        <w:trPr>
          <w:trHeight w:val="209"/>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TA/Weg Holdings, LLC</w:t>
            </w:r>
          </w:p>
        </w:tc>
        <w:tc>
          <w:tcPr>
            <w:tcW w:w="120" w:type="dxa"/>
            <w:vAlign w:val="bottom"/>
            <w:shd w:val="clear" w:color="auto" w:fill="CFF0FC"/>
          </w:tcPr>
          <w:p>
            <w:pPr>
              <w:spacing w:after="0"/>
              <w:rPr>
                <w:sz w:val="18"/>
                <w:szCs w:val="18"/>
                <w:color w:val="auto"/>
              </w:rPr>
            </w:pPr>
          </w:p>
        </w:tc>
        <w:tc>
          <w:tcPr>
            <w:tcW w:w="51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Delayed Draw Term Loan</w:t>
            </w: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8,000,000</w:t>
            </w:r>
          </w:p>
        </w:tc>
      </w:tr>
      <w:tr>
        <w:trPr>
          <w:trHeight w:val="203"/>
        </w:trPr>
        <w:tc>
          <w:tcPr>
            <w:tcW w:w="4220" w:type="dxa"/>
            <w:vAlign w:val="bottom"/>
          </w:tcPr>
          <w:p>
            <w:pPr>
              <w:ind w:left="20"/>
              <w:spacing w:after="0"/>
              <w:rPr>
                <w:sz w:val="20"/>
                <w:szCs w:val="20"/>
                <w:color w:val="auto"/>
              </w:rPr>
            </w:pPr>
            <w:r>
              <w:rPr>
                <w:rFonts w:ascii="Arial" w:cs="Arial" w:eastAsia="Arial" w:hAnsi="Arial"/>
                <w:sz w:val="14"/>
                <w:szCs w:val="14"/>
                <w:color w:val="auto"/>
              </w:rPr>
              <w:t>TLE Holdings, LLC</w:t>
            </w:r>
          </w:p>
        </w:tc>
        <w:tc>
          <w:tcPr>
            <w:tcW w:w="120" w:type="dxa"/>
            <w:vAlign w:val="bottom"/>
          </w:tcPr>
          <w:p>
            <w:pPr>
              <w:spacing w:after="0"/>
              <w:rPr>
                <w:sz w:val="17"/>
                <w:szCs w:val="17"/>
                <w:color w:val="auto"/>
              </w:rPr>
            </w:pPr>
          </w:p>
        </w:tc>
        <w:tc>
          <w:tcPr>
            <w:tcW w:w="516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Delayed Draw Term Loan</w:t>
            </w:r>
          </w:p>
        </w:tc>
        <w:tc>
          <w:tcPr>
            <w:tcW w:w="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1,883</w:t>
            </w:r>
          </w:p>
        </w:tc>
      </w:tr>
      <w:tr>
        <w:trPr>
          <w:trHeight w:val="230"/>
        </w:trPr>
        <w:tc>
          <w:tcPr>
            <w:tcW w:w="4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Unfunded Portfolio Company Commitments</w:t>
            </w:r>
          </w:p>
        </w:tc>
        <w:tc>
          <w:tcPr>
            <w:tcW w:w="120" w:type="dxa"/>
            <w:vAlign w:val="bottom"/>
            <w:tcBorders>
              <w:bottom w:val="single" w:sz="8" w:color="CFF0FC"/>
            </w:tcBorders>
            <w:shd w:val="clear" w:color="auto" w:fill="CFF0FC"/>
          </w:tcPr>
          <w:p>
            <w:pPr>
              <w:spacing w:after="0"/>
              <w:rPr>
                <w:sz w:val="20"/>
                <w:szCs w:val="20"/>
                <w:color w:val="auto"/>
              </w:rPr>
            </w:pPr>
          </w:p>
        </w:tc>
        <w:tc>
          <w:tcPr>
            <w:tcW w:w="48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48,700,961</w:t>
            </w:r>
          </w:p>
        </w:tc>
      </w:tr>
    </w:tbl>
    <w:p>
      <w:pPr>
        <w:spacing w:after="0" w:line="200" w:lineRule="exact"/>
        <w:rPr>
          <w:sz w:val="20"/>
          <w:szCs w:val="20"/>
          <w:color w:val="auto"/>
        </w:rPr>
      </w:pPr>
    </w:p>
    <w:p>
      <w:pPr>
        <w:spacing w:after="0" w:line="295" w:lineRule="exact"/>
        <w:rPr>
          <w:sz w:val="20"/>
          <w:szCs w:val="20"/>
          <w:color w:val="auto"/>
        </w:rPr>
      </w:pPr>
    </w:p>
    <w:p>
      <w:pPr>
        <w:ind w:left="360" w:hanging="352"/>
        <w:spacing w:after="0"/>
        <w:tabs>
          <w:tab w:leader="none" w:pos="3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0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details the components of Stockholders’ Equity for the nine months ended September 30, 2021 and 2020:</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8"/>
          </w:tcPr>
          <w:p>
            <w:pPr>
              <w:ind w:left="1040"/>
              <w:spacing w:after="0"/>
              <w:rPr>
                <w:sz w:val="20"/>
                <w:szCs w:val="20"/>
                <w:color w:val="auto"/>
              </w:rPr>
            </w:pPr>
            <w:r>
              <w:rPr>
                <w:rFonts w:ascii="Arial" w:cs="Arial" w:eastAsia="Arial" w:hAnsi="Arial"/>
                <w:sz w:val="14"/>
                <w:szCs w:val="14"/>
                <w:b w:val="1"/>
                <w:bCs w:val="1"/>
                <w:color w:val="auto"/>
                <w:w w:val="92"/>
              </w:rPr>
              <w:t>For the Nine Months Ended September 30, 2021</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9"/>
        </w:trPr>
        <w:tc>
          <w:tcPr>
            <w:tcW w:w="5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Capital 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5"/>
                <w:szCs w:val="15"/>
                <w:color w:val="auto"/>
              </w:rPr>
            </w:pPr>
          </w:p>
        </w:tc>
        <w:tc>
          <w:tcPr>
            <w:tcW w:w="1180" w:type="dxa"/>
            <w:vAlign w:val="bottom"/>
          </w:tcPr>
          <w:p>
            <w:pPr>
              <w:jc w:val="center"/>
              <w:ind w:right="156"/>
              <w:spacing w:after="0"/>
              <w:rPr>
                <w:sz w:val="20"/>
                <w:szCs w:val="20"/>
                <w:color w:val="auto"/>
              </w:rPr>
            </w:pPr>
            <w:r>
              <w:rPr>
                <w:rFonts w:ascii="Arial" w:cs="Arial" w:eastAsia="Arial" w:hAnsi="Arial"/>
                <w:sz w:val="14"/>
                <w:szCs w:val="14"/>
                <w:b w:val="1"/>
                <w:bCs w:val="1"/>
                <w:color w:val="auto"/>
                <w:w w:val="95"/>
              </w:rPr>
              <w:t>Total</w:t>
            </w:r>
          </w:p>
        </w:tc>
      </w:tr>
      <w:tr>
        <w:trPr>
          <w:trHeight w:val="156"/>
        </w:trPr>
        <w:tc>
          <w:tcPr>
            <w:tcW w:w="5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336"/>
              <w:spacing w:after="0" w:line="157"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116"/>
              <w:spacing w:after="0" w:line="157" w:lineRule="exact"/>
              <w:rPr>
                <w:sz w:val="20"/>
                <w:szCs w:val="20"/>
                <w:color w:val="auto"/>
              </w:rPr>
            </w:pPr>
            <w:r>
              <w:rPr>
                <w:rFonts w:ascii="Arial" w:cs="Arial" w:eastAsia="Arial" w:hAnsi="Arial"/>
                <w:sz w:val="14"/>
                <w:szCs w:val="14"/>
                <w:b w:val="1"/>
                <w:bCs w:val="1"/>
                <w:color w:val="auto"/>
                <w:w w:val="82"/>
              </w:rPr>
              <w:t>Excess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5"/>
              </w:rPr>
              <w:t>Distributable</w:t>
            </w:r>
          </w:p>
        </w:tc>
        <w:tc>
          <w:tcPr>
            <w:tcW w:w="140" w:type="dxa"/>
            <w:vAlign w:val="bottom"/>
          </w:tcPr>
          <w:p>
            <w:pPr>
              <w:spacing w:after="0"/>
              <w:rPr>
                <w:sz w:val="13"/>
                <w:szCs w:val="13"/>
                <w:color w:val="auto"/>
              </w:rPr>
            </w:pPr>
          </w:p>
        </w:tc>
        <w:tc>
          <w:tcPr>
            <w:tcW w:w="1180" w:type="dxa"/>
            <w:vAlign w:val="bottom"/>
          </w:tcPr>
          <w:p>
            <w:pPr>
              <w:jc w:val="center"/>
              <w:ind w:right="156"/>
              <w:spacing w:after="0" w:line="157" w:lineRule="exact"/>
              <w:rPr>
                <w:sz w:val="20"/>
                <w:szCs w:val="20"/>
                <w:color w:val="auto"/>
              </w:rPr>
            </w:pPr>
            <w:r>
              <w:rPr>
                <w:rFonts w:ascii="Arial" w:cs="Arial" w:eastAsia="Arial" w:hAnsi="Arial"/>
                <w:sz w:val="14"/>
                <w:szCs w:val="14"/>
                <w:b w:val="1"/>
                <w:bCs w:val="1"/>
                <w:color w:val="auto"/>
                <w:w w:val="91"/>
              </w:rPr>
              <w:t>Stockholders'</w:t>
            </w:r>
          </w:p>
        </w:tc>
      </w:tr>
      <w:tr>
        <w:trPr>
          <w:trHeight w:val="217"/>
        </w:trPr>
        <w:tc>
          <w:tcPr>
            <w:tcW w:w="5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6"/>
              <w:spacing w:after="0" w:line="217" w:lineRule="exact"/>
              <w:rPr>
                <w:sz w:val="20"/>
                <w:szCs w:val="20"/>
                <w:color w:val="auto"/>
              </w:rPr>
            </w:pPr>
            <w:r>
              <w:rPr>
                <w:rFonts w:ascii="Arial" w:cs="Arial" w:eastAsia="Arial" w:hAnsi="Arial"/>
                <w:sz w:val="14"/>
                <w:szCs w:val="14"/>
                <w:b w:val="1"/>
                <w:bCs w:val="1"/>
                <w:color w:val="auto"/>
              </w:rPr>
              <w:t>Stock</w:t>
            </w:r>
            <w:r>
              <w:rPr>
                <w:rFonts w:ascii="Arial" w:cs="Arial" w:eastAsia="Arial" w:hAnsi="Arial"/>
                <w:sz w:val="19"/>
                <w:szCs w:val="19"/>
                <w:b w:val="1"/>
                <w:bCs w:val="1"/>
                <w:color w:val="auto"/>
                <w:vertAlign w:val="superscript"/>
              </w:rPr>
              <w:t>(1)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6"/>
              <w:spacing w:after="0" w:line="217" w:lineRule="exact"/>
              <w:rPr>
                <w:sz w:val="20"/>
                <w:szCs w:val="20"/>
                <w:color w:val="auto"/>
              </w:rPr>
            </w:pPr>
            <w:r>
              <w:rPr>
                <w:rFonts w:ascii="Arial" w:cs="Arial" w:eastAsia="Arial" w:hAnsi="Arial"/>
                <w:sz w:val="14"/>
                <w:szCs w:val="14"/>
                <w:b w:val="1"/>
                <w:bCs w:val="1"/>
                <w:color w:val="auto"/>
                <w:w w:val="91"/>
              </w:rPr>
              <w:t>of Par Value</w:t>
            </w:r>
            <w:r>
              <w:rPr>
                <w:rFonts w:ascii="Arial" w:cs="Arial" w:eastAsia="Arial" w:hAnsi="Arial"/>
                <w:sz w:val="19"/>
                <w:szCs w:val="19"/>
                <w:b w:val="1"/>
                <w:bCs w:val="1"/>
                <w:color w:val="auto"/>
                <w:w w:val="91"/>
                <w:vertAlign w:val="superscript"/>
              </w:rPr>
              <w:t>(1)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8"/>
              </w:rPr>
              <w:t>(loss) earnings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8"/>
              </w:rPr>
              <w:t>Equity</w:t>
            </w:r>
          </w:p>
        </w:tc>
      </w:tr>
      <w:tr>
        <w:trPr>
          <w:trHeight w:val="183"/>
        </w:trPr>
        <w:tc>
          <w:tcPr>
            <w:tcW w:w="5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January 1, 2021</w:t>
            </w: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75,164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639,136,026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(422,947,327 )</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216,263,863</w:t>
            </w:r>
          </w:p>
        </w:tc>
      </w:tr>
      <w:tr>
        <w:trPr>
          <w:trHeight w:val="181"/>
        </w:trPr>
        <w:tc>
          <w:tcPr>
            <w:tcW w:w="5720" w:type="dxa"/>
            <w:vAlign w:val="bottom"/>
          </w:tcPr>
          <w:p>
            <w:pPr>
              <w:ind w:left="20"/>
              <w:spacing w:after="0"/>
              <w:rPr>
                <w:sz w:val="20"/>
                <w:szCs w:val="20"/>
                <w:color w:val="auto"/>
              </w:rPr>
            </w:pPr>
            <w:r>
              <w:rPr>
                <w:rFonts w:ascii="Arial" w:cs="Arial" w:eastAsia="Arial" w:hAnsi="Arial"/>
                <w:sz w:val="13"/>
                <w:szCs w:val="13"/>
                <w:color w:val="auto"/>
              </w:rPr>
              <w:t>Net investment income</w:t>
            </w:r>
          </w:p>
        </w:tc>
        <w:tc>
          <w:tcPr>
            <w:tcW w:w="20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8,212,517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8,212,517</w:t>
            </w:r>
          </w:p>
        </w:tc>
      </w:tr>
      <w:tr>
        <w:trPr>
          <w:trHeight w:val="197"/>
        </w:trPr>
        <w:tc>
          <w:tcPr>
            <w:tcW w:w="5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realized (losses) from investment transactions and extinguishment of debt</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(6,920,751 )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(6,920,751 )</w:t>
            </w:r>
          </w:p>
        </w:tc>
      </w:tr>
      <w:tr>
        <w:trPr>
          <w:trHeight w:val="181"/>
        </w:trPr>
        <w:tc>
          <w:tcPr>
            <w:tcW w:w="5720" w:type="dxa"/>
            <w:vAlign w:val="bottom"/>
          </w:tcPr>
          <w:p>
            <w:pPr>
              <w:ind w:left="20"/>
              <w:spacing w:after="0"/>
              <w:rPr>
                <w:sz w:val="20"/>
                <w:szCs w:val="20"/>
                <w:color w:val="auto"/>
              </w:rPr>
            </w:pPr>
            <w:r>
              <w:rPr>
                <w:rFonts w:ascii="Arial" w:cs="Arial" w:eastAsia="Arial" w:hAnsi="Arial"/>
                <w:sz w:val="13"/>
                <w:szCs w:val="13"/>
                <w:color w:val="auto"/>
              </w:rPr>
              <w:t>Net change in unrealized appreciation on investments</w:t>
            </w:r>
          </w:p>
        </w:tc>
        <w:tc>
          <w:tcPr>
            <w:tcW w:w="20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6,745,349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6,745,349</w:t>
            </w:r>
          </w:p>
        </w:tc>
      </w:tr>
      <w:tr>
        <w:trPr>
          <w:trHeight w:val="197"/>
        </w:trPr>
        <w:tc>
          <w:tcPr>
            <w:tcW w:w="5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Distributions to Stockholders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(4,509,854 )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(4,509,854 )</w:t>
            </w:r>
          </w:p>
        </w:tc>
      </w:tr>
      <w:tr>
        <w:trPr>
          <w:trHeight w:val="183"/>
        </w:trPr>
        <w:tc>
          <w:tcPr>
            <w:tcW w:w="5720" w:type="dxa"/>
            <w:vAlign w:val="bottom"/>
          </w:tcPr>
          <w:p>
            <w:pPr>
              <w:ind w:left="20"/>
              <w:spacing w:after="0"/>
              <w:rPr>
                <w:sz w:val="20"/>
                <w:szCs w:val="20"/>
                <w:color w:val="auto"/>
              </w:rPr>
            </w:pPr>
            <w:r>
              <w:rPr>
                <w:rFonts w:ascii="Arial" w:cs="Arial" w:eastAsia="Arial" w:hAnsi="Arial"/>
                <w:sz w:val="13"/>
                <w:szCs w:val="13"/>
                <w:color w:val="auto"/>
              </w:rPr>
              <w:t>Reinvested Dividends</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31</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63,953</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63,984</w:t>
            </w:r>
          </w:p>
        </w:tc>
      </w:tr>
      <w:tr>
        <w:trPr>
          <w:trHeight w:val="223"/>
        </w:trPr>
        <w:tc>
          <w:tcPr>
            <w:tcW w:w="5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2021</w:t>
            </w: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75,195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639,199,979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(419,420,066 )</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219,855,108</w:t>
            </w:r>
          </w:p>
        </w:tc>
      </w:tr>
      <w:tr>
        <w:trPr>
          <w:trHeight w:val="168"/>
        </w:trPr>
        <w:tc>
          <w:tcPr>
            <w:tcW w:w="572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Net investment income</w:t>
            </w: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11,710,742</w:t>
            </w: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11,710,742</w:t>
            </w:r>
          </w:p>
        </w:tc>
      </w:tr>
      <w:tr>
        <w:trPr>
          <w:trHeight w:val="197"/>
        </w:trPr>
        <w:tc>
          <w:tcPr>
            <w:tcW w:w="5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realized (losses) from investment transactions and extinguishment of debt</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(2,355,735 )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(2,355,735 )</w:t>
            </w:r>
          </w:p>
        </w:tc>
      </w:tr>
      <w:tr>
        <w:trPr>
          <w:trHeight w:val="181"/>
        </w:trPr>
        <w:tc>
          <w:tcPr>
            <w:tcW w:w="5720" w:type="dxa"/>
            <w:vAlign w:val="bottom"/>
          </w:tcPr>
          <w:p>
            <w:pPr>
              <w:ind w:left="20"/>
              <w:spacing w:after="0"/>
              <w:rPr>
                <w:sz w:val="20"/>
                <w:szCs w:val="20"/>
                <w:color w:val="auto"/>
              </w:rPr>
            </w:pPr>
            <w:r>
              <w:rPr>
                <w:rFonts w:ascii="Arial" w:cs="Arial" w:eastAsia="Arial" w:hAnsi="Arial"/>
                <w:sz w:val="13"/>
                <w:szCs w:val="13"/>
                <w:color w:val="auto"/>
              </w:rPr>
              <w:t>Net change in unrealized appreciation on investments</w:t>
            </w:r>
          </w:p>
        </w:tc>
        <w:tc>
          <w:tcPr>
            <w:tcW w:w="20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1,489,378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1,489,378</w:t>
            </w:r>
          </w:p>
        </w:tc>
      </w:tr>
      <w:tr>
        <w:trPr>
          <w:trHeight w:val="197"/>
        </w:trPr>
        <w:tc>
          <w:tcPr>
            <w:tcW w:w="5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Distributions to Stockholders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(4,594,587 )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(4,594,587 )</w:t>
            </w:r>
          </w:p>
        </w:tc>
      </w:tr>
      <w:tr>
        <w:trPr>
          <w:trHeight w:val="181"/>
        </w:trPr>
        <w:tc>
          <w:tcPr>
            <w:tcW w:w="5720" w:type="dxa"/>
            <w:vAlign w:val="bottom"/>
          </w:tcPr>
          <w:p>
            <w:pPr>
              <w:ind w:left="20"/>
              <w:spacing w:after="0"/>
              <w:rPr>
                <w:sz w:val="20"/>
                <w:szCs w:val="20"/>
                <w:color w:val="auto"/>
              </w:rPr>
            </w:pPr>
            <w:r>
              <w:rPr>
                <w:rFonts w:ascii="Arial" w:cs="Arial" w:eastAsia="Arial" w:hAnsi="Arial"/>
                <w:sz w:val="13"/>
                <w:szCs w:val="13"/>
                <w:color w:val="auto"/>
              </w:rPr>
              <w:t>Reinvested Dividends</w:t>
            </w:r>
          </w:p>
        </w:tc>
        <w:tc>
          <w:tcPr>
            <w:tcW w:w="20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69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164,955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165,024</w:t>
            </w:r>
          </w:p>
        </w:tc>
      </w:tr>
      <w:tr>
        <w:trPr>
          <w:trHeight w:val="197"/>
        </w:trPr>
        <w:tc>
          <w:tcPr>
            <w:tcW w:w="5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Stock-repurchase</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(157 )</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(379,747 )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(379,904 )</w:t>
            </w:r>
          </w:p>
        </w:tc>
      </w:tr>
      <w:tr>
        <w:trPr>
          <w:trHeight w:val="181"/>
        </w:trPr>
        <w:tc>
          <w:tcPr>
            <w:tcW w:w="5720" w:type="dxa"/>
            <w:vAlign w:val="bottom"/>
          </w:tcPr>
          <w:p>
            <w:pPr>
              <w:ind w:left="20"/>
              <w:spacing w:after="0"/>
              <w:rPr>
                <w:sz w:val="20"/>
                <w:szCs w:val="20"/>
                <w:color w:val="auto"/>
              </w:rPr>
            </w:pPr>
            <w:r>
              <w:rPr>
                <w:rFonts w:ascii="Arial" w:cs="Arial" w:eastAsia="Arial" w:hAnsi="Arial"/>
                <w:sz w:val="13"/>
                <w:szCs w:val="13"/>
                <w:color w:val="auto"/>
              </w:rPr>
              <w:t>Private placement</w:t>
            </w:r>
          </w:p>
        </w:tc>
        <w:tc>
          <w:tcPr>
            <w:tcW w:w="20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1,381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4,018,216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4,019,597</w:t>
            </w:r>
          </w:p>
        </w:tc>
      </w:tr>
      <w:tr>
        <w:trPr>
          <w:trHeight w:val="190"/>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HCAP purchase (net of offering expenses)</w:t>
            </w:r>
          </w:p>
        </w:tc>
        <w:tc>
          <w:tcPr>
            <w:tcW w:w="2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3"/>
                <w:szCs w:val="13"/>
                <w:color w:val="auto"/>
              </w:rPr>
              <w:t>15,253</w:t>
            </w: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3"/>
                <w:szCs w:val="13"/>
                <w:color w:val="auto"/>
              </w:rPr>
              <w:t>38,679,435</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3"/>
                <w:szCs w:val="13"/>
                <w:color w:val="auto"/>
              </w:rPr>
              <w:t>38,694,688</w:t>
            </w:r>
          </w:p>
        </w:tc>
      </w:tr>
      <w:tr>
        <w:trPr>
          <w:trHeight w:val="183"/>
        </w:trPr>
        <w:tc>
          <w:tcPr>
            <w:tcW w:w="5720" w:type="dxa"/>
            <w:vAlign w:val="bottom"/>
          </w:tcPr>
          <w:p>
            <w:pPr>
              <w:ind w:left="20"/>
              <w:spacing w:after="0"/>
              <w:rPr>
                <w:sz w:val="20"/>
                <w:szCs w:val="20"/>
                <w:color w:val="auto"/>
              </w:rPr>
            </w:pPr>
            <w:r>
              <w:rPr>
                <w:rFonts w:ascii="Arial" w:cs="Arial" w:eastAsia="Arial" w:hAnsi="Arial"/>
                <w:sz w:val="13"/>
                <w:szCs w:val="13"/>
                <w:color w:val="auto"/>
              </w:rPr>
              <w:t>Balance, June 30, 2021</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91,741</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681,682,838</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(413,170,268 )</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268,604,311</w:t>
            </w:r>
          </w:p>
        </w:tc>
      </w:tr>
      <w:tr>
        <w:trPr>
          <w:trHeight w:val="20"/>
        </w:trPr>
        <w:tc>
          <w:tcPr>
            <w:tcW w:w="5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investment income</w:t>
            </w: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13,717,851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13,717,851</w:t>
            </w:r>
          </w:p>
        </w:tc>
      </w:tr>
      <w:tr>
        <w:trPr>
          <w:trHeight w:val="181"/>
        </w:trPr>
        <w:tc>
          <w:tcPr>
            <w:tcW w:w="5720" w:type="dxa"/>
            <w:vAlign w:val="bottom"/>
          </w:tcPr>
          <w:p>
            <w:pPr>
              <w:ind w:left="20"/>
              <w:spacing w:after="0"/>
              <w:rPr>
                <w:sz w:val="20"/>
                <w:szCs w:val="20"/>
                <w:color w:val="auto"/>
              </w:rPr>
            </w:pPr>
            <w:r>
              <w:rPr>
                <w:rFonts w:ascii="Arial" w:cs="Arial" w:eastAsia="Arial" w:hAnsi="Arial"/>
                <w:sz w:val="13"/>
                <w:szCs w:val="13"/>
                <w:color w:val="auto"/>
              </w:rPr>
              <w:t>Net realized (losses) from investment transactions and extinguishment of debt</w:t>
            </w:r>
          </w:p>
        </w:tc>
        <w:tc>
          <w:tcPr>
            <w:tcW w:w="20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(3,931,280 )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(3,931,280 )</w:t>
            </w:r>
          </w:p>
        </w:tc>
      </w:tr>
      <w:tr>
        <w:trPr>
          <w:trHeight w:val="197"/>
        </w:trPr>
        <w:tc>
          <w:tcPr>
            <w:tcW w:w="5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change in unrealized appreciation on investments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(642,085 )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(642,085 )</w:t>
            </w:r>
          </w:p>
        </w:tc>
      </w:tr>
      <w:tr>
        <w:trPr>
          <w:trHeight w:val="181"/>
        </w:trPr>
        <w:tc>
          <w:tcPr>
            <w:tcW w:w="5720" w:type="dxa"/>
            <w:vAlign w:val="bottom"/>
          </w:tcPr>
          <w:p>
            <w:pPr>
              <w:ind w:left="20"/>
              <w:spacing w:after="0"/>
              <w:rPr>
                <w:sz w:val="20"/>
                <w:szCs w:val="20"/>
                <w:color w:val="auto"/>
              </w:rPr>
            </w:pPr>
            <w:r>
              <w:rPr>
                <w:rFonts w:ascii="Arial" w:cs="Arial" w:eastAsia="Arial" w:hAnsi="Arial"/>
                <w:sz w:val="13"/>
                <w:szCs w:val="13"/>
                <w:color w:val="auto"/>
              </w:rPr>
              <w:t>Distributions to Stockholders</w:t>
            </w:r>
          </w:p>
        </w:tc>
        <w:tc>
          <w:tcPr>
            <w:tcW w:w="20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(5,468,650 )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(5,468,650 )</w:t>
            </w:r>
          </w:p>
        </w:tc>
      </w:tr>
      <w:tr>
        <w:trPr>
          <w:trHeight w:val="197"/>
        </w:trPr>
        <w:tc>
          <w:tcPr>
            <w:tcW w:w="5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Reinvested Dividends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214,761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214,770</w:t>
            </w:r>
          </w:p>
        </w:tc>
      </w:tr>
      <w:tr>
        <w:trPr>
          <w:trHeight w:val="183"/>
        </w:trPr>
        <w:tc>
          <w:tcPr>
            <w:tcW w:w="5720" w:type="dxa"/>
            <w:vAlign w:val="bottom"/>
          </w:tcPr>
          <w:p>
            <w:pPr>
              <w:ind w:left="20"/>
              <w:spacing w:after="0"/>
              <w:rPr>
                <w:sz w:val="20"/>
                <w:szCs w:val="20"/>
                <w:color w:val="auto"/>
              </w:rPr>
            </w:pPr>
            <w:r>
              <w:rPr>
                <w:rFonts w:ascii="Arial" w:cs="Arial" w:eastAsia="Arial" w:hAnsi="Arial"/>
                <w:sz w:val="13"/>
                <w:szCs w:val="13"/>
                <w:color w:val="auto"/>
              </w:rPr>
              <w:t>Stock-repurchase</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(517 )</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(1,446,125 )</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(1,446,642 )</w:t>
            </w:r>
          </w:p>
        </w:tc>
      </w:tr>
      <w:tr>
        <w:trPr>
          <w:trHeight w:val="222"/>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September 30, 2021</w:t>
            </w: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3"/>
                <w:szCs w:val="13"/>
                <w:color w:val="auto"/>
              </w:rPr>
              <w:t>91,233</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3"/>
                <w:szCs w:val="13"/>
                <w:color w:val="auto"/>
              </w:rPr>
              <w:t>680,451,474</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(409,494,432 )</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3"/>
                <w:szCs w:val="13"/>
                <w:color w:val="auto"/>
              </w:rPr>
              <w:t>271,048,275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-2013585</wp:posOffset>
            </wp:positionV>
            <wp:extent cx="8572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-1996440</wp:posOffset>
            </wp:positionV>
            <wp:extent cx="8572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-2013585</wp:posOffset>
            </wp:positionV>
            <wp:extent cx="7747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-1996440</wp:posOffset>
            </wp:positionV>
            <wp:extent cx="7747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-2013585</wp:posOffset>
            </wp:positionV>
            <wp:extent cx="7747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-1996440</wp:posOffset>
            </wp:positionV>
            <wp:extent cx="7747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-1024890</wp:posOffset>
            </wp:positionV>
            <wp:extent cx="85725" cy="571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-1024890</wp:posOffset>
            </wp:positionV>
            <wp:extent cx="77470" cy="571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-1024890</wp:posOffset>
            </wp:positionV>
            <wp:extent cx="77470" cy="571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8572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8572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7747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7747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7747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7747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6"/>
              </w:rPr>
              <w:t>For Nine Months Ended September 30, 2020</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9"/>
        </w:trPr>
        <w:tc>
          <w:tcPr>
            <w:tcW w:w="5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Capital 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5"/>
                <w:szCs w:val="15"/>
                <w:color w:val="auto"/>
              </w:rPr>
            </w:pPr>
          </w:p>
        </w:tc>
        <w:tc>
          <w:tcPr>
            <w:tcW w:w="1180" w:type="dxa"/>
            <w:vAlign w:val="bottom"/>
          </w:tcPr>
          <w:p>
            <w:pPr>
              <w:jc w:val="center"/>
              <w:ind w:right="156"/>
              <w:spacing w:after="0"/>
              <w:rPr>
                <w:sz w:val="20"/>
                <w:szCs w:val="20"/>
                <w:color w:val="auto"/>
              </w:rPr>
            </w:pPr>
            <w:r>
              <w:rPr>
                <w:rFonts w:ascii="Arial" w:cs="Arial" w:eastAsia="Arial" w:hAnsi="Arial"/>
                <w:sz w:val="14"/>
                <w:szCs w:val="14"/>
                <w:b w:val="1"/>
                <w:bCs w:val="1"/>
                <w:color w:val="auto"/>
                <w:w w:val="95"/>
              </w:rPr>
              <w:t>Total</w:t>
            </w:r>
          </w:p>
        </w:tc>
      </w:tr>
      <w:tr>
        <w:trPr>
          <w:trHeight w:val="156"/>
        </w:trPr>
        <w:tc>
          <w:tcPr>
            <w:tcW w:w="5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336"/>
              <w:spacing w:after="0" w:line="157"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116"/>
              <w:spacing w:after="0" w:line="157" w:lineRule="exact"/>
              <w:rPr>
                <w:sz w:val="20"/>
                <w:szCs w:val="20"/>
                <w:color w:val="auto"/>
              </w:rPr>
            </w:pPr>
            <w:r>
              <w:rPr>
                <w:rFonts w:ascii="Arial" w:cs="Arial" w:eastAsia="Arial" w:hAnsi="Arial"/>
                <w:sz w:val="14"/>
                <w:szCs w:val="14"/>
                <w:b w:val="1"/>
                <w:bCs w:val="1"/>
                <w:color w:val="auto"/>
                <w:w w:val="82"/>
              </w:rPr>
              <w:t>Excess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5"/>
              </w:rPr>
              <w:t>Distributable</w:t>
            </w:r>
          </w:p>
        </w:tc>
        <w:tc>
          <w:tcPr>
            <w:tcW w:w="140" w:type="dxa"/>
            <w:vAlign w:val="bottom"/>
          </w:tcPr>
          <w:p>
            <w:pPr>
              <w:spacing w:after="0"/>
              <w:rPr>
                <w:sz w:val="13"/>
                <w:szCs w:val="13"/>
                <w:color w:val="auto"/>
              </w:rPr>
            </w:pPr>
          </w:p>
        </w:tc>
        <w:tc>
          <w:tcPr>
            <w:tcW w:w="1180" w:type="dxa"/>
            <w:vAlign w:val="bottom"/>
          </w:tcPr>
          <w:p>
            <w:pPr>
              <w:jc w:val="center"/>
              <w:ind w:right="156"/>
              <w:spacing w:after="0" w:line="157" w:lineRule="exact"/>
              <w:rPr>
                <w:sz w:val="20"/>
                <w:szCs w:val="20"/>
                <w:color w:val="auto"/>
              </w:rPr>
            </w:pPr>
            <w:r>
              <w:rPr>
                <w:rFonts w:ascii="Arial" w:cs="Arial" w:eastAsia="Arial" w:hAnsi="Arial"/>
                <w:sz w:val="14"/>
                <w:szCs w:val="14"/>
                <w:b w:val="1"/>
                <w:bCs w:val="1"/>
                <w:color w:val="auto"/>
                <w:w w:val="91"/>
              </w:rPr>
              <w:t>Stockholders'</w:t>
            </w:r>
          </w:p>
        </w:tc>
      </w:tr>
      <w:tr>
        <w:trPr>
          <w:trHeight w:val="217"/>
        </w:trPr>
        <w:tc>
          <w:tcPr>
            <w:tcW w:w="5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6"/>
              <w:spacing w:after="0" w:line="217" w:lineRule="exact"/>
              <w:rPr>
                <w:sz w:val="20"/>
                <w:szCs w:val="20"/>
                <w:color w:val="auto"/>
              </w:rPr>
            </w:pPr>
            <w:r>
              <w:rPr>
                <w:rFonts w:ascii="Arial" w:cs="Arial" w:eastAsia="Arial" w:hAnsi="Arial"/>
                <w:sz w:val="14"/>
                <w:szCs w:val="14"/>
                <w:b w:val="1"/>
                <w:bCs w:val="1"/>
                <w:color w:val="auto"/>
              </w:rPr>
              <w:t>Stock</w:t>
            </w:r>
            <w:r>
              <w:rPr>
                <w:rFonts w:ascii="Arial" w:cs="Arial" w:eastAsia="Arial" w:hAnsi="Arial"/>
                <w:sz w:val="19"/>
                <w:szCs w:val="19"/>
                <w:b w:val="1"/>
                <w:bCs w:val="1"/>
                <w:color w:val="auto"/>
                <w:vertAlign w:val="superscript"/>
              </w:rPr>
              <w:t>(1)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6"/>
              <w:spacing w:after="0" w:line="217" w:lineRule="exact"/>
              <w:rPr>
                <w:sz w:val="20"/>
                <w:szCs w:val="20"/>
                <w:color w:val="auto"/>
              </w:rPr>
            </w:pPr>
            <w:r>
              <w:rPr>
                <w:rFonts w:ascii="Arial" w:cs="Arial" w:eastAsia="Arial" w:hAnsi="Arial"/>
                <w:sz w:val="14"/>
                <w:szCs w:val="14"/>
                <w:b w:val="1"/>
                <w:bCs w:val="1"/>
                <w:color w:val="auto"/>
                <w:w w:val="91"/>
              </w:rPr>
              <w:t>of Par Value</w:t>
            </w:r>
            <w:r>
              <w:rPr>
                <w:rFonts w:ascii="Arial" w:cs="Arial" w:eastAsia="Arial" w:hAnsi="Arial"/>
                <w:sz w:val="19"/>
                <w:szCs w:val="19"/>
                <w:b w:val="1"/>
                <w:bCs w:val="1"/>
                <w:color w:val="auto"/>
                <w:w w:val="91"/>
                <w:vertAlign w:val="superscript"/>
              </w:rPr>
              <w:t>(1)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8"/>
              </w:rPr>
              <w:t>(loss) earnings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8"/>
              </w:rPr>
              <w:t>Equity</w:t>
            </w:r>
          </w:p>
        </w:tc>
      </w:tr>
      <w:tr>
        <w:trPr>
          <w:trHeight w:val="183"/>
        </w:trPr>
        <w:tc>
          <w:tcPr>
            <w:tcW w:w="5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January 1, 2020</w:t>
            </w: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44,830</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451,756,846</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(299,603,106 )</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152,198,570</w:t>
            </w:r>
          </w:p>
        </w:tc>
      </w:tr>
      <w:tr>
        <w:trPr>
          <w:trHeight w:val="181"/>
        </w:trPr>
        <w:tc>
          <w:tcPr>
            <w:tcW w:w="5720" w:type="dxa"/>
            <w:vAlign w:val="bottom"/>
          </w:tcPr>
          <w:p>
            <w:pPr>
              <w:ind w:left="20"/>
              <w:spacing w:after="0"/>
              <w:rPr>
                <w:sz w:val="20"/>
                <w:szCs w:val="20"/>
                <w:color w:val="auto"/>
              </w:rPr>
            </w:pPr>
            <w:r>
              <w:rPr>
                <w:rFonts w:ascii="Arial" w:cs="Arial" w:eastAsia="Arial" w:hAnsi="Arial"/>
                <w:sz w:val="13"/>
                <w:szCs w:val="13"/>
                <w:color w:val="auto"/>
              </w:rPr>
              <w:t>Net investment income</w:t>
            </w:r>
          </w:p>
        </w:tc>
        <w:tc>
          <w:tcPr>
            <w:tcW w:w="20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2,765,790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2,765,790</w:t>
            </w:r>
          </w:p>
        </w:tc>
      </w:tr>
      <w:tr>
        <w:trPr>
          <w:trHeight w:val="197"/>
        </w:trPr>
        <w:tc>
          <w:tcPr>
            <w:tcW w:w="5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realized (losses) from investment transactions and extinguishment of debt</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(894,041 )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(894,041 )</w:t>
            </w:r>
          </w:p>
        </w:tc>
      </w:tr>
      <w:tr>
        <w:trPr>
          <w:trHeight w:val="181"/>
        </w:trPr>
        <w:tc>
          <w:tcPr>
            <w:tcW w:w="5720" w:type="dxa"/>
            <w:vAlign w:val="bottom"/>
          </w:tcPr>
          <w:p>
            <w:pPr>
              <w:ind w:left="20"/>
              <w:spacing w:after="0"/>
              <w:rPr>
                <w:sz w:val="20"/>
                <w:szCs w:val="20"/>
                <w:color w:val="auto"/>
              </w:rPr>
            </w:pPr>
            <w:r>
              <w:rPr>
                <w:rFonts w:ascii="Arial" w:cs="Arial" w:eastAsia="Arial" w:hAnsi="Arial"/>
                <w:sz w:val="13"/>
                <w:szCs w:val="13"/>
                <w:color w:val="auto"/>
              </w:rPr>
              <w:t>Net change in unrealized appreciation on investments</w:t>
            </w:r>
          </w:p>
        </w:tc>
        <w:tc>
          <w:tcPr>
            <w:tcW w:w="20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(30,924,682 )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(30,924,682 )</w:t>
            </w:r>
          </w:p>
        </w:tc>
      </w:tr>
      <w:tr>
        <w:trPr>
          <w:trHeight w:val="197"/>
        </w:trPr>
        <w:tc>
          <w:tcPr>
            <w:tcW w:w="5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Distributions to Stockholders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(2,689,779 )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(2,689,779 )</w:t>
            </w:r>
          </w:p>
        </w:tc>
      </w:tr>
      <w:tr>
        <w:trPr>
          <w:trHeight w:val="181"/>
        </w:trPr>
        <w:tc>
          <w:tcPr>
            <w:tcW w:w="5720" w:type="dxa"/>
            <w:vAlign w:val="bottom"/>
          </w:tcPr>
          <w:p>
            <w:pPr>
              <w:ind w:left="20"/>
              <w:spacing w:after="0"/>
              <w:rPr>
                <w:sz w:val="20"/>
                <w:szCs w:val="20"/>
                <w:color w:val="auto"/>
              </w:rPr>
            </w:pPr>
            <w:r>
              <w:rPr>
                <w:rFonts w:ascii="Arial" w:cs="Arial" w:eastAsia="Arial" w:hAnsi="Arial"/>
                <w:sz w:val="13"/>
                <w:szCs w:val="13"/>
                <w:color w:val="auto"/>
              </w:rPr>
              <w:t>Reinvested Dividends</w:t>
            </w:r>
          </w:p>
        </w:tc>
        <w:tc>
          <w:tcPr>
            <w:tcW w:w="20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18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37,066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37,084</w:t>
            </w:r>
          </w:p>
        </w:tc>
      </w:tr>
      <w:tr>
        <w:trPr>
          <w:trHeight w:val="191"/>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Stock-repurchase</w:t>
            </w:r>
          </w:p>
        </w:tc>
        <w:tc>
          <w:tcPr>
            <w:tcW w:w="2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(122 )</w:t>
            </w: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(123,208 )</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(123,330 )</w:t>
            </w:r>
          </w:p>
        </w:tc>
      </w:tr>
      <w:tr>
        <w:trPr>
          <w:trHeight w:val="183"/>
        </w:trPr>
        <w:tc>
          <w:tcPr>
            <w:tcW w:w="5720" w:type="dxa"/>
            <w:vAlign w:val="bottom"/>
          </w:tcPr>
          <w:p>
            <w:pPr>
              <w:ind w:left="20"/>
              <w:spacing w:after="0"/>
              <w:rPr>
                <w:sz w:val="20"/>
                <w:szCs w:val="20"/>
                <w:color w:val="auto"/>
              </w:rPr>
            </w:pPr>
            <w:r>
              <w:rPr>
                <w:rFonts w:ascii="Arial" w:cs="Arial" w:eastAsia="Arial" w:hAnsi="Arial"/>
                <w:sz w:val="13"/>
                <w:szCs w:val="13"/>
                <w:color w:val="auto"/>
              </w:rPr>
              <w:t>Balance at March 31, 2020</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44,726</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451,670,704</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(331,345,818 )</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120,369,612</w:t>
            </w:r>
          </w:p>
        </w:tc>
      </w:tr>
      <w:tr>
        <w:trPr>
          <w:trHeight w:val="20"/>
        </w:trPr>
        <w:tc>
          <w:tcPr>
            <w:tcW w:w="5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investment income</w:t>
            </w: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2,599,906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2,599,906</w:t>
            </w:r>
          </w:p>
        </w:tc>
      </w:tr>
      <w:tr>
        <w:trPr>
          <w:trHeight w:val="181"/>
        </w:trPr>
        <w:tc>
          <w:tcPr>
            <w:tcW w:w="5720" w:type="dxa"/>
            <w:vAlign w:val="bottom"/>
          </w:tcPr>
          <w:p>
            <w:pPr>
              <w:ind w:left="20"/>
              <w:spacing w:after="0"/>
              <w:rPr>
                <w:sz w:val="20"/>
                <w:szCs w:val="20"/>
                <w:color w:val="auto"/>
              </w:rPr>
            </w:pPr>
            <w:r>
              <w:rPr>
                <w:rFonts w:ascii="Arial" w:cs="Arial" w:eastAsia="Arial" w:hAnsi="Arial"/>
                <w:sz w:val="13"/>
                <w:szCs w:val="13"/>
                <w:color w:val="auto"/>
              </w:rPr>
              <w:t>Net realized (losses) from investment transactions and extinguishment of debt</w:t>
            </w:r>
          </w:p>
        </w:tc>
        <w:tc>
          <w:tcPr>
            <w:tcW w:w="20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(881,151 )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(881,151 )</w:t>
            </w:r>
          </w:p>
        </w:tc>
      </w:tr>
      <w:tr>
        <w:trPr>
          <w:trHeight w:val="197"/>
        </w:trPr>
        <w:tc>
          <w:tcPr>
            <w:tcW w:w="5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change in unrealized appreciation on investments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1,564,939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1,564,939</w:t>
            </w:r>
          </w:p>
        </w:tc>
      </w:tr>
      <w:tr>
        <w:trPr>
          <w:trHeight w:val="181"/>
        </w:trPr>
        <w:tc>
          <w:tcPr>
            <w:tcW w:w="5720" w:type="dxa"/>
            <w:vAlign w:val="bottom"/>
          </w:tcPr>
          <w:p>
            <w:pPr>
              <w:ind w:left="20"/>
              <w:spacing w:after="0"/>
              <w:rPr>
                <w:sz w:val="20"/>
                <w:szCs w:val="20"/>
                <w:color w:val="auto"/>
              </w:rPr>
            </w:pPr>
            <w:r>
              <w:rPr>
                <w:rFonts w:ascii="Arial" w:cs="Arial" w:eastAsia="Arial" w:hAnsi="Arial"/>
                <w:sz w:val="13"/>
                <w:szCs w:val="13"/>
                <w:color w:val="auto"/>
              </w:rPr>
              <w:t>Distributions to Stockholders</w:t>
            </w:r>
          </w:p>
        </w:tc>
        <w:tc>
          <w:tcPr>
            <w:tcW w:w="20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(2,683,782 )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(2,683,782 )</w:t>
            </w:r>
          </w:p>
        </w:tc>
      </w:tr>
      <w:tr>
        <w:trPr>
          <w:trHeight w:val="197"/>
        </w:trPr>
        <w:tc>
          <w:tcPr>
            <w:tcW w:w="5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Reinvested Dividends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28,103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28,126</w:t>
            </w:r>
          </w:p>
        </w:tc>
      </w:tr>
      <w:tr>
        <w:trPr>
          <w:trHeight w:val="183"/>
        </w:trPr>
        <w:tc>
          <w:tcPr>
            <w:tcW w:w="5720" w:type="dxa"/>
            <w:vAlign w:val="bottom"/>
          </w:tcPr>
          <w:p>
            <w:pPr>
              <w:ind w:left="20"/>
              <w:spacing w:after="0"/>
              <w:rPr>
                <w:sz w:val="20"/>
                <w:szCs w:val="20"/>
                <w:color w:val="auto"/>
              </w:rPr>
            </w:pPr>
            <w:r>
              <w:rPr>
                <w:rFonts w:ascii="Arial" w:cs="Arial" w:eastAsia="Arial" w:hAnsi="Arial"/>
                <w:sz w:val="13"/>
                <w:szCs w:val="13"/>
                <w:color w:val="auto"/>
              </w:rPr>
              <w:t>Stock-repurchase</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(254 )</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(283,741 )</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(283,995 )</w:t>
            </w:r>
          </w:p>
        </w:tc>
      </w:tr>
      <w:tr>
        <w:trPr>
          <w:trHeight w:val="223"/>
        </w:trPr>
        <w:tc>
          <w:tcPr>
            <w:tcW w:w="5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June 30, 2020</w:t>
            </w: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44,495</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451,415,066</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(330,745,906 )</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120,713,655</w:t>
            </w:r>
          </w:p>
        </w:tc>
      </w:tr>
      <w:tr>
        <w:trPr>
          <w:trHeight w:val="168"/>
        </w:trPr>
        <w:tc>
          <w:tcPr>
            <w:tcW w:w="572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Net investment income</w:t>
            </w: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2,697,050</w:t>
            </w: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2,697,050</w:t>
            </w:r>
          </w:p>
        </w:tc>
      </w:tr>
      <w:tr>
        <w:trPr>
          <w:trHeight w:val="197"/>
        </w:trPr>
        <w:tc>
          <w:tcPr>
            <w:tcW w:w="5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realized (losses) from investment transactions and extinguishment of debt</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(1,890,090 )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(1,890,090 )</w:t>
            </w:r>
          </w:p>
        </w:tc>
      </w:tr>
      <w:tr>
        <w:trPr>
          <w:trHeight w:val="181"/>
        </w:trPr>
        <w:tc>
          <w:tcPr>
            <w:tcW w:w="5720" w:type="dxa"/>
            <w:vAlign w:val="bottom"/>
          </w:tcPr>
          <w:p>
            <w:pPr>
              <w:ind w:left="20"/>
              <w:spacing w:after="0"/>
              <w:rPr>
                <w:sz w:val="20"/>
                <w:szCs w:val="20"/>
                <w:color w:val="auto"/>
              </w:rPr>
            </w:pPr>
            <w:r>
              <w:rPr>
                <w:rFonts w:ascii="Arial" w:cs="Arial" w:eastAsia="Arial" w:hAnsi="Arial"/>
                <w:sz w:val="13"/>
                <w:szCs w:val="13"/>
                <w:color w:val="auto"/>
              </w:rPr>
              <w:t>Net change in unrealized appreciation on investments</w:t>
            </w:r>
          </w:p>
        </w:tc>
        <w:tc>
          <w:tcPr>
            <w:tcW w:w="20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7,511,713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7,511,713</w:t>
            </w:r>
          </w:p>
        </w:tc>
      </w:tr>
      <w:tr>
        <w:trPr>
          <w:trHeight w:val="197"/>
        </w:trPr>
        <w:tc>
          <w:tcPr>
            <w:tcW w:w="5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Distributions to Stockholders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(2,669,713 )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(2,669,713 )</w:t>
            </w:r>
          </w:p>
        </w:tc>
      </w:tr>
      <w:tr>
        <w:trPr>
          <w:trHeight w:val="181"/>
        </w:trPr>
        <w:tc>
          <w:tcPr>
            <w:tcW w:w="5720" w:type="dxa"/>
            <w:vAlign w:val="bottom"/>
          </w:tcPr>
          <w:p>
            <w:pPr>
              <w:ind w:left="20"/>
              <w:spacing w:after="0"/>
              <w:rPr>
                <w:sz w:val="20"/>
                <w:szCs w:val="20"/>
                <w:color w:val="auto"/>
              </w:rPr>
            </w:pPr>
            <w:r>
              <w:rPr>
                <w:rFonts w:ascii="Arial" w:cs="Arial" w:eastAsia="Arial" w:hAnsi="Arial"/>
                <w:sz w:val="13"/>
                <w:szCs w:val="13"/>
                <w:color w:val="auto"/>
              </w:rPr>
              <w:t>Reinvested Dividends</w:t>
            </w:r>
          </w:p>
        </w:tc>
        <w:tc>
          <w:tcPr>
            <w:tcW w:w="20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33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38,996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39,029</w:t>
            </w:r>
          </w:p>
        </w:tc>
      </w:tr>
      <w:tr>
        <w:trPr>
          <w:trHeight w:val="190"/>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Stock-repurchase</w:t>
            </w:r>
          </w:p>
        </w:tc>
        <w:tc>
          <w:tcPr>
            <w:tcW w:w="2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(359 )</w:t>
            </w: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(455,188 )</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(455,547 )</w:t>
            </w:r>
          </w:p>
        </w:tc>
      </w:tr>
      <w:tr>
        <w:trPr>
          <w:trHeight w:val="173"/>
        </w:trPr>
        <w:tc>
          <w:tcPr>
            <w:tcW w:w="5720" w:type="dxa"/>
            <w:vAlign w:val="bottom"/>
          </w:tcPr>
          <w:p>
            <w:pPr>
              <w:ind w:left="20"/>
              <w:spacing w:after="0"/>
              <w:rPr>
                <w:sz w:val="20"/>
                <w:szCs w:val="20"/>
                <w:color w:val="auto"/>
              </w:rPr>
            </w:pPr>
            <w:r>
              <w:rPr>
                <w:rFonts w:ascii="Arial" w:cs="Arial" w:eastAsia="Arial" w:hAnsi="Arial"/>
                <w:sz w:val="13"/>
                <w:szCs w:val="13"/>
                <w:color w:val="auto"/>
              </w:rPr>
              <w:t>Balance, September 30, 2020</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44,169</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6"/>
              <w:spacing w:after="0"/>
              <w:rPr>
                <w:sz w:val="20"/>
                <w:szCs w:val="20"/>
                <w:color w:val="auto"/>
              </w:rPr>
            </w:pPr>
            <w:r>
              <w:rPr>
                <w:rFonts w:ascii="Arial" w:cs="Arial" w:eastAsia="Arial" w:hAnsi="Arial"/>
                <w:sz w:val="13"/>
                <w:szCs w:val="13"/>
                <w:color w:val="auto"/>
              </w:rPr>
              <w:t>450,998,874</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(325,096,946 )</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ind w:right="16"/>
              <w:spacing w:after="0"/>
              <w:rPr>
                <w:sz w:val="20"/>
                <w:szCs w:val="20"/>
                <w:color w:val="auto"/>
              </w:rPr>
            </w:pPr>
            <w:r>
              <w:rPr>
                <w:rFonts w:ascii="Arial" w:cs="Arial" w:eastAsia="Arial" w:hAnsi="Arial"/>
                <w:sz w:val="13"/>
                <w:szCs w:val="13"/>
                <w:color w:val="auto"/>
              </w:rPr>
              <w:t>125,946,098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-1863725</wp:posOffset>
            </wp:positionV>
            <wp:extent cx="85725" cy="571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-1863725</wp:posOffset>
            </wp:positionV>
            <wp:extent cx="77470" cy="571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-1863725</wp:posOffset>
            </wp:positionV>
            <wp:extent cx="77470" cy="571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-863600</wp:posOffset>
            </wp:positionV>
            <wp:extent cx="8572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-846455</wp:posOffset>
            </wp:positionV>
            <wp:extent cx="8572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-863600</wp:posOffset>
            </wp:positionV>
            <wp:extent cx="7747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-846455</wp:posOffset>
            </wp:positionV>
            <wp:extent cx="7747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-863600</wp:posOffset>
            </wp:positionV>
            <wp:extent cx="7747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-846455</wp:posOffset>
            </wp:positionV>
            <wp:extent cx="7747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-114935</wp:posOffset>
            </wp:positionV>
            <wp:extent cx="85725" cy="571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-114935</wp:posOffset>
            </wp:positionV>
            <wp:extent cx="77470" cy="571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-114935</wp:posOffset>
            </wp:positionV>
            <wp:extent cx="77470" cy="571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10160</wp:posOffset>
            </wp:positionV>
            <wp:extent cx="3505835" cy="260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505835" cy="26035"/>
                    </a:xfrm>
                    <a:prstGeom prst="rect">
                      <a:avLst/>
                    </a:prstGeom>
                    <a:noFill/>
                  </pic:spPr>
                </pic:pic>
              </a:graphicData>
            </a:graphic>
          </wp:anchor>
        </w:drawing>
      </w:r>
    </w:p>
    <w:p>
      <w:pPr>
        <w:spacing w:after="0" w:line="27" w:lineRule="exact"/>
        <w:rPr>
          <w:sz w:val="20"/>
          <w:szCs w:val="20"/>
          <w:color w:val="auto"/>
        </w:rPr>
      </w:pPr>
    </w:p>
    <w:p>
      <w:pPr>
        <w:ind w:right="440" w:firstLine="382"/>
        <w:spacing w:after="0" w:line="293" w:lineRule="auto"/>
        <w:tabs>
          <w:tab w:leader="none" w:pos="604"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Company completed a Reverse Stock Split of 10 to 1 effective August 26, 2021, the common stock and capital in excess of par value have been adjusted retroactively to reflect the split for all periods presented.</w:t>
      </w:r>
    </w:p>
    <w:p>
      <w:pPr>
        <w:spacing w:after="0" w:line="194" w:lineRule="exact"/>
        <w:rPr>
          <w:sz w:val="20"/>
          <w:szCs w:val="20"/>
          <w:color w:val="auto"/>
        </w:rPr>
      </w:pPr>
    </w:p>
    <w:p>
      <w:pPr>
        <w:ind w:right="20" w:firstLine="374"/>
        <w:spacing w:after="0" w:line="287" w:lineRule="auto"/>
        <w:rPr>
          <w:sz w:val="20"/>
          <w:szCs w:val="20"/>
          <w:color w:val="auto"/>
        </w:rPr>
      </w:pPr>
      <w:r>
        <w:rPr>
          <w:rFonts w:ascii="Arial" w:cs="Arial" w:eastAsia="Arial" w:hAnsi="Arial"/>
          <w:sz w:val="17"/>
          <w:szCs w:val="17"/>
          <w:color w:val="auto"/>
        </w:rPr>
        <w:t>On March 5, 2020, the Board of Directors of the Company approved a $10 million stock repurchase program (the “Stock Repurchase Program”). Under this repurchase program, shares may be repurchased from time to time in open market transactions, in privately negotiated transactions or otherwise subject to any agreement to which we are party including any restrictions in the indenture for our 4.875% Notes Due 2026. The timing and actual number of shares repurchased will depend on a variety of factors, including legal requirements, price, and economic and market conditions. This Stock Repurchase Program may be suspended or discontinued at any time. On March 11, 2021, the Board of Directors of the Company authorized a renewed stock repurchase program of up to $10 million (the “Renewed Stock Repurchase Program”) for an approximately one-year period, effective March 11, 2021 and terminating on March 31, 2022. The terms and conditions of the Renewed Stock Repurchase Program are substantially similar to the prior Stock Repurchase Program. The Renewed Stock Repurchase Program may be suspended or discontinued at any time. Subject to these restrictions, we will selectively pursue opportunities to repurchase shares which are accretive to net asset value per share.</w:t>
      </w:r>
    </w:p>
    <w:p>
      <w:pPr>
        <w:spacing w:after="0" w:line="232" w:lineRule="exact"/>
        <w:rPr>
          <w:sz w:val="20"/>
          <w:szCs w:val="20"/>
          <w:color w:val="auto"/>
        </w:rPr>
      </w:pPr>
    </w:p>
    <w:p>
      <w:pPr>
        <w:ind w:right="460" w:firstLine="374"/>
        <w:spacing w:after="0" w:line="293" w:lineRule="auto"/>
        <w:rPr>
          <w:sz w:val="20"/>
          <w:szCs w:val="20"/>
          <w:color w:val="auto"/>
        </w:rPr>
      </w:pPr>
      <w:r>
        <w:rPr>
          <w:rFonts w:ascii="Arial" w:cs="Arial" w:eastAsia="Arial" w:hAnsi="Arial"/>
          <w:sz w:val="18"/>
          <w:szCs w:val="18"/>
          <w:color w:val="auto"/>
        </w:rPr>
        <w:t>During the three and nine months ended September 30, 2021 , the Company repurchased 59,659 and 75,377 shares, respectively under the Stock Repurchase Program at an aggregate cost of approximately $1.4 million and $1.8 million.</w:t>
      </w:r>
    </w:p>
    <w:p>
      <w:pPr>
        <w:spacing w:after="0" w:line="224" w:lineRule="exact"/>
        <w:rPr>
          <w:sz w:val="20"/>
          <w:szCs w:val="20"/>
          <w:color w:val="auto"/>
        </w:rPr>
      </w:pPr>
    </w:p>
    <w:p>
      <w:pPr>
        <w:ind w:right="160" w:firstLine="374"/>
        <w:spacing w:after="0" w:line="279" w:lineRule="auto"/>
        <w:rPr>
          <w:sz w:val="20"/>
          <w:szCs w:val="20"/>
          <w:color w:val="auto"/>
        </w:rPr>
      </w:pPr>
      <w:r>
        <w:rPr>
          <w:rFonts w:ascii="Arial" w:cs="Arial" w:eastAsia="Arial" w:hAnsi="Arial"/>
          <w:sz w:val="18"/>
          <w:szCs w:val="18"/>
          <w:color w:val="auto"/>
        </w:rPr>
        <w:t>As provided for in the Externalization Agreement, during the second quarter of 2021, the Advisor reinvested approximately $4.0 million cash, representing incentive fees received from the Company, and the Company issued 138,131 shares of stock to the Advisor in a private placement. The stock was issued at the Company’s most recently determined net asset value.</w:t>
      </w:r>
    </w:p>
    <w:p>
      <w:pPr>
        <w:spacing w:after="0" w:line="237" w:lineRule="exact"/>
        <w:rPr>
          <w:sz w:val="20"/>
          <w:szCs w:val="20"/>
          <w:color w:val="auto"/>
        </w:rPr>
      </w:pPr>
    </w:p>
    <w:p>
      <w:pPr>
        <w:ind w:right="160" w:firstLine="374"/>
        <w:spacing w:after="0" w:line="292" w:lineRule="auto"/>
        <w:rPr>
          <w:sz w:val="20"/>
          <w:szCs w:val="20"/>
          <w:color w:val="auto"/>
        </w:rPr>
      </w:pPr>
      <w:r>
        <w:rPr>
          <w:rFonts w:ascii="Arial" w:cs="Arial" w:eastAsia="Arial" w:hAnsi="Arial"/>
          <w:sz w:val="17"/>
          <w:szCs w:val="17"/>
          <w:color w:val="auto"/>
        </w:rPr>
        <w:t>During the three months ended September 30, 2021 and 2020, the Company issued 8,872 and 3,280, shares, respectively, of common stock under its dividend reinvestment plan. During the nine months ended September 30, 2021 and 2020, the Company issued 18,868 and 7,379 shares, respectively, of common stock under its dividend reinvestment plan. The total number of shares of the Company’s common stock outstanding as of September 30, 2021 and December 31, 2020 was 9,123,275 and 7,516,423, respectively. The Company completed a Reverse Stock Split of 10 to 1 effective August 26, 2021, the share amounts above have been adjusted to reflect the split.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COMPENSATION PLANS</w:t>
      </w:r>
    </w:p>
    <w:p>
      <w:pPr>
        <w:spacing w:after="0" w:line="121" w:lineRule="exact"/>
        <w:rPr>
          <w:sz w:val="20"/>
          <w:szCs w:val="20"/>
          <w:color w:val="auto"/>
        </w:rPr>
      </w:pPr>
    </w:p>
    <w:p>
      <w:pPr>
        <w:ind w:right="60" w:firstLine="374"/>
        <w:spacing w:after="0" w:line="257" w:lineRule="auto"/>
        <w:rPr>
          <w:sz w:val="20"/>
          <w:szCs w:val="20"/>
          <w:color w:val="auto"/>
        </w:rPr>
      </w:pPr>
      <w:r>
        <w:rPr>
          <w:rFonts w:ascii="Arial" w:cs="Arial" w:eastAsia="Arial" w:hAnsi="Arial"/>
          <w:sz w:val="17"/>
          <w:szCs w:val="17"/>
          <w:color w:val="auto"/>
        </w:rPr>
        <w:t>Prior to March 31, 2019, the Company had an equity incentive plan, established in 2006 and most recently amended, following approval by the Company’s Board and shareholders, on May 4, 2017 (the “Equity Incentive Plan”). The Company reserved 2,000,000 shares of common stock for issuance under the Equity Incentive Plan. In connection with the Closing, the Company terminated the Equity Incentive Plan and will no longer make grants pursuant to the plan. Prior to the Closing, restricted stock granted under the Equity Incentive Plan was granted at a price equal to the fair market value (market closing price) of the shares on the day such restricted stock is granted. Options granted under the Equity Incentive Plan were exercisable at a price equal to the fair market value (market closing price) of the shares on the day the option is granted.</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right="180" w:firstLine="374"/>
        <w:spacing w:after="0" w:line="245" w:lineRule="auto"/>
        <w:rPr>
          <w:sz w:val="20"/>
          <w:szCs w:val="20"/>
          <w:color w:val="auto"/>
        </w:rPr>
      </w:pPr>
      <w:r>
        <w:rPr>
          <w:rFonts w:ascii="Arial" w:cs="Arial" w:eastAsia="Arial" w:hAnsi="Arial"/>
          <w:sz w:val="18"/>
          <w:szCs w:val="18"/>
          <w:color w:val="auto"/>
        </w:rPr>
        <w:t>The 2008 Non-Employee Director Plan was originally adopted by the Board and was approved by a vote of the Company’s shareholders at the 2008 Annual Shareholder Meeting (the “2008 Plan”). Effective June 10, 2011, the 2008 Plan was amended and restated in accordance with a resolution of the Board and approved by a vote of the Company’s shareholders at the 2011 Annual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3" w:name="page74"/>
    <w:bookmarkEnd w:id="73"/>
    <w:p>
      <w:pPr>
        <w:jc w:val="both"/>
        <w:ind w:right="160"/>
        <w:spacing w:after="0" w:line="248" w:lineRule="auto"/>
        <w:rPr>
          <w:sz w:val="20"/>
          <w:szCs w:val="20"/>
          <w:color w:val="auto"/>
        </w:rPr>
      </w:pPr>
      <w:r>
        <w:rPr>
          <w:rFonts w:ascii="Arial" w:cs="Arial" w:eastAsia="Arial" w:hAnsi="Arial"/>
          <w:sz w:val="18"/>
          <w:szCs w:val="18"/>
          <w:color w:val="auto"/>
        </w:rPr>
        <w:t>Shareholder Meeting (the “2011 Plan”). Effective May 4, 2017, the 2011 Plan was amended and restated in accordance with a resolution of the Board and approved by the Company’s shareholders at the 2017 Annual Shareholder Meeting (the “Non-Employee Director Plan”). In connection with the Closing, the Company terminated the 2008 Plan and will no longer make grants pursuant to the plan.</w:t>
      </w:r>
    </w:p>
    <w:p>
      <w:pPr>
        <w:spacing w:after="0" w:line="141"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Immediately prior to the Closing, by virtue of the Externalization and subject to the execution of an option cancellation agreement, each option to purchase shares of the Company’s common stock granted under the 2008 Plan that was outstanding immediately prior to the Externalization was cancelled in exchange for a payment in cash to the holder thereof.</w:t>
      </w:r>
    </w:p>
    <w:p>
      <w:pPr>
        <w:spacing w:after="0" w:line="157"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2019 through March 31, 2019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Aggregate</w:t>
            </w:r>
          </w:p>
        </w:tc>
        <w:tc>
          <w:tcPr>
            <w:tcW w:w="100" w:type="dxa"/>
            <w:vAlign w:val="bottom"/>
          </w:tcPr>
          <w:p>
            <w:pPr>
              <w:spacing w:after="0"/>
              <w:rPr>
                <w:sz w:val="19"/>
                <w:szCs w:val="19"/>
                <w:color w:val="auto"/>
              </w:rPr>
            </w:pPr>
          </w:p>
        </w:tc>
      </w:tr>
      <w:tr>
        <w:trPr>
          <w:trHeight w:val="194"/>
        </w:trPr>
        <w:tc>
          <w:tcPr>
            <w:tcW w:w="5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spacing w:after="0" w:line="194" w:lineRule="exact"/>
              <w:rPr>
                <w:sz w:val="20"/>
                <w:szCs w:val="20"/>
                <w:color w:val="auto"/>
              </w:rPr>
            </w:pPr>
            <w:r>
              <w:rPr>
                <w:rFonts w:ascii="Arial" w:cs="Arial" w:eastAsia="Arial" w:hAnsi="Arial"/>
                <w:sz w:val="18"/>
                <w:szCs w:val="18"/>
                <w:b w:val="1"/>
                <w:bCs w:val="1"/>
                <w:color w:val="auto"/>
                <w:w w:val="87"/>
              </w:rPr>
              <w:t>Exercise Price</w:t>
            </w:r>
          </w:p>
        </w:tc>
        <w:tc>
          <w:tcPr>
            <w:tcW w:w="240" w:type="dxa"/>
            <w:vAlign w:val="bottom"/>
          </w:tcPr>
          <w:p>
            <w:pPr>
              <w:spacing w:after="0"/>
              <w:rPr>
                <w:sz w:val="16"/>
                <w:szCs w:val="16"/>
                <w:color w:val="auto"/>
              </w:rPr>
            </w:pPr>
          </w:p>
        </w:tc>
        <w:tc>
          <w:tcPr>
            <w:tcW w:w="11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90"/>
              <w:spacing w:after="0" w:line="194" w:lineRule="exact"/>
              <w:rPr>
                <w:sz w:val="20"/>
                <w:szCs w:val="20"/>
                <w:color w:val="auto"/>
              </w:rPr>
            </w:pPr>
            <w:r>
              <w:rPr>
                <w:rFonts w:ascii="Arial" w:cs="Arial" w:eastAsia="Arial" w:hAnsi="Arial"/>
                <w:sz w:val="18"/>
                <w:szCs w:val="18"/>
                <w:b w:val="1"/>
                <w:bCs w:val="1"/>
                <w:color w:val="auto"/>
                <w:w w:val="94"/>
              </w:rPr>
              <w:t>Intrinsic</w:t>
            </w:r>
          </w:p>
        </w:tc>
        <w:tc>
          <w:tcPr>
            <w:tcW w:w="100" w:type="dxa"/>
            <w:vAlign w:val="bottom"/>
          </w:tcPr>
          <w:p>
            <w:pPr>
              <w:spacing w:after="0"/>
              <w:rPr>
                <w:sz w:val="16"/>
                <w:szCs w:val="16"/>
                <w:color w:val="auto"/>
              </w:rPr>
            </w:pPr>
          </w:p>
        </w:tc>
      </w:tr>
      <w:tr>
        <w:trPr>
          <w:trHeight w:val="283"/>
        </w:trPr>
        <w:tc>
          <w:tcPr>
            <w:tcW w:w="5740" w:type="dxa"/>
            <w:vAlign w:val="bottom"/>
          </w:tcPr>
          <w:p>
            <w:pPr>
              <w:spacing w:after="0"/>
              <w:rPr>
                <w:sz w:val="24"/>
                <w:szCs w:val="24"/>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per Share</w:t>
            </w:r>
          </w:p>
        </w:tc>
        <w:tc>
          <w:tcPr>
            <w:tcW w:w="24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Value</w:t>
            </w:r>
            <w:r>
              <w:rPr>
                <w:rFonts w:ascii="Arial" w:cs="Arial" w:eastAsia="Arial" w:hAnsi="Arial"/>
                <w:sz w:val="24"/>
                <w:szCs w:val="24"/>
                <w:b w:val="1"/>
                <w:bCs w:val="1"/>
                <w:color w:val="auto"/>
                <w:w w:val="84"/>
                <w:vertAlign w:val="superscript"/>
              </w:rPr>
              <w:t>1</w:t>
            </w:r>
          </w:p>
        </w:tc>
        <w:tc>
          <w:tcPr>
            <w:tcW w:w="100" w:type="dxa"/>
            <w:vAlign w:val="bottom"/>
          </w:tcPr>
          <w:p>
            <w:pPr>
              <w:spacing w:after="0"/>
              <w:rPr>
                <w:sz w:val="24"/>
                <w:szCs w:val="24"/>
                <w:color w:val="auto"/>
              </w:rPr>
            </w:pPr>
          </w:p>
        </w:tc>
      </w:tr>
      <w:tr>
        <w:trPr>
          <w:trHeight w:val="250"/>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outstanding at January 1, 2019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Cancelled</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(30,000 )</w:t>
            </w:r>
          </w:p>
        </w:tc>
        <w:tc>
          <w:tcPr>
            <w:tcW w:w="1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Outstanding at March 31,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1"/>
                <w:szCs w:val="21"/>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1"/>
                <w:szCs w:val="21"/>
                <w:color w:val="auto"/>
              </w:rPr>
            </w:pPr>
          </w:p>
        </w:tc>
        <w:tc>
          <w:tcPr>
            <w:tcW w:w="11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tcBorders>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tcPr>
          <w:p>
            <w:pPr>
              <w:spacing w:after="0"/>
              <w:rPr>
                <w:sz w:val="21"/>
                <w:szCs w:val="21"/>
                <w:color w:val="auto"/>
              </w:rPr>
            </w:pPr>
          </w:p>
        </w:tc>
      </w:tr>
      <w:tr>
        <w:trPr>
          <w:trHeight w:val="20"/>
        </w:trPr>
        <w:tc>
          <w:tcPr>
            <w:tcW w:w="5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vested at March 31, 2019</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-356235</wp:posOffset>
            </wp:positionV>
            <wp:extent cx="146050" cy="571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46050" cy="5715"/>
                    </a:xfrm>
                    <a:prstGeom prst="rect">
                      <a:avLst/>
                    </a:prstGeom>
                    <a:noFill/>
                  </pic:spPr>
                </pic:pic>
              </a:graphicData>
            </a:graphic>
          </wp:anchor>
        </w:drawing>
      </w:r>
    </w:p>
    <w:p>
      <w:pPr>
        <w:spacing w:after="0" w:line="204" w:lineRule="exact"/>
        <w:rPr>
          <w:sz w:val="20"/>
          <w:szCs w:val="20"/>
          <w:color w:val="auto"/>
        </w:rPr>
      </w:pPr>
    </w:p>
    <w:p>
      <w:pPr>
        <w:ind w:left="360" w:hanging="352"/>
        <w:spacing w:after="0"/>
        <w:tabs>
          <w:tab w:leader="none" w:pos="360" w:val="left"/>
        </w:tabs>
        <w:numPr>
          <w:ilvl w:val="0"/>
          <w:numId w:val="79"/>
        </w:numPr>
        <w:rPr>
          <w:rFonts w:ascii="Arial" w:cs="Arial" w:eastAsia="Arial" w:hAnsi="Arial"/>
          <w:sz w:val="24"/>
          <w:szCs w:val="24"/>
          <w:color w:val="auto"/>
          <w:vertAlign w:val="superscript"/>
        </w:rPr>
      </w:pPr>
      <w:r>
        <w:rPr>
          <w:rFonts w:ascii="Arial" w:cs="Arial" w:eastAsia="Arial" w:hAnsi="Arial"/>
          <w:sz w:val="18"/>
          <w:szCs w:val="18"/>
          <w:color w:val="auto"/>
        </w:rPr>
        <w:t>Represents the difference between the market value of shares of the Company on March 31, 2019 and the exercise price of the options.</w:t>
      </w:r>
    </w:p>
    <w:p>
      <w:pPr>
        <w:spacing w:after="0" w:line="175" w:lineRule="exact"/>
        <w:rPr>
          <w:sz w:val="20"/>
          <w:szCs w:val="20"/>
          <w:color w:val="auto"/>
        </w:rPr>
      </w:pPr>
    </w:p>
    <w:p>
      <w:pPr>
        <w:ind w:right="240" w:firstLine="374"/>
        <w:spacing w:after="0" w:line="279"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three months ended March 31, 2019, the Company did not recognize any non-cash compensation expense related to stock options. At September 30, 2021, the Company had no remaining compensation costs related to unvested stock based awards.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12" w:lineRule="exact"/>
        <w:rPr>
          <w:sz w:val="20"/>
          <w:szCs w:val="20"/>
          <w:color w:val="auto"/>
        </w:rPr>
      </w:pPr>
    </w:p>
    <w:p>
      <w:pPr>
        <w:ind w:right="100" w:firstLine="374"/>
        <w:spacing w:after="0" w:line="293"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129" w:lineRule="exact"/>
        <w:rPr>
          <w:sz w:val="20"/>
          <w:szCs w:val="20"/>
          <w:color w:val="auto"/>
        </w:rPr>
      </w:pPr>
    </w:p>
    <w:p>
      <w:pPr>
        <w:ind w:left="600" w:hanging="218"/>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198" w:lineRule="exact"/>
        <w:rPr>
          <w:rFonts w:ascii="Arial" w:cs="Arial" w:eastAsia="Arial" w:hAnsi="Arial"/>
          <w:sz w:val="18"/>
          <w:szCs w:val="18"/>
          <w:color w:val="auto"/>
        </w:rPr>
      </w:pPr>
    </w:p>
    <w:p>
      <w:pPr>
        <w:ind w:left="640" w:hanging="258"/>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May 3, 2018, 6,000 shares of restricted stock were awarded to the Company’s Board.</w:t>
      </w:r>
    </w:p>
    <w:p>
      <w:pPr>
        <w:spacing w:after="0" w:line="198" w:lineRule="exact"/>
        <w:rPr>
          <w:sz w:val="20"/>
          <w:szCs w:val="20"/>
          <w:color w:val="auto"/>
        </w:rPr>
      </w:pPr>
    </w:p>
    <w:p>
      <w:pPr>
        <w:ind w:right="80" w:firstLine="374"/>
        <w:spacing w:after="0" w:line="279" w:lineRule="auto"/>
        <w:rPr>
          <w:sz w:val="20"/>
          <w:szCs w:val="20"/>
          <w:color w:val="auto"/>
        </w:rPr>
      </w:pPr>
      <w:r>
        <w:rPr>
          <w:rFonts w:ascii="Arial" w:cs="Arial" w:eastAsia="Arial" w:hAnsi="Arial"/>
          <w:sz w:val="18"/>
          <w:szCs w:val="18"/>
          <w:color w:val="auto"/>
        </w:rPr>
        <w:t>Immediately prior to the Closing all restrictions with respect to 3,000 shares of restricted stock outstanding and not previously forfeited under the Non-Employee Director Plan lapsed, and the holders of such restricted stock became entitled to receive a pro rata share of the payment due to stockholders of the Company pursuant to the Externalization Agreement.</w:t>
      </w:r>
    </w:p>
    <w:p>
      <w:pPr>
        <w:spacing w:after="0" w:line="142" w:lineRule="exact"/>
        <w:rPr>
          <w:sz w:val="20"/>
          <w:szCs w:val="20"/>
          <w:color w:val="auto"/>
        </w:rPr>
      </w:pPr>
    </w:p>
    <w:p>
      <w:pPr>
        <w:ind w:right="180" w:firstLine="374"/>
        <w:spacing w:after="0" w:line="296" w:lineRule="auto"/>
        <w:rPr>
          <w:sz w:val="20"/>
          <w:szCs w:val="20"/>
          <w:color w:val="auto"/>
        </w:rPr>
      </w:pPr>
      <w:r>
        <w:rPr>
          <w:rFonts w:ascii="Arial" w:cs="Arial" w:eastAsia="Arial" w:hAnsi="Arial"/>
          <w:sz w:val="17"/>
          <w:szCs w:val="17"/>
          <w:color w:val="auto"/>
        </w:rPr>
        <w:t>On June 16, 2015, the Company received exemptive relief to repurchase shares of its common stock from its employees in connection with certain equity compensation plan arrangements. During the year ended December 31, 2018, the Company repurchased 26,681 shares, of common stock at an aggregate cost of approximately $86,000, in connection with the vesting of employee’s restricted stock, which is reflected as a reduction in Stockholders’ Equity at cost. These shares are not available to be reissued under the Company’s Equity Incentive Plan.</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Immediately prior to the Closing, 110,382 shares of restricted stock outstanding and not previously forfeited under the Equity Incentive Plan and the</w:t>
      </w:r>
    </w:p>
    <w:p>
      <w:pPr>
        <w:spacing w:after="0" w:line="46" w:lineRule="exact"/>
        <w:rPr>
          <w:sz w:val="20"/>
          <w:szCs w:val="20"/>
          <w:color w:val="auto"/>
        </w:rPr>
      </w:pPr>
    </w:p>
    <w:p>
      <w:pPr>
        <w:ind w:right="500"/>
        <w:spacing w:after="0" w:line="299" w:lineRule="auto"/>
        <w:rPr>
          <w:sz w:val="20"/>
          <w:szCs w:val="20"/>
          <w:color w:val="auto"/>
        </w:rPr>
      </w:pPr>
      <w:r>
        <w:rPr>
          <w:rFonts w:ascii="Arial" w:cs="Arial" w:eastAsia="Arial" w:hAnsi="Arial"/>
          <w:sz w:val="16"/>
          <w:szCs w:val="16"/>
          <w:color w:val="auto"/>
        </w:rPr>
        <w:t>2008 Plan (as defined below) became fully vested, all restrictions with respect to such restricted stock lapsed, and the holders of such restricted stock became entitled to receive a pro rata share of the payment due to stockholders of the Company pursuant to the Externalization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16" w:lineRule="exact"/>
        <w:rPr>
          <w:sz w:val="20"/>
          <w:szCs w:val="20"/>
          <w:color w:val="auto"/>
        </w:rPr>
      </w:pPr>
    </w:p>
    <w:p>
      <w:pPr>
        <w:ind w:firstLine="374"/>
        <w:spacing w:after="0" w:line="272" w:lineRule="auto"/>
        <w:rPr>
          <w:sz w:val="20"/>
          <w:szCs w:val="20"/>
          <w:color w:val="auto"/>
        </w:rPr>
      </w:pPr>
      <w:r>
        <w:rPr>
          <w:rFonts w:ascii="Arial" w:cs="Arial" w:eastAsia="Arial" w:hAnsi="Arial"/>
          <w:sz w:val="18"/>
          <w:szCs w:val="18"/>
          <w:color w:val="auto"/>
        </w:rPr>
        <w:t>The Company adopted a 401(k) plan (“401K Plan”) effective January 1, 2007. The 401K Plan was open to all full-time employees. The 401K Plan permits an employee to defer a portion of their total annual compensation up to the Internal Revenue Service annual maximum based on age and eligibility. The Company made contributions to the 401K Plan of up to 2% of the Internal Revenue Service’s annual maximum eligible compensation, which fully vests at the time of contribution. No expense was recognized during the three and nine months ended September 30, 2020 related to the 401K Plan. This Plan was terminated effective March 31, 2019.</w:t>
      </w:r>
    </w:p>
    <w:p>
      <w:pPr>
        <w:spacing w:after="0" w:line="150" w:lineRule="exact"/>
        <w:rPr>
          <w:sz w:val="20"/>
          <w:szCs w:val="20"/>
          <w:color w:val="auto"/>
        </w:rPr>
      </w:pPr>
    </w:p>
    <w:p>
      <w:pPr>
        <w:ind w:right="20" w:firstLine="419"/>
        <w:spacing w:after="0" w:line="270" w:lineRule="auto"/>
        <w:rPr>
          <w:sz w:val="20"/>
          <w:szCs w:val="20"/>
          <w:color w:val="auto"/>
        </w:rPr>
      </w:pPr>
      <w:r>
        <w:rPr>
          <w:rFonts w:ascii="Arial" w:cs="Arial" w:eastAsia="Arial" w:hAnsi="Arial"/>
          <w:sz w:val="18"/>
          <w:szCs w:val="18"/>
          <w:color w:val="auto"/>
        </w:rPr>
        <w:t>The Company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This Plan was terminated effective March 31, 2019, and no expense was recognized since the plan was terminated.</w:t>
      </w:r>
    </w:p>
    <w:p>
      <w:pPr>
        <w:spacing w:after="0" w:line="148" w:lineRule="exact"/>
        <w:rPr>
          <w:sz w:val="20"/>
          <w:szCs w:val="20"/>
          <w:color w:val="auto"/>
        </w:rPr>
      </w:pPr>
    </w:p>
    <w:p>
      <w:pPr>
        <w:ind w:left="380" w:right="840" w:hanging="372"/>
        <w:spacing w:after="0" w:line="297" w:lineRule="auto"/>
        <w:tabs>
          <w:tab w:leader="none" w:pos="366"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OF OHA INVESTMENT CORPORATION, GARRISON CAPITAL INC. AND HARVEST CAPITAL CREDIT CORPORATION</w:t>
      </w:r>
    </w:p>
    <w:p>
      <w:pPr>
        <w:spacing w:after="0" w:line="5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OHAI acquisition</w:t>
      </w:r>
    </w:p>
    <w:p>
      <w:pPr>
        <w:spacing w:after="0" w:line="131" w:lineRule="exact"/>
        <w:rPr>
          <w:sz w:val="20"/>
          <w:szCs w:val="20"/>
          <w:color w:val="auto"/>
        </w:rPr>
      </w:pPr>
    </w:p>
    <w:p>
      <w:pPr>
        <w:ind w:right="20" w:firstLine="374"/>
        <w:spacing w:after="0" w:line="270" w:lineRule="auto"/>
        <w:rPr>
          <w:sz w:val="20"/>
          <w:szCs w:val="20"/>
          <w:color w:val="auto"/>
        </w:rPr>
      </w:pPr>
      <w:r>
        <w:rPr>
          <w:rFonts w:ascii="Arial" w:cs="Arial" w:eastAsia="Arial" w:hAnsi="Arial"/>
          <w:sz w:val="18"/>
          <w:szCs w:val="18"/>
          <w:color w:val="auto"/>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 As a result of the Merger, the Company issued an aggregate of 7,439,559 shares of its common stock to former OHAI stockholders (approximately 16.6% of the Company’s outstanding shares at December 31, 2019).</w:t>
      </w:r>
    </w:p>
    <w:p>
      <w:pPr>
        <w:spacing w:after="0" w:line="84" w:lineRule="exact"/>
        <w:rPr>
          <w:sz w:val="20"/>
          <w:szCs w:val="20"/>
          <w:color w:val="auto"/>
        </w:rPr>
      </w:pPr>
    </w:p>
    <w:p>
      <w:pPr>
        <w:jc w:val="both"/>
        <w:ind w:right="220" w:firstLine="374"/>
        <w:spacing w:after="0" w:line="266" w:lineRule="auto"/>
        <w:rPr>
          <w:sz w:val="20"/>
          <w:szCs w:val="20"/>
          <w:color w:val="auto"/>
        </w:rPr>
      </w:pPr>
      <w:r>
        <w:rPr>
          <w:rFonts w:ascii="Arial" w:cs="Arial" w:eastAsia="Arial" w:hAnsi="Arial"/>
          <w:sz w:val="18"/>
          <w:szCs w:val="18"/>
          <w:color w:val="auto"/>
        </w:rPr>
        <w:t>Pursuant to the merger agreement, if at any time within one year after the closing date of the transaction our common stock traded at a price below 75% of its net asset value, we were obligated to initiate a share buyback program of up to $10 million to support the trading price of the combined entity for up to one year from the date such program is announced.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75" w:name="page76"/>
    <w:bookmarkEnd w:id="75"/>
    <w:p>
      <w:pPr>
        <w:ind w:right="20" w:firstLine="374"/>
        <w:spacing w:after="0" w:line="306" w:lineRule="auto"/>
        <w:rPr>
          <w:sz w:val="20"/>
          <w:szCs w:val="20"/>
          <w:color w:val="auto"/>
        </w:rPr>
      </w:pPr>
      <w:r>
        <w:rPr>
          <w:rFonts w:ascii="Arial" w:cs="Arial" w:eastAsia="Arial" w:hAnsi="Arial"/>
          <w:sz w:val="16"/>
          <w:szCs w:val="16"/>
          <w:color w:val="auto"/>
        </w:rPr>
        <w:t>The merger was accounted for in accordance with the asset acquisition method of accounting as detailed in ASC Topic 805-50. The fair value of the consideration paid, and transaction costs incurred to complete the merger by the Company, including $3.0 million of cash payment (deemed capital contribution) paid at closing directly to shareholders of OHAI from the Adviser, was allocated to the OHAI investments acquired, based on their relative fair values as of the date of acquisition. The fair value of the purchase consideration paid by the Company below the fair value of net assets acquired is considered the purchase discount. Immediately following the acquisition of OHAI, the Company recorded OHAI’s net assets at their respective fair values and, as a result, the purchase discount was allocated to the cost basis of the OHAI investments acquired and was immediately recognized as unrealized gain on the Company's Consolidated Statement of Operations. The purchase discount was allocated to the acquired investments on a relative fair value basis and, for performing debt investments, will amortize over the life of the investments through interest income with a corresponding reversal of the unrealized appreciation on the OHAI investments acquired through their maturity. Upon the sale of any of the OHAI acquired investments, the Company will recognize a realized gain or a reduction in realized losses with a corresponding reversal of the unrealized losses.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327"/>
        </w:trPr>
        <w:tc>
          <w:tcPr>
            <w:tcW w:w="8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Common stock issued by the Company </w:t>
            </w:r>
            <w:r>
              <w:rPr>
                <w:rFonts w:ascii="Arial" w:cs="Arial" w:eastAsia="Arial" w:hAnsi="Arial"/>
                <w:sz w:val="24"/>
                <w:szCs w:val="24"/>
                <w:color w:val="auto"/>
                <w:vertAlign w:val="superscript"/>
              </w:rPr>
              <w:t>(1)</w:t>
            </w:r>
          </w:p>
        </w:tc>
        <w:tc>
          <w:tcPr>
            <w:tcW w:w="1000" w:type="dxa"/>
            <w:vAlign w:val="bottom"/>
            <w:vMerge w:val="restart"/>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1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15,548,678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400" w:type="dxa"/>
            <w:vAlign w:val="bottom"/>
            <w:shd w:val="clear" w:color="auto" w:fill="CFF0FC"/>
          </w:tcPr>
          <w:p>
            <w:pPr>
              <w:spacing w:after="0"/>
              <w:rPr>
                <w:sz w:val="13"/>
                <w:szCs w:val="13"/>
                <w:color w:val="auto"/>
              </w:rPr>
            </w:pPr>
          </w:p>
        </w:tc>
        <w:tc>
          <w:tcPr>
            <w:tcW w:w="1000" w:type="dxa"/>
            <w:vAlign w:val="bottom"/>
            <w:vMerge w:val="continue"/>
            <w:shd w:val="clear" w:color="auto" w:fill="CFF0FC"/>
          </w:tcPr>
          <w:p>
            <w:pPr>
              <w:spacing w:after="0"/>
              <w:rPr>
                <w:sz w:val="13"/>
                <w:szCs w:val="13"/>
                <w:color w:val="auto"/>
              </w:rPr>
            </w:pPr>
          </w:p>
        </w:tc>
        <w:tc>
          <w:tcPr>
            <w:tcW w:w="17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8400" w:type="dxa"/>
            <w:vAlign w:val="bottom"/>
          </w:tcPr>
          <w:p>
            <w:pPr>
              <w:ind w:left="20"/>
              <w:spacing w:after="0"/>
              <w:rPr>
                <w:sz w:val="20"/>
                <w:szCs w:val="20"/>
                <w:color w:val="auto"/>
              </w:rPr>
            </w:pPr>
            <w:r>
              <w:rPr>
                <w:rFonts w:ascii="Arial" w:cs="Arial" w:eastAsia="Arial" w:hAnsi="Arial"/>
                <w:sz w:val="18"/>
                <w:szCs w:val="18"/>
                <w:color w:val="auto"/>
              </w:rPr>
              <w:t xml:space="preserve">Cash consideration to OHAI shareholders </w:t>
            </w:r>
            <w:r>
              <w:rPr>
                <w:rFonts w:ascii="Arial" w:cs="Arial" w:eastAsia="Arial" w:hAnsi="Arial"/>
                <w:sz w:val="24"/>
                <w:szCs w:val="24"/>
                <w:color w:val="auto"/>
                <w:vertAlign w:val="superscript"/>
              </w:rPr>
              <w:t>(2)</w:t>
            </w:r>
          </w:p>
        </w:tc>
        <w:tc>
          <w:tcPr>
            <w:tcW w:w="1000" w:type="dxa"/>
            <w:vAlign w:val="bottom"/>
          </w:tcPr>
          <w:p>
            <w:pPr>
              <w:spacing w:after="0"/>
              <w:rPr>
                <w:sz w:val="24"/>
                <w:szCs w:val="24"/>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11,510,688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8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8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Transaction costs (excluding offering costs $385,747)</w:t>
            </w:r>
          </w:p>
        </w:tc>
        <w:tc>
          <w:tcPr>
            <w:tcW w:w="1000" w:type="dxa"/>
            <w:vAlign w:val="bottom"/>
            <w:shd w:val="clear" w:color="auto" w:fill="CFF0FC"/>
          </w:tcPr>
          <w:p>
            <w:pPr>
              <w:spacing w:after="0"/>
              <w:rPr>
                <w:sz w:val="20"/>
                <w:szCs w:val="20"/>
                <w:color w:val="auto"/>
              </w:rPr>
            </w:pPr>
          </w:p>
        </w:tc>
        <w:tc>
          <w:tcPr>
            <w:tcW w:w="1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851,807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40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1000" w:type="dxa"/>
            <w:vAlign w:val="bottom"/>
          </w:tcPr>
          <w:p>
            <w:pPr>
              <w:spacing w:after="0"/>
              <w:rPr>
                <w:sz w:val="19"/>
                <w:szCs w:val="19"/>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27,911,173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 acquired:</w:t>
            </w:r>
          </w:p>
        </w:tc>
        <w:tc>
          <w:tcPr>
            <w:tcW w:w="100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4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Investments, at fair value (amortized cost of $54,123,811)</w:t>
            </w:r>
          </w:p>
        </w:tc>
        <w:tc>
          <w:tcPr>
            <w:tcW w:w="1000" w:type="dxa"/>
            <w:vAlign w:val="bottom"/>
          </w:tcPr>
          <w:p>
            <w:pPr>
              <w:spacing w:after="0"/>
              <w:rPr>
                <w:sz w:val="20"/>
                <w:szCs w:val="20"/>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60,547,193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1000" w:type="dxa"/>
            <w:vAlign w:val="bottom"/>
            <w:shd w:val="clear" w:color="auto" w:fill="CFF0FC"/>
          </w:tcPr>
          <w:p>
            <w:pPr>
              <w:spacing w:after="0"/>
              <w:rPr>
                <w:sz w:val="20"/>
                <w:szCs w:val="20"/>
                <w:color w:val="auto"/>
              </w:rPr>
            </w:pPr>
          </w:p>
        </w:tc>
        <w:tc>
          <w:tcPr>
            <w:tcW w:w="1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232,708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4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74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1000" w:type="dxa"/>
            <w:vAlign w:val="bottom"/>
          </w:tcPr>
          <w:p>
            <w:pPr>
              <w:spacing w:after="0"/>
              <w:rPr>
                <w:sz w:val="20"/>
                <w:szCs w:val="20"/>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592,329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000" w:type="dxa"/>
            <w:vAlign w:val="bottom"/>
            <w:shd w:val="clear" w:color="auto" w:fill="CFF0FC"/>
          </w:tcPr>
          <w:p>
            <w:pPr>
              <w:spacing w:after="0"/>
              <w:rPr>
                <w:sz w:val="20"/>
                <w:szCs w:val="20"/>
                <w:color w:val="auto"/>
              </w:rPr>
            </w:pPr>
          </w:p>
        </w:tc>
        <w:tc>
          <w:tcPr>
            <w:tcW w:w="1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482,454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40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1000" w:type="dxa"/>
            <w:vAlign w:val="bottom"/>
          </w:tcPr>
          <w:p>
            <w:pPr>
              <w:spacing w:after="0"/>
              <w:rPr>
                <w:sz w:val="19"/>
                <w:szCs w:val="19"/>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61,854,684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 assumed:</w:t>
            </w:r>
          </w:p>
        </w:tc>
        <w:tc>
          <w:tcPr>
            <w:tcW w:w="100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4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Debt</w:t>
            </w:r>
          </w:p>
        </w:tc>
        <w:tc>
          <w:tcPr>
            <w:tcW w:w="1000" w:type="dxa"/>
            <w:vAlign w:val="bottom"/>
          </w:tcPr>
          <w:p>
            <w:pPr>
              <w:spacing w:after="0"/>
              <w:rPr>
                <w:sz w:val="20"/>
                <w:szCs w:val="20"/>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27,394,083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1000" w:type="dxa"/>
            <w:vAlign w:val="bottom"/>
            <w:shd w:val="clear" w:color="auto" w:fill="CFF0FC"/>
          </w:tcPr>
          <w:p>
            <w:pPr>
              <w:spacing w:after="0"/>
              <w:rPr>
                <w:sz w:val="20"/>
                <w:szCs w:val="20"/>
                <w:color w:val="auto"/>
              </w:rPr>
            </w:pPr>
          </w:p>
        </w:tc>
        <w:tc>
          <w:tcPr>
            <w:tcW w:w="1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126,046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400" w:type="dxa"/>
            <w:vAlign w:val="bottom"/>
          </w:tcPr>
          <w:p>
            <w:pPr>
              <w:ind w:left="20"/>
              <w:spacing w:after="0"/>
              <w:rPr>
                <w:sz w:val="20"/>
                <w:szCs w:val="20"/>
                <w:color w:val="auto"/>
              </w:rPr>
            </w:pPr>
            <w:r>
              <w:rPr>
                <w:rFonts w:ascii="Arial" w:cs="Arial" w:eastAsia="Arial" w:hAnsi="Arial"/>
                <w:sz w:val="18"/>
                <w:szCs w:val="18"/>
                <w:color w:val="auto"/>
              </w:rPr>
              <w:t>Total liabilities assumed</w:t>
            </w:r>
          </w:p>
        </w:tc>
        <w:tc>
          <w:tcPr>
            <w:tcW w:w="1000" w:type="dxa"/>
            <w:vAlign w:val="bottom"/>
          </w:tcPr>
          <w:p>
            <w:pPr>
              <w:spacing w:after="0"/>
              <w:rPr>
                <w:sz w:val="19"/>
                <w:szCs w:val="19"/>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27,520,129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assets acquired</w:t>
            </w:r>
          </w:p>
        </w:tc>
        <w:tc>
          <w:tcPr>
            <w:tcW w:w="1000" w:type="dxa"/>
            <w:vAlign w:val="bottom"/>
            <w:shd w:val="clear" w:color="auto" w:fill="CFF0FC"/>
          </w:tcPr>
          <w:p>
            <w:pPr>
              <w:spacing w:after="0"/>
              <w:rPr>
                <w:sz w:val="19"/>
                <w:szCs w:val="19"/>
                <w:color w:val="auto"/>
              </w:rPr>
            </w:pPr>
          </w:p>
        </w:tc>
        <w:tc>
          <w:tcPr>
            <w:tcW w:w="1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34,334,555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Total purchase discount</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(6,423,382 )</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-3782695</wp:posOffset>
            </wp:positionV>
            <wp:extent cx="68580" cy="30289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580" cy="3028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-1982470</wp:posOffset>
            </wp:positionV>
            <wp:extent cx="68580" cy="30289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580" cy="3028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-782320</wp:posOffset>
            </wp:positionV>
            <wp:extent cx="68580" cy="30289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580" cy="3028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-182245</wp:posOffset>
            </wp:positionV>
            <wp:extent cx="68580" cy="18288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580" cy="182880"/>
                    </a:xfrm>
                    <a:prstGeom prst="rect">
                      <a:avLst/>
                    </a:prstGeom>
                    <a:noFill/>
                  </pic:spPr>
                </pic:pic>
              </a:graphicData>
            </a:graphic>
          </wp:anchor>
        </w:drawing>
      </w:r>
    </w:p>
    <w:p>
      <w:pPr>
        <w:spacing w:after="0" w:line="159" w:lineRule="exact"/>
        <w:rPr>
          <w:sz w:val="20"/>
          <w:szCs w:val="20"/>
          <w:color w:val="auto"/>
        </w:rPr>
      </w:pPr>
    </w:p>
    <w:p>
      <w:pPr>
        <w:ind w:left="340" w:right="400" w:hanging="332"/>
        <w:spacing w:after="0" w:line="310"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the market price at closing of $2.09 as of December 18, 2019 and the 7,439,559 shares of common stock issued by the Company in conjunction with the merger.</w:t>
      </w:r>
    </w:p>
    <w:p>
      <w:pPr>
        <w:spacing w:after="0" w:line="64" w:lineRule="exact"/>
        <w:rPr>
          <w:rFonts w:ascii="Arial" w:cs="Arial" w:eastAsia="Arial" w:hAnsi="Arial"/>
          <w:sz w:val="16"/>
          <w:szCs w:val="16"/>
          <w:color w:val="auto"/>
        </w:rPr>
      </w:pPr>
    </w:p>
    <w:p>
      <w:pPr>
        <w:ind w:left="340" w:hanging="332"/>
        <w:spacing w:after="0"/>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Approximately $8.5 million cash consideration paid by the Company plus $3.0 million cash payment paid at closing directly to shareholders of OHAI from the Adviser.</w:t>
      </w:r>
    </w:p>
    <w:p>
      <w:pPr>
        <w:spacing w:after="0" w:line="28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GARS acquisition</w:t>
      </w:r>
    </w:p>
    <w:p>
      <w:pPr>
        <w:spacing w:after="0" w:line="212" w:lineRule="exact"/>
        <w:rPr>
          <w:sz w:val="20"/>
          <w:szCs w:val="20"/>
          <w:color w:val="auto"/>
        </w:rPr>
      </w:pPr>
    </w:p>
    <w:p>
      <w:pPr>
        <w:ind w:right="40" w:firstLine="374"/>
        <w:spacing w:after="0" w:line="269" w:lineRule="auto"/>
        <w:rPr>
          <w:sz w:val="20"/>
          <w:szCs w:val="20"/>
          <w:color w:val="auto"/>
        </w:rPr>
      </w:pPr>
      <w:r>
        <w:rPr>
          <w:rFonts w:ascii="Arial" w:cs="Arial" w:eastAsia="Arial" w:hAnsi="Arial"/>
          <w:sz w:val="18"/>
          <w:szCs w:val="18"/>
          <w:color w:val="auto"/>
        </w:rPr>
        <w:t>On October 28, 2020, the Company completed the GARS Acquisition, pursuant to the terms and conditions of the GARS Merger Agreement. To effect the acquisition, a wholly owned merger subsidiary of the Company merged with and into GARS, with GARS surviving the merger as the Company’s wholly owned subsidiary. Immediately thereafter and as a single integrated transaction, GARS consummated a second merger, whereby GARS merged with and into the Company, with the Company surviving the merger. Under the terms of the GARS Merger Agreement, each share of GARS Common Stock issued and outstanding was converted into the right to receive (i) an amount in cash, without interest, equal to 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6" w:name="page77"/>
    <w:bookmarkEnd w:id="76"/>
    <w:p>
      <w:pPr>
        <w:ind w:firstLine="374"/>
        <w:spacing w:after="0" w:line="306" w:lineRule="auto"/>
        <w:rPr>
          <w:sz w:val="20"/>
          <w:szCs w:val="20"/>
          <w:color w:val="auto"/>
        </w:rPr>
      </w:pPr>
      <w:r>
        <w:rPr>
          <w:rFonts w:ascii="Arial" w:cs="Arial" w:eastAsia="Arial" w:hAnsi="Arial"/>
          <w:sz w:val="16"/>
          <w:szCs w:val="16"/>
          <w:color w:val="auto"/>
        </w:rPr>
        <w:t>The merger was accounted for in accordance with the asset acquisition method of accounting as detailed in ASC Topic 805-50. The fair value of the consideration paid, and transaction costs incurred to complete the merger by the Company, including $5.0 million of cash payment (deemed capital contribution) paid at closing directly to shareholders of GARS from the Adviser, was allocated to the GARS investments acquired, based on their relative fair values as of the date of acquisition. The fair value of the purchase consideration paid by the Company below the fair value of net assets acquired is considered the purchase discount. Immediately following the acquisition of GARS, the Company recorded GARS net assets at their respective fair values and, as a result, the purchase discount was allocated to the cost basis of the GARS investments acquired and was immediately recognized as unrealized gain on the Company's Consolidated Statement of Operations. The purchase discount was allocated to the acquired investments on a relative fair value basis and, for performing debt investments, will amortize over the life of the investments through interest income with a corresponding reversal of the unrealized appreciation on the GARS investments acquired through their maturity. Upon the sale of any of the GARS acquired investments, the Company will recognize a realized gain or a reduction in realized losses with a corresponding reversal of the unrealized losses.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Common stock issued by the Company </w:t>
            </w:r>
            <w:r>
              <w:rPr>
                <w:rFonts w:ascii="Arial" w:cs="Arial" w:eastAsia="Arial" w:hAnsi="Arial"/>
                <w:sz w:val="24"/>
                <w:szCs w:val="24"/>
                <w:color w:val="auto"/>
                <w:vertAlign w:val="superscript"/>
              </w:rPr>
              <w:t>(1)</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38,764,706</w:t>
            </w:r>
          </w:p>
        </w:tc>
        <w:tc>
          <w:tcPr>
            <w:tcW w:w="100" w:type="dxa"/>
            <w:vAlign w:val="bottom"/>
            <w:shd w:val="clear" w:color="auto" w:fill="CFF0FC"/>
          </w:tcPr>
          <w:p>
            <w:pPr>
              <w:spacing w:after="0"/>
              <w:rPr>
                <w:sz w:val="23"/>
                <w:szCs w:val="23"/>
                <w:color w:val="auto"/>
              </w:rPr>
            </w:pPr>
          </w:p>
        </w:tc>
      </w:tr>
      <w:tr>
        <w:trPr>
          <w:trHeight w:val="250"/>
        </w:trPr>
        <w:tc>
          <w:tcPr>
            <w:tcW w:w="8380" w:type="dxa"/>
            <w:vAlign w:val="bottom"/>
          </w:tcPr>
          <w:p>
            <w:pPr>
              <w:ind w:left="20"/>
              <w:spacing w:after="0"/>
              <w:rPr>
                <w:sz w:val="20"/>
                <w:szCs w:val="20"/>
                <w:color w:val="auto"/>
              </w:rPr>
            </w:pPr>
            <w:r>
              <w:rPr>
                <w:rFonts w:ascii="Arial" w:cs="Arial" w:eastAsia="Arial" w:hAnsi="Arial"/>
                <w:sz w:val="18"/>
                <w:szCs w:val="18"/>
                <w:color w:val="auto"/>
              </w:rPr>
              <w:t>Cash consideration to GARS shareholders</w:t>
            </w:r>
          </w:p>
        </w:tc>
        <w:tc>
          <w:tcPr>
            <w:tcW w:w="9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24,100,000</w:t>
            </w:r>
          </w:p>
        </w:tc>
        <w:tc>
          <w:tcPr>
            <w:tcW w:w="100" w:type="dxa"/>
            <w:vAlign w:val="bottom"/>
          </w:tcPr>
          <w:p>
            <w:pPr>
              <w:spacing w:after="0"/>
              <w:rPr>
                <w:sz w:val="21"/>
                <w:szCs w:val="21"/>
                <w:color w:val="auto"/>
              </w:rPr>
            </w:pPr>
          </w:p>
        </w:tc>
      </w:tr>
      <w:tr>
        <w:trPr>
          <w:trHeight w:val="257"/>
        </w:trPr>
        <w:tc>
          <w:tcPr>
            <w:tcW w:w="8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Transaction costs (excluding offering costs $432,339)</w:t>
            </w:r>
          </w:p>
        </w:tc>
        <w:tc>
          <w:tcPr>
            <w:tcW w:w="98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1,167,661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838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9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64,032,367</w:t>
            </w:r>
          </w:p>
        </w:tc>
        <w:tc>
          <w:tcPr>
            <w:tcW w:w="100" w:type="dxa"/>
            <w:vAlign w:val="bottom"/>
          </w:tcPr>
          <w:p>
            <w:pPr>
              <w:spacing w:after="0"/>
              <w:rPr>
                <w:sz w:val="21"/>
                <w:szCs w:val="21"/>
                <w:color w:val="auto"/>
              </w:rPr>
            </w:pPr>
          </w:p>
        </w:tc>
      </w:tr>
      <w:tr>
        <w:trPr>
          <w:trHeight w:val="256"/>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 acquired:</w:t>
            </w:r>
          </w:p>
        </w:tc>
        <w:tc>
          <w:tcPr>
            <w:tcW w:w="980" w:type="dxa"/>
            <w:vAlign w:val="bottom"/>
            <w:shd w:val="clear" w:color="auto" w:fill="CFF0FC"/>
          </w:tcPr>
          <w:p>
            <w:pPr>
              <w:spacing w:after="0"/>
              <w:rPr>
                <w:sz w:val="22"/>
                <w:szCs w:val="22"/>
                <w:color w:val="auto"/>
              </w:rPr>
            </w:pPr>
          </w:p>
        </w:tc>
        <w:tc>
          <w:tcPr>
            <w:tcW w:w="17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380" w:type="dxa"/>
            <w:vAlign w:val="bottom"/>
          </w:tcPr>
          <w:p>
            <w:pPr>
              <w:ind w:left="20"/>
              <w:spacing w:after="0"/>
              <w:rPr>
                <w:sz w:val="20"/>
                <w:szCs w:val="20"/>
                <w:color w:val="auto"/>
              </w:rPr>
            </w:pPr>
            <w:r>
              <w:rPr>
                <w:rFonts w:ascii="Arial" w:cs="Arial" w:eastAsia="Arial" w:hAnsi="Arial"/>
                <w:sz w:val="18"/>
                <w:szCs w:val="18"/>
                <w:color w:val="auto"/>
              </w:rPr>
              <w:t>Investments, at fair value (amortized cost of $277,380,492)</w:t>
            </w:r>
          </w:p>
        </w:tc>
        <w:tc>
          <w:tcPr>
            <w:tcW w:w="9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317,802,548</w:t>
            </w:r>
          </w:p>
        </w:tc>
        <w:tc>
          <w:tcPr>
            <w:tcW w:w="100" w:type="dxa"/>
            <w:vAlign w:val="bottom"/>
          </w:tcPr>
          <w:p>
            <w:pPr>
              <w:spacing w:after="0"/>
              <w:rPr>
                <w:sz w:val="21"/>
                <w:szCs w:val="21"/>
                <w:color w:val="auto"/>
              </w:rPr>
            </w:pPr>
          </w:p>
        </w:tc>
      </w:tr>
      <w:tr>
        <w:trPr>
          <w:trHeight w:val="263"/>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9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35,360,820</w:t>
            </w:r>
          </w:p>
        </w:tc>
        <w:tc>
          <w:tcPr>
            <w:tcW w:w="100" w:type="dxa"/>
            <w:vAlign w:val="bottom"/>
            <w:shd w:val="clear" w:color="auto" w:fill="CFF0FC"/>
          </w:tcPr>
          <w:p>
            <w:pPr>
              <w:spacing w:after="0"/>
              <w:rPr>
                <w:sz w:val="22"/>
                <w:szCs w:val="22"/>
                <w:color w:val="auto"/>
              </w:rPr>
            </w:pPr>
          </w:p>
        </w:tc>
      </w:tr>
      <w:tr>
        <w:trPr>
          <w:trHeight w:val="250"/>
        </w:trPr>
        <w:tc>
          <w:tcPr>
            <w:tcW w:w="838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9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1,871,232</w:t>
            </w:r>
          </w:p>
        </w:tc>
        <w:tc>
          <w:tcPr>
            <w:tcW w:w="100" w:type="dxa"/>
            <w:vAlign w:val="bottom"/>
          </w:tcPr>
          <w:p>
            <w:pPr>
              <w:spacing w:after="0"/>
              <w:rPr>
                <w:sz w:val="21"/>
                <w:szCs w:val="21"/>
                <w:color w:val="auto"/>
              </w:rPr>
            </w:pPr>
          </w:p>
        </w:tc>
      </w:tr>
      <w:tr>
        <w:trPr>
          <w:trHeight w:val="257"/>
        </w:trPr>
        <w:tc>
          <w:tcPr>
            <w:tcW w:w="8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98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2,087,550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838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9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357,122,150</w:t>
            </w:r>
          </w:p>
        </w:tc>
        <w:tc>
          <w:tcPr>
            <w:tcW w:w="100" w:type="dxa"/>
            <w:vAlign w:val="bottom"/>
          </w:tcPr>
          <w:p>
            <w:pPr>
              <w:spacing w:after="0"/>
              <w:rPr>
                <w:sz w:val="21"/>
                <w:szCs w:val="21"/>
                <w:color w:val="auto"/>
              </w:rPr>
            </w:pPr>
          </w:p>
        </w:tc>
      </w:tr>
      <w:tr>
        <w:trPr>
          <w:trHeight w:val="263"/>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 assumed:</w:t>
            </w:r>
          </w:p>
        </w:tc>
        <w:tc>
          <w:tcPr>
            <w:tcW w:w="980" w:type="dxa"/>
            <w:vAlign w:val="bottom"/>
            <w:shd w:val="clear" w:color="auto" w:fill="CFF0FC"/>
          </w:tcPr>
          <w:p>
            <w:pPr>
              <w:spacing w:after="0"/>
              <w:rPr>
                <w:sz w:val="22"/>
                <w:szCs w:val="22"/>
                <w:color w:val="auto"/>
              </w:rPr>
            </w:pPr>
          </w:p>
        </w:tc>
        <w:tc>
          <w:tcPr>
            <w:tcW w:w="17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380" w:type="dxa"/>
            <w:vAlign w:val="bottom"/>
          </w:tcPr>
          <w:p>
            <w:pPr>
              <w:ind w:left="20"/>
              <w:spacing w:after="0"/>
              <w:rPr>
                <w:sz w:val="20"/>
                <w:szCs w:val="20"/>
                <w:color w:val="auto"/>
              </w:rPr>
            </w:pPr>
            <w:r>
              <w:rPr>
                <w:rFonts w:ascii="Arial" w:cs="Arial" w:eastAsia="Arial" w:hAnsi="Arial"/>
                <w:sz w:val="18"/>
                <w:szCs w:val="18"/>
                <w:color w:val="auto"/>
              </w:rPr>
              <w:t>Debt</w:t>
            </w:r>
          </w:p>
        </w:tc>
        <w:tc>
          <w:tcPr>
            <w:tcW w:w="9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251,213,342</w:t>
            </w:r>
          </w:p>
        </w:tc>
        <w:tc>
          <w:tcPr>
            <w:tcW w:w="100" w:type="dxa"/>
            <w:vAlign w:val="bottom"/>
          </w:tcPr>
          <w:p>
            <w:pPr>
              <w:spacing w:after="0"/>
              <w:rPr>
                <w:sz w:val="21"/>
                <w:szCs w:val="21"/>
                <w:color w:val="auto"/>
              </w:rPr>
            </w:pPr>
          </w:p>
        </w:tc>
      </w:tr>
      <w:tr>
        <w:trPr>
          <w:trHeight w:val="257"/>
        </w:trPr>
        <w:tc>
          <w:tcPr>
            <w:tcW w:w="8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98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1,454,384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8380" w:type="dxa"/>
            <w:vAlign w:val="bottom"/>
          </w:tcPr>
          <w:p>
            <w:pPr>
              <w:ind w:left="20"/>
              <w:spacing w:after="0"/>
              <w:rPr>
                <w:sz w:val="20"/>
                <w:szCs w:val="20"/>
                <w:color w:val="auto"/>
              </w:rPr>
            </w:pPr>
            <w:r>
              <w:rPr>
                <w:rFonts w:ascii="Arial" w:cs="Arial" w:eastAsia="Arial" w:hAnsi="Arial"/>
                <w:sz w:val="18"/>
                <w:szCs w:val="18"/>
                <w:color w:val="auto"/>
              </w:rPr>
              <w:t>Total liabilities assumed</w:t>
            </w:r>
          </w:p>
        </w:tc>
        <w:tc>
          <w:tcPr>
            <w:tcW w:w="9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252,667,726</w:t>
            </w:r>
          </w:p>
        </w:tc>
        <w:tc>
          <w:tcPr>
            <w:tcW w:w="100" w:type="dxa"/>
            <w:vAlign w:val="bottom"/>
          </w:tcPr>
          <w:p>
            <w:pPr>
              <w:spacing w:after="0"/>
              <w:rPr>
                <w:sz w:val="21"/>
                <w:szCs w:val="21"/>
                <w:color w:val="auto"/>
              </w:rPr>
            </w:pPr>
          </w:p>
        </w:tc>
      </w:tr>
      <w:tr>
        <w:trPr>
          <w:trHeight w:val="250"/>
        </w:trPr>
        <w:tc>
          <w:tcPr>
            <w:tcW w:w="8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assets acquired</w:t>
            </w:r>
          </w:p>
        </w:tc>
        <w:tc>
          <w:tcPr>
            <w:tcW w:w="98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104,454,424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8380" w:type="dxa"/>
            <w:vAlign w:val="bottom"/>
          </w:tcPr>
          <w:p>
            <w:pPr>
              <w:ind w:left="20"/>
              <w:spacing w:after="0"/>
              <w:rPr>
                <w:sz w:val="20"/>
                <w:szCs w:val="20"/>
                <w:color w:val="auto"/>
              </w:rPr>
            </w:pPr>
            <w:r>
              <w:rPr>
                <w:rFonts w:ascii="Arial" w:cs="Arial" w:eastAsia="Arial" w:hAnsi="Arial"/>
                <w:sz w:val="18"/>
                <w:szCs w:val="18"/>
                <w:color w:val="auto"/>
              </w:rPr>
              <w:t>Total purchase discount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(40,422,057 )</w:t>
            </w:r>
          </w:p>
        </w:tc>
      </w:tr>
      <w:tr>
        <w:trPr>
          <w:trHeight w:val="20"/>
        </w:trPr>
        <w:tc>
          <w:tcPr>
            <w:tcW w:w="8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-2190750</wp:posOffset>
            </wp:positionV>
            <wp:extent cx="68580" cy="571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-1196340</wp:posOffset>
            </wp:positionV>
            <wp:extent cx="68580" cy="571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-536575</wp:posOffset>
            </wp:positionV>
            <wp:extent cx="68580" cy="571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ind w:left="340" w:right="460" w:hanging="332"/>
        <w:spacing w:after="0" w:line="310"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the market price at closing of $1.26 as of October 28, 2020 and the 30,765,640 shares of common stock issued by the Company in conjunction with the merger.</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HCAP Acquisition and Assumption and Redemption of HCAP Notes</w:t>
      </w:r>
    </w:p>
    <w:p>
      <w:pPr>
        <w:spacing w:after="0" w:line="252" w:lineRule="exact"/>
        <w:rPr>
          <w:sz w:val="20"/>
          <w:szCs w:val="20"/>
          <w:color w:val="auto"/>
        </w:rPr>
      </w:pPr>
    </w:p>
    <w:p>
      <w:pPr>
        <w:ind w:right="220" w:firstLine="374"/>
        <w:spacing w:after="0" w:line="279" w:lineRule="auto"/>
        <w:rPr>
          <w:sz w:val="20"/>
          <w:szCs w:val="20"/>
          <w:color w:val="auto"/>
        </w:rPr>
      </w:pPr>
      <w:r>
        <w:rPr>
          <w:rFonts w:ascii="Arial" w:cs="Arial" w:eastAsia="Arial" w:hAnsi="Arial"/>
          <w:sz w:val="18"/>
          <w:szCs w:val="18"/>
          <w:color w:val="auto"/>
        </w:rPr>
        <w:t>On December 23, 2020, the Company entered into an Agreement and Plan of Merger (the “HCAP Merger Agreement”) with Harvest Capital Credit Corporation, a publicly traded BDC (“HCAP”), the Adviser and a wholly-owned merger subsidiary (the “Acquisition Sub”) of the Company (such transaction, the “HCAP Acquisition”).</w:t>
      </w:r>
    </w:p>
    <w:p>
      <w:pPr>
        <w:spacing w:after="0" w:line="196" w:lineRule="exact"/>
        <w:rPr>
          <w:sz w:val="20"/>
          <w:szCs w:val="20"/>
          <w:color w:val="auto"/>
        </w:rPr>
      </w:pPr>
    </w:p>
    <w:p>
      <w:pPr>
        <w:ind w:right="100" w:firstLine="374"/>
        <w:spacing w:after="0" w:line="319" w:lineRule="auto"/>
        <w:rPr>
          <w:sz w:val="20"/>
          <w:szCs w:val="20"/>
          <w:color w:val="auto"/>
        </w:rPr>
      </w:pPr>
      <w:r>
        <w:rPr>
          <w:rFonts w:ascii="Arial" w:cs="Arial" w:eastAsia="Arial" w:hAnsi="Arial"/>
          <w:sz w:val="16"/>
          <w:szCs w:val="16"/>
          <w:color w:val="auto"/>
        </w:rPr>
        <w:t>On June 8, 2021 the Company completed the HCAP Acquisition, pursuant to the terms and conditions of the HCAP Merger Agreement. To effect the acquisition, the Acquisition Sub merged with and into HCAP, with HCAP surviving the merger as the Company’s wholly owned subsidiary. Immediately thereafter and as a single integrated transaction, HCAP consummated a second merger, whereby HCAP merged with and into the Company, with the Company surviving the merger. As a result of, and as of the effective time of, the second merger, HCAP’s separate corporate existence ceased.</w:t>
      </w:r>
    </w:p>
    <w:p>
      <w:pPr>
        <w:spacing w:after="0" w:line="169" w:lineRule="exact"/>
        <w:rPr>
          <w:sz w:val="20"/>
          <w:szCs w:val="20"/>
          <w:color w:val="auto"/>
        </w:rPr>
      </w:pPr>
    </w:p>
    <w:p>
      <w:pPr>
        <w:ind w:right="40" w:firstLine="374"/>
        <w:spacing w:after="0" w:line="319" w:lineRule="auto"/>
        <w:rPr>
          <w:sz w:val="20"/>
          <w:szCs w:val="20"/>
          <w:color w:val="auto"/>
        </w:rPr>
      </w:pPr>
      <w:r>
        <w:rPr>
          <w:rFonts w:ascii="Arial" w:cs="Arial" w:eastAsia="Arial" w:hAnsi="Arial"/>
          <w:sz w:val="16"/>
          <w:szCs w:val="16"/>
          <w:color w:val="auto"/>
        </w:rPr>
        <w:t>Under the terms of the HCAP Merger Agreement, HCAP stockholders as of immediately prior to the effective time of the first merger (other than shares held by a subsidiary of HCAP or held, directly or indirectly, by the Company or Acquisition Sub, and all treasury shares (collectively, “Cancelled Shares”)) received a combination of (i) $18,537,512.65 in cash payable by Company, (ii) 15,252,453 validly issued, fully paid and non-assessable shares of the Company’s common stock, par value $0.01 per share, and (iii) an additional cash payment from the Adviser of $2.15 million in the aggregate.</w:t>
      </w:r>
    </w:p>
    <w:p>
      <w:pPr>
        <w:spacing w:after="0" w:line="196" w:lineRule="exact"/>
        <w:rPr>
          <w:sz w:val="20"/>
          <w:szCs w:val="20"/>
          <w:color w:val="auto"/>
        </w:rPr>
      </w:pPr>
    </w:p>
    <w:p>
      <w:pPr>
        <w:ind w:firstLine="374"/>
        <w:spacing w:after="0" w:line="283" w:lineRule="auto"/>
        <w:rPr>
          <w:sz w:val="20"/>
          <w:szCs w:val="20"/>
          <w:color w:val="auto"/>
        </w:rPr>
      </w:pPr>
      <w:r>
        <w:rPr>
          <w:rFonts w:ascii="Arial" w:cs="Arial" w:eastAsia="Arial" w:hAnsi="Arial"/>
          <w:sz w:val="17"/>
          <w:szCs w:val="17"/>
          <w:color w:val="auto"/>
        </w:rPr>
        <w:t>With respect to the merger consideration from PTMN, HCAP stockholders as of immediately prior to the effective time of the first merger (other than Cancelled Shares) were entitled, with respect to all or any portion of the shares of HCAP common stock they held as of the effective time of the first merger, to elect to receive the merger consideration in the form of cash (an “Election”) or in the form of PTMN common stock, subject to certain conditions and limitations in the merger agreement. Any HCAP stockholder who did not validly make an Election was deemed to have elected to receive shares of the Company’s common stock with respect to the merger consideration as payment for their shares of HCAP common stock. Each share of HCAP common stock (other than Cancelled Shares) with respect to which an Election was made was treated as an “Electing Share” and each share of HCAP Common Stock (other than Cancelled Shares) with respect to which an Election was not made or that was transferred after the election deadline on June 2, 2021 was treated as a “Non-Electing Share.”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7" w:name="page78"/>
    <w:bookmarkEnd w:id="77"/>
    <w:p>
      <w:pPr>
        <w:ind w:right="40" w:firstLine="749"/>
        <w:spacing w:after="0" w:line="290" w:lineRule="auto"/>
        <w:rPr>
          <w:sz w:val="20"/>
          <w:szCs w:val="20"/>
          <w:color w:val="auto"/>
        </w:rPr>
      </w:pPr>
      <w:r>
        <w:rPr>
          <w:rFonts w:ascii="Arial" w:cs="Arial" w:eastAsia="Arial" w:hAnsi="Arial"/>
          <w:sz w:val="17"/>
          <w:szCs w:val="17"/>
          <w:color w:val="auto"/>
        </w:rPr>
        <w:t>Pursuant to the conditions of and adjustment mechanisms in the HCAP Merger Agreement, 475,806 Electing Shares were converted to Non-Electing Shares for purposes of calculating the total mix of consideration to be paid to each Electing Share in order to ensure that the value of the aggregate cash consideration paid to holders of the Electing Shares equaled the aggregate cash consideration that HCAP received from the Company under the terms of the HCAP Merger Agreement. Accordingly, as a result of the Elections received from HCAP stockholders and any resulting adjustment under the terms of the HCAP Merger Agreement, each Electing Share received, in aggregate, approximately $7.43 in cash and 0.74 shares of PTMN common stock, while each Non-Electing Share received, in aggregate, approximately 3.86 shares of PTMN common stock.</w:t>
      </w:r>
    </w:p>
    <w:p>
      <w:pPr>
        <w:spacing w:after="0" w:line="189" w:lineRule="exact"/>
        <w:rPr>
          <w:sz w:val="20"/>
          <w:szCs w:val="20"/>
          <w:color w:val="auto"/>
        </w:rPr>
      </w:pPr>
    </w:p>
    <w:p>
      <w:pPr>
        <w:ind w:firstLine="374"/>
        <w:spacing w:after="0" w:line="306" w:lineRule="auto"/>
        <w:rPr>
          <w:sz w:val="20"/>
          <w:szCs w:val="20"/>
          <w:color w:val="auto"/>
        </w:rPr>
      </w:pPr>
      <w:r>
        <w:rPr>
          <w:rFonts w:ascii="Arial" w:cs="Arial" w:eastAsia="Arial" w:hAnsi="Arial"/>
          <w:sz w:val="16"/>
          <w:szCs w:val="16"/>
          <w:color w:val="auto"/>
        </w:rPr>
        <w:t>The HCAP Acquisition was accounted for in accordance with the asset acquisition method of accounting as detailed in ASC Topic 805-50. The fair value of the consideration paid, and transaction costs incurred to complete the merger by the Company, including $2.15 million of cash payment (deemed capital contribution) paid at closing directly to shareholders of HCAP from the Adviser, was allocated to the HCAP investments acquired, based on their relative fair values as of the date of acquisition. The fair value of the purchase consideration paid by the Company below the fair value of net assets acquired is considered the purchase discount. Immediately following the acquisition of HCAP, the Company recorded HCAP net assets at their respective fair values and, as a result, the purchase discount was allocated to the cost basis of the HCAP investments acquired and was immediately recognized as unrealized gain on the Company's Consolidated Statement of Operations. The purchase discount was allocated to the acquired investments on a relative fair value basis and, for performing debt investments, will amortize over the life of the investments through interest income with a corresponding reversal of the unrealized appreciation on the HCAP investments acquired through their maturity. Upon the sale of any of the HCAP acquired investments, the Company will recognize a realized gain or a reduction in realized losses with a corresponding reversal of the unrealized losses.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Common stock issued by the Company </w:t>
            </w:r>
            <w:r>
              <w:rPr>
                <w:rFonts w:ascii="Arial" w:cs="Arial" w:eastAsia="Arial" w:hAnsi="Arial"/>
                <w:sz w:val="24"/>
                <w:szCs w:val="24"/>
                <w:color w:val="auto"/>
                <w:vertAlign w:val="superscript"/>
              </w:rPr>
              <w:t>(1)</w:t>
            </w: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37,063,461</w:t>
            </w:r>
          </w:p>
        </w:tc>
        <w:tc>
          <w:tcPr>
            <w:tcW w:w="100" w:type="dxa"/>
            <w:vAlign w:val="bottom"/>
            <w:shd w:val="clear" w:color="auto" w:fill="CFF0FC"/>
          </w:tcPr>
          <w:p>
            <w:pPr>
              <w:spacing w:after="0"/>
              <w:rPr>
                <w:sz w:val="23"/>
                <w:szCs w:val="23"/>
                <w:color w:val="auto"/>
              </w:rPr>
            </w:pPr>
          </w:p>
        </w:tc>
      </w:tr>
      <w:tr>
        <w:trPr>
          <w:trHeight w:val="257"/>
        </w:trPr>
        <w:tc>
          <w:tcPr>
            <w:tcW w:w="838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Cash consideration to HCAP shareholders </w:t>
            </w:r>
            <w:r>
              <w:rPr>
                <w:rFonts w:ascii="Arial" w:cs="Arial" w:eastAsia="Arial" w:hAnsi="Arial"/>
                <w:sz w:val="24"/>
                <w:szCs w:val="24"/>
                <w:color w:val="auto"/>
                <w:vertAlign w:val="superscript"/>
              </w:rPr>
              <w:t>(2)</w:t>
            </w:r>
          </w:p>
        </w:tc>
        <w:tc>
          <w:tcPr>
            <w:tcW w:w="102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20,687,513</w:t>
            </w:r>
          </w:p>
        </w:tc>
        <w:tc>
          <w:tcPr>
            <w:tcW w:w="100" w:type="dxa"/>
            <w:vAlign w:val="bottom"/>
          </w:tcPr>
          <w:p>
            <w:pPr>
              <w:spacing w:after="0"/>
              <w:rPr>
                <w:sz w:val="22"/>
                <w:szCs w:val="22"/>
                <w:color w:val="auto"/>
              </w:rPr>
            </w:pPr>
          </w:p>
        </w:tc>
      </w:tr>
      <w:tr>
        <w:trPr>
          <w:trHeight w:val="250"/>
        </w:trPr>
        <w:tc>
          <w:tcPr>
            <w:tcW w:w="8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Transaction costs (excluding offering costs $518,774)</w:t>
            </w:r>
          </w:p>
        </w:tc>
        <w:tc>
          <w:tcPr>
            <w:tcW w:w="102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881,226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838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10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58,632,200</w:t>
            </w:r>
          </w:p>
        </w:tc>
        <w:tc>
          <w:tcPr>
            <w:tcW w:w="100" w:type="dxa"/>
            <w:vAlign w:val="bottom"/>
          </w:tcPr>
          <w:p>
            <w:pPr>
              <w:spacing w:after="0"/>
              <w:rPr>
                <w:sz w:val="21"/>
                <w:szCs w:val="21"/>
                <w:color w:val="auto"/>
              </w:rPr>
            </w:pPr>
          </w:p>
        </w:tc>
      </w:tr>
      <w:tr>
        <w:trPr>
          <w:trHeight w:val="257"/>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 acquired:</w:t>
            </w:r>
          </w:p>
        </w:tc>
        <w:tc>
          <w:tcPr>
            <w:tcW w:w="1020" w:type="dxa"/>
            <w:vAlign w:val="bottom"/>
            <w:shd w:val="clear" w:color="auto" w:fill="CFF0FC"/>
          </w:tcPr>
          <w:p>
            <w:pPr>
              <w:spacing w:after="0"/>
              <w:rPr>
                <w:sz w:val="22"/>
                <w:szCs w:val="22"/>
                <w:color w:val="auto"/>
              </w:rPr>
            </w:pPr>
          </w:p>
        </w:tc>
        <w:tc>
          <w:tcPr>
            <w:tcW w:w="17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380" w:type="dxa"/>
            <w:vAlign w:val="bottom"/>
          </w:tcPr>
          <w:p>
            <w:pPr>
              <w:ind w:left="20"/>
              <w:spacing w:after="0"/>
              <w:rPr>
                <w:sz w:val="20"/>
                <w:szCs w:val="20"/>
                <w:color w:val="auto"/>
              </w:rPr>
            </w:pPr>
            <w:r>
              <w:rPr>
                <w:rFonts w:ascii="Arial" w:cs="Arial" w:eastAsia="Arial" w:hAnsi="Arial"/>
                <w:sz w:val="18"/>
                <w:szCs w:val="18"/>
                <w:color w:val="auto"/>
              </w:rPr>
              <w:t>Investments, at fair value (amortized cost of $53,811,838)</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57,620,640</w:t>
            </w:r>
          </w:p>
        </w:tc>
        <w:tc>
          <w:tcPr>
            <w:tcW w:w="100" w:type="dxa"/>
            <w:vAlign w:val="bottom"/>
          </w:tcPr>
          <w:p>
            <w:pPr>
              <w:spacing w:after="0"/>
              <w:rPr>
                <w:sz w:val="21"/>
                <w:szCs w:val="21"/>
                <w:color w:val="auto"/>
              </w:rPr>
            </w:pPr>
          </w:p>
        </w:tc>
      </w:tr>
      <w:tr>
        <w:trPr>
          <w:trHeight w:val="263"/>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1020" w:type="dxa"/>
            <w:vAlign w:val="bottom"/>
            <w:shd w:val="clear" w:color="auto" w:fill="CFF0FC"/>
          </w:tcPr>
          <w:p>
            <w:pPr>
              <w:spacing w:after="0"/>
              <w:rPr>
                <w:sz w:val="22"/>
                <w:szCs w:val="2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32,118,574</w:t>
            </w:r>
          </w:p>
        </w:tc>
        <w:tc>
          <w:tcPr>
            <w:tcW w:w="100" w:type="dxa"/>
            <w:vAlign w:val="bottom"/>
            <w:shd w:val="clear" w:color="auto" w:fill="CFF0FC"/>
          </w:tcPr>
          <w:p>
            <w:pPr>
              <w:spacing w:after="0"/>
              <w:rPr>
                <w:sz w:val="22"/>
                <w:szCs w:val="22"/>
                <w:color w:val="auto"/>
              </w:rPr>
            </w:pPr>
          </w:p>
        </w:tc>
      </w:tr>
      <w:tr>
        <w:trPr>
          <w:trHeight w:val="250"/>
        </w:trPr>
        <w:tc>
          <w:tcPr>
            <w:tcW w:w="838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10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431,454</w:t>
            </w:r>
          </w:p>
        </w:tc>
        <w:tc>
          <w:tcPr>
            <w:tcW w:w="100" w:type="dxa"/>
            <w:vAlign w:val="bottom"/>
          </w:tcPr>
          <w:p>
            <w:pPr>
              <w:spacing w:after="0"/>
              <w:rPr>
                <w:sz w:val="21"/>
                <w:szCs w:val="21"/>
                <w:color w:val="auto"/>
              </w:rPr>
            </w:pPr>
          </w:p>
        </w:tc>
      </w:tr>
      <w:tr>
        <w:trPr>
          <w:trHeight w:val="257"/>
        </w:trPr>
        <w:tc>
          <w:tcPr>
            <w:tcW w:w="8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auto"/>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2,664,932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838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10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92,835,600</w:t>
            </w:r>
          </w:p>
        </w:tc>
        <w:tc>
          <w:tcPr>
            <w:tcW w:w="100" w:type="dxa"/>
            <w:vAlign w:val="bottom"/>
          </w:tcPr>
          <w:p>
            <w:pPr>
              <w:spacing w:after="0"/>
              <w:rPr>
                <w:sz w:val="21"/>
                <w:szCs w:val="21"/>
                <w:color w:val="auto"/>
              </w:rPr>
            </w:pPr>
          </w:p>
        </w:tc>
      </w:tr>
      <w:tr>
        <w:trPr>
          <w:trHeight w:val="263"/>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 assumed:</w:t>
            </w:r>
          </w:p>
        </w:tc>
        <w:tc>
          <w:tcPr>
            <w:tcW w:w="1020" w:type="dxa"/>
            <w:vAlign w:val="bottom"/>
            <w:shd w:val="clear" w:color="auto" w:fill="CFF0FC"/>
          </w:tcPr>
          <w:p>
            <w:pPr>
              <w:spacing w:after="0"/>
              <w:rPr>
                <w:sz w:val="22"/>
                <w:szCs w:val="22"/>
                <w:color w:val="auto"/>
              </w:rPr>
            </w:pPr>
          </w:p>
        </w:tc>
        <w:tc>
          <w:tcPr>
            <w:tcW w:w="17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380" w:type="dxa"/>
            <w:vAlign w:val="bottom"/>
          </w:tcPr>
          <w:p>
            <w:pPr>
              <w:ind w:left="20"/>
              <w:spacing w:after="0"/>
              <w:rPr>
                <w:sz w:val="20"/>
                <w:szCs w:val="20"/>
                <w:color w:val="auto"/>
              </w:rPr>
            </w:pPr>
            <w:r>
              <w:rPr>
                <w:rFonts w:ascii="Arial" w:cs="Arial" w:eastAsia="Arial" w:hAnsi="Arial"/>
                <w:sz w:val="18"/>
                <w:szCs w:val="18"/>
                <w:color w:val="auto"/>
              </w:rPr>
              <w:t>Debt</w:t>
            </w:r>
          </w:p>
        </w:tc>
        <w:tc>
          <w:tcPr>
            <w:tcW w:w="10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28,750,000</w:t>
            </w:r>
          </w:p>
        </w:tc>
        <w:tc>
          <w:tcPr>
            <w:tcW w:w="100" w:type="dxa"/>
            <w:vAlign w:val="bottom"/>
          </w:tcPr>
          <w:p>
            <w:pPr>
              <w:spacing w:after="0"/>
              <w:rPr>
                <w:sz w:val="21"/>
                <w:szCs w:val="21"/>
                <w:color w:val="auto"/>
              </w:rPr>
            </w:pPr>
          </w:p>
        </w:tc>
      </w:tr>
      <w:tr>
        <w:trPr>
          <w:trHeight w:val="257"/>
        </w:trPr>
        <w:tc>
          <w:tcPr>
            <w:tcW w:w="8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auto"/>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1,644,600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8380" w:type="dxa"/>
            <w:vAlign w:val="bottom"/>
          </w:tcPr>
          <w:p>
            <w:pPr>
              <w:ind w:left="20"/>
              <w:spacing w:after="0"/>
              <w:rPr>
                <w:sz w:val="20"/>
                <w:szCs w:val="20"/>
                <w:color w:val="auto"/>
              </w:rPr>
            </w:pPr>
            <w:r>
              <w:rPr>
                <w:rFonts w:ascii="Arial" w:cs="Arial" w:eastAsia="Arial" w:hAnsi="Arial"/>
                <w:sz w:val="18"/>
                <w:szCs w:val="18"/>
                <w:color w:val="auto"/>
              </w:rPr>
              <w:t>Total liabilities assumed</w:t>
            </w:r>
          </w:p>
        </w:tc>
        <w:tc>
          <w:tcPr>
            <w:tcW w:w="10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30,394,600</w:t>
            </w:r>
          </w:p>
        </w:tc>
        <w:tc>
          <w:tcPr>
            <w:tcW w:w="100" w:type="dxa"/>
            <w:vAlign w:val="bottom"/>
          </w:tcPr>
          <w:p>
            <w:pPr>
              <w:spacing w:after="0"/>
              <w:rPr>
                <w:sz w:val="21"/>
                <w:szCs w:val="21"/>
                <w:color w:val="auto"/>
              </w:rPr>
            </w:pPr>
          </w:p>
        </w:tc>
      </w:tr>
      <w:tr>
        <w:trPr>
          <w:trHeight w:val="250"/>
        </w:trPr>
        <w:tc>
          <w:tcPr>
            <w:tcW w:w="8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assets acquired</w:t>
            </w:r>
          </w:p>
        </w:tc>
        <w:tc>
          <w:tcPr>
            <w:tcW w:w="102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62,441,000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8380" w:type="dxa"/>
            <w:vAlign w:val="bottom"/>
          </w:tcPr>
          <w:p>
            <w:pPr>
              <w:ind w:left="20"/>
              <w:spacing w:after="0"/>
              <w:rPr>
                <w:sz w:val="20"/>
                <w:szCs w:val="20"/>
                <w:color w:val="auto"/>
              </w:rPr>
            </w:pPr>
            <w:r>
              <w:rPr>
                <w:rFonts w:ascii="Arial" w:cs="Arial" w:eastAsia="Arial" w:hAnsi="Arial"/>
                <w:sz w:val="18"/>
                <w:szCs w:val="18"/>
                <w:color w:val="auto"/>
              </w:rPr>
              <w:t>Total purchase discount</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(3,808,800 )</w:t>
            </w:r>
          </w:p>
        </w:tc>
      </w:tr>
      <w:tr>
        <w:trPr>
          <w:trHeight w:val="20"/>
        </w:trPr>
        <w:tc>
          <w:tcPr>
            <w:tcW w:w="8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-2190750</wp:posOffset>
            </wp:positionV>
            <wp:extent cx="68580" cy="571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-1196340</wp:posOffset>
            </wp:positionV>
            <wp:extent cx="68580" cy="571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-536575</wp:posOffset>
            </wp:positionV>
            <wp:extent cx="68580" cy="571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9"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Based on the market price at closing of $2.43 as of June 9, 2021 and the 15,252,453 shares of common stock issued by the Company in conjunction with the merger.</w:t>
      </w:r>
    </w:p>
    <w:p>
      <w:pPr>
        <w:spacing w:after="0" w:line="163" w:lineRule="exact"/>
        <w:rPr>
          <w:rFonts w:ascii="Arial" w:cs="Arial" w:eastAsia="Arial" w:hAnsi="Arial"/>
          <w:sz w:val="14"/>
          <w:szCs w:val="14"/>
          <w:color w:val="auto"/>
        </w:rPr>
      </w:pPr>
    </w:p>
    <w:p>
      <w:pPr>
        <w:ind w:left="340" w:right="400" w:hanging="332"/>
        <w:spacing w:after="0" w:line="310"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Approximately $18.5 million cash consideration paid by the Company plus $2.15 million cash payment paid at closing directly to shareholders of HCAP from the Adviser.</w:t>
      </w:r>
    </w:p>
    <w:p>
      <w:pPr>
        <w:spacing w:after="0" w:line="222" w:lineRule="exact"/>
        <w:rPr>
          <w:sz w:val="20"/>
          <w:szCs w:val="20"/>
          <w:color w:val="auto"/>
        </w:rPr>
      </w:pPr>
    </w:p>
    <w:p>
      <w:pPr>
        <w:ind w:right="180" w:firstLine="749"/>
        <w:spacing w:after="0" w:line="324" w:lineRule="auto"/>
        <w:rPr>
          <w:sz w:val="20"/>
          <w:szCs w:val="20"/>
          <w:color w:val="auto"/>
        </w:rPr>
      </w:pPr>
      <w:r>
        <w:rPr>
          <w:rFonts w:ascii="Arial" w:cs="Arial" w:eastAsia="Arial" w:hAnsi="Arial"/>
          <w:sz w:val="17"/>
          <w:szCs w:val="17"/>
          <w:color w:val="auto"/>
        </w:rPr>
        <w:t>On June 9, 2021, the Company entered into the HCAP Third Supplemental Indenture, effective as of the closing of the HCAP Acquisition. The HCAP Third Supplemental Indenture relates to the Company’s assumption of $28.75 million in aggregate principal amount of the HCAP Notes.</w:t>
      </w:r>
    </w:p>
    <w:p>
      <w:pPr>
        <w:spacing w:after="0" w:line="120" w:lineRule="exact"/>
        <w:rPr>
          <w:sz w:val="20"/>
          <w:szCs w:val="20"/>
          <w:color w:val="auto"/>
        </w:rPr>
      </w:pPr>
    </w:p>
    <w:p>
      <w:pPr>
        <w:ind w:right="80" w:firstLine="749"/>
        <w:spacing w:after="0" w:line="288" w:lineRule="auto"/>
        <w:rPr>
          <w:sz w:val="20"/>
          <w:szCs w:val="20"/>
          <w:color w:val="auto"/>
        </w:rPr>
      </w:pPr>
      <w:r>
        <w:rPr>
          <w:rFonts w:ascii="Arial" w:cs="Arial" w:eastAsia="Arial" w:hAnsi="Arial"/>
          <w:sz w:val="18"/>
          <w:szCs w:val="18"/>
          <w:color w:val="auto"/>
        </w:rPr>
        <w:t>Pursuant to the HCAP Third Supplemental Indenture, the Company expressly assumed the due and punctual payment of the principal of (and premium, if any) and interest, if any, on the HCAP Notes and the performance of HCAP’s covenants under the base indenture, dated as of January 27, 2015, by and between HCAP and the Trustee, as supplemented by the second supplemental indenture, dated as of August 24, 2017, by and between HCAP and the Trustee. No change of control offer was required to be made in respect of the HCAP Notes in connection with the consummation of the HCAP Acquisition.</w:t>
      </w:r>
    </w:p>
    <w:p>
      <w:pPr>
        <w:spacing w:after="0" w:line="149" w:lineRule="exact"/>
        <w:rPr>
          <w:sz w:val="20"/>
          <w:szCs w:val="20"/>
          <w:color w:val="auto"/>
        </w:rPr>
      </w:pPr>
    </w:p>
    <w:p>
      <w:pPr>
        <w:ind w:right="100" w:firstLine="749"/>
        <w:spacing w:after="0" w:line="308" w:lineRule="auto"/>
        <w:rPr>
          <w:sz w:val="20"/>
          <w:szCs w:val="20"/>
          <w:color w:val="auto"/>
        </w:rPr>
      </w:pPr>
      <w:r>
        <w:rPr>
          <w:rFonts w:ascii="Arial" w:cs="Arial" w:eastAsia="Arial" w:hAnsi="Arial"/>
          <w:sz w:val="18"/>
          <w:szCs w:val="18"/>
          <w:color w:val="auto"/>
        </w:rPr>
        <w:t>The HCAP Notes could be redeemed by the Company at any time at par value plus accrued and unpaid interest. On July 23, 2021, the Company redeemed the entire notional amount of $28.75 million of the HCAP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8" w:name="page79"/>
    <w:bookmarkEnd w:id="78"/>
    <w:p>
      <w:pPr>
        <w:ind w:firstLine="374"/>
        <w:spacing w:after="0" w:line="293" w:lineRule="auto"/>
        <w:rPr>
          <w:sz w:val="20"/>
          <w:szCs w:val="20"/>
          <w:color w:val="auto"/>
        </w:rPr>
      </w:pPr>
      <w:r>
        <w:rPr>
          <w:rFonts w:ascii="Arial" w:cs="Arial" w:eastAsia="Arial" w:hAnsi="Arial"/>
          <w:sz w:val="18"/>
          <w:szCs w:val="18"/>
          <w:color w:val="auto"/>
        </w:rPr>
        <w:t>On November 3, 2021, our Board declared a cash distribution of $0.62 per share of common stock. The distribution is payable on November 30, 2021 to stockholders of record at the close of business as of November 15, 2021.</w:t>
      </w:r>
    </w:p>
    <w:p>
      <w:pPr>
        <w:spacing w:after="0" w:line="183" w:lineRule="exact"/>
        <w:rPr>
          <w:sz w:val="20"/>
          <w:szCs w:val="20"/>
          <w:color w:val="auto"/>
        </w:rPr>
      </w:pPr>
    </w:p>
    <w:p>
      <w:pPr>
        <w:ind w:firstLine="374"/>
        <w:spacing w:after="0" w:line="314" w:lineRule="auto"/>
        <w:rPr>
          <w:sz w:val="20"/>
          <w:szCs w:val="20"/>
          <w:color w:val="auto"/>
        </w:rPr>
      </w:pPr>
      <w:r>
        <w:rPr>
          <w:rFonts w:ascii="Arial" w:cs="Arial" w:eastAsia="Arial" w:hAnsi="Arial"/>
          <w:sz w:val="16"/>
          <w:szCs w:val="16"/>
          <w:color w:val="auto"/>
        </w:rPr>
        <w:t>On October 22, 2021, the Company entered into a purchase and sale agreement with two wholly-owned subsidiaries of JMP Group LLC (collectively, the “JMP Sellers”), pursuant to which the Company will purchase $18.1 million of portfolio assets from the JMP Sellers in exchange for $1.4 million in cash and 556,852 shares of the Company’s common stock (which shares were sold at a price equal to their net asset value). Certain of the Company’s affiliated funds and a third party will also purchase interests in the same portfolio assets from the JMP Sellers for cash at the same price and on the same terms as the Company in connection with the transaction. The closing of the transaction occurred in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00" w:firstLine="374"/>
        <w:spacing w:after="0" w:line="279" w:lineRule="auto"/>
        <w:rPr>
          <w:sz w:val="20"/>
          <w:szCs w:val="20"/>
          <w:color w:val="auto"/>
        </w:rPr>
      </w:pPr>
      <w:r>
        <w:rPr>
          <w:rFonts w:ascii="Arial" w:cs="Arial" w:eastAsia="Arial" w:hAnsi="Arial"/>
          <w:sz w:val="18"/>
          <w:szCs w:val="18"/>
          <w:color w:val="auto"/>
        </w:rPr>
        <w:t>The Company has evaluated events and transactions occurring subsequent to September 30, 2021 for items that should potentially be recognized or disclosed in these financial statements. Other than as described above, management has determined that there are no other material subsequent events that would require adjustment to, or disclosure in, these unaudited consolidated financial statements.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79" w:name="page80"/>
    <w:bookmarkEnd w:id="79"/>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right="60" w:firstLine="374"/>
        <w:spacing w:after="0" w:line="271" w:lineRule="auto"/>
        <w:rPr>
          <w:sz w:val="20"/>
          <w:szCs w:val="20"/>
          <w:color w:val="auto"/>
        </w:rPr>
      </w:pPr>
      <w:r>
        <w:rPr>
          <w:rFonts w:ascii="Arial" w:cs="Arial" w:eastAsia="Arial" w:hAnsi="Arial"/>
          <w:sz w:val="18"/>
          <w:szCs w:val="18"/>
          <w:color w:val="auto"/>
        </w:rPr>
        <w:t>The following discussion and analysis should be read in conjunction with our condensed and consolidated financial statements and related notes included in this Quarterly Report on Form 10-Q. This discussion contains forward-looking statements and involves numerous risks and uncertainties, including but not limited to those described in Part I, Item 1A of our annual report on Form 10-K for the year ended December 31, 2020 and Part II, Item 1A of this Form 10-Q of this Quarterly Report. Our actual results could differ materially from those anticipated by such forward-looking statements due to factors discussed under the “Risk Factors” section included in our SEC filings and “Note About Forward-Looking Statements” appearing elsewhere in this Form 10-Q.</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ind w:right="200" w:firstLine="374"/>
        <w:spacing w:after="0" w:line="292" w:lineRule="auto"/>
        <w:rPr>
          <w:sz w:val="20"/>
          <w:szCs w:val="20"/>
          <w:color w:val="auto"/>
        </w:rPr>
      </w:pPr>
      <w:r>
        <w:rPr>
          <w:rFonts w:ascii="Arial" w:cs="Arial" w:eastAsia="Arial" w:hAnsi="Arial"/>
          <w:sz w:val="17"/>
          <w:szCs w:val="17"/>
          <w:color w:val="auto"/>
        </w:rPr>
        <w:t>We are an externally managed, non-diversified closed-end investment company that has elected to be regulated as a business development company (“BDC”) under the Investment Company Act of 1940 (the “1940 Act”). Sierra Crest Investment Management LLC (the “Adviser”) is an affiliate of BC Partners LLP (“BC Partners”). Subject to the overall supervision of the Board,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spacing w:after="0" w:line="66" w:lineRule="exact"/>
        <w:rPr>
          <w:sz w:val="20"/>
          <w:szCs w:val="20"/>
          <w:color w:val="auto"/>
        </w:rPr>
      </w:pPr>
    </w:p>
    <w:p>
      <w:pPr>
        <w:ind w:right="20" w:firstLine="374"/>
        <w:spacing w:after="0" w:line="292" w:lineRule="auto"/>
        <w:rPr>
          <w:sz w:val="20"/>
          <w:szCs w:val="20"/>
          <w:color w:val="auto"/>
        </w:rPr>
      </w:pPr>
      <w:r>
        <w:rPr>
          <w:rFonts w:ascii="Arial" w:cs="Arial" w:eastAsia="Arial" w:hAnsi="Arial"/>
          <w:sz w:val="17"/>
          <w:szCs w:val="17"/>
          <w:color w:val="auto"/>
        </w:rPr>
        <w:t>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w:t>
      </w:r>
    </w:p>
    <w:p>
      <w:pPr>
        <w:spacing w:after="0" w:line="66" w:lineRule="exact"/>
        <w:rPr>
          <w:sz w:val="20"/>
          <w:szCs w:val="20"/>
          <w:color w:val="auto"/>
        </w:rPr>
      </w:pPr>
    </w:p>
    <w:p>
      <w:pPr>
        <w:ind w:right="40" w:firstLine="374"/>
        <w:spacing w:after="0" w:line="286"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first lien term loans may include traditional first lien senior secured loans or unitranche loans. Unitranche loans combine characteristics of traditional first lien senior secured loans as well as second lien and/or mezzanine debt (“Junior Debt”). Unitranche loans will expose us to the risks associated with first lien loans and Junior Debt. While there is no specific collateral associated with senior unsecured debt, such positions are senior in payment priority over subordinated debt investments. The investments in our Debt Securities Portfolio are all or predominantly below investment grade, and have speculative characteristics with respect to the issuer’s capacity to pay interest and repay principal.</w:t>
      </w:r>
    </w:p>
    <w:p>
      <w:pPr>
        <w:spacing w:after="0" w:line="74" w:lineRule="exact"/>
        <w:rPr>
          <w:sz w:val="20"/>
          <w:szCs w:val="20"/>
          <w:color w:val="auto"/>
        </w:rPr>
      </w:pPr>
    </w:p>
    <w:p>
      <w:pPr>
        <w:jc w:val="both"/>
        <w:ind w:firstLine="374"/>
        <w:spacing w:after="0" w:line="329" w:lineRule="auto"/>
        <w:rPr>
          <w:sz w:val="20"/>
          <w:szCs w:val="20"/>
          <w:color w:val="auto"/>
        </w:rPr>
      </w:pPr>
      <w:r>
        <w:rPr>
          <w:rFonts w:ascii="Arial" w:cs="Arial" w:eastAsia="Arial" w:hAnsi="Arial"/>
          <w:sz w:val="16"/>
          <w:szCs w:val="16"/>
          <w:color w:val="auto"/>
        </w:rPr>
        <w:t>Our investments in CLO Fund Securities are primarily managed by our formerly wholly-owned asset management subsidiaries Trimaran Advisors and Trimaran Advisors Management, L.L.C. From time-to-time we have also made investments in CLO Fund Securities managed by other asset managers. Our collateralized loan obligation funds (“CLO Funds”) typically invest in broadly syndicated loans, high-yield bonds and other credit instruments.</w:t>
      </w:r>
    </w:p>
    <w:p>
      <w:pPr>
        <w:spacing w:after="0" w:line="40" w:lineRule="exact"/>
        <w:rPr>
          <w:sz w:val="20"/>
          <w:szCs w:val="20"/>
          <w:color w:val="auto"/>
        </w:rPr>
      </w:pPr>
    </w:p>
    <w:p>
      <w:pPr>
        <w:ind w:right="40" w:firstLine="374"/>
        <w:spacing w:after="0" w:line="314" w:lineRule="auto"/>
        <w:rPr>
          <w:sz w:val="20"/>
          <w:szCs w:val="20"/>
          <w:color w:val="auto"/>
        </w:rPr>
      </w:pPr>
      <w:r>
        <w:rPr>
          <w:rFonts w:ascii="Arial" w:cs="Arial" w:eastAsia="Arial" w:hAnsi="Arial"/>
          <w:sz w:val="16"/>
          <w:szCs w:val="16"/>
          <w:color w:val="auto"/>
        </w:rPr>
        <w:t>Our portfolio may include “covenant-lite” loans which generally refer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financial maintenance covenants.</w:t>
      </w:r>
    </w:p>
    <w:p>
      <w:pPr>
        <w:spacing w:after="0" w:line="52" w:lineRule="exact"/>
        <w:rPr>
          <w:sz w:val="20"/>
          <w:szCs w:val="20"/>
          <w:color w:val="auto"/>
        </w:rPr>
      </w:pPr>
    </w:p>
    <w:p>
      <w:pPr>
        <w:ind w:right="40" w:firstLine="374"/>
        <w:spacing w:after="0" w:line="308" w:lineRule="auto"/>
        <w:rPr>
          <w:sz w:val="20"/>
          <w:szCs w:val="20"/>
          <w:color w:val="auto"/>
        </w:rPr>
      </w:pPr>
      <w:r>
        <w:rPr>
          <w:rFonts w:ascii="Arial" w:cs="Arial" w:eastAsia="Arial" w:hAnsi="Arial"/>
          <w:sz w:val="16"/>
          <w:szCs w:val="16"/>
          <w:color w:val="auto"/>
        </w:rPr>
        <w:t>We have elected to be treated for U.S. federal income tax purposes as a RIC under the Code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 Depending on the duration of the novel coronavirus (also known as “COVID-19”) pandemic and the extent of its impact on our portfolio companies’ operations and our net investment income, any future distributions to our stockholders may be for amounts less than our historical distributions, may be made less frequently than historical practices, and may be made in part cash and part stock, subject to a limitation that the aggregate amount of cash to be distributed to all stockholders must be at least 20% of the aggregate declared distribution.</w:t>
      </w:r>
    </w:p>
    <w:p>
      <w:pPr>
        <w:spacing w:after="0" w:line="55" w:lineRule="exact"/>
        <w:rPr>
          <w:sz w:val="20"/>
          <w:szCs w:val="20"/>
          <w:color w:val="auto"/>
        </w:rPr>
      </w:pPr>
    </w:p>
    <w:p>
      <w:pPr>
        <w:ind w:right="220" w:firstLine="374"/>
        <w:spacing w:after="0" w:line="266" w:lineRule="auto"/>
        <w:rPr>
          <w:sz w:val="20"/>
          <w:szCs w:val="20"/>
          <w:color w:val="auto"/>
        </w:rPr>
      </w:pPr>
      <w:r>
        <w:rPr>
          <w:rFonts w:ascii="Arial" w:cs="Arial" w:eastAsia="Arial" w:hAnsi="Arial"/>
          <w:sz w:val="18"/>
          <w:szCs w:val="18"/>
          <w:color w:val="auto"/>
        </w:rPr>
        <w:t>From time to time, we may seek to retire, repurchase, or exchange debt securities in open market purchases or by other means dependent on market conditions, liquidity, contractual obligations, and other matters. In addition, we evaluate strategic opportunities available to us, including mergers, divestures, spin-offs, joint ventures and other similar transactions from time to time.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0" w:name="page81"/>
    <w:bookmarkEnd w:id="80"/>
    <w:p>
      <w:pPr>
        <w:ind w:right="100" w:firstLine="374"/>
        <w:spacing w:after="0" w:line="303" w:lineRule="auto"/>
        <w:rPr>
          <w:sz w:val="20"/>
          <w:szCs w:val="20"/>
          <w:color w:val="auto"/>
        </w:rPr>
      </w:pPr>
      <w:r>
        <w:rPr>
          <w:rFonts w:ascii="Arial" w:cs="Arial" w:eastAsia="Arial" w:hAnsi="Arial"/>
          <w:sz w:val="17"/>
          <w:szCs w:val="17"/>
          <w:color w:val="auto"/>
        </w:rPr>
        <w:t>During the fourth quarter of 2020, LibreMax sold its minority stake in the Adviser to a wholly-owned subsidiary of Mount Logan. An affiliate of BC Partners serves as administrator to Mount Logan, and certain officers and directors of the Company serve in similar capacities for Mount Logan. In addition, Mount Logan owns a minority equity stake in the Advisor, and Mount Logan owns a minority equity stake in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Externalization</w:t>
      </w:r>
    </w:p>
    <w:p>
      <w:pPr>
        <w:spacing w:after="0" w:line="117" w:lineRule="exact"/>
        <w:rPr>
          <w:sz w:val="20"/>
          <w:szCs w:val="20"/>
          <w:color w:val="auto"/>
        </w:rPr>
      </w:pPr>
    </w:p>
    <w:p>
      <w:pPr>
        <w:jc w:val="both"/>
        <w:ind w:right="40" w:firstLine="374"/>
        <w:spacing w:after="0" w:line="294" w:lineRule="auto"/>
        <w:rPr>
          <w:sz w:val="20"/>
          <w:szCs w:val="20"/>
          <w:color w:val="auto"/>
        </w:rPr>
      </w:pPr>
      <w:r>
        <w:rPr>
          <w:rFonts w:ascii="Arial" w:cs="Arial" w:eastAsia="Arial" w:hAnsi="Arial"/>
          <w:sz w:val="16"/>
          <w:szCs w:val="16"/>
          <w:color w:val="auto"/>
        </w:rPr>
        <w:t>On April 1, 2019 (the “Closing”), we became externally managed (the “Externalization”) by the Adviser, pursuant to a stock purchase and transaction agreement (the “Externalization Agreement”) with BC Partners Advisors L.P. (“BCP”), an affiliate of BC Partners. In connection with the Externalization, our stockholders approved an investment advisory agreement (the “Advisory Agreement”) with the Adviser. See “-Advisory Agreement” below.</w:t>
      </w:r>
    </w:p>
    <w:p>
      <w:pPr>
        <w:spacing w:after="0" w:line="53" w:lineRule="exact"/>
        <w:rPr>
          <w:sz w:val="20"/>
          <w:szCs w:val="20"/>
          <w:color w:val="auto"/>
        </w:rPr>
      </w:pPr>
    </w:p>
    <w:p>
      <w:pPr>
        <w:ind w:firstLine="374"/>
        <w:spacing w:after="0" w:line="305" w:lineRule="auto"/>
        <w:rPr>
          <w:sz w:val="20"/>
          <w:szCs w:val="20"/>
          <w:color w:val="auto"/>
        </w:rPr>
      </w:pPr>
      <w:r>
        <w:rPr>
          <w:rFonts w:ascii="Arial" w:cs="Arial" w:eastAsia="Arial" w:hAnsi="Arial"/>
          <w:sz w:val="16"/>
          <w:szCs w:val="16"/>
          <w:color w:val="231F20"/>
        </w:rPr>
        <w:t>Pursuant to the Externalization Agreement with BCP, the Adviser became our investment adviser in exchange for a cash payment from BCP, or its affiliate, of $25 million, or $0.669672 per share of our common stock, directly to our stockholders. In addition, the Adviser (or its affiliate) will use up to $10 million of the incentive fee actually paid to the Adviser prior to the second anniversary of the Closing to buy newly issued shares of our common stock at the most recently determined net asset value per share of our common stock at the time of such purchase. In November 2020, the Adviser purchased approximately $570 thousand newly issued shares of our common stock in connection therewith, and in May 2021, the Adviser purchased approximately $4.0 million of newly issued shares of our common stock in connection therewith. In both cases, the shares were issued at the most recently determined net asset value per share of our common stock. The obligations of the Advisor to use incentive fees to purchase shares expired on April 1, 2021. For the period of one year from the first day of the first quarter following the quarter in which the Closing occurred, the Adviser will permanently forego up to the full amount of the incentive fees earned by the Adviser without recourse against or reimbursement by us, to the extent necessary in order to achieve aggregate net investment income per share of common stock for such one-year period to be at least equal to $0.40 per share, subject to certain adjustments. BCP and the Adviser’s total financial commitment to the transactions contemplated by the Externalization Agreement was $35.0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OHAI Transaction</w:t>
      </w:r>
    </w:p>
    <w:p>
      <w:pPr>
        <w:spacing w:after="0" w:line="117"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GARS Transaction</w:t>
      </w:r>
    </w:p>
    <w:p>
      <w:pPr>
        <w:spacing w:after="0" w:line="117" w:lineRule="exact"/>
        <w:rPr>
          <w:sz w:val="20"/>
          <w:szCs w:val="20"/>
          <w:color w:val="auto"/>
        </w:rPr>
      </w:pPr>
    </w:p>
    <w:p>
      <w:pPr>
        <w:ind w:right="60" w:firstLine="374"/>
        <w:spacing w:after="0" w:line="259" w:lineRule="auto"/>
        <w:rPr>
          <w:sz w:val="20"/>
          <w:szCs w:val="20"/>
          <w:color w:val="auto"/>
        </w:rPr>
      </w:pPr>
      <w:r>
        <w:rPr>
          <w:rFonts w:ascii="Arial" w:cs="Arial" w:eastAsia="Arial" w:hAnsi="Arial"/>
          <w:sz w:val="17"/>
          <w:szCs w:val="17"/>
          <w:color w:val="auto"/>
        </w:rPr>
        <w:t>On June 24, 2020, we entered into an Agreement and Plan of Merger (the “GARS Merger Agreement”) with Garrison Capital Inc., a publicly traded BDC (“GARS”), the Adviser and a wholly-owned merger subsidiary of the Company (such transaction, the “GARS Acquisition”), and on October 28, 2020 we completed the GARS Acquisition. To effect the acquisition, our wholly owned merger subsidiary merged with and into GARS, with GARS surviving the merger as our wholly owned subsidiary. Immediately thereafter and as a single integrated transaction, GARS consummated a second merger, whereby GARS merged with and into us, with the Company surviving the merger.</w:t>
      </w:r>
    </w:p>
    <w:p>
      <w:pPr>
        <w:spacing w:after="0" w:line="66" w:lineRule="exact"/>
        <w:rPr>
          <w:sz w:val="20"/>
          <w:szCs w:val="20"/>
          <w:color w:val="auto"/>
        </w:rPr>
      </w:pPr>
    </w:p>
    <w:p>
      <w:pPr>
        <w:jc w:val="center"/>
        <w:ind w:right="160"/>
        <w:spacing w:after="0" w:line="274" w:lineRule="auto"/>
        <w:rPr>
          <w:sz w:val="20"/>
          <w:szCs w:val="20"/>
          <w:color w:val="auto"/>
        </w:rPr>
      </w:pPr>
      <w:r>
        <w:rPr>
          <w:rFonts w:ascii="Arial" w:cs="Arial" w:eastAsia="Arial" w:hAnsi="Arial"/>
          <w:sz w:val="16"/>
          <w:szCs w:val="16"/>
          <w:color w:val="auto"/>
        </w:rPr>
        <w:t>In accordance with the terms of the GARS Merger Agreement, each share of common stock, par value $0.001 per share, of GARS (the “GARS Common Stock”) issued and outstanding was converted into the right to receive (i) an amount in cash, without interest, equal to approximately $1.19 and</w:t>
      </w:r>
    </w:p>
    <w:p>
      <w:pPr>
        <w:spacing w:after="0" w:line="1" w:lineRule="exact"/>
        <w:rPr>
          <w:sz w:val="20"/>
          <w:szCs w:val="20"/>
          <w:color w:val="auto"/>
        </w:rPr>
      </w:pPr>
    </w:p>
    <w:p>
      <w:pPr>
        <w:ind w:right="20" w:firstLine="8"/>
        <w:spacing w:after="0" w:line="256" w:lineRule="auto"/>
        <w:tabs>
          <w:tab w:leader="none" w:pos="265" w:val="left"/>
        </w:tabs>
        <w:numPr>
          <w:ilvl w:val="0"/>
          <w:numId w:val="85"/>
        </w:numPr>
        <w:rPr>
          <w:rFonts w:ascii="Arial" w:cs="Arial" w:eastAsia="Arial" w:hAnsi="Arial"/>
          <w:sz w:val="17"/>
          <w:szCs w:val="17"/>
          <w:color w:val="auto"/>
        </w:rPr>
      </w:pPr>
      <w:r>
        <w:rPr>
          <w:rFonts w:ascii="Arial" w:cs="Arial" w:eastAsia="Arial" w:hAnsi="Arial"/>
          <w:sz w:val="17"/>
          <w:szCs w:val="17"/>
          <w:color w:val="auto"/>
        </w:rPr>
        <w:t>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 In connection with the closing of the GARS Acquisition, the Board approved an increase in the size of the Board from seven members to nine members, and appointed each of Matthew Westwood and Joseph Morea to serve on the Board.</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HCAP Acquisition and Assumption and Redemption of HCAP Notes</w:t>
      </w:r>
    </w:p>
    <w:p>
      <w:pPr>
        <w:spacing w:after="0" w:line="185" w:lineRule="exact"/>
        <w:rPr>
          <w:sz w:val="20"/>
          <w:szCs w:val="20"/>
          <w:color w:val="auto"/>
        </w:rPr>
      </w:pPr>
    </w:p>
    <w:p>
      <w:pPr>
        <w:ind w:right="20" w:firstLine="374"/>
        <w:spacing w:after="0" w:line="248" w:lineRule="auto"/>
        <w:rPr>
          <w:sz w:val="20"/>
          <w:szCs w:val="20"/>
          <w:color w:val="auto"/>
        </w:rPr>
      </w:pPr>
      <w:r>
        <w:rPr>
          <w:rFonts w:ascii="Arial" w:cs="Arial" w:eastAsia="Arial" w:hAnsi="Arial"/>
          <w:sz w:val="18"/>
          <w:szCs w:val="18"/>
          <w:color w:val="auto"/>
        </w:rPr>
        <w:t>On December 23, 2020, we entered into an Agreement and Plan of Merger (the “HCAP Merger Agreement”) with Harvest Capital Credit Corporation, a publicly traded BDC (“HCAP”), the Adviser and a wholly-owned merger subsidiary (the “Acquisition Sub”) of the Company (such transaction, the “HCAP Acquisition”).</w:t>
      </w:r>
    </w:p>
    <w:p>
      <w:pPr>
        <w:spacing w:after="0" w:line="155" w:lineRule="exact"/>
        <w:rPr>
          <w:sz w:val="20"/>
          <w:szCs w:val="20"/>
          <w:color w:val="auto"/>
        </w:rPr>
      </w:pPr>
    </w:p>
    <w:p>
      <w:pPr>
        <w:ind w:right="100" w:firstLine="374"/>
        <w:spacing w:after="0" w:line="284" w:lineRule="auto"/>
        <w:rPr>
          <w:sz w:val="20"/>
          <w:szCs w:val="20"/>
          <w:color w:val="auto"/>
        </w:rPr>
      </w:pPr>
      <w:r>
        <w:rPr>
          <w:rFonts w:ascii="Arial" w:cs="Arial" w:eastAsia="Arial" w:hAnsi="Arial"/>
          <w:sz w:val="16"/>
          <w:szCs w:val="16"/>
          <w:color w:val="auto"/>
        </w:rPr>
        <w:t>On June 9, 2021 the Company completed the HCAP Acquisition, pursuant to the terms and conditions of the HCAP Merger Agreement. To effect the acquisition, the Acquisition Sub merged with and into HCAP, with HCAP surviving the merger as the Company’s wholly owned subsidiary. Immediately thereafter and as a single integrated transaction, HCAP consummated a second merger, whereby HCAP merged with and into the Company, with the Company surviving the merger. As a result of, and as of the effective time of, the second merger, HCAP’s separate corporate existence ceased.</w:t>
      </w:r>
    </w:p>
    <w:p>
      <w:pPr>
        <w:spacing w:after="0" w:line="142" w:lineRule="exact"/>
        <w:rPr>
          <w:sz w:val="20"/>
          <w:szCs w:val="20"/>
          <w:color w:val="auto"/>
        </w:rPr>
      </w:pPr>
    </w:p>
    <w:p>
      <w:pPr>
        <w:ind w:right="100" w:firstLine="374"/>
        <w:spacing w:after="0" w:line="290" w:lineRule="auto"/>
        <w:rPr>
          <w:sz w:val="20"/>
          <w:szCs w:val="20"/>
          <w:color w:val="auto"/>
        </w:rPr>
      </w:pPr>
      <w:r>
        <w:rPr>
          <w:rFonts w:ascii="Arial" w:cs="Arial" w:eastAsia="Arial" w:hAnsi="Arial"/>
          <w:sz w:val="16"/>
          <w:szCs w:val="16"/>
          <w:color w:val="auto"/>
        </w:rPr>
        <w:t>Under the terms of the HCAP Merger Agreement, HCAP stockholders as of immediately prior to the effective time of the first merger (other than shares held by a subsidiary of HCAP or held, directly or indirectly, by the Company or Acquisition Sub, and all treasury shares (collectively, “Cancelled Shares”)) received a combination of (i) $18.54 million in cash paid by the Company, (ii) 15,252,453 validly issued, fully paid and non-assessable shares of the Company’s common stock, par value $0.01 per share, and (iii) an additional cash payment from the Adviser of $2.15 million in the aggregate.</w:t>
      </w:r>
    </w:p>
    <w:p>
      <w:pPr>
        <w:spacing w:after="0" w:line="110"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With respect to the merger consideration from PTMN, HCAP stockholders as of immediately prior to the effective time of the first merger (other than Cancelled Shares) were entitled, with respect to all or any portion of the shares of HCAP common stock they held as of the effective time of the first merger, to elect to receive the merger consideration in the form of cash (an “Election”) or in the form of PTMN common stock, subject to certain conditions and limitations in the merger agreement. Any HCAP stockholder who did not validly make an Election was deemed to have elected to receive shares of the Company’s common stock with respect to the merger consideration as payment for their shares of HCAP common stock. Each share of HCAP common stock (other than Cancelled Shares) with respect to which an Election was made was treated as an “Electing Share” and each share of HCAP Common Stock (other than Cancelled Shares) with respect to which an Election was not made or that was transferred after the election deadline on June 2, 2021 was treated as a “Non-Electing Share.”</w:t>
      </w:r>
    </w:p>
    <w:p>
      <w:pPr>
        <w:spacing w:after="0" w:line="208" w:lineRule="exact"/>
        <w:rPr>
          <w:sz w:val="20"/>
          <w:szCs w:val="20"/>
          <w:color w:val="auto"/>
        </w:rPr>
      </w:pPr>
    </w:p>
    <w:p>
      <w:pPr>
        <w:ind w:right="40" w:firstLine="749"/>
        <w:spacing w:after="0" w:line="290" w:lineRule="auto"/>
        <w:rPr>
          <w:sz w:val="20"/>
          <w:szCs w:val="20"/>
          <w:color w:val="auto"/>
        </w:rPr>
      </w:pPr>
      <w:r>
        <w:rPr>
          <w:rFonts w:ascii="Arial" w:cs="Arial" w:eastAsia="Arial" w:hAnsi="Arial"/>
          <w:sz w:val="17"/>
          <w:szCs w:val="17"/>
          <w:color w:val="auto"/>
        </w:rPr>
        <w:t>Pursuant to the conditions of and adjustment mechanisms in the HCAP Merger Agreement, 475,806 Electing Shares were converted to Non-Electing Shares for purposes of calculating the total mix of consideration to be paid to each Electing Share in order to ensure that the value of the aggregate cash consideration paid to holders of the Electing Shares equaled the aggregate cash consideration that HCAP received from the Company under the terms of the HCAP Merger Agreement. Accordingly, as a result of the Elections received from HCAP stockholders and any resulting adjustment under the terms of the HCAP Merger Agreement, each Electing Share received, in aggregate, approximately $7.43 in cash and 0.74 shares of PTMN common stock, while each Non-Electing Share received, in aggregate, approximately 3.86 shares of PTMN common stock.</w:t>
      </w:r>
    </w:p>
    <w:p>
      <w:pPr>
        <w:spacing w:after="0" w:line="189" w:lineRule="exact"/>
        <w:rPr>
          <w:sz w:val="20"/>
          <w:szCs w:val="20"/>
          <w:color w:val="auto"/>
        </w:rPr>
      </w:pPr>
    </w:p>
    <w:p>
      <w:pPr>
        <w:ind w:right="20" w:firstLine="749"/>
        <w:spacing w:after="0" w:line="275" w:lineRule="auto"/>
        <w:rPr>
          <w:sz w:val="20"/>
          <w:szCs w:val="20"/>
          <w:color w:val="auto"/>
        </w:rPr>
      </w:pPr>
      <w:r>
        <w:rPr>
          <w:rFonts w:ascii="Arial" w:cs="Arial" w:eastAsia="Arial" w:hAnsi="Arial"/>
          <w:sz w:val="18"/>
          <w:szCs w:val="18"/>
          <w:color w:val="auto"/>
        </w:rPr>
        <w:t>On June 9, 2021, the Company entered into a third supplemental indenture (the “HCAP Third Supplemental Indenture”) by and between the Company and U.S. Bank National Association, as trustee (the “Trustee”), effective as of the closing of the HCAP Acquisition. The HCAP Third Supplemental Indenture relates to the Company’s assumption of $28.75 million in aggregate principal amount of HCAP’s 6.125% Notes due September 15, 2022 (the “HCAP Notes”).</w:t>
      </w:r>
    </w:p>
    <w:p>
      <w:pPr>
        <w:spacing w:after="0" w:line="158" w:lineRule="exact"/>
        <w:rPr>
          <w:sz w:val="20"/>
          <w:szCs w:val="20"/>
          <w:color w:val="auto"/>
        </w:rPr>
      </w:pPr>
    </w:p>
    <w:p>
      <w:pPr>
        <w:ind w:right="80" w:firstLine="749"/>
        <w:spacing w:after="0" w:line="288" w:lineRule="auto"/>
        <w:rPr>
          <w:sz w:val="20"/>
          <w:szCs w:val="20"/>
          <w:color w:val="auto"/>
        </w:rPr>
      </w:pPr>
      <w:r>
        <w:rPr>
          <w:rFonts w:ascii="Arial" w:cs="Arial" w:eastAsia="Arial" w:hAnsi="Arial"/>
          <w:sz w:val="18"/>
          <w:szCs w:val="18"/>
          <w:color w:val="auto"/>
        </w:rPr>
        <w:t>Pursuant to the HCAP Third Supplemental Indenture, the Company expressly assumed the due and punctual payment of the principal of (and premium, if any) and interest, if any, on the HCAP Notes and the performance of HCAP’s covenants under the base indenture, dated as of January 27, 2015, by and between HCAP and the Trustee, as supplemented by the second supplemental indenture, dated as of August 24, 2017, by and between HCAP and the Trustee. No change of control offer was required to be made in respect of the HCAP Notes in connection with the consummation of the HCAP Acquisition.</w:t>
      </w:r>
    </w:p>
    <w:p>
      <w:pPr>
        <w:spacing w:after="0" w:line="149" w:lineRule="exact"/>
        <w:rPr>
          <w:sz w:val="20"/>
          <w:szCs w:val="20"/>
          <w:color w:val="auto"/>
        </w:rPr>
      </w:pPr>
    </w:p>
    <w:p>
      <w:pPr>
        <w:ind w:right="100" w:firstLine="749"/>
        <w:spacing w:after="0" w:line="308" w:lineRule="auto"/>
        <w:rPr>
          <w:sz w:val="20"/>
          <w:szCs w:val="20"/>
          <w:color w:val="auto"/>
        </w:rPr>
      </w:pPr>
      <w:r>
        <w:rPr>
          <w:rFonts w:ascii="Arial" w:cs="Arial" w:eastAsia="Arial" w:hAnsi="Arial"/>
          <w:sz w:val="18"/>
          <w:szCs w:val="18"/>
          <w:color w:val="auto"/>
        </w:rPr>
        <w:t>The HCAP Notes could be redeemed by the Company at any time at par value plus accrued and unpaid interest. On July 23, 2021, the Company redeemed the entire notional amount of $28.75 million of the HCAP Notes.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firstLine="749"/>
        <w:spacing w:after="0" w:line="290" w:lineRule="auto"/>
        <w:rPr>
          <w:sz w:val="20"/>
          <w:szCs w:val="20"/>
          <w:color w:val="auto"/>
        </w:rPr>
      </w:pPr>
      <w:r>
        <w:rPr>
          <w:rFonts w:ascii="Arial" w:cs="Arial" w:eastAsia="Arial" w:hAnsi="Arial"/>
          <w:sz w:val="18"/>
          <w:szCs w:val="18"/>
          <w:color w:val="auto"/>
        </w:rPr>
        <w:t>On August 23, 2021, the Company filed a Certificate of Amendment (the “Reverse Stock Split Certificate of Amendment”) to the Company’s Certificate of Incorporation with the Secretary of State of the State of Delaware to effect a 1-for-10 reverse stock split of the issued and outstanding (or held in treasury) shares of the Company’s common stock, par value $0.01 per share (the “Reverse Stock Split”). The Reverse Stock Split became effective as of 12:01 a.m. (Eastern Time) on August 26, 2021.</w:t>
      </w:r>
    </w:p>
    <w:p>
      <w:pPr>
        <w:spacing w:after="0" w:line="215" w:lineRule="exact"/>
        <w:rPr>
          <w:sz w:val="20"/>
          <w:szCs w:val="20"/>
          <w:color w:val="auto"/>
        </w:rPr>
      </w:pPr>
    </w:p>
    <w:p>
      <w:pPr>
        <w:ind w:right="160"/>
        <w:spacing w:after="0" w:line="281" w:lineRule="auto"/>
        <w:rPr>
          <w:sz w:val="20"/>
          <w:szCs w:val="20"/>
          <w:color w:val="auto"/>
        </w:rPr>
      </w:pPr>
      <w:r>
        <w:rPr>
          <w:rFonts w:ascii="Arial" w:cs="Arial" w:eastAsia="Arial" w:hAnsi="Arial"/>
          <w:sz w:val="18"/>
          <w:szCs w:val="18"/>
          <w:color w:val="auto"/>
        </w:rPr>
        <w:t>As a result of the Reverse Stock Split, every ten shares of issued and outstanding common stock were automatically combined into one issued and outstanding share of common stock, without any change in the par value per share. No fractional shares were issued as a result of the Reverse Stock Split. Instead, any stockholder who would have been entitled to receive a fractional share as a result of</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2" w:name="page83"/>
    <w:bookmarkEnd w:id="82"/>
    <w:p>
      <w:pPr>
        <w:ind w:right="660"/>
        <w:spacing w:after="0" w:line="308" w:lineRule="auto"/>
        <w:rPr>
          <w:sz w:val="20"/>
          <w:szCs w:val="20"/>
          <w:color w:val="auto"/>
        </w:rPr>
      </w:pPr>
      <w:r>
        <w:rPr>
          <w:rFonts w:ascii="Arial" w:cs="Arial" w:eastAsia="Arial" w:hAnsi="Arial"/>
          <w:sz w:val="18"/>
          <w:szCs w:val="18"/>
          <w:color w:val="auto"/>
        </w:rPr>
        <w:t>the Reverse Stock Split received cash payments in lieu of such fractional shares (without interest and subject to backup withholding and applicable withholding taxes).</w:t>
      </w:r>
    </w:p>
    <w:p>
      <w:pPr>
        <w:spacing w:after="0" w:line="387" w:lineRule="exact"/>
        <w:rPr>
          <w:sz w:val="20"/>
          <w:szCs w:val="20"/>
          <w:color w:val="auto"/>
        </w:rPr>
      </w:pPr>
    </w:p>
    <w:p>
      <w:pPr>
        <w:ind w:right="40" w:firstLine="749"/>
        <w:spacing w:after="0" w:line="288" w:lineRule="auto"/>
        <w:rPr>
          <w:sz w:val="20"/>
          <w:szCs w:val="20"/>
          <w:color w:val="auto"/>
        </w:rPr>
      </w:pPr>
      <w:r>
        <w:rPr>
          <w:rFonts w:ascii="Arial" w:cs="Arial" w:eastAsia="Arial" w:hAnsi="Arial"/>
          <w:sz w:val="18"/>
          <w:szCs w:val="18"/>
          <w:color w:val="auto"/>
        </w:rPr>
        <w:t>On August 23, 2021, the Company filed a Certificate of Amendment to decrease the number of authorized shares of common stock by one half of the reverse stock split ratio (the “Decrease Shares Certificate of Amendment”) with the Secretary of State of the State of Delaware. The Decrease Shares Certificate of Amendment became effective as of 12:05 a.m. (Eastern Time) on August 26, 2021. Following the effectiveness of the Decrease Shares Certificate of Amendment, the number of authorized shares of common stock under the Company’s Certificate of Incorporation was reduced from 100 million shares to 20 million shares.</w:t>
      </w:r>
    </w:p>
    <w:p>
      <w:pPr>
        <w:spacing w:after="0" w:line="216" w:lineRule="exact"/>
        <w:rPr>
          <w:sz w:val="20"/>
          <w:szCs w:val="20"/>
          <w:color w:val="auto"/>
        </w:rPr>
      </w:pPr>
    </w:p>
    <w:p>
      <w:pPr>
        <w:ind w:right="20"/>
        <w:spacing w:after="0" w:line="308" w:lineRule="auto"/>
        <w:rPr>
          <w:sz w:val="20"/>
          <w:szCs w:val="20"/>
          <w:color w:val="auto"/>
        </w:rPr>
      </w:pPr>
      <w:r>
        <w:rPr>
          <w:rFonts w:ascii="Arial" w:cs="Arial" w:eastAsia="Arial" w:hAnsi="Arial"/>
          <w:sz w:val="18"/>
          <w:szCs w:val="18"/>
          <w:color w:val="auto"/>
        </w:rPr>
        <w:t>The Reverse Stock Split Certificate of Amendment and the Decrease Shares Certificate of Amendment were approved by the Company’s stockholders at its annual meeting held on June 7, 2021 and were approved by the Board on August 4, 2021.</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16" w:lineRule="exact"/>
        <w:rPr>
          <w:sz w:val="20"/>
          <w:szCs w:val="20"/>
          <w:color w:val="auto"/>
        </w:rPr>
      </w:pPr>
    </w:p>
    <w:p>
      <w:pPr>
        <w:ind w:right="140" w:firstLine="374"/>
        <w:spacing w:after="0" w:line="279" w:lineRule="auto"/>
        <w:rPr>
          <w:sz w:val="20"/>
          <w:szCs w:val="20"/>
          <w:color w:val="auto"/>
        </w:rPr>
      </w:pPr>
      <w:r>
        <w:rPr>
          <w:rFonts w:ascii="Arial" w:cs="Arial" w:eastAsia="Arial" w:hAnsi="Arial"/>
          <w:sz w:val="18"/>
          <w:szCs w:val="18"/>
          <w:color w:val="auto"/>
        </w:rPr>
        <w:t>Our primary investments are lending to and investing in middle-market businesses through investments in senior secured loans, junior secured loans, subordinated/mezzanine debt investments, and other equity investments, which may include warrants, investments in joint ventures, and investments in CLO Fund Securities.</w:t>
      </w:r>
    </w:p>
    <w:p>
      <w:pPr>
        <w:spacing w:after="0" w:line="142" w:lineRule="exact"/>
        <w:rPr>
          <w:sz w:val="20"/>
          <w:szCs w:val="20"/>
          <w:color w:val="auto"/>
        </w:rPr>
      </w:pPr>
    </w:p>
    <w:p>
      <w:pPr>
        <w:ind w:right="200" w:firstLine="374"/>
        <w:spacing w:after="0" w:line="271" w:lineRule="auto"/>
        <w:rPr>
          <w:sz w:val="20"/>
          <w:szCs w:val="20"/>
          <w:color w:val="auto"/>
        </w:rPr>
      </w:pPr>
      <w:r>
        <w:rPr>
          <w:rFonts w:ascii="Arial" w:cs="Arial" w:eastAsia="Arial" w:hAnsi="Arial"/>
          <w:sz w:val="18"/>
          <w:szCs w:val="18"/>
          <w:color w:val="auto"/>
        </w:rPr>
        <w:t>Total portfolio investment activity (excluding activity in short-term investments) for the nine months ended September 30, 2021 (unaudited) and for the year ended December 31, 2020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ind w:left="200"/>
              <w:spacing w:after="0"/>
              <w:rPr>
                <w:sz w:val="20"/>
                <w:szCs w:val="20"/>
                <w:color w:val="auto"/>
              </w:rPr>
            </w:pPr>
            <w:r>
              <w:rPr>
                <w:rFonts w:ascii="Arial" w:cs="Arial" w:eastAsia="Arial" w:hAnsi="Arial"/>
                <w:sz w:val="13"/>
                <w:szCs w:val="13"/>
                <w:b w:val="1"/>
                <w:bCs w:val="1"/>
                <w:color w:val="auto"/>
              </w:rPr>
              <w:t>Asset</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57"/>
              <w:spacing w:after="0"/>
              <w:rPr>
                <w:sz w:val="20"/>
                <w:szCs w:val="20"/>
                <w:color w:val="auto"/>
              </w:rPr>
            </w:pPr>
            <w:r>
              <w:rPr>
                <w:rFonts w:ascii="Arial" w:cs="Arial" w:eastAsia="Arial" w:hAnsi="Arial"/>
                <w:sz w:val="13"/>
                <w:szCs w:val="13"/>
                <w:b w:val="1"/>
                <w:bCs w:val="1"/>
                <w:color w:val="auto"/>
              </w:rPr>
              <w:t>Debt</w:t>
            </w:r>
          </w:p>
        </w:tc>
        <w:tc>
          <w:tcPr>
            <w:tcW w:w="200" w:type="dxa"/>
            <w:vAlign w:val="bottom"/>
          </w:tcPr>
          <w:p>
            <w:pPr>
              <w:spacing w:after="0"/>
              <w:rPr>
                <w:sz w:val="14"/>
                <w:szCs w:val="14"/>
                <w:color w:val="auto"/>
              </w:rPr>
            </w:pPr>
          </w:p>
        </w:tc>
        <w:tc>
          <w:tcPr>
            <w:tcW w:w="1100" w:type="dxa"/>
            <w:vAlign w:val="bottom"/>
          </w:tcPr>
          <w:p>
            <w:pPr>
              <w:jc w:val="right"/>
              <w:ind w:right="337"/>
              <w:spacing w:after="0"/>
              <w:rPr>
                <w:sz w:val="20"/>
                <w:szCs w:val="20"/>
                <w:color w:val="auto"/>
              </w:rPr>
            </w:pPr>
            <w:r>
              <w:rPr>
                <w:rFonts w:ascii="Arial" w:cs="Arial" w:eastAsia="Arial" w:hAnsi="Arial"/>
                <w:sz w:val="13"/>
                <w:szCs w:val="13"/>
                <w:b w:val="1"/>
                <w:bCs w:val="1"/>
                <w:color w:val="auto"/>
              </w:rPr>
              <w:t>CLO Fund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477"/>
              <w:spacing w:after="0"/>
              <w:rPr>
                <w:sz w:val="20"/>
                <w:szCs w:val="20"/>
                <w:color w:val="auto"/>
              </w:rPr>
            </w:pPr>
            <w:r>
              <w:rPr>
                <w:rFonts w:ascii="Arial" w:cs="Arial" w:eastAsia="Arial" w:hAnsi="Arial"/>
                <w:sz w:val="13"/>
                <w:szCs w:val="13"/>
                <w:b w:val="1"/>
                <w:bCs w:val="1"/>
                <w:color w:val="auto"/>
              </w:rPr>
              <w:t>Equity</w:t>
            </w:r>
          </w:p>
        </w:tc>
        <w:tc>
          <w:tcPr>
            <w:tcW w:w="180" w:type="dxa"/>
            <w:vAlign w:val="bottom"/>
          </w:tcPr>
          <w:p>
            <w:pPr>
              <w:spacing w:after="0"/>
              <w:rPr>
                <w:sz w:val="14"/>
                <w:szCs w:val="14"/>
                <w:color w:val="auto"/>
              </w:rPr>
            </w:pPr>
          </w:p>
        </w:tc>
        <w:tc>
          <w:tcPr>
            <w:tcW w:w="1240" w:type="dxa"/>
            <w:vAlign w:val="bottom"/>
            <w:gridSpan w:val="3"/>
          </w:tcPr>
          <w:p>
            <w:pPr>
              <w:ind w:left="100"/>
              <w:spacing w:after="0"/>
              <w:rPr>
                <w:sz w:val="20"/>
                <w:szCs w:val="20"/>
                <w:color w:val="auto"/>
              </w:rPr>
            </w:pPr>
            <w:r>
              <w:rPr>
                <w:rFonts w:ascii="Arial" w:cs="Arial" w:eastAsia="Arial" w:hAnsi="Arial"/>
                <w:sz w:val="13"/>
                <w:szCs w:val="13"/>
                <w:b w:val="1"/>
                <w:bCs w:val="1"/>
                <w:color w:val="auto"/>
              </w:rPr>
              <w:t>Manager</w:t>
            </w:r>
          </w:p>
        </w:tc>
        <w:tc>
          <w:tcPr>
            <w:tcW w:w="1040" w:type="dxa"/>
            <w:vAlign w:val="bottom"/>
          </w:tcPr>
          <w:p>
            <w:pPr>
              <w:jc w:val="right"/>
              <w:ind w:right="477"/>
              <w:spacing w:after="0"/>
              <w:rPr>
                <w:sz w:val="20"/>
                <w:szCs w:val="20"/>
                <w:color w:val="auto"/>
              </w:rPr>
            </w:pPr>
            <w:r>
              <w:rPr>
                <w:rFonts w:ascii="Arial" w:cs="Arial" w:eastAsia="Arial" w:hAnsi="Arial"/>
                <w:sz w:val="13"/>
                <w:szCs w:val="13"/>
                <w:b w:val="1"/>
                <w:bCs w:val="1"/>
                <w:color w:val="auto"/>
              </w:rPr>
              <w:t>Joint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477"/>
              <w:spacing w:after="0"/>
              <w:rPr>
                <w:sz w:val="20"/>
                <w:szCs w:val="20"/>
                <w:color w:val="auto"/>
              </w:rPr>
            </w:pPr>
            <w:r>
              <w:rPr>
                <w:rFonts w:ascii="Arial" w:cs="Arial" w:eastAsia="Arial" w:hAnsi="Arial"/>
                <w:sz w:val="13"/>
                <w:szCs w:val="13"/>
                <w:b w:val="1"/>
                <w:bCs w:val="1"/>
                <w:color w:val="auto"/>
              </w:rPr>
              <w:t>Total</w:t>
            </w:r>
          </w:p>
        </w:tc>
      </w:tr>
      <w:tr>
        <w:trPr>
          <w:trHeight w:val="174"/>
        </w:trPr>
        <w:tc>
          <w:tcPr>
            <w:tcW w:w="2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17"/>
              <w:spacing w:after="0"/>
              <w:rPr>
                <w:sz w:val="20"/>
                <w:szCs w:val="20"/>
                <w:color w:val="auto"/>
              </w:rPr>
            </w:pPr>
            <w:r>
              <w:rPr>
                <w:rFonts w:ascii="Arial" w:cs="Arial" w:eastAsia="Arial" w:hAnsi="Arial"/>
                <w:sz w:val="13"/>
                <w:szCs w:val="13"/>
                <w:b w:val="1"/>
                <w:bCs w:val="1"/>
                <w:color w:val="auto"/>
              </w:rPr>
              <w:t>Securities</w:t>
            </w:r>
          </w:p>
        </w:tc>
        <w:tc>
          <w:tcPr>
            <w:tcW w:w="200" w:type="dxa"/>
            <w:vAlign w:val="bottom"/>
          </w:tcPr>
          <w:p>
            <w:pPr>
              <w:spacing w:after="0"/>
              <w:rPr>
                <w:sz w:val="15"/>
                <w:szCs w:val="15"/>
                <w:color w:val="auto"/>
              </w:rPr>
            </w:pPr>
          </w:p>
        </w:tc>
        <w:tc>
          <w:tcPr>
            <w:tcW w:w="1100" w:type="dxa"/>
            <w:vAlign w:val="bottom"/>
          </w:tcPr>
          <w:p>
            <w:pPr>
              <w:jc w:val="right"/>
              <w:ind w:right="357"/>
              <w:spacing w:after="0"/>
              <w:rPr>
                <w:sz w:val="20"/>
                <w:szCs w:val="20"/>
                <w:color w:val="auto"/>
              </w:rPr>
            </w:pPr>
            <w:r>
              <w:rPr>
                <w:rFonts w:ascii="Arial" w:cs="Arial" w:eastAsia="Arial" w:hAnsi="Arial"/>
                <w:sz w:val="13"/>
                <w:szCs w:val="13"/>
                <w:b w:val="1"/>
                <w:bCs w:val="1"/>
                <w:color w:val="auto"/>
              </w:rPr>
              <w:t>Securities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397"/>
              <w:spacing w:after="0"/>
              <w:rPr>
                <w:sz w:val="20"/>
                <w:szCs w:val="20"/>
                <w:color w:val="auto"/>
              </w:rPr>
            </w:pPr>
            <w:r>
              <w:rPr>
                <w:rFonts w:ascii="Arial" w:cs="Arial" w:eastAsia="Arial" w:hAnsi="Arial"/>
                <w:sz w:val="13"/>
                <w:szCs w:val="13"/>
                <w:b w:val="1"/>
                <w:bCs w:val="1"/>
                <w:color w:val="auto"/>
              </w:rPr>
              <w:t>Securities</w:t>
            </w:r>
          </w:p>
        </w:tc>
        <w:tc>
          <w:tcPr>
            <w:tcW w:w="180" w:type="dxa"/>
            <w:vAlign w:val="bottom"/>
          </w:tcPr>
          <w:p>
            <w:pPr>
              <w:spacing w:after="0"/>
              <w:rPr>
                <w:sz w:val="15"/>
                <w:szCs w:val="15"/>
                <w:color w:val="auto"/>
              </w:rPr>
            </w:pPr>
          </w:p>
        </w:tc>
        <w:tc>
          <w:tcPr>
            <w:tcW w:w="1240" w:type="dxa"/>
            <w:vAlign w:val="bottom"/>
            <w:gridSpan w:val="3"/>
          </w:tcPr>
          <w:p>
            <w:pPr>
              <w:ind w:left="100"/>
              <w:spacing w:after="0"/>
              <w:rPr>
                <w:sz w:val="20"/>
                <w:szCs w:val="20"/>
                <w:color w:val="auto"/>
              </w:rPr>
            </w:pPr>
            <w:r>
              <w:rPr>
                <w:rFonts w:ascii="Arial" w:cs="Arial" w:eastAsia="Arial" w:hAnsi="Arial"/>
                <w:sz w:val="13"/>
                <w:szCs w:val="13"/>
                <w:b w:val="1"/>
                <w:bCs w:val="1"/>
                <w:color w:val="auto"/>
              </w:rPr>
              <w:t>Affiliates</w:t>
            </w:r>
          </w:p>
        </w:tc>
        <w:tc>
          <w:tcPr>
            <w:tcW w:w="1040" w:type="dxa"/>
            <w:vAlign w:val="bottom"/>
          </w:tcPr>
          <w:p>
            <w:pPr>
              <w:jc w:val="right"/>
              <w:ind w:right="377"/>
              <w:spacing w:after="0"/>
              <w:rPr>
                <w:sz w:val="20"/>
                <w:szCs w:val="20"/>
                <w:color w:val="auto"/>
              </w:rPr>
            </w:pPr>
            <w:r>
              <w:rPr>
                <w:rFonts w:ascii="Arial" w:cs="Arial" w:eastAsia="Arial" w:hAnsi="Arial"/>
                <w:sz w:val="13"/>
                <w:szCs w:val="13"/>
                <w:b w:val="1"/>
                <w:bCs w:val="1"/>
                <w:color w:val="auto"/>
              </w:rPr>
              <w:t>Ventures</w:t>
            </w:r>
          </w:p>
        </w:tc>
        <w:tc>
          <w:tcPr>
            <w:tcW w:w="180" w:type="dxa"/>
            <w:vAlign w:val="bottom"/>
          </w:tcPr>
          <w:p>
            <w:pPr>
              <w:spacing w:after="0"/>
              <w:rPr>
                <w:sz w:val="15"/>
                <w:szCs w:val="15"/>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w w:val="95"/>
              </w:rPr>
              <w:t>Derivatives</w:t>
            </w:r>
          </w:p>
        </w:tc>
        <w:tc>
          <w:tcPr>
            <w:tcW w:w="1060" w:type="dxa"/>
            <w:vAlign w:val="bottom"/>
          </w:tcPr>
          <w:p>
            <w:pPr>
              <w:jc w:val="right"/>
              <w:ind w:right="377"/>
              <w:spacing w:after="0"/>
              <w:rPr>
                <w:sz w:val="20"/>
                <w:szCs w:val="20"/>
                <w:color w:val="auto"/>
              </w:rPr>
            </w:pPr>
            <w:r>
              <w:rPr>
                <w:rFonts w:ascii="Arial" w:cs="Arial" w:eastAsia="Arial" w:hAnsi="Arial"/>
                <w:sz w:val="13"/>
                <w:szCs w:val="13"/>
                <w:b w:val="1"/>
                <w:bCs w:val="1"/>
                <w:color w:val="auto"/>
              </w:rPr>
              <w:t>Portfolio</w:t>
            </w:r>
          </w:p>
        </w:tc>
      </w:tr>
      <w:tr>
        <w:trPr>
          <w:trHeight w:val="173"/>
        </w:trPr>
        <w:tc>
          <w:tcPr>
            <w:tcW w:w="2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Fair Value at December 31, 2019</w:t>
            </w:r>
          </w:p>
        </w:tc>
        <w:tc>
          <w:tcPr>
            <w:tcW w:w="22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right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right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right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right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r>
      <w:tr>
        <w:trPr>
          <w:trHeight w:val="178"/>
        </w:trPr>
        <w:tc>
          <w:tcPr>
            <w:tcW w:w="22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2020 Activity:</w:t>
            </w:r>
          </w:p>
        </w:tc>
        <w:tc>
          <w:tcPr>
            <w:tcW w:w="22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186,802,908</w:t>
            </w: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31,968,202</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9,864,419</w:t>
            </w:r>
          </w:p>
        </w:tc>
        <w:tc>
          <w:tcPr>
            <w:tcW w:w="18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ind w:left="74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45,087,967</w:t>
            </w:r>
          </w:p>
        </w:tc>
        <w:tc>
          <w:tcPr>
            <w:tcW w:w="180" w:type="dxa"/>
            <w:vAlign w:val="bottom"/>
            <w:shd w:val="clear" w:color="auto" w:fill="CFF0FC"/>
          </w:tcPr>
          <w:p>
            <w:pPr>
              <w:spacing w:after="0"/>
              <w:rPr>
                <w:sz w:val="15"/>
                <w:szCs w:val="15"/>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(33,437 )</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273,690,061</w:t>
            </w:r>
          </w:p>
        </w:tc>
      </w:tr>
      <w:tr>
        <w:trPr>
          <w:trHeight w:val="181"/>
        </w:trPr>
        <w:tc>
          <w:tcPr>
            <w:tcW w:w="2200" w:type="dxa"/>
            <w:vAlign w:val="bottom"/>
          </w:tcPr>
          <w:p>
            <w:pPr>
              <w:ind w:left="200"/>
              <w:spacing w:after="0"/>
              <w:rPr>
                <w:sz w:val="20"/>
                <w:szCs w:val="20"/>
                <w:color w:val="auto"/>
              </w:rPr>
            </w:pPr>
            <w:r>
              <w:rPr>
                <w:rFonts w:ascii="Arial" w:cs="Arial" w:eastAsia="Arial" w:hAnsi="Arial"/>
                <w:sz w:val="13"/>
                <w:szCs w:val="13"/>
                <w:color w:val="auto"/>
              </w:rPr>
              <w:t>Purchases / originations / draws</w:t>
            </w:r>
          </w:p>
        </w:tc>
        <w:tc>
          <w:tcPr>
            <w:tcW w:w="220" w:type="dxa"/>
            <w:vAlign w:val="bottom"/>
          </w:tcPr>
          <w:p>
            <w:pPr>
              <w:spacing w:after="0"/>
              <w:rPr>
                <w:sz w:val="15"/>
                <w:szCs w:val="15"/>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380,765,492</w:t>
            </w:r>
          </w:p>
        </w:tc>
        <w:tc>
          <w:tcPr>
            <w:tcW w:w="200" w:type="dxa"/>
            <w:vAlign w:val="bottom"/>
          </w:tcPr>
          <w:p>
            <w:pPr>
              <w:spacing w:after="0"/>
              <w:rPr>
                <w:sz w:val="15"/>
                <w:szCs w:val="15"/>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4,937,711</w:t>
            </w:r>
          </w:p>
        </w:tc>
        <w:tc>
          <w:tcPr>
            <w:tcW w:w="180" w:type="dxa"/>
            <w:vAlign w:val="bottom"/>
          </w:tcPr>
          <w:p>
            <w:pPr>
              <w:spacing w:after="0"/>
              <w:rPr>
                <w:sz w:val="15"/>
                <w:szCs w:val="15"/>
                <w:color w:val="auto"/>
              </w:rPr>
            </w:pPr>
          </w:p>
        </w:tc>
        <w:tc>
          <w:tcPr>
            <w:tcW w:w="1240" w:type="dxa"/>
            <w:vAlign w:val="bottom"/>
            <w:gridSpan w:val="3"/>
          </w:tcPr>
          <w:p>
            <w:pPr>
              <w:ind w:left="74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14,098,055</w:t>
            </w:r>
          </w:p>
        </w:tc>
        <w:tc>
          <w:tcPr>
            <w:tcW w:w="180" w:type="dxa"/>
            <w:vAlign w:val="bottom"/>
          </w:tcPr>
          <w:p>
            <w:pPr>
              <w:spacing w:after="0"/>
              <w:rPr>
                <w:sz w:val="15"/>
                <w:szCs w:val="15"/>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399,801,258</w:t>
            </w:r>
          </w:p>
        </w:tc>
      </w:tr>
      <w:tr>
        <w:trPr>
          <w:trHeight w:val="197"/>
        </w:trPr>
        <w:tc>
          <w:tcPr>
            <w:tcW w:w="22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Pay-downs / pay-offs / sales</w:t>
            </w:r>
          </w:p>
        </w:tc>
        <w:tc>
          <w:tcPr>
            <w:tcW w:w="22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(198,364,694 )</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(4,432,200 )</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(1,515,936 )</w:t>
            </w:r>
          </w:p>
        </w:tc>
        <w:tc>
          <w:tcPr>
            <w:tcW w:w="18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ind w:left="74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(7,760,136 )</w:t>
            </w:r>
          </w:p>
        </w:tc>
        <w:tc>
          <w:tcPr>
            <w:tcW w:w="18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(976,968 )</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(213,049,934 )</w:t>
            </w:r>
          </w:p>
        </w:tc>
      </w:tr>
      <w:tr>
        <w:trPr>
          <w:trHeight w:val="181"/>
        </w:trPr>
        <w:tc>
          <w:tcPr>
            <w:tcW w:w="2200" w:type="dxa"/>
            <w:vAlign w:val="bottom"/>
          </w:tcPr>
          <w:p>
            <w:pPr>
              <w:ind w:left="200"/>
              <w:spacing w:after="0"/>
              <w:rPr>
                <w:sz w:val="20"/>
                <w:szCs w:val="20"/>
                <w:color w:val="auto"/>
              </w:rPr>
            </w:pPr>
            <w:r>
              <w:rPr>
                <w:rFonts w:ascii="Arial" w:cs="Arial" w:eastAsia="Arial" w:hAnsi="Arial"/>
                <w:sz w:val="13"/>
                <w:szCs w:val="13"/>
                <w:color w:val="auto"/>
              </w:rPr>
              <w:t>Net accretion of interest</w:t>
            </w:r>
          </w:p>
        </w:tc>
        <w:tc>
          <w:tcPr>
            <w:tcW w:w="220" w:type="dxa"/>
            <w:vAlign w:val="bottom"/>
          </w:tcPr>
          <w:p>
            <w:pPr>
              <w:spacing w:after="0"/>
              <w:rPr>
                <w:sz w:val="15"/>
                <w:szCs w:val="15"/>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8,228,390</w:t>
            </w:r>
          </w:p>
        </w:tc>
        <w:tc>
          <w:tcPr>
            <w:tcW w:w="200" w:type="dxa"/>
            <w:vAlign w:val="bottom"/>
          </w:tcPr>
          <w:p>
            <w:pPr>
              <w:spacing w:after="0"/>
              <w:rPr>
                <w:sz w:val="15"/>
                <w:szCs w:val="15"/>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3,541,296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40" w:type="dxa"/>
            <w:vAlign w:val="bottom"/>
            <w:gridSpan w:val="3"/>
          </w:tcPr>
          <w:p>
            <w:pPr>
              <w:ind w:left="74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11,769,686</w:t>
            </w:r>
          </w:p>
        </w:tc>
      </w:tr>
      <w:tr>
        <w:trPr>
          <w:trHeight w:val="197"/>
        </w:trPr>
        <w:tc>
          <w:tcPr>
            <w:tcW w:w="22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realized gains (losses)</w:t>
            </w:r>
          </w:p>
        </w:tc>
        <w:tc>
          <w:tcPr>
            <w:tcW w:w="22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7,616,860</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(989,131 )</w:t>
            </w:r>
          </w:p>
        </w:tc>
        <w:tc>
          <w:tcPr>
            <w:tcW w:w="18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ind w:left="74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976,968</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7,604,697</w:t>
            </w:r>
          </w:p>
        </w:tc>
      </w:tr>
      <w:tr>
        <w:trPr>
          <w:trHeight w:val="183"/>
        </w:trPr>
        <w:tc>
          <w:tcPr>
            <w:tcW w:w="2200" w:type="dxa"/>
            <w:vAlign w:val="bottom"/>
          </w:tcPr>
          <w:p>
            <w:pPr>
              <w:ind w:left="200"/>
              <w:spacing w:after="0"/>
              <w:rPr>
                <w:sz w:val="20"/>
                <w:szCs w:val="20"/>
                <w:color w:val="auto"/>
              </w:rPr>
            </w:pPr>
            <w:r>
              <w:rPr>
                <w:rFonts w:ascii="Arial" w:cs="Arial" w:eastAsia="Arial" w:hAnsi="Arial"/>
                <w:sz w:val="13"/>
                <w:szCs w:val="13"/>
                <w:color w:val="auto"/>
              </w:rPr>
              <w:t>Increase (decrease) in fair value</w:t>
            </w:r>
          </w:p>
        </w:tc>
        <w:tc>
          <w:tcPr>
            <w:tcW w:w="220" w:type="dxa"/>
            <w:vAlign w:val="bottom"/>
          </w:tcPr>
          <w:p>
            <w:pPr>
              <w:spacing w:after="0"/>
              <w:rPr>
                <w:sz w:val="15"/>
                <w:szCs w:val="15"/>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19,811,899</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(11,494,743 )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1,647,812</w:t>
            </w:r>
          </w:p>
        </w:tc>
        <w:tc>
          <w:tcPr>
            <w:tcW w:w="180" w:type="dxa"/>
            <w:vAlign w:val="bottom"/>
          </w:tcPr>
          <w:p>
            <w:pPr>
              <w:spacing w:after="0"/>
              <w:rPr>
                <w:sz w:val="15"/>
                <w:szCs w:val="15"/>
                <w:color w:val="auto"/>
              </w:rPr>
            </w:pPr>
          </w:p>
        </w:tc>
        <w:tc>
          <w:tcPr>
            <w:tcW w:w="1240" w:type="dxa"/>
            <w:vAlign w:val="bottom"/>
            <w:gridSpan w:val="3"/>
          </w:tcPr>
          <w:p>
            <w:pPr>
              <w:ind w:left="74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(2,076,723 )</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(1,075,182 )</w:t>
            </w:r>
          </w:p>
        </w:tc>
        <w:tc>
          <w:tcPr>
            <w:tcW w:w="240" w:type="dxa"/>
            <w:vAlign w:val="bottom"/>
          </w:tcPr>
          <w:p>
            <w:pPr>
              <w:spacing w:after="0"/>
              <w:rPr>
                <w:sz w:val="15"/>
                <w:szCs w:val="15"/>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6,813,063</w:t>
            </w:r>
          </w:p>
        </w:tc>
      </w:tr>
      <w:tr>
        <w:trPr>
          <w:trHeight w:val="173"/>
        </w:trPr>
        <w:tc>
          <w:tcPr>
            <w:tcW w:w="2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Fair Value at December 31, 2020</w:t>
            </w:r>
          </w:p>
        </w:tc>
        <w:tc>
          <w:tcPr>
            <w:tcW w:w="22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right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right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right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right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r>
      <w:tr>
        <w:trPr>
          <w:trHeight w:val="178"/>
        </w:trPr>
        <w:tc>
          <w:tcPr>
            <w:tcW w:w="22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2021 Activity (unaudited):</w:t>
            </w:r>
          </w:p>
        </w:tc>
        <w:tc>
          <w:tcPr>
            <w:tcW w:w="22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404,860,855</w:t>
            </w: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19,582,555</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13,944,875</w:t>
            </w:r>
          </w:p>
        </w:tc>
        <w:tc>
          <w:tcPr>
            <w:tcW w:w="18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ind w:left="74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49,349,163</w:t>
            </w:r>
          </w:p>
        </w:tc>
        <w:tc>
          <w:tcPr>
            <w:tcW w:w="180" w:type="dxa"/>
            <w:vAlign w:val="bottom"/>
            <w:shd w:val="clear" w:color="auto" w:fill="CFF0FC"/>
          </w:tcPr>
          <w:p>
            <w:pPr>
              <w:spacing w:after="0"/>
              <w:rPr>
                <w:sz w:val="15"/>
                <w:szCs w:val="15"/>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(1,108,619 )</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486,628,831</w:t>
            </w:r>
          </w:p>
        </w:tc>
      </w:tr>
      <w:tr>
        <w:trPr>
          <w:trHeight w:val="181"/>
        </w:trPr>
        <w:tc>
          <w:tcPr>
            <w:tcW w:w="2200" w:type="dxa"/>
            <w:vAlign w:val="bottom"/>
          </w:tcPr>
          <w:p>
            <w:pPr>
              <w:ind w:left="200"/>
              <w:spacing w:after="0"/>
              <w:rPr>
                <w:sz w:val="20"/>
                <w:szCs w:val="20"/>
                <w:color w:val="auto"/>
              </w:rPr>
            </w:pPr>
            <w:r>
              <w:rPr>
                <w:rFonts w:ascii="Arial" w:cs="Arial" w:eastAsia="Arial" w:hAnsi="Arial"/>
                <w:sz w:val="13"/>
                <w:szCs w:val="13"/>
                <w:color w:val="auto"/>
              </w:rPr>
              <w:t>Purchases / originations / draws</w:t>
            </w:r>
          </w:p>
        </w:tc>
        <w:tc>
          <w:tcPr>
            <w:tcW w:w="220" w:type="dxa"/>
            <w:vAlign w:val="bottom"/>
          </w:tcPr>
          <w:p>
            <w:pPr>
              <w:spacing w:after="0"/>
              <w:rPr>
                <w:sz w:val="15"/>
                <w:szCs w:val="15"/>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236,503,017</w:t>
            </w:r>
          </w:p>
        </w:tc>
        <w:tc>
          <w:tcPr>
            <w:tcW w:w="200" w:type="dxa"/>
            <w:vAlign w:val="bottom"/>
          </w:tcPr>
          <w:p>
            <w:pPr>
              <w:spacing w:after="0"/>
              <w:rPr>
                <w:sz w:val="15"/>
                <w:szCs w:val="15"/>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8,755,376</w:t>
            </w:r>
          </w:p>
        </w:tc>
        <w:tc>
          <w:tcPr>
            <w:tcW w:w="180" w:type="dxa"/>
            <w:vAlign w:val="bottom"/>
          </w:tcPr>
          <w:p>
            <w:pPr>
              <w:spacing w:after="0"/>
              <w:rPr>
                <w:sz w:val="15"/>
                <w:szCs w:val="15"/>
                <w:color w:val="auto"/>
              </w:rPr>
            </w:pPr>
          </w:p>
        </w:tc>
        <w:tc>
          <w:tcPr>
            <w:tcW w:w="1240" w:type="dxa"/>
            <w:vAlign w:val="bottom"/>
            <w:gridSpan w:val="3"/>
          </w:tcPr>
          <w:p>
            <w:pPr>
              <w:ind w:left="74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26,400,886</w:t>
            </w:r>
          </w:p>
        </w:tc>
        <w:tc>
          <w:tcPr>
            <w:tcW w:w="180" w:type="dxa"/>
            <w:vAlign w:val="bottom"/>
          </w:tcPr>
          <w:p>
            <w:pPr>
              <w:spacing w:after="0"/>
              <w:rPr>
                <w:sz w:val="15"/>
                <w:szCs w:val="15"/>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271,659,279</w:t>
            </w:r>
          </w:p>
        </w:tc>
      </w:tr>
      <w:tr>
        <w:trPr>
          <w:trHeight w:val="197"/>
        </w:trPr>
        <w:tc>
          <w:tcPr>
            <w:tcW w:w="22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Pay-downs / pay-offs / sales</w:t>
            </w:r>
          </w:p>
        </w:tc>
        <w:tc>
          <w:tcPr>
            <w:tcW w:w="22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(197,531,424 )</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(6,440,089 )</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(4,480,709 )</w:t>
            </w:r>
          </w:p>
        </w:tc>
        <w:tc>
          <w:tcPr>
            <w:tcW w:w="18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ind w:left="74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(10,774,967 )</w:t>
            </w:r>
          </w:p>
        </w:tc>
        <w:tc>
          <w:tcPr>
            <w:tcW w:w="18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(880,000 )</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(220,107,189 )</w:t>
            </w:r>
          </w:p>
        </w:tc>
      </w:tr>
      <w:tr>
        <w:trPr>
          <w:trHeight w:val="181"/>
        </w:trPr>
        <w:tc>
          <w:tcPr>
            <w:tcW w:w="2200" w:type="dxa"/>
            <w:vAlign w:val="bottom"/>
          </w:tcPr>
          <w:p>
            <w:pPr>
              <w:ind w:left="200"/>
              <w:spacing w:after="0"/>
              <w:rPr>
                <w:sz w:val="20"/>
                <w:szCs w:val="20"/>
                <w:color w:val="auto"/>
              </w:rPr>
            </w:pPr>
            <w:r>
              <w:rPr>
                <w:rFonts w:ascii="Arial" w:cs="Arial" w:eastAsia="Arial" w:hAnsi="Arial"/>
                <w:sz w:val="13"/>
                <w:szCs w:val="13"/>
                <w:color w:val="auto"/>
              </w:rPr>
              <w:t>Net accretion of interest</w:t>
            </w:r>
          </w:p>
        </w:tc>
        <w:tc>
          <w:tcPr>
            <w:tcW w:w="220" w:type="dxa"/>
            <w:vAlign w:val="bottom"/>
          </w:tcPr>
          <w:p>
            <w:pPr>
              <w:spacing w:after="0"/>
              <w:rPr>
                <w:sz w:val="15"/>
                <w:szCs w:val="15"/>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25,673,012</w:t>
            </w:r>
          </w:p>
        </w:tc>
        <w:tc>
          <w:tcPr>
            <w:tcW w:w="200" w:type="dxa"/>
            <w:vAlign w:val="bottom"/>
          </w:tcPr>
          <w:p>
            <w:pPr>
              <w:spacing w:after="0"/>
              <w:rPr>
                <w:sz w:val="15"/>
                <w:szCs w:val="15"/>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(208 )</w:t>
            </w:r>
          </w:p>
        </w:tc>
        <w:tc>
          <w:tcPr>
            <w:tcW w:w="180" w:type="dxa"/>
            <w:vAlign w:val="bottom"/>
          </w:tcPr>
          <w:p>
            <w:pPr>
              <w:spacing w:after="0"/>
              <w:rPr>
                <w:sz w:val="15"/>
                <w:szCs w:val="15"/>
                <w:color w:val="auto"/>
              </w:rPr>
            </w:pPr>
          </w:p>
        </w:tc>
        <w:tc>
          <w:tcPr>
            <w:tcW w:w="1240" w:type="dxa"/>
            <w:vAlign w:val="bottom"/>
            <w:gridSpan w:val="3"/>
          </w:tcPr>
          <w:p>
            <w:pPr>
              <w:ind w:left="74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25,672,804</w:t>
            </w:r>
          </w:p>
        </w:tc>
      </w:tr>
      <w:tr>
        <w:trPr>
          <w:trHeight w:val="197"/>
        </w:trPr>
        <w:tc>
          <w:tcPr>
            <w:tcW w:w="22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realized gains (losses)</w:t>
            </w:r>
          </w:p>
        </w:tc>
        <w:tc>
          <w:tcPr>
            <w:tcW w:w="22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(7,132,262 )</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(5,323,484 )</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173,666</w:t>
            </w:r>
          </w:p>
        </w:tc>
        <w:tc>
          <w:tcPr>
            <w:tcW w:w="18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ind w:left="740"/>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880,000</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(11,402,080 )</w:t>
            </w:r>
          </w:p>
        </w:tc>
      </w:tr>
      <w:tr>
        <w:trPr>
          <w:trHeight w:val="183"/>
        </w:trPr>
        <w:tc>
          <w:tcPr>
            <w:tcW w:w="2200" w:type="dxa"/>
            <w:vAlign w:val="bottom"/>
          </w:tcPr>
          <w:p>
            <w:pPr>
              <w:ind w:left="200"/>
              <w:spacing w:after="0"/>
              <w:rPr>
                <w:sz w:val="20"/>
                <w:szCs w:val="20"/>
                <w:color w:val="auto"/>
              </w:rPr>
            </w:pPr>
            <w:r>
              <w:rPr>
                <w:rFonts w:ascii="Arial" w:cs="Arial" w:eastAsia="Arial" w:hAnsi="Arial"/>
                <w:sz w:val="13"/>
                <w:szCs w:val="13"/>
                <w:color w:val="auto"/>
              </w:rPr>
              <w:t>Increase (decrease) in fair value</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(7,293,322 )</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9,354,652</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3,905,759</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2,654,032</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(873,472 )</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7,747,649</w:t>
            </w:r>
          </w:p>
        </w:tc>
      </w:tr>
      <w:tr>
        <w:trPr>
          <w:trHeight w:val="203"/>
        </w:trPr>
        <w:tc>
          <w:tcPr>
            <w:tcW w:w="2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Fair Value at September 30, 2021</w:t>
            </w: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14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455,079,876</w:t>
            </w: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17,173,634</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1120" w:type="dxa"/>
            <w:vAlign w:val="bottom"/>
            <w:tcBorders>
              <w:right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rPr>
              <w:t>22,298,759</w:t>
            </w: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240" w:type="dxa"/>
            <w:vAlign w:val="bottom"/>
            <w:gridSpan w:val="3"/>
            <w:shd w:val="clear" w:color="auto" w:fill="CFF0FC"/>
          </w:tcPr>
          <w:p>
            <w:pPr>
              <w:ind w:left="740"/>
              <w:spacing w:after="0"/>
              <w:rPr>
                <w:sz w:val="20"/>
                <w:szCs w:val="20"/>
                <w:color w:val="auto"/>
              </w:rPr>
            </w:pPr>
            <w:r>
              <w:rPr>
                <w:rFonts w:ascii="Arial" w:cs="Arial" w:eastAsia="Arial" w:hAnsi="Arial"/>
                <w:sz w:val="13"/>
                <w:szCs w:val="13"/>
                <w:color w:val="auto"/>
              </w:rPr>
              <w:t>—   $</w:t>
            </w:r>
          </w:p>
        </w:tc>
        <w:tc>
          <w:tcPr>
            <w:tcW w:w="104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67,629,114</w:t>
            </w: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(1,982,091 ) $</w:t>
            </w:r>
          </w:p>
        </w:tc>
        <w:tc>
          <w:tcPr>
            <w:tcW w:w="10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560,199,292</w:t>
            </w:r>
          </w:p>
        </w:tc>
      </w:tr>
      <w:tr>
        <w:trPr>
          <w:trHeight w:val="20"/>
        </w:trPr>
        <w:tc>
          <w:tcPr>
            <w:tcW w:w="2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-25400</wp:posOffset>
            </wp:positionV>
            <wp:extent cx="4318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-8255</wp:posOffset>
            </wp:positionV>
            <wp:extent cx="4318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-25400</wp:posOffset>
            </wp:positionV>
            <wp:extent cx="5143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-8255</wp:posOffset>
            </wp:positionV>
            <wp:extent cx="5143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4318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4318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-25400</wp:posOffset>
            </wp:positionV>
            <wp:extent cx="5143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5143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-25400</wp:posOffset>
            </wp:positionV>
            <wp:extent cx="4318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4318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254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254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3" w:name="page84"/>
    <w:bookmarkEnd w:id="83"/>
    <w:p>
      <w:pPr>
        <w:ind w:right="120" w:firstLine="374"/>
        <w:spacing w:after="0" w:line="275"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the Company’s portfolio by security type at September 30, 2021 and December 31, 2020:</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3"/>
        </w:trPr>
        <w:tc>
          <w:tcPr>
            <w:tcW w:w="2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(Unaudited)</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238"/>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Cost/Amortized</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7"/>
              </w:rPr>
              <w:t>Cost/Amortized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8"/>
        </w:trPr>
        <w:tc>
          <w:tcPr>
            <w:tcW w:w="2320" w:type="dxa"/>
            <w:vAlign w:val="bottom"/>
          </w:tcPr>
          <w:p>
            <w:pPr>
              <w:ind w:left="20"/>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1"/>
                <w:szCs w:val="21"/>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%¹</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Fair Value</w:t>
            </w:r>
          </w:p>
        </w:tc>
        <w:tc>
          <w:tcPr>
            <w:tcW w:w="180" w:type="dxa"/>
            <w:vAlign w:val="bottom"/>
          </w:tcPr>
          <w:p>
            <w:pPr>
              <w:spacing w:after="0"/>
              <w:rPr>
                <w:sz w:val="21"/>
                <w:szCs w:val="21"/>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%¹</w:t>
            </w:r>
          </w:p>
        </w:tc>
      </w:tr>
      <w:tr>
        <w:trPr>
          <w:trHeight w:val="250"/>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Secured Loan</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367,212,162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380,960,592</w:t>
            </w:r>
          </w:p>
        </w:tc>
        <w:tc>
          <w:tcPr>
            <w:tcW w:w="11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304,539,184</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328,845,612</w:t>
            </w:r>
          </w:p>
        </w:tc>
        <w:tc>
          <w:tcPr>
            <w:tcW w:w="11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68</w:t>
            </w:r>
          </w:p>
        </w:tc>
      </w:tr>
      <w:tr>
        <w:trPr>
          <w:trHeight w:val="250"/>
        </w:trPr>
        <w:tc>
          <w:tcPr>
            <w:tcW w:w="2320" w:type="dxa"/>
            <w:vAlign w:val="bottom"/>
          </w:tcPr>
          <w:p>
            <w:pPr>
              <w:ind w:left="20"/>
              <w:spacing w:after="0"/>
              <w:rPr>
                <w:sz w:val="20"/>
                <w:szCs w:val="20"/>
                <w:color w:val="auto"/>
              </w:rPr>
            </w:pPr>
            <w:r>
              <w:rPr>
                <w:rFonts w:ascii="Arial" w:cs="Arial" w:eastAsia="Arial" w:hAnsi="Arial"/>
                <w:sz w:val="18"/>
                <w:szCs w:val="18"/>
                <w:color w:val="auto"/>
              </w:rPr>
              <w:t>Junior Secured Loan</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82,973,411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74,076,080</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87,977,057</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75,807,477</w:t>
            </w: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16</w:t>
            </w:r>
          </w:p>
        </w:tc>
      </w:tr>
      <w:tr>
        <w:trPr>
          <w:trHeight w:val="263"/>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Unsecured Bond</w:t>
            </w:r>
          </w:p>
        </w:tc>
        <w:tc>
          <w:tcPr>
            <w:tcW w:w="14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416,171</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43,204</w:t>
            </w:r>
          </w:p>
        </w:tc>
        <w:tc>
          <w:tcPr>
            <w:tcW w:w="11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416,170</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207,766</w:t>
            </w:r>
          </w:p>
        </w:tc>
        <w:tc>
          <w:tcPr>
            <w:tcW w:w="11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0</w:t>
            </w:r>
          </w:p>
        </w:tc>
      </w:tr>
      <w:tr>
        <w:trPr>
          <w:trHeight w:val="250"/>
        </w:trPr>
        <w:tc>
          <w:tcPr>
            <w:tcW w:w="2320" w:type="dxa"/>
            <w:vAlign w:val="bottom"/>
          </w:tcPr>
          <w:p>
            <w:pPr>
              <w:ind w:left="20"/>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33,964,238</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17,173,634</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45,727,813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19,582,555</w:t>
            </w: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4</w:t>
            </w:r>
          </w:p>
        </w:tc>
      </w:tr>
      <w:tr>
        <w:trPr>
          <w:trHeight w:val="263"/>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29,041,687</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22,298,759</w:t>
            </w:r>
          </w:p>
        </w:tc>
        <w:tc>
          <w:tcPr>
            <w:tcW w:w="11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24,593,639</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13,944,876</w:t>
            </w:r>
          </w:p>
        </w:tc>
        <w:tc>
          <w:tcPr>
            <w:tcW w:w="11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3</w:t>
            </w:r>
          </w:p>
        </w:tc>
      </w:tr>
      <w:tr>
        <w:trPr>
          <w:trHeight w:val="257"/>
        </w:trPr>
        <w:tc>
          <w:tcPr>
            <w:tcW w:w="2320" w:type="dxa"/>
            <w:vAlign w:val="bottom"/>
          </w:tcPr>
          <w:p>
            <w:pPr>
              <w:ind w:left="20"/>
              <w:spacing w:after="0" w:line="257" w:lineRule="exact"/>
              <w:rPr>
                <w:sz w:val="20"/>
                <w:szCs w:val="20"/>
                <w:color w:val="auto"/>
              </w:rPr>
            </w:pPr>
            <w:r>
              <w:rPr>
                <w:rFonts w:ascii="Arial" w:cs="Arial" w:eastAsia="Arial" w:hAnsi="Arial"/>
                <w:sz w:val="18"/>
                <w:szCs w:val="18"/>
                <w:color w:val="auto"/>
              </w:rPr>
              <w:t>Asset Manager Affiliates</w:t>
            </w:r>
            <w:r>
              <w:rPr>
                <w:rFonts w:ascii="Arial" w:cs="Arial" w:eastAsia="Arial" w:hAnsi="Arial"/>
                <w:sz w:val="24"/>
                <w:szCs w:val="24"/>
                <w:color w:val="auto"/>
                <w:vertAlign w:val="superscript"/>
              </w:rPr>
              <w:t>2</w:t>
            </w: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17,791,230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56"/>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Joint Ventures</w:t>
            </w:r>
          </w:p>
        </w:tc>
        <w:tc>
          <w:tcPr>
            <w:tcW w:w="14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70,558,377</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67,629,114</w:t>
            </w:r>
          </w:p>
        </w:tc>
        <w:tc>
          <w:tcPr>
            <w:tcW w:w="11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54,932,458</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49,349,163</w:t>
            </w:r>
          </w:p>
        </w:tc>
        <w:tc>
          <w:tcPr>
            <w:tcW w:w="11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10</w:t>
            </w:r>
          </w:p>
        </w:tc>
      </w:tr>
      <w:tr>
        <w:trPr>
          <w:trHeight w:val="250"/>
        </w:trPr>
        <w:tc>
          <w:tcPr>
            <w:tcW w:w="232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30,609</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(1,982,091 )</w:t>
            </w:r>
          </w:p>
        </w:tc>
        <w:tc>
          <w:tcPr>
            <w:tcW w:w="160" w:type="dxa"/>
            <w:vAlign w:val="bottom"/>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30,609</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(1,108,618 )</w:t>
            </w:r>
          </w:p>
        </w:tc>
        <w:tc>
          <w:tcPr>
            <w:tcW w:w="180" w:type="dxa"/>
            <w:vAlign w:val="bottom"/>
          </w:tcPr>
          <w:p>
            <w:pPr>
              <w:spacing w:after="0"/>
              <w:rPr>
                <w:sz w:val="21"/>
                <w:szCs w:val="21"/>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r>
      <w:tr>
        <w:trPr>
          <w:trHeight w:val="290"/>
        </w:trPr>
        <w:tc>
          <w:tcPr>
            <w:tcW w:w="2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601,987,885</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560,199,292</w:t>
            </w:r>
          </w:p>
        </w:tc>
        <w:tc>
          <w:tcPr>
            <w:tcW w:w="1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2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536,008,160</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486,628,831</w:t>
            </w:r>
          </w:p>
        </w:tc>
        <w:tc>
          <w:tcPr>
            <w:tcW w:w="1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-25400</wp:posOffset>
            </wp:positionV>
            <wp:extent cx="16256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-7620</wp:posOffset>
            </wp:positionV>
            <wp:extent cx="16256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-25400</wp:posOffset>
            </wp:positionV>
            <wp:extent cx="11112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11112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-25400</wp:posOffset>
            </wp:positionV>
            <wp:extent cx="12890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12890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-25400</wp:posOffset>
            </wp:positionV>
            <wp:extent cx="11112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11112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-25400</wp:posOffset>
            </wp:positionV>
            <wp:extent cx="11112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11112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ind w:left="360" w:hanging="352"/>
        <w:spacing w:after="0"/>
        <w:tabs>
          <w:tab w:leader="none" w:pos="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left="360" w:hanging="352"/>
        <w:spacing w:after="0"/>
        <w:tabs>
          <w:tab w:leader="none" w:pos="3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4" w:name="page85"/>
    <w:bookmarkEnd w:id="84"/>
    <w:p>
      <w:pPr>
        <w:ind w:left="760" w:hanging="360"/>
        <w:spacing w:after="0" w:line="271" w:lineRule="auto"/>
        <w:rPr>
          <w:sz w:val="20"/>
          <w:szCs w:val="20"/>
          <w:color w:val="auto"/>
        </w:rPr>
      </w:pPr>
      <w:r>
        <w:rPr>
          <w:rFonts w:ascii="Arial" w:cs="Arial" w:eastAsia="Arial" w:hAnsi="Arial"/>
          <w:sz w:val="18"/>
          <w:szCs w:val="18"/>
          <w:color w:val="auto"/>
        </w:rPr>
        <w:t>The industry concentrations, based on the fair value of the Company’s investment portfolio as of September 30, 2021 and December 31, 2020,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Industry Classification</w:t>
            </w:r>
          </w:p>
        </w:tc>
        <w:tc>
          <w:tcPr>
            <w:tcW w:w="120" w:type="dxa"/>
            <w:vAlign w:val="bottom"/>
          </w:tcPr>
          <w:p>
            <w:pPr>
              <w:spacing w:after="0"/>
              <w:rPr>
                <w:sz w:val="17"/>
                <w:szCs w:val="17"/>
                <w:color w:val="auto"/>
              </w:rPr>
            </w:pPr>
          </w:p>
        </w:tc>
        <w:tc>
          <w:tcPr>
            <w:tcW w:w="1280" w:type="dxa"/>
            <w:vAlign w:val="bottom"/>
          </w:tcPr>
          <w:p>
            <w:pPr>
              <w:jc w:val="right"/>
              <w:ind w:right="70"/>
              <w:spacing w:after="0"/>
              <w:rPr>
                <w:sz w:val="20"/>
                <w:szCs w:val="20"/>
                <w:color w:val="auto"/>
              </w:rPr>
            </w:pPr>
            <w:r>
              <w:rPr>
                <w:rFonts w:ascii="Arial" w:cs="Arial" w:eastAsia="Arial" w:hAnsi="Arial"/>
                <w:sz w:val="16"/>
                <w:szCs w:val="16"/>
                <w:b w:val="1"/>
                <w:bCs w:val="1"/>
                <w:color w:val="auto"/>
                <w:w w:val="93"/>
              </w:rPr>
              <w:t>Cost/Amortized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Arial" w:cs="Arial" w:eastAsia="Arial" w:hAnsi="Arial"/>
                <w:sz w:val="16"/>
                <w:szCs w:val="16"/>
                <w:b w:val="1"/>
                <w:bCs w:val="1"/>
                <w:color w:val="auto"/>
                <w:w w:val="93"/>
              </w:rPr>
              <w:t>Cost/Amortized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%¹</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9"/>
                <w:szCs w:val="19"/>
                <w:color w:val="auto"/>
              </w:rPr>
            </w:pPr>
          </w:p>
        </w:tc>
        <w:tc>
          <w:tcPr>
            <w:tcW w:w="62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%¹</w:t>
            </w:r>
          </w:p>
        </w:tc>
        <w:tc>
          <w:tcPr>
            <w:tcW w:w="0" w:type="dxa"/>
            <w:vAlign w:val="bottom"/>
          </w:tcPr>
          <w:p>
            <w:pPr>
              <w:spacing w:after="0"/>
              <w:rPr>
                <w:sz w:val="1"/>
                <w:szCs w:val="1"/>
                <w:color w:val="auto"/>
              </w:rPr>
            </w:pPr>
          </w:p>
        </w:tc>
      </w:tr>
      <w:tr>
        <w:trPr>
          <w:trHeight w:val="250"/>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Aerospace and Defense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11,814,083</w:t>
            </w:r>
          </w:p>
        </w:tc>
        <w:tc>
          <w:tcPr>
            <w:tcW w:w="46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11,738,812</w:t>
            </w:r>
          </w:p>
        </w:tc>
        <w:tc>
          <w:tcPr>
            <w:tcW w:w="92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11,342,227</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11,218,193</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24"/>
                <w:szCs w:val="24"/>
                <w:color w:val="auto"/>
                <w:vertAlign w:val="superscript"/>
              </w:rPr>
              <w:t>2</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17,791,230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17,791,230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Automotive</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10,890,444</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11,481,530</w:t>
            </w:r>
          </w:p>
        </w:tc>
        <w:tc>
          <w:tcPr>
            <w:tcW w:w="92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10,840,171</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11,651,714</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2"/>
        </w:trPr>
        <w:tc>
          <w:tcPr>
            <w:tcW w:w="3240" w:type="dxa"/>
            <w:vAlign w:val="bottom"/>
          </w:tcPr>
          <w:p>
            <w:pPr>
              <w:ind w:left="20"/>
              <w:spacing w:after="0"/>
              <w:rPr>
                <w:sz w:val="20"/>
                <w:szCs w:val="20"/>
                <w:color w:val="auto"/>
              </w:rPr>
            </w:pPr>
            <w:r>
              <w:rPr>
                <w:rFonts w:ascii="Arial" w:cs="Arial" w:eastAsia="Arial" w:hAnsi="Arial"/>
                <w:sz w:val="18"/>
                <w:szCs w:val="18"/>
                <w:color w:val="auto"/>
              </w:rPr>
              <w:t>Banking, Finance, Insurance &amp; Real</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color w:val="auto"/>
              </w:rPr>
              <w:t>Estate</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39,155,006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41,403,610</w:t>
            </w:r>
          </w:p>
        </w:tc>
        <w:tc>
          <w:tcPr>
            <w:tcW w:w="920" w:type="dxa"/>
            <w:vAlign w:val="bottom"/>
            <w:gridSpan w:val="2"/>
          </w:tcPr>
          <w:p>
            <w:pPr>
              <w:jc w:val="right"/>
              <w:ind w:right="192"/>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30,074,875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31,121,723</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Beverage, Food and Tobacco</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5,317,124</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5,437,500</w:t>
            </w:r>
          </w:p>
        </w:tc>
        <w:tc>
          <w:tcPr>
            <w:tcW w:w="92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9,196,359</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9,100,107</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Arial" w:cs="Arial" w:eastAsia="Arial" w:hAnsi="Arial"/>
                <w:sz w:val="18"/>
                <w:szCs w:val="18"/>
                <w:color w:val="auto"/>
              </w:rPr>
              <w:t>Capital Equipment</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19,596,337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18,296,975</w:t>
            </w:r>
          </w:p>
        </w:tc>
        <w:tc>
          <w:tcPr>
            <w:tcW w:w="920" w:type="dxa"/>
            <w:vAlign w:val="bottom"/>
            <w:gridSpan w:val="2"/>
          </w:tcPr>
          <w:p>
            <w:pPr>
              <w:jc w:val="right"/>
              <w:ind w:right="192"/>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10,276,249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8,204,690</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Chemicals, Plastics &amp; Rubber</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6,347,714</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6,711,605</w:t>
            </w:r>
          </w:p>
        </w:tc>
        <w:tc>
          <w:tcPr>
            <w:tcW w:w="92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6,608,887</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7,230,131</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Arial" w:cs="Arial" w:eastAsia="Arial" w:hAnsi="Arial"/>
                <w:sz w:val="18"/>
                <w:szCs w:val="18"/>
                <w:color w:val="auto"/>
              </w:rPr>
              <w:t>CLO Fund Securities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33,964,238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17,173,634</w:t>
            </w:r>
          </w:p>
        </w:tc>
        <w:tc>
          <w:tcPr>
            <w:tcW w:w="920" w:type="dxa"/>
            <w:vAlign w:val="bottom"/>
            <w:gridSpan w:val="2"/>
          </w:tcPr>
          <w:p>
            <w:pPr>
              <w:jc w:val="right"/>
              <w:ind w:right="192"/>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45,727,813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19,582,555</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Construction &amp; Building</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8,860,985</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7,481,916</w:t>
            </w:r>
          </w:p>
        </w:tc>
        <w:tc>
          <w:tcPr>
            <w:tcW w:w="92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9,802,754</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10,946,643</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Arial" w:cs="Arial" w:eastAsia="Arial" w:hAnsi="Arial"/>
                <w:sz w:val="18"/>
                <w:szCs w:val="18"/>
                <w:color w:val="auto"/>
              </w:rPr>
              <w:t>Consumer goods: Durable</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19,681,262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21,500,071</w:t>
            </w:r>
          </w:p>
        </w:tc>
        <w:tc>
          <w:tcPr>
            <w:tcW w:w="920" w:type="dxa"/>
            <w:vAlign w:val="bottom"/>
            <w:gridSpan w:val="2"/>
          </w:tcPr>
          <w:p>
            <w:pPr>
              <w:jc w:val="right"/>
              <w:ind w:right="192"/>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32,435,115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34,858,844</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goods: Non-durable</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5,663,236</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6,284,237</w:t>
            </w:r>
          </w:p>
        </w:tc>
        <w:tc>
          <w:tcPr>
            <w:tcW w:w="92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1,837,151</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2,102,176</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Arial" w:cs="Arial" w:eastAsia="Arial" w:hAnsi="Arial"/>
                <w:sz w:val="18"/>
                <w:szCs w:val="18"/>
                <w:color w:val="auto"/>
              </w:rPr>
              <w:t>Containers, Packaging and Glass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2,786,954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2,591,064</w:t>
            </w:r>
          </w:p>
        </w:tc>
        <w:tc>
          <w:tcPr>
            <w:tcW w:w="920" w:type="dxa"/>
            <w:vAlign w:val="bottom"/>
            <w:gridSpan w:val="2"/>
          </w:tcPr>
          <w:p>
            <w:pPr>
              <w:jc w:val="right"/>
              <w:ind w:right="192"/>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2,806,740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2,502,994</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Electronics</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17,964,277</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19,901,030</w:t>
            </w:r>
          </w:p>
        </w:tc>
        <w:tc>
          <w:tcPr>
            <w:tcW w:w="92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28,389,620</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31,564,533</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Arial" w:cs="Arial" w:eastAsia="Arial" w:hAnsi="Arial"/>
                <w:sz w:val="18"/>
                <w:szCs w:val="18"/>
                <w:color w:val="auto"/>
              </w:rPr>
              <w:t>Energy: Oil &amp; Gas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9,370,825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3,633,657</w:t>
            </w:r>
          </w:p>
        </w:tc>
        <w:tc>
          <w:tcPr>
            <w:tcW w:w="920" w:type="dxa"/>
            <w:vAlign w:val="bottom"/>
            <w:gridSpan w:val="2"/>
          </w:tcPr>
          <w:p>
            <w:pPr>
              <w:jc w:val="right"/>
              <w:ind w:right="19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13,501,691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6,878,115</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Environmental Industries</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7,283,447</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7,502,505</w:t>
            </w:r>
          </w:p>
        </w:tc>
        <w:tc>
          <w:tcPr>
            <w:tcW w:w="92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3,939,764</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3,585,669</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Arial" w:cs="Arial" w:eastAsia="Arial" w:hAnsi="Arial"/>
                <w:sz w:val="18"/>
                <w:szCs w:val="18"/>
                <w:color w:val="auto"/>
              </w:rPr>
              <w:t>Finance</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10,936,537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10,936,000</w:t>
            </w:r>
          </w:p>
        </w:tc>
        <w:tc>
          <w:tcPr>
            <w:tcW w:w="920" w:type="dxa"/>
            <w:vAlign w:val="bottom"/>
            <w:gridSpan w:val="2"/>
          </w:tcPr>
          <w:p>
            <w:pPr>
              <w:jc w:val="right"/>
              <w:ind w:right="192"/>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Forest Products &amp; Paper</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1,581,127</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1,358,240</w:t>
            </w:r>
          </w:p>
        </w:tc>
        <w:tc>
          <w:tcPr>
            <w:tcW w:w="92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0</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1,576,633</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1,270,880</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Arial" w:cs="Arial" w:eastAsia="Arial" w:hAnsi="Arial"/>
                <w:sz w:val="18"/>
                <w:szCs w:val="18"/>
                <w:color w:val="auto"/>
              </w:rPr>
              <w:t>Healthcare, Education and Childcare</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9,797,292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9,765,443</w:t>
            </w:r>
          </w:p>
        </w:tc>
        <w:tc>
          <w:tcPr>
            <w:tcW w:w="920" w:type="dxa"/>
            <w:vAlign w:val="bottom"/>
            <w:gridSpan w:val="2"/>
          </w:tcPr>
          <w:p>
            <w:pPr>
              <w:jc w:val="right"/>
              <w:ind w:right="192"/>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14,059,921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13,791,048</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Healthcare &amp; Pharmaceuticals</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68,913,038</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62,299,025</w:t>
            </w:r>
          </w:p>
        </w:tc>
        <w:tc>
          <w:tcPr>
            <w:tcW w:w="92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83,481,401</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78,823,040</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Arial" w:cs="Arial" w:eastAsia="Arial" w:hAnsi="Arial"/>
                <w:sz w:val="18"/>
                <w:szCs w:val="18"/>
                <w:color w:val="auto"/>
              </w:rPr>
              <w:t>High Tech Industries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60,348,479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61,537,690</w:t>
            </w:r>
          </w:p>
        </w:tc>
        <w:tc>
          <w:tcPr>
            <w:tcW w:w="920" w:type="dxa"/>
            <w:vAlign w:val="bottom"/>
            <w:gridSpan w:val="2"/>
          </w:tcPr>
          <w:p>
            <w:pPr>
              <w:jc w:val="right"/>
              <w:ind w:right="192"/>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32,949,892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35,052,389</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Hotel, Gaming &amp; Leisure</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9,804,159</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9,800,000</w:t>
            </w:r>
          </w:p>
        </w:tc>
        <w:tc>
          <w:tcPr>
            <w:tcW w:w="92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Arial" w:cs="Arial" w:eastAsia="Arial" w:hAnsi="Arial"/>
                <w:sz w:val="18"/>
                <w:szCs w:val="18"/>
                <w:color w:val="auto"/>
              </w:rPr>
              <w:t>Joint Ventures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70,558,377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67,629,114</w:t>
            </w:r>
          </w:p>
        </w:tc>
        <w:tc>
          <w:tcPr>
            <w:tcW w:w="920" w:type="dxa"/>
            <w:vAlign w:val="bottom"/>
            <w:gridSpan w:val="2"/>
          </w:tcPr>
          <w:p>
            <w:pPr>
              <w:jc w:val="right"/>
              <w:ind w:right="192"/>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54,932,458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49,349,163</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Machinery (Non-Agrclt/Constr/Electr)</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7,880,124</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8,754,282</w:t>
            </w:r>
          </w:p>
        </w:tc>
        <w:tc>
          <w:tcPr>
            <w:tcW w:w="92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6,712,460</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7,227,441</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2"/>
        </w:trPr>
        <w:tc>
          <w:tcPr>
            <w:tcW w:w="3240" w:type="dxa"/>
            <w:vAlign w:val="bottom"/>
          </w:tcPr>
          <w:p>
            <w:pPr>
              <w:ind w:left="20"/>
              <w:spacing w:after="0"/>
              <w:rPr>
                <w:sz w:val="20"/>
                <w:szCs w:val="20"/>
                <w:color w:val="auto"/>
              </w:rPr>
            </w:pPr>
            <w:r>
              <w:rPr>
                <w:rFonts w:ascii="Arial" w:cs="Arial" w:eastAsia="Arial" w:hAnsi="Arial"/>
                <w:sz w:val="18"/>
                <w:szCs w:val="18"/>
                <w:color w:val="auto"/>
              </w:rPr>
              <w:t>Media: Advertising, Printing &amp;</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color w:val="auto"/>
              </w:rPr>
              <w:t>Publishing</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3,027,661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3,510,461</w:t>
            </w:r>
          </w:p>
        </w:tc>
        <w:tc>
          <w:tcPr>
            <w:tcW w:w="920" w:type="dxa"/>
            <w:vAlign w:val="bottom"/>
            <w:gridSpan w:val="2"/>
          </w:tcPr>
          <w:p>
            <w:pPr>
              <w:jc w:val="right"/>
              <w:ind w:right="19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2,830,592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3,170,254</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Media: Broadcasting &amp; Subscription</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4,029,968</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4,021,034</w:t>
            </w:r>
          </w:p>
        </w:tc>
        <w:tc>
          <w:tcPr>
            <w:tcW w:w="92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3,955,772</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3,901,188</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Arial" w:cs="Arial" w:eastAsia="Arial" w:hAnsi="Arial"/>
                <w:sz w:val="18"/>
                <w:szCs w:val="18"/>
                <w:color w:val="auto"/>
              </w:rPr>
              <w:t>Media: Diversified &amp; Production</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10,325,089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10,438,340</w:t>
            </w:r>
          </w:p>
        </w:tc>
        <w:tc>
          <w:tcPr>
            <w:tcW w:w="920" w:type="dxa"/>
            <w:vAlign w:val="bottom"/>
            <w:gridSpan w:val="2"/>
          </w:tcPr>
          <w:p>
            <w:pPr>
              <w:jc w:val="right"/>
              <w:ind w:right="192"/>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2,658,914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2,612,250</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Metals &amp; Mining</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13,129,929</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13,682,518</w:t>
            </w:r>
          </w:p>
        </w:tc>
        <w:tc>
          <w:tcPr>
            <w:tcW w:w="92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1,219,188</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1,326,500</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5,975,549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6,773,201</w:t>
            </w:r>
          </w:p>
        </w:tc>
        <w:tc>
          <w:tcPr>
            <w:tcW w:w="920" w:type="dxa"/>
            <w:vAlign w:val="bottom"/>
            <w:gridSpan w:val="2"/>
          </w:tcPr>
          <w:p>
            <w:pPr>
              <w:jc w:val="right"/>
              <w:ind w:right="19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5,790,208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6,597,338</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Services: Business</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78,816,384</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80,129,332</w:t>
            </w:r>
          </w:p>
        </w:tc>
        <w:tc>
          <w:tcPr>
            <w:tcW w:w="92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58,027,464</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60,119,401</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Arial" w:cs="Arial" w:eastAsia="Arial" w:hAnsi="Arial"/>
                <w:sz w:val="18"/>
                <w:szCs w:val="18"/>
                <w:color w:val="auto"/>
              </w:rPr>
              <w:t>Services: Consumer</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3,837,036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3,840,200</w:t>
            </w:r>
          </w:p>
        </w:tc>
        <w:tc>
          <w:tcPr>
            <w:tcW w:w="920" w:type="dxa"/>
            <w:vAlign w:val="bottom"/>
            <w:gridSpan w:val="2"/>
          </w:tcPr>
          <w:p>
            <w:pPr>
              <w:jc w:val="right"/>
              <w:ind w:right="19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4,241,127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4,198,243</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Telecommunications</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6,313,276</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5,619,837</w:t>
            </w:r>
          </w:p>
        </w:tc>
        <w:tc>
          <w:tcPr>
            <w:tcW w:w="92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8,930,322</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9,023,109</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Arial" w:cs="Arial" w:eastAsia="Arial" w:hAnsi="Arial"/>
                <w:sz w:val="18"/>
                <w:szCs w:val="18"/>
                <w:color w:val="auto"/>
              </w:rPr>
              <w:t>Textiles and Leather</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12,418,665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11,118,299</w:t>
            </w:r>
          </w:p>
        </w:tc>
        <w:tc>
          <w:tcPr>
            <w:tcW w:w="920" w:type="dxa"/>
            <w:vAlign w:val="bottom"/>
            <w:gridSpan w:val="2"/>
          </w:tcPr>
          <w:p>
            <w:pPr>
              <w:jc w:val="right"/>
              <w:ind w:right="192"/>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12,415,194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10,860,696</w:t>
            </w: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Transportation: Cargo</w:t>
            </w:r>
          </w:p>
        </w:tc>
        <w:tc>
          <w:tcPr>
            <w:tcW w:w="12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7,655,970</w:t>
            </w: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8,757,804</w:t>
            </w:r>
          </w:p>
        </w:tc>
        <w:tc>
          <w:tcPr>
            <w:tcW w:w="7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Arial" w:cs="Arial" w:eastAsia="Arial" w:hAnsi="Arial"/>
                <w:sz w:val="18"/>
                <w:szCs w:val="18"/>
                <w:color w:val="auto"/>
              </w:rPr>
              <w:t>Transportation: Consumer</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7,808,033</w:t>
            </w:r>
          </w:p>
        </w:tc>
        <w:tc>
          <w:tcPr>
            <w:tcW w:w="1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7,848,130</w:t>
            </w:r>
          </w:p>
        </w:tc>
        <w:tc>
          <w:tcPr>
            <w:tcW w:w="160" w:type="dxa"/>
            <w:vAlign w:val="bottom"/>
          </w:tcPr>
          <w:p>
            <w:pPr>
              <w:spacing w:after="0"/>
              <w:rPr>
                <w:sz w:val="21"/>
                <w:szCs w:val="21"/>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0"/>
        </w:trPr>
        <w:tc>
          <w:tcPr>
            <w:tcW w:w="3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601,987,885</w:t>
            </w: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560,199,292</w:t>
            </w:r>
          </w:p>
        </w:tc>
        <w:tc>
          <w:tcPr>
            <w:tcW w:w="1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100 %</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536,008,160</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486,628,831</w:t>
            </w:r>
          </w:p>
        </w:tc>
        <w:tc>
          <w:tcPr>
            <w:tcW w:w="1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-25400</wp:posOffset>
            </wp:positionV>
            <wp:extent cx="94615"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-8255</wp:posOffset>
            </wp:positionV>
            <wp:extent cx="9461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-25400</wp:posOffset>
            </wp:positionV>
            <wp:extent cx="9461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-8255</wp:posOffset>
            </wp:positionV>
            <wp:extent cx="9461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-25400</wp:posOffset>
            </wp:positionV>
            <wp:extent cx="9398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-8255</wp:posOffset>
            </wp:positionV>
            <wp:extent cx="9398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8572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8572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-25400</wp:posOffset>
            </wp:positionV>
            <wp:extent cx="8572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-8255</wp:posOffset>
            </wp:positionV>
            <wp:extent cx="85725"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3" w:lineRule="exact"/>
        <w:rPr>
          <w:sz w:val="20"/>
          <w:szCs w:val="20"/>
          <w:color w:val="auto"/>
        </w:rPr>
      </w:pPr>
    </w:p>
    <w:p>
      <w:pPr>
        <w:ind w:left="360" w:hanging="352"/>
        <w:spacing w:after="0"/>
        <w:tabs>
          <w:tab w:leader="none" w:pos="360" w:val="left"/>
        </w:tabs>
        <w:numPr>
          <w:ilvl w:val="0"/>
          <w:numId w:val="88"/>
        </w:numPr>
        <w:rPr>
          <w:rFonts w:ascii="Arial" w:cs="Arial" w:eastAsia="Arial" w:hAnsi="Arial"/>
          <w:sz w:val="24"/>
          <w:szCs w:val="24"/>
          <w:color w:val="auto"/>
          <w:vertAlign w:val="superscript"/>
        </w:rPr>
      </w:pPr>
      <w:r>
        <w:rPr>
          <w:rFonts w:ascii="Arial" w:cs="Arial" w:eastAsia="Arial" w:hAnsi="Arial"/>
          <w:sz w:val="18"/>
          <w:szCs w:val="18"/>
          <w:color w:val="auto"/>
        </w:rPr>
        <w:t>Calculated as a percentage of total portfolio at fair value.</w:t>
      </w:r>
    </w:p>
    <w:p>
      <w:pPr>
        <w:ind w:left="360" w:hanging="352"/>
        <w:spacing w:after="0" w:line="199" w:lineRule="auto"/>
        <w:tabs>
          <w:tab w:leader="none" w:pos="360" w:val="left"/>
        </w:tabs>
        <w:numPr>
          <w:ilvl w:val="0"/>
          <w:numId w:val="89"/>
        </w:numPr>
        <w:rPr>
          <w:rFonts w:ascii="Arial" w:cs="Arial" w:eastAsia="Arial" w:hAnsi="Arial"/>
          <w:sz w:val="24"/>
          <w:szCs w:val="24"/>
          <w:color w:val="auto"/>
          <w:vertAlign w:val="superscript"/>
        </w:rPr>
      </w:pPr>
      <w:r>
        <w:rPr>
          <w:rFonts w:ascii="Arial" w:cs="Arial" w:eastAsia="Arial" w:hAnsi="Arial"/>
          <w:sz w:val="18"/>
          <w:szCs w:val="18"/>
          <w:color w:val="auto"/>
        </w:rPr>
        <w:t>Represents the equity investment in the Asset Manager Affiliates.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16" w:lineRule="exact"/>
        <w:rPr>
          <w:sz w:val="20"/>
          <w:szCs w:val="20"/>
          <w:color w:val="auto"/>
        </w:rPr>
      </w:pPr>
    </w:p>
    <w:p>
      <w:pPr>
        <w:ind w:right="20" w:firstLine="374"/>
        <w:spacing w:after="0" w:line="266" w:lineRule="auto"/>
        <w:rPr>
          <w:sz w:val="20"/>
          <w:szCs w:val="20"/>
          <w:color w:val="auto"/>
        </w:rPr>
      </w:pPr>
      <w:r>
        <w:rPr>
          <w:rFonts w:ascii="Arial" w:cs="Arial" w:eastAsia="Arial" w:hAnsi="Arial"/>
          <w:sz w:val="18"/>
          <w:szCs w:val="18"/>
          <w:color w:val="auto"/>
        </w:rPr>
        <w:t>At September 30, 2021 and December 31, 2020, the weighted average contractual interest rate on our loans and debt securities was approximately 8.2% and 7.8%, respectively. At September 30, 2021 and December 31, 2020, the weighted average contractual interest rate on our loans and debt securities, excluding non-accrual and partial non-accrual investments, and excluding CLO Fund Securities and Joint Ventures, was approximately 7.9% and 7.7%, respectively.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5" w:name="page86"/>
    <w:bookmarkEnd w:id="85"/>
    <w:p>
      <w:pPr>
        <w:jc w:val="both"/>
        <w:ind w:right="40" w:firstLine="374"/>
        <w:spacing w:after="0" w:line="303" w:lineRule="auto"/>
        <w:rPr>
          <w:sz w:val="20"/>
          <w:szCs w:val="20"/>
          <w:color w:val="auto"/>
        </w:rPr>
      </w:pPr>
      <w:r>
        <w:rPr>
          <w:rFonts w:ascii="Arial" w:cs="Arial" w:eastAsia="Arial" w:hAnsi="Arial"/>
          <w:sz w:val="17"/>
          <w:szCs w:val="17"/>
          <w:color w:val="auto"/>
        </w:rPr>
        <w:t>The investment portfolio (excluding our investments in the CLO Funds, Joint Ventures and short-term investments) at September 30, 2021 was spread across 30 different industries and 184 different entities with an average par balance per entity of approximately $3.3 million. As of September 30, 2021, six of our investments were on non-accrual status. As of December 31, 2020, eight of our investments were on non-accrual status.</w:t>
      </w:r>
    </w:p>
    <w:p>
      <w:pPr>
        <w:spacing w:after="0" w:line="137" w:lineRule="exact"/>
        <w:rPr>
          <w:sz w:val="20"/>
          <w:szCs w:val="20"/>
          <w:color w:val="auto"/>
        </w:rPr>
      </w:pPr>
    </w:p>
    <w:p>
      <w:pPr>
        <w:ind w:right="20" w:firstLine="374"/>
        <w:spacing w:after="0" w:line="311" w:lineRule="auto"/>
        <w:rPr>
          <w:sz w:val="20"/>
          <w:szCs w:val="20"/>
          <w:color w:val="auto"/>
        </w:rPr>
      </w:pPr>
      <w:r>
        <w:rPr>
          <w:rFonts w:ascii="Arial" w:cs="Arial" w:eastAsia="Arial" w:hAnsi="Arial"/>
          <w:sz w:val="16"/>
          <w:szCs w:val="16"/>
          <w:color w:val="auto"/>
        </w:rPr>
        <w:t>We may invest up to 30% of our investment portfolio in “non-qualifying” opportunistic investments such as high-yield bonds, debt and equity securities of CLO Funds, foreign investments, joint ventures, managed funds, partnerships and distressed debt or equity securities of large cap public companies. At September 30, 2021 and December 31, 2020, the total amount of non-qualifying assets to total assets was approximately 15.6% and 13.8% of total assets, respectively. The majority of non-qualifying assets were the Company’s investments in joint ventures, in the aggregate representing approximately 10.8% and 8.2%, of the total assets as of September 30, 2021 and December 31, 2020, and our total assets including our investments in CLO Funds, which are typically domiciled outside the U.S. and represented approximately 2.7% and 3.3% of total assets on such dates, respectively.</w:t>
      </w:r>
    </w:p>
    <w:p>
      <w:pPr>
        <w:spacing w:after="0" w:line="41" w:lineRule="exact"/>
        <w:rPr>
          <w:sz w:val="20"/>
          <w:szCs w:val="20"/>
          <w:color w:val="auto"/>
        </w:rPr>
      </w:pPr>
    </w:p>
    <w:p>
      <w:pPr>
        <w:ind w:right="60" w:firstLine="374"/>
        <w:spacing w:after="0" w:line="279" w:lineRule="auto"/>
        <w:rPr>
          <w:sz w:val="20"/>
          <w:szCs w:val="20"/>
          <w:color w:val="auto"/>
        </w:rPr>
      </w:pPr>
      <w:r>
        <w:rPr>
          <w:rFonts w:ascii="Arial" w:cs="Arial" w:eastAsia="Arial" w:hAnsi="Arial"/>
          <w:sz w:val="16"/>
          <w:szCs w:val="16"/>
          <w:color w:val="auto"/>
        </w:rPr>
        <w:t>Our portfolio may include “covenant-lite” loans which generally refer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financial maintenance covenants.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02" w:lineRule="exact"/>
        <w:rPr>
          <w:sz w:val="20"/>
          <w:szCs w:val="20"/>
          <w:color w:val="auto"/>
        </w:rPr>
      </w:pPr>
    </w:p>
    <w:p>
      <w:pPr>
        <w:ind w:right="40" w:firstLine="374"/>
        <w:spacing w:after="0" w:line="306" w:lineRule="auto"/>
        <w:rPr>
          <w:sz w:val="20"/>
          <w:szCs w:val="20"/>
          <w:color w:val="auto"/>
        </w:rPr>
      </w:pPr>
      <w:r>
        <w:rPr>
          <w:rFonts w:ascii="Arial" w:cs="Arial" w:eastAsia="Arial" w:hAnsi="Arial"/>
          <w:sz w:val="16"/>
          <w:szCs w:val="16"/>
          <w:color w:val="auto"/>
        </w:rPr>
        <w:t>The Disposed Manager Affiliates manage CLO Funds that invest in broadly syndicated loans, high yield bonds and other credit instruments. The CLO funds managed by the Disposed Asset Manager Affiliates consist primarily of credit instruments issued by corporations. In connection with the LibreMax Transaction, on December 31, 2018, our wholly-owned subsidiary Commodore Holdings, LLC sold the Disposed Manager Affiliates, which represented substantially all of our investment in the Asset Manager Affiliates, to LibreMax for a cash purchase price of approximately $37.9 million. Accordingly, certain CLO fund investments were reclassified from CLO funds managed by affiliates to CLO funds managed by non-affiliates on December 31, 2018. Effective April 1, 2019, as a result of the Externalization and related transactions, CLO Fund investments managed by LibreMax were assigned to CLO Funds managed by affiliates. In the fourth quarter of 2020, Libremax disposed of its equity interest in the Adviser and as a result, CLO funds managed by Libremax or its affiliates were reclassified to CLO funds managed by non-affiliates. As of September 30, 2021, our Asset Manager Affiliates had approximately $300 million of par value of assets under management, for which management fees were waived and thus were deemed to have no value.</w:t>
      </w:r>
    </w:p>
    <w:p>
      <w:pPr>
        <w:spacing w:after="0" w:line="62" w:lineRule="exact"/>
        <w:rPr>
          <w:sz w:val="20"/>
          <w:szCs w:val="20"/>
          <w:color w:val="auto"/>
        </w:rPr>
      </w:pPr>
    </w:p>
    <w:p>
      <w:pPr>
        <w:ind w:right="100" w:firstLine="374"/>
        <w:spacing w:after="0" w:line="299"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we are now entitled to receive a preferred distribution in an amount equal to the fees waived by KCAP Management. The impact of these transactions was a reduction in the fair value of the Asset Manager Affiliates (realized loss) and increase the fair value of our investment in the Joint Venture (unrealized gain) during the first quarter of 2019.</w:t>
      </w:r>
    </w:p>
    <w:p>
      <w:pPr>
        <w:spacing w:after="0" w:line="2" w:lineRule="exact"/>
        <w:rPr>
          <w:sz w:val="20"/>
          <w:szCs w:val="20"/>
          <w:color w:val="auto"/>
        </w:rPr>
      </w:pPr>
    </w:p>
    <w:p>
      <w:pPr>
        <w:ind w:right="160" w:firstLine="374"/>
        <w:spacing w:after="0" w:line="319" w:lineRule="auto"/>
        <w:rPr>
          <w:sz w:val="20"/>
          <w:szCs w:val="20"/>
          <w:color w:val="auto"/>
        </w:rPr>
      </w:pPr>
      <w:r>
        <w:rPr>
          <w:rFonts w:ascii="Arial" w:cs="Arial" w:eastAsia="Arial" w:hAnsi="Arial"/>
          <w:sz w:val="16"/>
          <w:szCs w:val="16"/>
          <w:color w:val="auto"/>
        </w:rPr>
        <w:t>Although the investment in the Asset Manager Affiliates is deemed to have no value at September 30, 2021 and December 31, 2020, certain of these subsidiaries continue to exist as a legal matter and until such entities are formally dissolved, the Company will continue to report the cost basis of its investment in the Asset Manager Affiliates in its financial statements. Upon the final disposition of these entities, the Company expects to write off any remaining cost basis, which will result in a reclassification in the statement of operations between realized and unrealized gains and losses.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Fund Securities</w:t>
      </w:r>
    </w:p>
    <w:p>
      <w:pPr>
        <w:spacing w:after="0" w:line="202" w:lineRule="exact"/>
        <w:rPr>
          <w:sz w:val="20"/>
          <w:szCs w:val="20"/>
          <w:color w:val="auto"/>
        </w:rPr>
      </w:pPr>
    </w:p>
    <w:p>
      <w:pPr>
        <w:ind w:right="120" w:firstLine="374"/>
        <w:spacing w:after="0" w:line="275" w:lineRule="auto"/>
        <w:rPr>
          <w:sz w:val="20"/>
          <w:szCs w:val="20"/>
          <w:color w:val="auto"/>
        </w:rPr>
      </w:pPr>
      <w:r>
        <w:rPr>
          <w:rFonts w:ascii="Arial" w:cs="Arial" w:eastAsia="Arial" w:hAnsi="Arial"/>
          <w:sz w:val="18"/>
          <w:szCs w:val="18"/>
          <w:color w:val="auto"/>
        </w:rPr>
        <w:t>We have made minority investments in the subordinated securities or preferred shares of CLO Funds managed by the Disposed Manager Affiliates and may selectively invest in securities issued by CLO Funds managed by other asset management companies. As of September 30, 2021 and December 31, 2020, we had approximately $17.2 million and $19.6 million, respectively, invested in CLO Fund Securities, issued primarily by CLO Funds managed by the Disposed Manager Affiliates.</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139" w:lineRule="exact"/>
        <w:rPr>
          <w:sz w:val="20"/>
          <w:szCs w:val="20"/>
          <w:color w:val="auto"/>
        </w:rPr>
      </w:pPr>
    </w:p>
    <w:p>
      <w:pPr>
        <w:ind w:right="20" w:firstLine="499"/>
        <w:spacing w:after="0" w:line="284" w:lineRule="auto"/>
        <w:rPr>
          <w:sz w:val="20"/>
          <w:szCs w:val="20"/>
          <w:color w:val="auto"/>
        </w:rPr>
      </w:pPr>
      <w:r>
        <w:rPr>
          <w:rFonts w:ascii="Arial" w:cs="Arial" w:eastAsia="Arial" w:hAnsi="Arial"/>
          <w:sz w:val="16"/>
          <w:szCs w:val="16"/>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The CLO Funds in which we invest have debt that ranks senior to our investment. Our CLO Fund investments are generally thinly traded or have only a limited trading market. CLO Funds are typically privately offered and sold, even in the secondary market. As a result, investments in CLO Funds may be characterized as illiquid securities. In addition to the general risks associated with investing in debt securities, CLO Funds carry additional risks, including, but not limited to: (i) the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6" w:name="page87"/>
    <w:bookmarkEnd w:id="86"/>
    <w:p>
      <w:pPr>
        <w:ind w:right="80"/>
        <w:spacing w:after="0" w:line="291" w:lineRule="auto"/>
        <w:rPr>
          <w:sz w:val="20"/>
          <w:szCs w:val="20"/>
          <w:color w:val="auto"/>
        </w:rPr>
      </w:pPr>
      <w:r>
        <w:rPr>
          <w:rFonts w:ascii="Arial" w:cs="Arial" w:eastAsia="Arial" w:hAnsi="Arial"/>
          <w:sz w:val="16"/>
          <w:szCs w:val="16"/>
          <w:color w:val="auto"/>
        </w:rPr>
        <w:t>possibility that distributions from collateral securities will not be adequate to make interest or other payments; (ii) the quality of the collateral may decline in value or default; (iii) the fact that the Company’s investments in CLO tranches will likely be subordinate to other senior classes of note tranches thereof; and (iv) the complex structure of the security may not be fully understood at the time of investment and may produce disputes with the CLO Fund or unexpected investment results. The Company’s net asset value may also decline over time if the Company’s principal recovery with respect to CLO subordinated note investments is less than the price that the Company paid for those investments. For a more detailed discussion of the risks related to our investments in CLO Funds, please see “Risk Factors — Risks Related to Our Investments — Our investments may be risky, and you could lose all or part of your investment.” in Part I, “Item 1A. Risk Factors” in our Annual Report on Form 10-K for the year ended December 31, 2020.</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CLO Fund Securities as of September 30, 2021 and December 31, 2020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September 30, 2021</w:t>
            </w:r>
          </w:p>
        </w:tc>
        <w:tc>
          <w:tcPr>
            <w:tcW w:w="120" w:type="dxa"/>
            <w:vAlign w:val="bottom"/>
          </w:tcPr>
          <w:p>
            <w:pPr>
              <w:spacing w:after="0"/>
              <w:rPr>
                <w:sz w:val="23"/>
                <w:szCs w:val="23"/>
                <w:color w:val="auto"/>
              </w:rPr>
            </w:pPr>
          </w:p>
        </w:tc>
        <w:tc>
          <w:tcPr>
            <w:tcW w:w="25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 xml:space="preserve">December 31, 2020 </w:t>
            </w:r>
            <w:r>
              <w:rPr>
                <w:rFonts w:ascii="Arial" w:cs="Arial" w:eastAsia="Arial" w:hAnsi="Arial"/>
                <w:sz w:val="24"/>
                <w:szCs w:val="24"/>
                <w:b w:val="1"/>
                <w:bCs w:val="1"/>
                <w:color w:val="auto"/>
                <w:vertAlign w:val="superscript"/>
              </w:rPr>
              <w:t>2</w:t>
            </w:r>
          </w:p>
        </w:tc>
        <w:tc>
          <w:tcPr>
            <w:tcW w:w="0" w:type="dxa"/>
            <w:vAlign w:val="bottom"/>
          </w:tcPr>
          <w:p>
            <w:pPr>
              <w:spacing w:after="0"/>
              <w:rPr>
                <w:sz w:val="1"/>
                <w:szCs w:val="1"/>
                <w:color w:val="auto"/>
              </w:rPr>
            </w:pPr>
          </w:p>
        </w:tc>
      </w:tr>
      <w:tr>
        <w:trPr>
          <w:trHeight w:val="232"/>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24"/>
                <w:szCs w:val="24"/>
                <w:b w:val="1"/>
                <w:bCs w:val="1"/>
                <w:color w:val="auto"/>
                <w:vertAlign w:val="superscript"/>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CLO Fund Securities</w:t>
            </w:r>
          </w:p>
        </w:tc>
        <w:tc>
          <w:tcPr>
            <w:tcW w:w="120" w:type="dxa"/>
            <w:vAlign w:val="bottom"/>
          </w:tcPr>
          <w:p>
            <w:pPr>
              <w:spacing w:after="0"/>
              <w:rPr>
                <w:sz w:val="21"/>
                <w:szCs w:val="21"/>
                <w:color w:val="auto"/>
              </w:rPr>
            </w:pPr>
          </w:p>
        </w:tc>
        <w:tc>
          <w:tcPr>
            <w:tcW w:w="1220" w:type="dxa"/>
            <w:vAlign w:val="bottom"/>
          </w:tcPr>
          <w:p>
            <w:pPr>
              <w:ind w:left="180"/>
              <w:spacing w:after="0"/>
              <w:rPr>
                <w:sz w:val="20"/>
                <w:szCs w:val="20"/>
                <w:color w:val="auto"/>
              </w:rPr>
            </w:pPr>
            <w:r>
              <w:rPr>
                <w:rFonts w:ascii="Arial" w:cs="Arial" w:eastAsia="Arial" w:hAnsi="Arial"/>
                <w:sz w:val="18"/>
                <w:szCs w:val="18"/>
                <w:b w:val="1"/>
                <w:bCs w:val="1"/>
                <w:color w:val="auto"/>
              </w:rPr>
              <w:t>Investment</w:t>
            </w:r>
          </w:p>
        </w:tc>
        <w:tc>
          <w:tcPr>
            <w:tcW w:w="13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1"/>
                <w:szCs w:val="21"/>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6"/>
        </w:trPr>
        <w:tc>
          <w:tcPr>
            <w:tcW w:w="3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Catamaran CLO 2013- 1 Ltd.</w:t>
            </w:r>
          </w:p>
        </w:tc>
        <w:tc>
          <w:tcPr>
            <w:tcW w:w="1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w:t>
            </w:r>
          </w:p>
        </w:tc>
        <w:tc>
          <w:tcPr>
            <w:tcW w:w="12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Notes</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5,695,115</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3,404,930</w:t>
            </w:r>
          </w:p>
        </w:tc>
        <w:tc>
          <w:tcPr>
            <w:tcW w:w="1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6,219,310</w:t>
            </w:r>
          </w:p>
        </w:tc>
        <w:tc>
          <w:tcPr>
            <w:tcW w:w="1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2,611,423</w:t>
            </w:r>
          </w:p>
        </w:tc>
        <w:tc>
          <w:tcPr>
            <w:tcW w:w="0" w:type="dxa"/>
            <w:vAlign w:val="bottom"/>
          </w:tcPr>
          <w:p>
            <w:pPr>
              <w:spacing w:after="0"/>
              <w:rPr>
                <w:sz w:val="1"/>
                <w:szCs w:val="1"/>
                <w:color w:val="auto"/>
              </w:rPr>
            </w:pPr>
          </w:p>
        </w:tc>
      </w:tr>
      <w:tr>
        <w:trPr>
          <w:trHeight w:val="242"/>
        </w:trPr>
        <w:tc>
          <w:tcPr>
            <w:tcW w:w="3120" w:type="dxa"/>
            <w:vAlign w:val="bottom"/>
          </w:tcPr>
          <w:p>
            <w:pPr>
              <w:ind w:left="20"/>
              <w:spacing w:after="0"/>
              <w:rPr>
                <w:sz w:val="20"/>
                <w:szCs w:val="20"/>
                <w:color w:val="auto"/>
              </w:rPr>
            </w:pPr>
            <w:r>
              <w:rPr>
                <w:rFonts w:ascii="Arial" w:cs="Arial" w:eastAsia="Arial" w:hAnsi="Arial"/>
                <w:sz w:val="18"/>
                <w:szCs w:val="18"/>
                <w:color w:val="auto"/>
              </w:rPr>
              <w:t>Catamaran CLO 2014-1 Ltd.</w:t>
            </w:r>
          </w:p>
        </w:tc>
        <w:tc>
          <w:tcPr>
            <w:tcW w:w="12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Subordinated</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Notes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9,619,786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5,218,279</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9,998,258</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3,835,632</w:t>
            </w:r>
          </w:p>
        </w:tc>
        <w:tc>
          <w:tcPr>
            <w:tcW w:w="0" w:type="dxa"/>
            <w:vAlign w:val="bottom"/>
          </w:tcPr>
          <w:p>
            <w:pPr>
              <w:spacing w:after="0"/>
              <w:rPr>
                <w:sz w:val="1"/>
                <w:szCs w:val="1"/>
                <w:color w:val="auto"/>
              </w:rPr>
            </w:pPr>
          </w:p>
        </w:tc>
      </w:tr>
      <w:tr>
        <w:trPr>
          <w:trHeight w:val="249"/>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Dryden 30 Senior Loan Fund</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Subordinated</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Notes</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1,099,276</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1,365,000</w:t>
            </w:r>
          </w:p>
        </w:tc>
        <w:tc>
          <w:tcPr>
            <w:tcW w:w="1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1,272,501</w:t>
            </w:r>
          </w:p>
        </w:tc>
        <w:tc>
          <w:tcPr>
            <w:tcW w:w="1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1,322,100</w:t>
            </w:r>
          </w:p>
        </w:tc>
        <w:tc>
          <w:tcPr>
            <w:tcW w:w="0" w:type="dxa"/>
            <w:vAlign w:val="bottom"/>
          </w:tcPr>
          <w:p>
            <w:pPr>
              <w:spacing w:after="0"/>
              <w:rPr>
                <w:sz w:val="1"/>
                <w:szCs w:val="1"/>
                <w:color w:val="auto"/>
              </w:rPr>
            </w:pPr>
          </w:p>
        </w:tc>
      </w:tr>
      <w:tr>
        <w:trPr>
          <w:trHeight w:val="242"/>
        </w:trPr>
        <w:tc>
          <w:tcPr>
            <w:tcW w:w="3120" w:type="dxa"/>
            <w:vAlign w:val="bottom"/>
          </w:tcPr>
          <w:p>
            <w:pPr>
              <w:ind w:left="20"/>
              <w:spacing w:after="0"/>
              <w:rPr>
                <w:sz w:val="20"/>
                <w:szCs w:val="20"/>
                <w:color w:val="auto"/>
              </w:rPr>
            </w:pPr>
            <w:r>
              <w:rPr>
                <w:rFonts w:ascii="Arial" w:cs="Arial" w:eastAsia="Arial" w:hAnsi="Arial"/>
                <w:sz w:val="18"/>
                <w:szCs w:val="18"/>
                <w:color w:val="auto"/>
              </w:rPr>
              <w:t>Catamaran CLO 2014-2 Ltd.</w:t>
            </w:r>
          </w:p>
        </w:tc>
        <w:tc>
          <w:tcPr>
            <w:tcW w:w="12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Subordinated</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Notes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6,065,598</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6,065,598</w:t>
            </w: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Catamaran CLO 2015-1 Ltd.</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Subordinated</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Notes</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2,660,968</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162,426</w:t>
            </w:r>
          </w:p>
        </w:tc>
        <w:tc>
          <w:tcPr>
            <w:tcW w:w="1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4,141,981</w:t>
            </w:r>
          </w:p>
        </w:tc>
        <w:tc>
          <w:tcPr>
            <w:tcW w:w="1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1,609,400</w:t>
            </w:r>
          </w:p>
        </w:tc>
        <w:tc>
          <w:tcPr>
            <w:tcW w:w="0" w:type="dxa"/>
            <w:vAlign w:val="bottom"/>
          </w:tcPr>
          <w:p>
            <w:pPr>
              <w:spacing w:after="0"/>
              <w:rPr>
                <w:sz w:val="1"/>
                <w:szCs w:val="1"/>
                <w:color w:val="auto"/>
              </w:rPr>
            </w:pPr>
          </w:p>
        </w:tc>
      </w:tr>
      <w:tr>
        <w:trPr>
          <w:trHeight w:val="242"/>
        </w:trPr>
        <w:tc>
          <w:tcPr>
            <w:tcW w:w="3120" w:type="dxa"/>
            <w:vAlign w:val="bottom"/>
          </w:tcPr>
          <w:p>
            <w:pPr>
              <w:ind w:left="20"/>
              <w:spacing w:after="0"/>
              <w:rPr>
                <w:sz w:val="20"/>
                <w:szCs w:val="20"/>
                <w:color w:val="auto"/>
              </w:rPr>
            </w:pPr>
            <w:r>
              <w:rPr>
                <w:rFonts w:ascii="Arial" w:cs="Arial" w:eastAsia="Arial" w:hAnsi="Arial"/>
                <w:sz w:val="18"/>
                <w:szCs w:val="18"/>
                <w:color w:val="auto"/>
              </w:rPr>
              <w:t>Catamaran CLO 2016-1 Ltd.</w:t>
            </w:r>
          </w:p>
        </w:tc>
        <w:tc>
          <w:tcPr>
            <w:tcW w:w="12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Subordinated</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Notes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8,872,484</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3,549,000</w:t>
            </w:r>
          </w:p>
        </w:tc>
        <w:tc>
          <w:tcPr>
            <w:tcW w:w="0" w:type="dxa"/>
            <w:vAlign w:val="bottom"/>
          </w:tcPr>
          <w:p>
            <w:pPr>
              <w:spacing w:after="0"/>
              <w:rPr>
                <w:sz w:val="1"/>
                <w:szCs w:val="1"/>
                <w:color w:val="auto"/>
              </w:rPr>
            </w:pPr>
          </w:p>
        </w:tc>
      </w:tr>
      <w:tr>
        <w:trPr>
          <w:trHeight w:val="249"/>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Catamaran CLO 2018-1 Ltd.</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Subordinated</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8,823,494</w:t>
            </w:r>
          </w:p>
        </w:tc>
        <w:tc>
          <w:tcPr>
            <w:tcW w:w="120" w:type="dxa"/>
            <w:vAlign w:val="bottom"/>
            <w:vMerge w:val="restart"/>
            <w:shd w:val="clear" w:color="auto" w:fill="CFF0FC"/>
          </w:tcPr>
          <w:p>
            <w:pPr>
              <w:spacing w:after="0"/>
              <w:rPr>
                <w:sz w:val="21"/>
                <w:szCs w:val="21"/>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7,023,000</w:t>
            </w:r>
          </w:p>
        </w:tc>
        <w:tc>
          <w:tcPr>
            <w:tcW w:w="120" w:type="dxa"/>
            <w:vAlign w:val="bottom"/>
            <w:vMerge w:val="restart"/>
            <w:shd w:val="clear" w:color="auto" w:fill="CFF0FC"/>
          </w:tcPr>
          <w:p>
            <w:pPr>
              <w:spacing w:after="0"/>
              <w:rPr>
                <w:sz w:val="21"/>
                <w:szCs w:val="21"/>
                <w:color w:val="auto"/>
              </w:rPr>
            </w:pPr>
          </w:p>
        </w:tc>
        <w:tc>
          <w:tcPr>
            <w:tcW w:w="1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9,157,681</w:t>
            </w:r>
          </w:p>
        </w:tc>
        <w:tc>
          <w:tcPr>
            <w:tcW w:w="120" w:type="dxa"/>
            <w:vAlign w:val="bottom"/>
            <w:vMerge w:val="restart"/>
            <w:shd w:val="clear" w:color="auto" w:fill="CFF0FC"/>
          </w:tcPr>
          <w:p>
            <w:pPr>
              <w:spacing w:after="0"/>
              <w:rPr>
                <w:sz w:val="21"/>
                <w:szCs w:val="21"/>
                <w:color w:val="auto"/>
              </w:rPr>
            </w:pPr>
          </w:p>
        </w:tc>
        <w:tc>
          <w:tcPr>
            <w:tcW w:w="1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6,655,000</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Notes</w:t>
            </w:r>
          </w:p>
        </w:tc>
        <w:tc>
          <w:tcPr>
            <w:tcW w:w="13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33,964,237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17,173,635</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   45,727,813</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   19,582,555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-159385</wp:posOffset>
            </wp:positionV>
            <wp:extent cx="77470" cy="571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-159385</wp:posOffset>
            </wp:positionV>
            <wp:extent cx="68580" cy="571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-159385</wp:posOffset>
            </wp:positionV>
            <wp:extent cx="68580" cy="571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8255</wp:posOffset>
            </wp:positionV>
            <wp:extent cx="336042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ind w:left="360" w:hanging="352"/>
        <w:spacing w:after="0" w:line="234" w:lineRule="auto"/>
        <w:tabs>
          <w:tab w:leader="none" w:pos="360" w:val="left"/>
        </w:tabs>
        <w:numPr>
          <w:ilvl w:val="0"/>
          <w:numId w:val="90"/>
        </w:numPr>
        <w:rPr>
          <w:rFonts w:ascii="Arial" w:cs="Arial" w:eastAsia="Arial" w:hAnsi="Arial"/>
          <w:sz w:val="24"/>
          <w:szCs w:val="24"/>
          <w:color w:val="auto"/>
          <w:vertAlign w:val="superscript"/>
        </w:rPr>
      </w:pPr>
      <w:r>
        <w:rPr>
          <w:rFonts w:ascii="Arial" w:cs="Arial" w:eastAsia="Arial" w:hAnsi="Arial"/>
          <w:sz w:val="18"/>
          <w:szCs w:val="18"/>
          <w:color w:val="auto"/>
        </w:rPr>
        <w:t>Represents percentage of class held at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-144780</wp:posOffset>
            </wp:positionV>
            <wp:extent cx="336042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9" w:lineRule="exact"/>
        <w:rPr>
          <w:sz w:val="20"/>
          <w:szCs w:val="20"/>
          <w:color w:val="auto"/>
        </w:rPr>
      </w:pPr>
    </w:p>
    <w:p>
      <w:pPr>
        <w:ind w:left="360" w:hanging="352"/>
        <w:spacing w:after="0"/>
        <w:tabs>
          <w:tab w:leader="none" w:pos="360" w:val="left"/>
        </w:tabs>
        <w:numPr>
          <w:ilvl w:val="0"/>
          <w:numId w:val="91"/>
        </w:numPr>
        <w:rPr>
          <w:rFonts w:ascii="Arial" w:cs="Arial" w:eastAsia="Arial" w:hAnsi="Arial"/>
          <w:sz w:val="24"/>
          <w:szCs w:val="24"/>
          <w:color w:val="auto"/>
          <w:vertAlign w:val="superscript"/>
        </w:rPr>
      </w:pPr>
      <w:r>
        <w:rPr>
          <w:rFonts w:ascii="Arial" w:cs="Arial" w:eastAsia="Arial" w:hAnsi="Arial"/>
          <w:sz w:val="18"/>
          <w:szCs w:val="18"/>
          <w:color w:val="auto"/>
        </w:rPr>
        <w:t>As of December 31, 2020, the CLO Funds managed by Libremax were assigned to CLO Funds managed by non-affiliates.</w:t>
      </w:r>
    </w:p>
    <w:p>
      <w:pPr>
        <w:spacing w:after="0" w:line="202" w:lineRule="exact"/>
        <w:rPr>
          <w:sz w:val="20"/>
          <w:szCs w:val="20"/>
          <w:color w:val="auto"/>
        </w:rPr>
      </w:pPr>
    </w:p>
    <w:p>
      <w:pPr>
        <w:ind w:right="80" w:firstLine="374"/>
        <w:spacing w:after="0" w:line="271" w:lineRule="auto"/>
        <w:rPr>
          <w:sz w:val="20"/>
          <w:szCs w:val="20"/>
          <w:color w:val="auto"/>
        </w:rPr>
      </w:pPr>
      <w:r>
        <w:rPr>
          <w:rFonts w:ascii="Arial" w:cs="Arial" w:eastAsia="Arial" w:hAnsi="Arial"/>
          <w:sz w:val="17"/>
          <w:szCs w:val="17"/>
          <w:color w:val="auto"/>
        </w:rPr>
        <w:t>As a result of the severe economic consequences resulting from the COVID 19 pandemic, during the second quarter of 2020, the Company was notified that four of the Catamaran CLO Funds breached certain covenants contained in their respective indentures, and as a result, available cash within the CLO Fund will be diverted away from the subordinated notes owned by the Company and will be applied to more senior noteholders in the capital structure of the CLO Fund. It is also possible, based upon the severe economic consequences resulting from the COVID 19 pandemic, that additional CLO Fund Securities owned by the Company, and including the subordinated securities issued by Great Lakes KCAP F3C Senior LLC CLO, which are owned by the KCAP Freedom 3 Joint Venture, could also cease making distributions to the Company. As of September 30, 2021, three of the four CLO funds whose distributions to the Company had been temporarily interrupted in 2020 have resumed making distributions to the Company. The estimated timing and amount of future distributions, if any, from such other CLO Fund Securities is uncertain.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KCAP Freedom 3 LLC</w:t>
      </w:r>
    </w:p>
    <w:p>
      <w:pPr>
        <w:spacing w:after="0" w:line="121"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During the third quarter of 2017, we and Freedom 3 Opportunities LLC (“Freedom 3 Opportunities”), an affiliate of Freedom 3 Capital LLC, entered into an agreement to create KCAP Freedom 3 LLC (the “Joint Venture”). We contributed approximately $37 million and Freedom 3 Opportunities contributed approximately $25 million, in assets to the Joint Venture, which in turn used the assets to capitalize a new fund, Great Lakes KCAP F3C Senior Funding L.L.C. (formerly known as KCAP F3C Senior Funding, L.L.C.) (the “Fund”) managed by KCAP Management, LLC, one of the Asset Manager Affiliates. In addition, the Fund used cash on hand and borrowings under a credit facility to purchase approximately $184 million of primarily middle-market loans from us and we used the proceeds from such sale to redeem approximately $147 million in debt issued by KCAP Senior Funding I, LLC (“KCAP Senior Funding”). The Fund invests primarily in middle-market loans and the Joint Venture partners may source middle-market loans from time-to-time for the Fund.</w:t>
      </w:r>
    </w:p>
    <w:p>
      <w:pPr>
        <w:spacing w:after="0" w:line="97" w:lineRule="exact"/>
        <w:rPr>
          <w:sz w:val="20"/>
          <w:szCs w:val="20"/>
          <w:color w:val="auto"/>
        </w:rPr>
      </w:pPr>
    </w:p>
    <w:p>
      <w:pPr>
        <w:ind w:right="20" w:firstLine="374"/>
        <w:spacing w:after="0" w:line="299" w:lineRule="auto"/>
        <w:rPr>
          <w:sz w:val="20"/>
          <w:szCs w:val="20"/>
          <w:color w:val="auto"/>
        </w:rPr>
      </w:pPr>
      <w:r>
        <w:rPr>
          <w:rFonts w:ascii="Arial" w:cs="Arial" w:eastAsia="Arial" w:hAnsi="Arial"/>
          <w:sz w:val="16"/>
          <w:szCs w:val="16"/>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us of approximately $12.6 million. $11.8 million of this distribution was a return of capital, reducing the cost basis of our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87" w:name="page88"/>
    <w:bookmarkEnd w:id="87"/>
    <w:p>
      <w:pPr>
        <w:ind w:right="100" w:firstLine="374"/>
        <w:spacing w:after="0" w:line="319"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we are now entitled to receive a preferred distribution in an amount equal to the fees waived by KCAP Management. The impact of these transactions was a reduction in the fair value of the Asset Manager Affiliates (realized loss) and increase the fair value of our investment in the Joint Venture (unrealized gain) during the first quarter of 2019.</w:t>
      </w:r>
    </w:p>
    <w:p>
      <w:pPr>
        <w:spacing w:after="0" w:line="129" w:lineRule="exact"/>
        <w:rPr>
          <w:sz w:val="20"/>
          <w:szCs w:val="20"/>
          <w:color w:val="auto"/>
        </w:rPr>
      </w:pPr>
    </w:p>
    <w:p>
      <w:pPr>
        <w:ind w:firstLine="374"/>
        <w:spacing w:after="0" w:line="311" w:lineRule="auto"/>
        <w:rPr>
          <w:sz w:val="20"/>
          <w:szCs w:val="20"/>
          <w:color w:val="auto"/>
        </w:rPr>
      </w:pPr>
      <w:r>
        <w:rPr>
          <w:rFonts w:ascii="Arial" w:cs="Arial" w:eastAsia="Arial" w:hAnsi="Arial"/>
          <w:sz w:val="16"/>
          <w:szCs w:val="16"/>
          <w:color w:val="auto"/>
        </w:rPr>
        <w:t>During the second quarter of 2021, the Company contributed an additional $2.5 million cash investment to the Joint Venture, increasing its equity ownership interest to 62.83% in the Joint Venture. While we own a 62.83% interest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us and two of whom were selected by Freedom 3 Opportunities, and must be approved by at least one member appointed by us and one appointed by Freedom 3 Opportunities. In addition, certain matters may be approved by the Joint Venture’s investment committee, which is comprised of one member appointed by us and one member appointed by Freedom 3 Opportunities.</w:t>
      </w:r>
    </w:p>
    <w:p>
      <w:pPr>
        <w:spacing w:after="0" w:line="122" w:lineRule="exact"/>
        <w:rPr>
          <w:sz w:val="20"/>
          <w:szCs w:val="20"/>
          <w:color w:val="auto"/>
        </w:rPr>
      </w:pPr>
    </w:p>
    <w:p>
      <w:pPr>
        <w:ind w:right="320" w:firstLine="374"/>
        <w:spacing w:after="0" w:line="272" w:lineRule="auto"/>
        <w:rPr>
          <w:sz w:val="20"/>
          <w:szCs w:val="20"/>
          <w:color w:val="auto"/>
        </w:rPr>
      </w:pPr>
      <w:r>
        <w:rPr>
          <w:rFonts w:ascii="Arial" w:cs="Arial" w:eastAsia="Arial" w:hAnsi="Arial"/>
          <w:sz w:val="18"/>
          <w:szCs w:val="18"/>
          <w:color w:val="auto"/>
        </w:rPr>
        <w:t>We have determined that the Joint Venture is an investment company under Accounting Standards Codification (“ASC”), Financial Services — Investment Companies (“ASC 946”), however, in accordance with such guidance, we will generally not consolidate our investment in a company other than a wholly owned investment company subsidiary or a controlled operating company whose business consists of providing services to us. We do not consolidate its interest in the Joint Venture because we do not control the Joint Venture due to allocation of the voting rights among the Joint Venture partners.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 of Financial Condition</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As of</w:t>
            </w:r>
          </w:p>
        </w:tc>
      </w:tr>
      <w:tr>
        <w:trPr>
          <w:trHeight w:val="229"/>
        </w:trPr>
        <w:tc>
          <w:tcPr>
            <w:tcW w:w="7640" w:type="dxa"/>
            <w:vAlign w:val="bottom"/>
          </w:tcPr>
          <w:p>
            <w:pPr>
              <w:spacing w:after="0"/>
              <w:rPr>
                <w:sz w:val="19"/>
                <w:szCs w:val="19"/>
                <w:color w:val="auto"/>
              </w:rPr>
            </w:pPr>
          </w:p>
        </w:tc>
        <w:tc>
          <w:tcPr>
            <w:tcW w:w="15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5"/>
              </w:rPr>
              <w:t>As of September</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30, 2021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2020</w:t>
            </w:r>
          </w:p>
        </w:tc>
      </w:tr>
      <w:tr>
        <w:trPr>
          <w:trHeight w:val="256"/>
        </w:trPr>
        <w:tc>
          <w:tcPr>
            <w:tcW w:w="7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(unaudited)</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63"/>
        </w:trPr>
        <w:tc>
          <w:tcPr>
            <w:tcW w:w="7640" w:type="dxa"/>
            <w:vAlign w:val="bottom"/>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Investment at fair value</w:t>
            </w:r>
          </w:p>
        </w:tc>
        <w:tc>
          <w:tcPr>
            <w:tcW w:w="22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36,834,689</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31,404,100</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36,834,689</w:t>
            </w: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31,404,100</w:t>
            </w: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166,234</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167,389</w:t>
            </w:r>
          </w:p>
        </w:tc>
      </w:tr>
      <w:tr>
        <w:trPr>
          <w:trHeight w:val="250"/>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Equity</w:t>
            </w:r>
          </w:p>
        </w:tc>
        <w:tc>
          <w:tcPr>
            <w:tcW w:w="2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36,668,455</w:t>
            </w:r>
          </w:p>
        </w:tc>
        <w:tc>
          <w:tcPr>
            <w:tcW w:w="18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31,236,711</w:t>
            </w:r>
          </w:p>
        </w:tc>
      </w:tr>
      <w:tr>
        <w:trPr>
          <w:trHeight w:val="29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36,834,689</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31,404,100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-725170</wp:posOffset>
            </wp:positionV>
            <wp:extent cx="111125" cy="571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-365125</wp:posOffset>
            </wp:positionV>
            <wp:extent cx="111125" cy="571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11112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11112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5"/>
              </w:rPr>
              <w:t>Three Months Ended September 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3"/>
              </w:rPr>
              <w:t>Nine Months Ended September 30,</w:t>
            </w:r>
          </w:p>
        </w:tc>
        <w:tc>
          <w:tcPr>
            <w:tcW w:w="140" w:type="dxa"/>
            <w:vAlign w:val="bottom"/>
          </w:tcPr>
          <w:p>
            <w:pPr>
              <w:spacing w:after="0"/>
              <w:rPr>
                <w:sz w:val="20"/>
                <w:szCs w:val="20"/>
                <w:color w:val="auto"/>
              </w:rPr>
            </w:pPr>
          </w:p>
        </w:tc>
      </w:tr>
      <w:tr>
        <w:trPr>
          <w:trHeight w:val="263"/>
        </w:trPr>
        <w:tc>
          <w:tcPr>
            <w:tcW w:w="39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2"/>
                <w:szCs w:val="22"/>
                <w:color w:val="auto"/>
              </w:rPr>
            </w:pPr>
          </w:p>
        </w:tc>
      </w:tr>
      <w:tr>
        <w:trPr>
          <w:trHeight w:val="257"/>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income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1,619,634</w:t>
            </w:r>
          </w:p>
        </w:tc>
        <w:tc>
          <w:tcPr>
            <w:tcW w:w="6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1,294,081</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4,918,670</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3,689,714</w:t>
            </w:r>
          </w:p>
        </w:tc>
        <w:tc>
          <w:tcPr>
            <w:tcW w:w="140" w:type="dxa"/>
            <w:vAlign w:val="bottom"/>
            <w:shd w:val="clear" w:color="auto" w:fill="CFF0FC"/>
          </w:tcPr>
          <w:p>
            <w:pPr>
              <w:spacing w:after="0"/>
              <w:rPr>
                <w:sz w:val="22"/>
                <w:szCs w:val="22"/>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36,279</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1,997</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52,434</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33,497</w:t>
            </w:r>
          </w:p>
        </w:tc>
        <w:tc>
          <w:tcPr>
            <w:tcW w:w="140" w:type="dxa"/>
            <w:vAlign w:val="bottom"/>
          </w:tcPr>
          <w:p>
            <w:pPr>
              <w:spacing w:after="0"/>
              <w:rPr>
                <w:sz w:val="21"/>
                <w:szCs w:val="21"/>
                <w:color w:val="auto"/>
              </w:rPr>
            </w:pPr>
          </w:p>
        </w:tc>
      </w:tr>
      <w:tr>
        <w:trPr>
          <w:trHeight w:val="256"/>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1,583,355</w:t>
            </w:r>
          </w:p>
        </w:tc>
        <w:tc>
          <w:tcPr>
            <w:tcW w:w="2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1,292,084</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4,866,236</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3,656,217</w:t>
            </w:r>
          </w:p>
        </w:tc>
        <w:tc>
          <w:tcPr>
            <w:tcW w:w="140" w:type="dxa"/>
            <w:vAlign w:val="bottom"/>
            <w:shd w:val="clear" w:color="auto" w:fill="CFF0FC"/>
          </w:tcPr>
          <w:p>
            <w:pPr>
              <w:spacing w:after="0"/>
              <w:rPr>
                <w:sz w:val="22"/>
                <w:szCs w:val="22"/>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Unrealized appreciation on investments</w:t>
            </w: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(765,565 )</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1,779,745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564,353</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(5,583,581 )</w:t>
            </w:r>
          </w:p>
        </w:tc>
        <w:tc>
          <w:tcPr>
            <w:tcW w:w="140" w:type="dxa"/>
            <w:vAlign w:val="bottom"/>
          </w:tcPr>
          <w:p>
            <w:pPr>
              <w:spacing w:after="0"/>
              <w:rPr>
                <w:sz w:val="21"/>
                <w:szCs w:val="21"/>
                <w:color w:val="auto"/>
              </w:rPr>
            </w:pPr>
          </w:p>
        </w:tc>
      </w:tr>
      <w:tr>
        <w:trPr>
          <w:trHeight w:val="290"/>
        </w:trPr>
        <w:tc>
          <w:tcPr>
            <w:tcW w:w="3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817,790</w:t>
            </w:r>
          </w:p>
        </w:tc>
        <w:tc>
          <w:tcPr>
            <w:tcW w:w="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3,071,829</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5,430,589</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(1,927,366 )</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-24765</wp:posOffset>
            </wp:positionV>
            <wp:extent cx="14541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-7620</wp:posOffset>
            </wp:positionV>
            <wp:extent cx="14541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13716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13716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13716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13716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60" w:type="dxa"/>
            <w:vAlign w:val="bottom"/>
          </w:tcPr>
          <w:p>
            <w:pPr>
              <w:jc w:val="center"/>
              <w:ind w:left="1310"/>
              <w:spacing w:after="0"/>
              <w:rPr>
                <w:sz w:val="20"/>
                <w:szCs w:val="20"/>
                <w:color w:val="auto"/>
              </w:rPr>
            </w:pPr>
            <w:r>
              <w:rPr>
                <w:rFonts w:ascii="Arial" w:cs="Arial" w:eastAsia="Arial" w:hAnsi="Arial"/>
                <w:sz w:val="18"/>
                <w:szCs w:val="18"/>
                <w:b w:val="1"/>
                <w:bCs w:val="1"/>
                <w:color w:val="auto"/>
                <w:w w:val="96"/>
              </w:rPr>
              <w:t>KCAP Freedom 3 LLC</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60" w:type="dxa"/>
            <w:vAlign w:val="bottom"/>
          </w:tcPr>
          <w:p>
            <w:pPr>
              <w:jc w:val="center"/>
              <w:ind w:left="1310"/>
              <w:spacing w:after="0"/>
              <w:rPr>
                <w:sz w:val="20"/>
                <w:szCs w:val="20"/>
                <w:color w:val="auto"/>
              </w:rPr>
            </w:pPr>
            <w:r>
              <w:rPr>
                <w:rFonts w:ascii="Arial" w:cs="Arial" w:eastAsia="Arial" w:hAnsi="Arial"/>
                <w:sz w:val="18"/>
                <w:szCs w:val="18"/>
                <w:color w:val="auto"/>
                <w:w w:val="89"/>
              </w:rPr>
              <w:t>Schedule of Investments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60" w:type="dxa"/>
            <w:vAlign w:val="bottom"/>
          </w:tcPr>
          <w:p>
            <w:pPr>
              <w:jc w:val="center"/>
              <w:ind w:left="1310"/>
              <w:spacing w:after="0"/>
              <w:rPr>
                <w:sz w:val="20"/>
                <w:szCs w:val="20"/>
                <w:color w:val="auto"/>
              </w:rPr>
            </w:pPr>
            <w:r>
              <w:rPr>
                <w:rFonts w:ascii="Arial" w:cs="Arial" w:eastAsia="Arial" w:hAnsi="Arial"/>
                <w:sz w:val="18"/>
                <w:szCs w:val="18"/>
                <w:color w:val="auto"/>
                <w:w w:val="88"/>
              </w:rPr>
              <w:t>September 30, 2021</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tcPr>
          <w:p>
            <w:pPr>
              <w:jc w:val="center"/>
              <w:ind w:left="1310"/>
              <w:spacing w:after="0"/>
              <w:rPr>
                <w:sz w:val="20"/>
                <w:szCs w:val="20"/>
                <w:color w:val="auto"/>
              </w:rPr>
            </w:pPr>
            <w:r>
              <w:rPr>
                <w:rFonts w:ascii="Arial" w:cs="Arial" w:eastAsia="Arial" w:hAnsi="Arial"/>
                <w:sz w:val="18"/>
                <w:szCs w:val="18"/>
                <w:color w:val="auto"/>
                <w:w w:val="92"/>
              </w:rPr>
              <w:t>(unaudited)</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Percentage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Ownership</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by Joint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Amortized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Portfolio Company</w:t>
            </w:r>
          </w:p>
        </w:tc>
        <w:tc>
          <w:tcPr>
            <w:tcW w:w="160" w:type="dxa"/>
            <w:vAlign w:val="bottom"/>
          </w:tcPr>
          <w:p>
            <w:pPr>
              <w:spacing w:after="0"/>
              <w:rPr>
                <w:sz w:val="20"/>
                <w:szCs w:val="20"/>
                <w:color w:val="auto"/>
              </w:rPr>
            </w:pPr>
          </w:p>
        </w:tc>
        <w:tc>
          <w:tcPr>
            <w:tcW w:w="336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Investment</w:t>
            </w:r>
          </w:p>
        </w:tc>
        <w:tc>
          <w:tcPr>
            <w:tcW w:w="160" w:type="dxa"/>
            <w:vAlign w:val="bottom"/>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Venture</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42"/>
        </w:trPr>
        <w:tc>
          <w:tcPr>
            <w:tcW w:w="3080" w:type="dxa"/>
            <w:vAlign w:val="bottom"/>
            <w:shd w:val="clear" w:color="auto" w:fill="CFF0FC"/>
          </w:tcPr>
          <w:p>
            <w:pPr>
              <w:ind w:left="20"/>
              <w:spacing w:after="0" w:line="242" w:lineRule="exact"/>
              <w:rPr>
                <w:sz w:val="20"/>
                <w:szCs w:val="20"/>
                <w:color w:val="auto"/>
              </w:rPr>
            </w:pPr>
            <w:r>
              <w:rPr>
                <w:rFonts w:ascii="Arial" w:cs="Arial" w:eastAsia="Arial" w:hAnsi="Arial"/>
                <w:sz w:val="18"/>
                <w:szCs w:val="18"/>
                <w:color w:val="auto"/>
                <w:w w:val="92"/>
              </w:rPr>
              <w:t>Great Lakes KCAP F3C Senior, LLC</w:t>
            </w:r>
            <w:r>
              <w:rPr>
                <w:rFonts w:ascii="Arial" w:cs="Arial" w:eastAsia="Arial" w:hAnsi="Arial"/>
                <w:sz w:val="24"/>
                <w:szCs w:val="24"/>
                <w:color w:val="auto"/>
                <w:w w:val="92"/>
                <w:vertAlign w:val="superscript"/>
              </w:rPr>
              <w:t>(1)(2)</w:t>
            </w:r>
          </w:p>
        </w:tc>
        <w:tc>
          <w:tcPr>
            <w:tcW w:w="160" w:type="dxa"/>
            <w:vAlign w:val="bottom"/>
            <w:shd w:val="clear" w:color="auto" w:fill="CFF0FC"/>
          </w:tcPr>
          <w:p>
            <w:pPr>
              <w:spacing w:after="0"/>
              <w:rPr>
                <w:sz w:val="21"/>
                <w:szCs w:val="21"/>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Subordinated Securities, effective interest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0" w:type="dxa"/>
            <w:vAlign w:val="bottom"/>
            <w:vMerge w:val="restart"/>
            <w:shd w:val="clear" w:color="auto" w:fill="CFF0FC"/>
          </w:tcPr>
          <w:p>
            <w:pPr>
              <w:spacing w:after="0"/>
              <w:rPr>
                <w:sz w:val="21"/>
                <w:szCs w:val="21"/>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FF0FC"/>
          </w:tcPr>
          <w:p>
            <w:pPr>
              <w:ind w:left="320"/>
              <w:spacing w:after="0"/>
              <w:rPr>
                <w:sz w:val="20"/>
                <w:szCs w:val="20"/>
                <w:color w:val="auto"/>
              </w:rPr>
            </w:pPr>
            <w:r>
              <w:rPr>
                <w:rFonts w:ascii="Arial" w:cs="Arial" w:eastAsia="Arial" w:hAnsi="Arial"/>
                <w:sz w:val="18"/>
                <w:szCs w:val="18"/>
                <w:color w:val="auto"/>
                <w:w w:val="97"/>
              </w:rPr>
              <w:t>42,299,908</w:t>
            </w:r>
          </w:p>
        </w:tc>
        <w:tc>
          <w:tcPr>
            <w:tcW w:w="140" w:type="dxa"/>
            <w:vAlign w:val="bottom"/>
            <w:vMerge w:val="restart"/>
            <w:shd w:val="clear" w:color="auto" w:fill="CFF0FC"/>
          </w:tcPr>
          <w:p>
            <w:pPr>
              <w:spacing w:after="0"/>
              <w:rPr>
                <w:sz w:val="21"/>
                <w:szCs w:val="21"/>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36,834,689</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6.8%, 12/29 maturity</w:t>
            </w:r>
          </w:p>
        </w:tc>
        <w:tc>
          <w:tcPr>
            <w:tcW w:w="1580" w:type="dxa"/>
            <w:vAlign w:val="bottom"/>
            <w:tcBorders>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100.0 %</w:t>
            </w:r>
          </w:p>
        </w:tc>
        <w:tc>
          <w:tcPr>
            <w:tcW w:w="140" w:type="dxa"/>
            <w:vAlign w:val="bottom"/>
            <w:tcBorders>
              <w:bottom w:val="single" w:sz="8" w:color="CFF0FC"/>
            </w:tcBorders>
            <w:vMerge w:val="continue"/>
            <w:shd w:val="clear" w:color="auto" w:fill="CFF0FC"/>
          </w:tcPr>
          <w:p>
            <w:pPr>
              <w:spacing w:after="0"/>
              <w:rPr>
                <w:sz w:val="20"/>
                <w:szCs w:val="20"/>
                <w:color w:val="auto"/>
              </w:rPr>
            </w:pP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vMerge w:val="continue"/>
            <w:shd w:val="clear" w:color="auto" w:fill="CFF0FC"/>
          </w:tcPr>
          <w:p>
            <w:pPr>
              <w:spacing w:after="0"/>
              <w:rPr>
                <w:sz w:val="20"/>
                <w:szCs w:val="20"/>
                <w:color w:val="auto"/>
              </w:rPr>
            </w:pP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7"/>
              </w:rPr>
              <w:t>42,299,908</w:t>
            </w: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36,834,689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-176530</wp:posOffset>
            </wp:positionV>
            <wp:extent cx="85725" cy="571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168" w:lineRule="exact"/>
        <w:rPr>
          <w:sz w:val="20"/>
          <w:szCs w:val="20"/>
          <w:color w:val="auto"/>
        </w:rPr>
      </w:pPr>
    </w:p>
    <w:p>
      <w:pPr>
        <w:ind w:left="380" w:right="260" w:hanging="372"/>
        <w:spacing w:after="0" w:line="228" w:lineRule="auto"/>
        <w:tabs>
          <w:tab w:leader="none" w:pos="366" w:val="left"/>
        </w:tabs>
        <w:numPr>
          <w:ilvl w:val="0"/>
          <w:numId w:val="92"/>
        </w:numPr>
        <w:rPr>
          <w:rFonts w:ascii="Arial" w:cs="Arial" w:eastAsia="Arial" w:hAnsi="Arial"/>
          <w:sz w:val="24"/>
          <w:szCs w:val="24"/>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8" w:name="page89"/>
    <w:bookmarkEnd w:id="88"/>
    <w:p>
      <w:pPr>
        <w:ind w:left="380"/>
        <w:spacing w:after="0" w:line="266" w:lineRule="auto"/>
        <w:rPr>
          <w:sz w:val="20"/>
          <w:szCs w:val="20"/>
          <w:color w:val="auto"/>
        </w:rPr>
      </w:pPr>
      <w:r>
        <w:rPr>
          <w:rFonts w:ascii="Arial" w:cs="Arial" w:eastAsia="Arial" w:hAnsi="Arial"/>
          <w:sz w:val="18"/>
          <w:szCs w:val="18"/>
          <w:color w:val="auto"/>
        </w:rPr>
        <w:t>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sz w:val="20"/>
          <w:szCs w:val="20"/>
          <w:color w:val="auto"/>
        </w:rPr>
      </w:pPr>
    </w:p>
    <w:p>
      <w:pPr>
        <w:ind w:left="380" w:right="640" w:hanging="372"/>
        <w:spacing w:after="0" w:line="228" w:lineRule="auto"/>
        <w:tabs>
          <w:tab w:leader="none" w:pos="366" w:val="left"/>
        </w:tabs>
        <w:numPr>
          <w:ilvl w:val="0"/>
          <w:numId w:val="93"/>
        </w:numPr>
        <w:rPr>
          <w:rFonts w:ascii="Arial" w:cs="Arial" w:eastAsia="Arial" w:hAnsi="Arial"/>
          <w:sz w:val="24"/>
          <w:szCs w:val="24"/>
          <w:color w:val="auto"/>
          <w:vertAlign w:val="superscript"/>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Ownership</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by Joint</w:t>
            </w:r>
          </w:p>
        </w:tc>
        <w:tc>
          <w:tcPr>
            <w:tcW w:w="160" w:type="dxa"/>
            <w:vAlign w:val="bottom"/>
          </w:tcPr>
          <w:p>
            <w:pPr>
              <w:spacing w:after="0"/>
              <w:rPr>
                <w:sz w:val="19"/>
                <w:szCs w:val="19"/>
                <w:color w:val="auto"/>
              </w:rPr>
            </w:pPr>
          </w:p>
        </w:tc>
        <w:tc>
          <w:tcPr>
            <w:tcW w:w="1120" w:type="dxa"/>
            <w:vAlign w:val="bottom"/>
          </w:tcPr>
          <w:p>
            <w:pPr>
              <w:ind w:left="80"/>
              <w:spacing w:after="0"/>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Pr>
          <w:p>
            <w:pPr>
              <w:spacing w:after="0"/>
              <w:rPr>
                <w:sz w:val="20"/>
                <w:szCs w:val="20"/>
                <w:color w:val="auto"/>
              </w:rPr>
            </w:pPr>
          </w:p>
        </w:tc>
        <w:tc>
          <w:tcPr>
            <w:tcW w:w="330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Venture</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Fair 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320" w:type="dxa"/>
            <w:vAlign w:val="bottom"/>
            <w:shd w:val="clear" w:color="auto" w:fill="CFF0FC"/>
          </w:tcPr>
          <w:p>
            <w:pPr>
              <w:ind w:left="20"/>
              <w:spacing w:after="0" w:line="242" w:lineRule="exact"/>
              <w:rPr>
                <w:sz w:val="20"/>
                <w:szCs w:val="20"/>
                <w:color w:val="auto"/>
              </w:rPr>
            </w:pPr>
            <w:r>
              <w:rPr>
                <w:rFonts w:ascii="Arial" w:cs="Arial" w:eastAsia="Arial" w:hAnsi="Arial"/>
                <w:sz w:val="18"/>
                <w:szCs w:val="18"/>
                <w:color w:val="auto"/>
                <w:w w:val="99"/>
              </w:rPr>
              <w:t>Great Lakes KCAP F3C Senior, LLC</w:t>
            </w:r>
            <w:r>
              <w:rPr>
                <w:rFonts w:ascii="Arial" w:cs="Arial" w:eastAsia="Arial" w:hAnsi="Arial"/>
                <w:sz w:val="24"/>
                <w:szCs w:val="24"/>
                <w:color w:val="auto"/>
                <w:w w:val="99"/>
                <w:vertAlign w:val="superscript"/>
              </w:rPr>
              <w:t>(1)(2)</w:t>
            </w:r>
          </w:p>
        </w:tc>
        <w:tc>
          <w:tcPr>
            <w:tcW w:w="120" w:type="dxa"/>
            <w:vAlign w:val="bottom"/>
            <w:shd w:val="clear" w:color="auto" w:fill="CFF0FC"/>
          </w:tcPr>
          <w:p>
            <w:pPr>
              <w:spacing w:after="0"/>
              <w:rPr>
                <w:sz w:val="21"/>
                <w:szCs w:val="21"/>
                <w:color w:val="auto"/>
              </w:rPr>
            </w:pPr>
          </w:p>
        </w:tc>
        <w:tc>
          <w:tcPr>
            <w:tcW w:w="33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Subordinated Securities, effective interest</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FF0FC"/>
          </w:tcPr>
          <w:p>
            <w:pPr>
              <w:ind w:left="300"/>
              <w:spacing w:after="0"/>
              <w:rPr>
                <w:sz w:val="20"/>
                <w:szCs w:val="20"/>
                <w:color w:val="auto"/>
              </w:rPr>
            </w:pPr>
            <w:r>
              <w:rPr>
                <w:rFonts w:ascii="Arial" w:cs="Arial" w:eastAsia="Arial" w:hAnsi="Arial"/>
                <w:sz w:val="18"/>
                <w:szCs w:val="18"/>
                <w:color w:val="auto"/>
                <w:w w:val="88"/>
              </w:rPr>
              <w:t>38,986,212</w:t>
            </w:r>
          </w:p>
        </w:tc>
        <w:tc>
          <w:tcPr>
            <w:tcW w:w="120" w:type="dxa"/>
            <w:vAlign w:val="bottom"/>
            <w:vMerge w:val="restart"/>
            <w:shd w:val="clear" w:color="auto" w:fill="CFF0FC"/>
          </w:tcPr>
          <w:p>
            <w:pPr>
              <w:spacing w:after="0"/>
              <w:rPr>
                <w:sz w:val="21"/>
                <w:szCs w:val="21"/>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31,404,100</w:t>
            </w: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12.3%, 12/29 maturity</w:t>
            </w:r>
          </w:p>
        </w:tc>
        <w:tc>
          <w:tcPr>
            <w:tcW w:w="1800" w:type="dxa"/>
            <w:vAlign w:val="bottom"/>
            <w:tcBorders>
              <w:bottom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100.0 %</w:t>
            </w:r>
          </w:p>
        </w:tc>
        <w:tc>
          <w:tcPr>
            <w:tcW w:w="160" w:type="dxa"/>
            <w:vAlign w:val="bottom"/>
            <w:tcBorders>
              <w:bottom w:val="single" w:sz="8" w:color="auto"/>
            </w:tcBorders>
            <w:vMerge w:val="continue"/>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88"/>
              </w:rPr>
              <w:t>38,986,212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31,404,100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-179070</wp:posOffset>
            </wp:positionV>
            <wp:extent cx="7747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-179070</wp:posOffset>
            </wp:positionV>
            <wp:extent cx="82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380" w:right="160" w:hanging="372"/>
        <w:spacing w:after="0" w:line="245" w:lineRule="auto"/>
        <w:tabs>
          <w:tab w:leader="none" w:pos="366" w:val="left"/>
        </w:tabs>
        <w:numPr>
          <w:ilvl w:val="0"/>
          <w:numId w:val="94"/>
        </w:numPr>
        <w:rPr>
          <w:rFonts w:ascii="Arial" w:cs="Arial" w:eastAsia="Arial" w:hAnsi="Arial"/>
          <w:sz w:val="24"/>
          <w:szCs w:val="24"/>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3" w:lineRule="exact"/>
        <w:rPr>
          <w:rFonts w:ascii="Arial" w:cs="Arial" w:eastAsia="Arial" w:hAnsi="Arial"/>
          <w:sz w:val="24"/>
          <w:szCs w:val="24"/>
          <w:color w:val="auto"/>
          <w:vertAlign w:val="superscript"/>
        </w:rPr>
      </w:pPr>
    </w:p>
    <w:p>
      <w:pPr>
        <w:ind w:left="380" w:right="640" w:hanging="372"/>
        <w:spacing w:after="0" w:line="228" w:lineRule="auto"/>
        <w:tabs>
          <w:tab w:leader="none" w:pos="366" w:val="left"/>
        </w:tabs>
        <w:numPr>
          <w:ilvl w:val="0"/>
          <w:numId w:val="94"/>
        </w:numPr>
        <w:rPr>
          <w:rFonts w:ascii="Arial" w:cs="Arial" w:eastAsia="Arial" w:hAnsi="Arial"/>
          <w:sz w:val="24"/>
          <w:szCs w:val="24"/>
          <w:color w:val="auto"/>
          <w:vertAlign w:val="superscript"/>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BCP Great Lakes Partnership</w:t>
      </w:r>
    </w:p>
    <w:p>
      <w:pPr>
        <w:spacing w:after="0" w:line="256" w:lineRule="exact"/>
        <w:rPr>
          <w:sz w:val="20"/>
          <w:szCs w:val="20"/>
          <w:color w:val="auto"/>
        </w:rPr>
      </w:pPr>
    </w:p>
    <w:p>
      <w:pPr>
        <w:ind w:right="40" w:firstLine="374"/>
        <w:spacing w:after="0" w:line="270" w:lineRule="auto"/>
        <w:rPr>
          <w:sz w:val="20"/>
          <w:szCs w:val="20"/>
          <w:color w:val="auto"/>
        </w:rPr>
      </w:pPr>
      <w:r>
        <w:rPr>
          <w:rFonts w:ascii="Arial" w:cs="Arial" w:eastAsia="Arial" w:hAnsi="Arial"/>
          <w:sz w:val="18"/>
          <w:szCs w:val="18"/>
          <w:color w:val="auto"/>
        </w:rPr>
        <w:t>BCP Great Lakes Fund LP (the “BCP Great Lakes Partnership”) has invested in BCP Great Lakes Holdings LP, a vehicle formed as a co-investment vehicle to facilitate the participation of certain co-investors to invest, directly or indirectly, in BCP Great Lakes Funding, LLC (the “Great Lakes Joint Venture” and together with the Joint Venture, the “Joint Ventures”). We are a limited partner in the BCP Great Lakes Partnership and do not have any direct or indirect voting interests in the Great Lakes Joint Venture, and treat the investment as a joint venture since an affiliate of our Adviser manages BCP Great Lakes Holdings LP and controls a 50% voting interest in the Great Lakes Joint Venture. The investment strategy of BCP Great Lakes Funding, LLC is to underwrite and hold senior, secured unitranche loans made to middle-market companies. We do not pay any advisory fees in connection with our investment in the BCP Great Lakes Partnership.</w:t>
      </w:r>
    </w:p>
    <w:p>
      <w:pPr>
        <w:spacing w:after="0" w:line="85" w:lineRule="exact"/>
        <w:rPr>
          <w:sz w:val="20"/>
          <w:szCs w:val="20"/>
          <w:color w:val="auto"/>
        </w:rPr>
      </w:pPr>
    </w:p>
    <w:p>
      <w:pPr>
        <w:ind w:right="120" w:firstLine="374"/>
        <w:spacing w:after="0" w:line="290" w:lineRule="auto"/>
        <w:rPr>
          <w:sz w:val="20"/>
          <w:szCs w:val="20"/>
          <w:color w:val="auto"/>
        </w:rPr>
      </w:pPr>
      <w:r>
        <w:rPr>
          <w:rFonts w:ascii="Arial" w:cs="Arial" w:eastAsia="Arial" w:hAnsi="Arial"/>
          <w:sz w:val="17"/>
          <w:szCs w:val="17"/>
          <w:color w:val="auto"/>
        </w:rPr>
        <w:t>The fair value of our investment in the BCP Great Lakes Partnership at September 30, 2021 and December 31, 2020 was $43.7 million and $29.6 million. Fair value has been determined utilizing the practical expedient pursuant to ASC 820-10. Pursuant to the terms of the BCP Great Lakes Fund LP Amended and Restated Exempted Limited Partnership Agreement (the “BCP Great Lakes Partnership Agreement”), generally we may not sell, exchange, assign, pledge or otherwise transfer our interest, in whole or in part, without the prior written consent of the general partner of the Great Lakes Partnership (the “General Partner”) which consent may be given or withheld in the General Partner’s sole and absolute discretion, and may be conditioned upon repayment of our share of indebtedness incurred by BCP Great Lakes Partnership.</w:t>
      </w:r>
    </w:p>
    <w:p>
      <w:pPr>
        <w:spacing w:after="0" w:line="68" w:lineRule="exact"/>
        <w:rPr>
          <w:sz w:val="20"/>
          <w:szCs w:val="20"/>
          <w:color w:val="auto"/>
        </w:rPr>
      </w:pPr>
    </w:p>
    <w:p>
      <w:pPr>
        <w:ind w:right="140" w:firstLine="374"/>
        <w:spacing w:after="0" w:line="275" w:lineRule="auto"/>
        <w:rPr>
          <w:sz w:val="20"/>
          <w:szCs w:val="20"/>
          <w:color w:val="auto"/>
        </w:rPr>
      </w:pPr>
      <w:r>
        <w:rPr>
          <w:rFonts w:ascii="Arial" w:cs="Arial" w:eastAsia="Arial" w:hAnsi="Arial"/>
          <w:sz w:val="18"/>
          <w:szCs w:val="18"/>
          <w:color w:val="auto"/>
        </w:rPr>
        <w:t>In March 2019, prior to the Externalization we increased our aggregate commitment to the BCP Great Lakes Partnership to $50 million, subject to certain limitations (including that we are not obligated to fund capital calls if such funding would cause the Company to be out of compliance with certain provisions of the Investment Company Act of 1940). As of September 30, 2021 and December 31, 2020, we have a $6.9 million and $20.0 million, respectively unfunded commitment to the BCP Great Lakes Partnership.</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right="20" w:firstLine="374"/>
        <w:spacing w:after="0" w:line="272"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Set forth below is a discussion of our results of operations for the three and nine months ended September 30, 2021 and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98" w:lineRule="exact"/>
        <w:rPr>
          <w:sz w:val="20"/>
          <w:szCs w:val="20"/>
          <w:color w:val="auto"/>
        </w:rPr>
      </w:pPr>
    </w:p>
    <w:p>
      <w:pPr>
        <w:ind w:right="360" w:firstLine="374"/>
        <w:spacing w:after="0" w:line="293"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43" w:lineRule="exact"/>
        <w:rPr>
          <w:sz w:val="20"/>
          <w:szCs w:val="20"/>
          <w:color w:val="auto"/>
        </w:rPr>
      </w:pPr>
    </w:p>
    <w:p>
      <w:pPr>
        <w:ind w:right="180" w:firstLine="374"/>
        <w:spacing w:after="0" w:line="275"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45" w:lineRule="exact"/>
        <w:rPr>
          <w:sz w:val="20"/>
          <w:szCs w:val="20"/>
          <w:color w:val="auto"/>
        </w:rPr>
      </w:pPr>
    </w:p>
    <w:p>
      <w:pPr>
        <w:ind w:right="40" w:firstLine="374"/>
        <w:spacing w:after="0" w:line="308"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We distinguish CLO Funds managed by our fomer Asset Manager Affiliates as “CLO Fund Securities Managed by Affiliates”, in our consolidated financial statements. Since the Asset Manager Affiliates were owned throughout 2018 and sold on December 31, 2018, investment income on these CLO Fund Securities is reflected on the statement of operations for the year of 2018 as “managed by affiliates”, while on the consolidated balance sheet at December 31, 2018 these investments were reflected as “managed by non-affiliates”. Effective April 1, 2019, as a result of the Externalization and related transactions, CLO Fund investments managed by LibreMax were assigned to CLO Funds Managed by Affiliates. During the fourth quarter of 2020, Libremax disposed of its interest in Sierra Crest and accordingly, the CLO Funds managed by Libremax or its affiliates were reclassified to CLO Funds Managed by Non-Affiliates as of December 31, 2020 and prospectively.</w:t>
      </w:r>
    </w:p>
    <w:p>
      <w:pPr>
        <w:spacing w:after="0" w:line="123" w:lineRule="exact"/>
        <w:rPr>
          <w:sz w:val="20"/>
          <w:szCs w:val="20"/>
          <w:color w:val="auto"/>
        </w:rPr>
      </w:pPr>
    </w:p>
    <w:p>
      <w:pPr>
        <w:ind w:firstLine="374"/>
        <w:spacing w:after="0" w:line="306" w:lineRule="auto"/>
        <w:rPr>
          <w:sz w:val="20"/>
          <w:szCs w:val="20"/>
          <w:color w:val="auto"/>
        </w:rPr>
      </w:pPr>
      <w:r>
        <w:rPr>
          <w:rFonts w:ascii="Arial" w:cs="Arial" w:eastAsia="Arial" w:hAnsi="Arial"/>
          <w:sz w:val="16"/>
          <w:szCs w:val="16"/>
          <w:color w:val="auto"/>
        </w:rPr>
        <w:t>CLO Funds invest primarily in broadly syndicated non-investment grade loans, high-yield bonds and other credit instruments of corporate issuers.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143" w:lineRule="exact"/>
        <w:rPr>
          <w:sz w:val="20"/>
          <w:szCs w:val="20"/>
          <w:color w:val="auto"/>
        </w:rPr>
      </w:pPr>
    </w:p>
    <w:p>
      <w:pPr>
        <w:ind w:right="60" w:firstLine="374"/>
        <w:spacing w:after="0" w:line="309" w:lineRule="auto"/>
        <w:rPr>
          <w:sz w:val="20"/>
          <w:szCs w:val="20"/>
          <w:color w:val="auto"/>
        </w:rPr>
      </w:pPr>
      <w:r>
        <w:rPr>
          <w:rFonts w:ascii="Arial" w:cs="Arial" w:eastAsia="Arial" w:hAnsi="Arial"/>
          <w:sz w:val="16"/>
          <w:szCs w:val="16"/>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generally accepted accounting principles (“GAAP”) statement of operations differs from both the tax–basis investment income and from the cash distributions actually received by us during the period. As a RIC, we anticipate a timely distribution of our tax-basis taxable income.</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0" w:name="page91"/>
    <w:bookmarkEnd w:id="90"/>
    <w:p>
      <w:pPr>
        <w:ind w:right="20" w:firstLine="374"/>
        <w:spacing w:after="0" w:line="269" w:lineRule="auto"/>
        <w:rPr>
          <w:sz w:val="20"/>
          <w:szCs w:val="20"/>
          <w:color w:val="auto"/>
        </w:rPr>
      </w:pPr>
      <w:r>
        <w:rPr>
          <w:rFonts w:ascii="Arial" w:cs="Arial" w:eastAsia="Arial" w:hAnsi="Arial"/>
          <w:sz w:val="18"/>
          <w:szCs w:val="18"/>
          <w:i w:val="1"/>
          <w:iCs w:val="1"/>
          <w:color w:val="auto"/>
        </w:rPr>
        <w:t xml:space="preserve">Asset Manager Affiliates. </w:t>
      </w:r>
      <w:r>
        <w:rPr>
          <w:rFonts w:ascii="Arial" w:cs="Arial" w:eastAsia="Arial" w:hAnsi="Arial"/>
          <w:sz w:val="18"/>
          <w:szCs w:val="18"/>
          <w:color w:val="auto"/>
        </w:rPr>
        <w:t>Our Asset Manager Affiliates was deemed to have no value at September 30, 2021 and December 31, 2020. There were no</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from the Asset Manager Affiliates during 2020 and the nine months ended September 30, 2021. The difference between cash distributions received and the tax-basis earnings and profits is recorded as an adjustment to the cost basis of the Asset Manager Affiliates investments. For interim periods, we estimate the tax attributes of any distributions as being either from tax-basis earnings and profits (i.e. dividend income) or return of capital (i.e. adjustment to our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The aggregate par value of assets under management by our Asset Manager Affiliates was $300 million as of each of September 30, 2021 and December 31, 2020.</w:t>
      </w:r>
    </w:p>
    <w:p>
      <w:pPr>
        <w:spacing w:after="0" w:line="167" w:lineRule="exact"/>
        <w:rPr>
          <w:sz w:val="20"/>
          <w:szCs w:val="20"/>
          <w:color w:val="auto"/>
        </w:rPr>
      </w:pPr>
    </w:p>
    <w:p>
      <w:pPr>
        <w:ind w:right="180" w:firstLine="374"/>
        <w:spacing w:after="0" w:line="287" w:lineRule="auto"/>
        <w:rPr>
          <w:sz w:val="20"/>
          <w:szCs w:val="20"/>
          <w:color w:val="auto"/>
        </w:rPr>
      </w:pPr>
      <w:r>
        <w:rPr>
          <w:rFonts w:ascii="Arial" w:cs="Arial" w:eastAsia="Arial" w:hAnsi="Arial"/>
          <w:sz w:val="17"/>
          <w:szCs w:val="17"/>
          <w:i w:val="1"/>
          <w:iCs w:val="1"/>
          <w:color w:val="auto"/>
        </w:rPr>
        <w:t xml:space="preserve">Investment in Joint Ventures. </w:t>
      </w:r>
      <w:r>
        <w:rPr>
          <w:rFonts w:ascii="Arial" w:cs="Arial" w:eastAsia="Arial" w:hAnsi="Arial"/>
          <w:sz w:val="17"/>
          <w:szCs w:val="17"/>
          <w:color w:val="auto"/>
        </w:rPr>
        <w:t>For the three months ended September 30, 2021 and 2020, the Company recognized $2.4 million and $2.2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in investment income from its investments in Joint Ventures. For the nine months ended September 30, 2021 and 2020, the Company recognized $4.8 million and $4.8 million, respectively, in investment income from its investments in Joint Ventures. As of September 30, 2021 and December 31, 2020, the fair value of our investments in Joint Ventures was approximately $67.6 million and $49.3 million, respectively. For interim periods, we recognize investment income on its investment in the Joint Ventures based upon our share of estimated earnings and profits of the Joint Venture. The final determination of the tax attributes of distributions from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141" w:lineRule="exact"/>
        <w:rPr>
          <w:sz w:val="20"/>
          <w:szCs w:val="20"/>
          <w:color w:val="auto"/>
        </w:rPr>
      </w:pPr>
    </w:p>
    <w:p>
      <w:pPr>
        <w:ind w:right="100" w:firstLine="374"/>
        <w:spacing w:after="0" w:line="293"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16" w:lineRule="exact"/>
        <w:rPr>
          <w:sz w:val="20"/>
          <w:szCs w:val="20"/>
          <w:color w:val="auto"/>
        </w:rPr>
      </w:pPr>
    </w:p>
    <w:p>
      <w:pPr>
        <w:ind w:firstLine="374"/>
        <w:spacing w:after="0" w:line="324" w:lineRule="auto"/>
        <w:rPr>
          <w:sz w:val="20"/>
          <w:szCs w:val="20"/>
          <w:color w:val="auto"/>
        </w:rPr>
      </w:pPr>
      <w:r>
        <w:rPr>
          <w:rFonts w:ascii="Arial" w:cs="Arial" w:eastAsia="Arial" w:hAnsi="Arial"/>
          <w:sz w:val="17"/>
          <w:szCs w:val="17"/>
          <w:color w:val="auto"/>
        </w:rPr>
        <w:t>Investment income for the three months ended September 30, 2021 and 2020 was approximately $22.9 million and $7.8 million, respectively. Of these amounts, approximately $18.7 million and $5.0 million, respectively was attributable to interest income on our Debt Securities Portfolio.</w:t>
      </w:r>
    </w:p>
    <w:p>
      <w:pPr>
        <w:spacing w:after="0" w:line="107" w:lineRule="exact"/>
        <w:rPr>
          <w:sz w:val="20"/>
          <w:szCs w:val="20"/>
          <w:color w:val="auto"/>
        </w:rPr>
      </w:pPr>
    </w:p>
    <w:p>
      <w:pPr>
        <w:ind w:right="320" w:firstLine="419"/>
        <w:spacing w:after="0" w:line="359" w:lineRule="auto"/>
        <w:rPr>
          <w:sz w:val="20"/>
          <w:szCs w:val="20"/>
          <w:color w:val="auto"/>
        </w:rPr>
      </w:pPr>
      <w:r>
        <w:rPr>
          <w:rFonts w:ascii="Arial" w:cs="Arial" w:eastAsia="Arial" w:hAnsi="Arial"/>
          <w:sz w:val="16"/>
          <w:szCs w:val="16"/>
          <w:color w:val="auto"/>
        </w:rPr>
        <w:t>Investment income for the nine months ended September 30, 2021 and 2020 was approximately $62.8 million and $22.9 million, respectively. Of these amounts, approximately $51.9 million and $15.0 million, respectively was attributable to interest income on our Debt Securities Portfolio.</w:t>
      </w:r>
    </w:p>
    <w:p>
      <w:pPr>
        <w:spacing w:after="0" w:line="84" w:lineRule="exact"/>
        <w:rPr>
          <w:sz w:val="20"/>
          <w:szCs w:val="20"/>
          <w:color w:val="auto"/>
        </w:rPr>
      </w:pPr>
    </w:p>
    <w:p>
      <w:pPr>
        <w:ind w:right="320" w:firstLine="374"/>
        <w:spacing w:after="0" w:line="303" w:lineRule="auto"/>
        <w:rPr>
          <w:sz w:val="20"/>
          <w:szCs w:val="20"/>
          <w:color w:val="auto"/>
        </w:rPr>
      </w:pPr>
      <w:r>
        <w:rPr>
          <w:rFonts w:ascii="Arial" w:cs="Arial" w:eastAsia="Arial" w:hAnsi="Arial"/>
          <w:sz w:val="17"/>
          <w:szCs w:val="17"/>
          <w:color w:val="auto"/>
        </w:rPr>
        <w:t>At September 30, 2021 and December 31, 2020, the weighted average contractual interest rate on our loans and debt securities was approximately 8.2% and 10.9%, respectively. At September 30, 2021 and December 31, 2020, the weighted average contractual interest rate on our loans and debt securities, excluding non-accrual and partial non-accrual investments, was approximately 7.9% and 9.0%, respectively.</w:t>
      </w:r>
    </w:p>
    <w:p>
      <w:pPr>
        <w:spacing w:after="0" w:line="137" w:lineRule="exact"/>
        <w:rPr>
          <w:sz w:val="20"/>
          <w:szCs w:val="20"/>
          <w:color w:val="auto"/>
        </w:rPr>
      </w:pPr>
    </w:p>
    <w:p>
      <w:pPr>
        <w:ind w:right="140" w:firstLine="374"/>
        <w:spacing w:after="0" w:line="275"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45" w:lineRule="exact"/>
        <w:rPr>
          <w:sz w:val="20"/>
          <w:szCs w:val="20"/>
          <w:color w:val="auto"/>
        </w:rPr>
      </w:pPr>
    </w:p>
    <w:p>
      <w:pPr>
        <w:ind w:firstLine="374"/>
        <w:spacing w:after="0" w:line="286" w:lineRule="auto"/>
        <w:rPr>
          <w:sz w:val="20"/>
          <w:szCs w:val="20"/>
          <w:color w:val="auto"/>
        </w:rPr>
      </w:pPr>
      <w:r>
        <w:rPr>
          <w:rFonts w:ascii="Arial" w:cs="Arial" w:eastAsia="Arial" w:hAnsi="Arial"/>
          <w:sz w:val="17"/>
          <w:szCs w:val="17"/>
          <w:color w:val="auto"/>
        </w:rPr>
        <w:t>For the three months ended September 30, 2021 and 2020, approximately $0.7 million and $0.04 million, respectively, of investment income was attributable to investments in CLO Fund Securities. For the nine months ended September 30, 2021 and 2020, approximately $2.2 million and $.02 million, respectively, of investment income was attributable to investments in CLO Fund Securities. On a tax basis, the Company recognized $4.0 million and $3.3 million of taxable distributable income on distributions from our CLO Fund Securities during the nine months ended September 30, 2021 and 2020,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16" w:lineRule="exact"/>
        <w:rPr>
          <w:sz w:val="20"/>
          <w:szCs w:val="20"/>
          <w:color w:val="auto"/>
        </w:rPr>
      </w:pPr>
    </w:p>
    <w:p>
      <w:pPr>
        <w:ind w:right="260" w:firstLine="374"/>
        <w:spacing w:after="0" w:line="266" w:lineRule="auto"/>
        <w:rPr>
          <w:sz w:val="20"/>
          <w:szCs w:val="20"/>
          <w:color w:val="auto"/>
        </w:rPr>
      </w:pPr>
      <w:r>
        <w:rPr>
          <w:rFonts w:ascii="Arial" w:cs="Arial" w:eastAsia="Arial" w:hAnsi="Arial"/>
          <w:sz w:val="18"/>
          <w:szCs w:val="18"/>
          <w:color w:val="auto"/>
        </w:rPr>
        <w:t>Through March 31, 2019 we were internally managed, and directly incurred the cost of management and operations. As a result, we paid no investment management fees or other fees to an external advisor. Our expenses consisted primarily of interest expense on outstanding borrowings, compensation expense and general and administrative expenses, including professional fees. Interest and compensation expense are typically our largest expenses each period. Since the Closing, we have been externally managed and no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91" w:name="page92"/>
    <w:bookmarkEnd w:id="91"/>
    <w:p>
      <w:pPr>
        <w:ind w:right="60"/>
        <w:spacing w:after="0" w:line="309" w:lineRule="auto"/>
        <w:rPr>
          <w:sz w:val="20"/>
          <w:szCs w:val="20"/>
          <w:color w:val="auto"/>
        </w:rPr>
      </w:pPr>
      <w:r>
        <w:rPr>
          <w:rFonts w:ascii="Arial" w:cs="Arial" w:eastAsia="Arial" w:hAnsi="Arial"/>
          <w:sz w:val="16"/>
          <w:szCs w:val="16"/>
          <w:color w:val="auto"/>
        </w:rPr>
        <w:t>longer have any employees. However, in connection with the Advisory Agreement, we pay the Adviser certain investment advisory fees and reimburse the Adviser and Administrator for certain expenses incurred in connection with the services they provide. We bear our allocable portion of the compensation paid by the Adviser (or its affiliates) to our chief compliance officer and chief financial officer and their respective staffs (based on a percentage of time such individuals devote, on an estimated basis, to our business affairs). We also bear all other costs and expenses of our operations, administration and transactions, including, but not limited to (i) investment advisory fees, including management fees and incentive fees, to the Adviser, pursuant to the Advisory Agreement; (ii) our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cost of calculating our net asset value, including the cost of any third-party valuation services;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cost of effecting any sales and repurchases of our common stock and other securities;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fees and expenses payable under any dealer manager or placement agent agreements, if any;</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administration fees payable under the Administration Agreement and any sub-administration agreements, including related expenses;</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debt service and other costs of borrowings or other financing arrangements;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costs of hedging;</w:t>
      </w:r>
    </w:p>
    <w:p>
      <w:pPr>
        <w:spacing w:after="0" w:line="212" w:lineRule="exact"/>
        <w:rPr>
          <w:sz w:val="20"/>
          <w:szCs w:val="20"/>
          <w:color w:val="auto"/>
        </w:rPr>
      </w:pPr>
    </w:p>
    <w:p>
      <w:pPr>
        <w:ind w:left="700" w:right="460"/>
        <w:spacing w:after="0" w:line="293" w:lineRule="auto"/>
        <w:rPr>
          <w:sz w:val="20"/>
          <w:szCs w:val="20"/>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transfer agent and custodial fees;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fees and expenses associated with marketing efforts;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federal, state and local taxes;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independent directors’ fees and expenses including certain travel expenses;</w:t>
      </w:r>
    </w:p>
    <w:p>
      <w:pPr>
        <w:spacing w:after="0" w:line="212" w:lineRule="exact"/>
        <w:rPr>
          <w:sz w:val="20"/>
          <w:szCs w:val="20"/>
          <w:color w:val="auto"/>
        </w:rPr>
      </w:pPr>
    </w:p>
    <w:p>
      <w:pPr>
        <w:ind w:left="700"/>
        <w:spacing w:after="0" w:line="279" w:lineRule="auto"/>
        <w:rPr>
          <w:sz w:val="20"/>
          <w:szCs w:val="20"/>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142" w:lineRule="exact"/>
        <w:rPr>
          <w:sz w:val="20"/>
          <w:szCs w:val="20"/>
          <w:color w:val="auto"/>
        </w:rPr>
      </w:pPr>
    </w:p>
    <w:p>
      <w:pPr>
        <w:ind w:left="700" w:right="160"/>
        <w:spacing w:after="0" w:line="324" w:lineRule="auto"/>
        <w:rPr>
          <w:sz w:val="20"/>
          <w:szCs w:val="20"/>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commissions and other compensation payable to brokers or dealers;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research and market data;</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fees and expenses associated with independent audits, outside legal and consulting costs;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costs of winding up our affairs;</w:t>
      </w:r>
    </w:p>
    <w:p>
      <w:pPr>
        <w:spacing w:after="0" w:line="198" w:lineRule="exact"/>
        <w:rPr>
          <w:sz w:val="20"/>
          <w:szCs w:val="20"/>
          <w:color w:val="auto"/>
        </w:rPr>
      </w:pPr>
    </w:p>
    <w:p>
      <w:pPr>
        <w:ind w:left="700" w:right="400"/>
        <w:spacing w:after="0" w:line="293" w:lineRule="auto"/>
        <w:rPr>
          <w:sz w:val="20"/>
          <w:szCs w:val="20"/>
          <w:color w:val="auto"/>
        </w:rPr>
      </w:pPr>
      <w:r>
        <w:rPr>
          <w:rFonts w:ascii="Arial" w:cs="Arial" w:eastAsia="Arial" w:hAnsi="Arial"/>
          <w:sz w:val="18"/>
          <w:szCs w:val="18"/>
          <w:color w:val="auto"/>
        </w:rPr>
        <w:t>costs incurred by either the Administrator or us in connection with administering our business, including payments under the Administration Agreement;</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extraordinary expenses (such as litigation or indemnification); and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92" w:name="page93"/>
    <w:bookmarkEnd w:id="92"/>
    <w:p>
      <w:pPr>
        <w:ind w:left="700"/>
        <w:spacing w:after="0"/>
        <w:rPr>
          <w:sz w:val="20"/>
          <w:szCs w:val="20"/>
          <w:color w:val="auto"/>
        </w:rPr>
      </w:pPr>
      <w:r>
        <w:rPr>
          <w:rFonts w:ascii="Arial" w:cs="Arial" w:eastAsia="Arial" w:hAnsi="Arial"/>
          <w:sz w:val="18"/>
          <w:szCs w:val="18"/>
          <w:color w:val="auto"/>
        </w:rPr>
        <w:t>costs associated with reporting and compliance obligations under the 1940 Act and applicable federal and state securities laws.</w:t>
      </w:r>
    </w:p>
    <w:p>
      <w:pPr>
        <w:spacing w:after="0" w:line="23" w:lineRule="exact"/>
        <w:rPr>
          <w:sz w:val="20"/>
          <w:szCs w:val="20"/>
          <w:color w:val="auto"/>
        </w:rPr>
      </w:pPr>
    </w:p>
    <w:p>
      <w:pPr>
        <w:ind w:right="140" w:firstLine="374"/>
        <w:spacing w:after="0" w:line="281" w:lineRule="auto"/>
        <w:rPr>
          <w:sz w:val="20"/>
          <w:szCs w:val="20"/>
          <w:color w:val="auto"/>
        </w:rPr>
      </w:pPr>
      <w:r>
        <w:rPr>
          <w:rFonts w:ascii="Arial" w:cs="Arial" w:eastAsia="Arial" w:hAnsi="Arial"/>
          <w:sz w:val="17"/>
          <w:szCs w:val="17"/>
          <w:i w:val="1"/>
          <w:iCs w:val="1"/>
          <w:color w:val="auto"/>
        </w:rPr>
        <w:t xml:space="preserve">Management Fees and Incentive Fees. </w:t>
      </w:r>
      <w:r>
        <w:rPr>
          <w:rFonts w:ascii="Arial" w:cs="Arial" w:eastAsia="Arial" w:hAnsi="Arial"/>
          <w:sz w:val="17"/>
          <w:szCs w:val="17"/>
          <w:color w:val="auto"/>
        </w:rPr>
        <w:t>Management fees for the three months ended September 30, 2021 and 2020, were approximately $2.1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and $1.0 million, respectively. Incentive fees earned during the three months ended September 30, 2021 were approximately $1.9 million, none of which were waived pursuant to the Externalization Agreement. Incentive fees earned during the three months ended September 30, 2020 were approximately $572 thousand, none of which were waived pursuant to the Externalization Agreement.</w:t>
      </w:r>
    </w:p>
    <w:p>
      <w:pPr>
        <w:spacing w:after="0" w:line="3" w:lineRule="exact"/>
        <w:rPr>
          <w:sz w:val="20"/>
          <w:szCs w:val="20"/>
          <w:color w:val="auto"/>
        </w:rPr>
      </w:pPr>
    </w:p>
    <w:p>
      <w:pPr>
        <w:ind w:firstLine="374"/>
        <w:spacing w:after="0" w:line="266" w:lineRule="auto"/>
        <w:rPr>
          <w:sz w:val="20"/>
          <w:szCs w:val="20"/>
          <w:color w:val="auto"/>
        </w:rPr>
      </w:pPr>
      <w:r>
        <w:rPr>
          <w:rFonts w:ascii="Arial" w:cs="Arial" w:eastAsia="Arial" w:hAnsi="Arial"/>
          <w:sz w:val="18"/>
          <w:szCs w:val="18"/>
          <w:color w:val="auto"/>
        </w:rPr>
        <w:t>Management fees for the nine months ended September 30, 2021 and 2020, were approximately $5.8 million and $3.1 million, respectively. Incentive fees earned during the nine months ended September 30, 2021 were approximately $6.3 million, none of which were waived pursuant to the Externalization Agreement. Incentive fees earned during the nine months ended September 30, 2020 were approximately $1.1 million, of which $557 thousand were waived pursuant to the Externalization Agreement.</w:t>
      </w:r>
    </w:p>
    <w:p>
      <w:pPr>
        <w:jc w:val="both"/>
        <w:ind w:right="180" w:firstLine="374"/>
        <w:spacing w:after="0" w:line="266" w:lineRule="auto"/>
        <w:rPr>
          <w:sz w:val="20"/>
          <w:szCs w:val="20"/>
          <w:color w:val="auto"/>
        </w:rPr>
      </w:pPr>
      <w:r>
        <w:rPr>
          <w:rFonts w:ascii="Arial" w:cs="Arial" w:eastAsia="Arial" w:hAnsi="Arial"/>
          <w:sz w:val="18"/>
          <w:szCs w:val="18"/>
          <w:color w:val="auto"/>
        </w:rPr>
        <w:t xml:space="preserve">During the second quarter of 2021, the </w:t>
      </w:r>
      <w:r>
        <w:rPr>
          <w:rFonts w:ascii="Arial" w:cs="Arial" w:eastAsia="Arial" w:hAnsi="Arial"/>
          <w:sz w:val="18"/>
          <w:szCs w:val="18"/>
          <w:color w:val="231F20"/>
        </w:rPr>
        <w:t>Advisor reinvested approximately $4.0 million of incentive fees in newly issued shares of our common stock</w:t>
      </w:r>
      <w:r>
        <w:rPr>
          <w:rFonts w:ascii="Arial" w:cs="Arial" w:eastAsia="Arial" w:hAnsi="Arial"/>
          <w:sz w:val="18"/>
          <w:szCs w:val="18"/>
          <w:color w:val="auto"/>
        </w:rPr>
        <w:t xml:space="preserve"> </w:t>
      </w:r>
      <w:r>
        <w:rPr>
          <w:rFonts w:ascii="Arial" w:cs="Arial" w:eastAsia="Arial" w:hAnsi="Arial"/>
          <w:sz w:val="18"/>
          <w:szCs w:val="18"/>
          <w:color w:val="231F20"/>
        </w:rPr>
        <w:t>in connection therewith the Externalization Agreement. The shares were issued at the most recently determined net asset value per share of our common stock. The obligations of the Advisor to use incentive fees to purchase shares expired on April 1, 2021.</w:t>
      </w:r>
    </w:p>
    <w:p>
      <w:pPr>
        <w:ind w:right="40" w:firstLine="374"/>
        <w:spacing w:after="0" w:line="266"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our borrowings. These amounts are capitalized and amortized ratably over the expected term of the borrowing. In anticipation of the refinancing of the 6.125% Notes due 2022, during the first quarter of 2021, approximately $1.0 million of unamortized debt issuance costs related to these notes were written off and reflected in Realized Losses on Extinguishment of Debt in the Consolidated Statement of Operations.</w:t>
      </w:r>
    </w:p>
    <w:p>
      <w:pPr>
        <w:ind w:right="120" w:firstLine="374"/>
        <w:spacing w:after="0" w:line="292" w:lineRule="auto"/>
        <w:rPr>
          <w:sz w:val="20"/>
          <w:szCs w:val="20"/>
          <w:color w:val="auto"/>
        </w:rPr>
      </w:pPr>
      <w:r>
        <w:rPr>
          <w:rFonts w:ascii="Arial" w:cs="Arial" w:eastAsia="Arial" w:hAnsi="Arial"/>
          <w:sz w:val="18"/>
          <w:szCs w:val="18"/>
          <w:color w:val="auto"/>
        </w:rPr>
        <w:t>For the three months ended September 30, 2021 and 2020, interest expense and amortization on debt issuance costs for the period was approximately $3.4 million and $2.2 million, respectively, on average debt outstanding of $355 million and $173 million, respectively.</w:t>
      </w:r>
    </w:p>
    <w:p>
      <w:pPr>
        <w:spacing w:after="0" w:line="143" w:lineRule="exact"/>
        <w:rPr>
          <w:sz w:val="20"/>
          <w:szCs w:val="20"/>
          <w:color w:val="auto"/>
        </w:rPr>
      </w:pPr>
    </w:p>
    <w:p>
      <w:pPr>
        <w:ind w:right="220" w:firstLine="315"/>
        <w:spacing w:after="0" w:line="293" w:lineRule="auto"/>
        <w:rPr>
          <w:sz w:val="20"/>
          <w:szCs w:val="20"/>
          <w:color w:val="auto"/>
        </w:rPr>
      </w:pPr>
      <w:r>
        <w:rPr>
          <w:rFonts w:ascii="Arial" w:cs="Arial" w:eastAsia="Arial" w:hAnsi="Arial"/>
          <w:sz w:val="18"/>
          <w:szCs w:val="18"/>
          <w:color w:val="auto"/>
        </w:rPr>
        <w:t>For the nine months ended September 30, 2021 and 2020, interest expense and amortization on debt issuance costs for the period was approximately $10.3 million and $7.0 million, respectively.</w:t>
      </w:r>
    </w:p>
    <w:p>
      <w:pPr>
        <w:spacing w:after="0" w:line="129" w:lineRule="exact"/>
        <w:rPr>
          <w:sz w:val="20"/>
          <w:szCs w:val="20"/>
          <w:color w:val="auto"/>
        </w:rPr>
      </w:pPr>
    </w:p>
    <w:p>
      <w:pPr>
        <w:ind w:right="100" w:firstLine="374"/>
        <w:spacing w:after="0" w:line="272" w:lineRule="auto"/>
        <w:rPr>
          <w:sz w:val="20"/>
          <w:szCs w:val="20"/>
          <w:color w:val="auto"/>
        </w:rPr>
      </w:pPr>
      <w:r>
        <w:rPr>
          <w:rFonts w:ascii="Arial" w:cs="Arial" w:eastAsia="Arial" w:hAnsi="Arial"/>
          <w:sz w:val="18"/>
          <w:szCs w:val="18"/>
          <w:i w:val="1"/>
          <w:iCs w:val="1"/>
          <w:color w:val="auto"/>
        </w:rPr>
        <w:t>Compensation Expense</w:t>
      </w:r>
      <w:r>
        <w:rPr>
          <w:rFonts w:ascii="Arial" w:cs="Arial" w:eastAsia="Arial" w:hAnsi="Arial"/>
          <w:sz w:val="18"/>
          <w:szCs w:val="18"/>
          <w:color w:val="auto"/>
        </w:rPr>
        <w:t>. Prior to the Closing of the Externalization on April 1, 2019, compensation expense included base salaries, bonuses, stock</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benefits and employer-related payroll costs. The largest components of total compensation costs are base salaries and bonuses; generally, base salaries are expensed as incurred and annual bonus expenses are estimated and accrued. Our compensation arrangements with our employees contained a profit sharing and/or performance-based bonus component. Following the Closing, we no longer have any employees and therefore do not have any related expenses.</w:t>
      </w:r>
    </w:p>
    <w:p>
      <w:pPr>
        <w:spacing w:after="0" w:line="150" w:lineRule="exact"/>
        <w:rPr>
          <w:sz w:val="20"/>
          <w:szCs w:val="20"/>
          <w:color w:val="auto"/>
        </w:rPr>
      </w:pPr>
    </w:p>
    <w:p>
      <w:pPr>
        <w:ind w:right="320" w:firstLine="374"/>
        <w:spacing w:after="0" w:line="359" w:lineRule="auto"/>
        <w:rPr>
          <w:sz w:val="20"/>
          <w:szCs w:val="20"/>
          <w:color w:val="auto"/>
        </w:rPr>
      </w:pPr>
      <w:r>
        <w:rPr>
          <w:rFonts w:ascii="Arial" w:cs="Arial" w:eastAsia="Arial" w:hAnsi="Arial"/>
          <w:sz w:val="16"/>
          <w:szCs w:val="16"/>
          <w:i w:val="1"/>
          <w:iCs w:val="1"/>
          <w:color w:val="auto"/>
        </w:rPr>
        <w:t>Professional Fees, Administrative Services Expense and General Administrative Expenses</w:t>
      </w:r>
      <w:r>
        <w:rPr>
          <w:rFonts w:ascii="Arial" w:cs="Arial" w:eastAsia="Arial" w:hAnsi="Arial"/>
          <w:sz w:val="16"/>
          <w:szCs w:val="16"/>
          <w:color w:val="auto"/>
        </w:rPr>
        <w:t>. The balance of our expenses includes professional fees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legal, accounting, director fees, valuation and other professional services), insurance costs, Administrative services and other costs.</w:t>
      </w:r>
    </w:p>
    <w:p>
      <w:pPr>
        <w:spacing w:after="0" w:line="98" w:lineRule="exact"/>
        <w:rPr>
          <w:sz w:val="20"/>
          <w:szCs w:val="20"/>
          <w:color w:val="auto"/>
        </w:rPr>
      </w:pPr>
    </w:p>
    <w:p>
      <w:pPr>
        <w:ind w:right="160" w:firstLine="374"/>
        <w:spacing w:after="0" w:line="296" w:lineRule="auto"/>
        <w:rPr>
          <w:sz w:val="20"/>
          <w:szCs w:val="20"/>
          <w:color w:val="auto"/>
        </w:rPr>
      </w:pPr>
      <w:r>
        <w:rPr>
          <w:rFonts w:ascii="Arial" w:cs="Arial" w:eastAsia="Arial" w:hAnsi="Arial"/>
          <w:sz w:val="17"/>
          <w:szCs w:val="17"/>
          <w:color w:val="auto"/>
        </w:rPr>
        <w:t>For the three months ended September 30, 2021 and 2020, respectively, professional fees and insurance expenses totaled approximately $0.7 million and $0.6 million. For the three months ended September 30, 2021 and 2020, Administrative services expenses incurred pursuant to the Administration Agreement was approximately $0.8 million and $0.5 million, respectively. Other general and administrative costs totaled approximately $0.3 million and $0.1 million for the three months ended September 30, 2021 and 2020, respectively.</w:t>
      </w:r>
    </w:p>
    <w:p>
      <w:pPr>
        <w:spacing w:after="0" w:line="129" w:lineRule="exact"/>
        <w:rPr>
          <w:sz w:val="20"/>
          <w:szCs w:val="20"/>
          <w:color w:val="auto"/>
        </w:rPr>
      </w:pPr>
    </w:p>
    <w:p>
      <w:pPr>
        <w:ind w:right="500" w:firstLine="374"/>
        <w:spacing w:after="0" w:line="293" w:lineRule="auto"/>
        <w:rPr>
          <w:sz w:val="20"/>
          <w:szCs w:val="20"/>
          <w:color w:val="auto"/>
        </w:rPr>
      </w:pPr>
      <w:r>
        <w:rPr>
          <w:rFonts w:ascii="Arial" w:cs="Arial" w:eastAsia="Arial" w:hAnsi="Arial"/>
          <w:sz w:val="18"/>
          <w:szCs w:val="18"/>
          <w:color w:val="auto"/>
        </w:rPr>
        <w:t>For the nine months ended September 30, 2021 and 2020, professional fees and insurance expenses totaled approximately $3.3 million and $2.3 million respectively.</w:t>
      </w:r>
    </w:p>
    <w:p>
      <w:pPr>
        <w:spacing w:after="0" w:line="129" w:lineRule="exact"/>
        <w:rPr>
          <w:sz w:val="20"/>
          <w:szCs w:val="20"/>
          <w:color w:val="auto"/>
        </w:rPr>
      </w:pPr>
    </w:p>
    <w:p>
      <w:pPr>
        <w:ind w:right="80" w:firstLine="374"/>
        <w:spacing w:after="0" w:line="303" w:lineRule="auto"/>
        <w:rPr>
          <w:sz w:val="20"/>
          <w:szCs w:val="20"/>
          <w:color w:val="auto"/>
        </w:rPr>
      </w:pPr>
      <w:r>
        <w:rPr>
          <w:rFonts w:ascii="Arial" w:cs="Arial" w:eastAsia="Arial" w:hAnsi="Arial"/>
          <w:sz w:val="17"/>
          <w:szCs w:val="17"/>
          <w:color w:val="auto"/>
        </w:rPr>
        <w:t>Total expenses for the nine months ended September 30, 2021 and 2020 were approximately $29.2 million and $14.8 million, respectively. For the nine months ended September 30, 2021 and 2020, interest expense and amortization on debt issuance costs for the period was approximately $10.3 million and $7.0 million, respectively, on average debt outstanding of $359 million and $160 million, respectively.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3" w:name="page94"/>
    <w:bookmarkEnd w:id="93"/>
    <w:p>
      <w:pPr>
        <w:ind w:left="380"/>
        <w:spacing w:after="0"/>
        <w:rPr>
          <w:sz w:val="20"/>
          <w:szCs w:val="20"/>
          <w:color w:val="auto"/>
        </w:rPr>
      </w:pPr>
      <w:r>
        <w:rPr>
          <w:rFonts w:ascii="Arial" w:cs="Arial" w:eastAsia="Arial" w:hAnsi="Arial"/>
          <w:sz w:val="18"/>
          <w:szCs w:val="18"/>
          <w:b w:val="1"/>
          <w:bCs w:val="1"/>
          <w:i w:val="1"/>
          <w:iCs w:val="1"/>
          <w:color w:val="auto"/>
        </w:rPr>
        <w:t>Net Investment Income and Net Realized Gains (Losses)</w:t>
      </w:r>
    </w:p>
    <w:p>
      <w:pPr>
        <w:spacing w:after="0" w:line="212" w:lineRule="exact"/>
        <w:rPr>
          <w:sz w:val="20"/>
          <w:szCs w:val="20"/>
          <w:color w:val="auto"/>
        </w:rPr>
      </w:pPr>
    </w:p>
    <w:p>
      <w:pPr>
        <w:ind w:right="40" w:firstLine="374"/>
        <w:spacing w:after="0" w:line="288" w:lineRule="auto"/>
        <w:rPr>
          <w:sz w:val="20"/>
          <w:szCs w:val="20"/>
          <w:color w:val="auto"/>
        </w:rPr>
      </w:pPr>
      <w:r>
        <w:rPr>
          <w:rFonts w:ascii="Arial" w:cs="Arial" w:eastAsia="Arial" w:hAnsi="Arial"/>
          <w:sz w:val="17"/>
          <w:szCs w:val="17"/>
          <w:color w:val="auto"/>
        </w:rPr>
        <w:t>Net investment income and net realized gains (losses) represents the change in stockholder’s equity before net unrealized appreciation or depreciation on investments. For the three months ended September 30, 2021 net investment income and net realized gains were approximately $9.7 million, or $1.06 per share. For the three months ended September 30, 2020, net investment income and net realized losses were approximately $0.8 million, or $0.18 per share. For the nine months ended September 30, 2021, net investment income and net realized losses were approximately $22.2 million, or $2.70 per share. For the nine months ended September 30, 2020, net investment income and net realized gains were approximately $4.2 million, or $0.95 per share. Net investment income represents the income earned on our investments less operating and interest expense before net realized gains or losses and unrealized appreciation or depreciation on investments.</w:t>
      </w:r>
    </w:p>
    <w:p>
      <w:pPr>
        <w:spacing w:after="0" w:line="140" w:lineRule="exact"/>
        <w:rPr>
          <w:sz w:val="20"/>
          <w:szCs w:val="20"/>
          <w:color w:val="auto"/>
        </w:rPr>
      </w:pPr>
    </w:p>
    <w:p>
      <w:pPr>
        <w:ind w:right="40" w:firstLine="374"/>
        <w:spacing w:after="0" w:line="271" w:lineRule="auto"/>
        <w:rPr>
          <w:sz w:val="20"/>
          <w:szCs w:val="20"/>
          <w:color w:val="auto"/>
        </w:rPr>
      </w:pPr>
      <w:r>
        <w:rPr>
          <w:rFonts w:ascii="Arial" w:cs="Arial" w:eastAsia="Arial" w:hAnsi="Arial"/>
          <w:sz w:val="18"/>
          <w:szCs w:val="18"/>
          <w:color w:val="auto"/>
        </w:rPr>
        <w:t>Investments are carried at fair value, with changes in fair value recorded as unrealized appreciation (depreciation) in the statement of operations. When an investment is sold or liquidated, any previously recognized unrealized appreciation/depreciation is reversed and a corresponding amount is recognized as realized gain (loss). For the nine months ended September 30, 2021, GAAP-basis net investment income was approximately $33.6 million or $4.10 per share, while tax-basis distributable income was approximately $20.5 million or $2.49 per basic share. For the nine months ended September 30, 2020, GAAP-basis net investment income was approximately $8.1 million or $1.81 per share, while tax-basis distributable income was approximately $8.3 million or $1.85 per basic share.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16" w:lineRule="exact"/>
        <w:rPr>
          <w:sz w:val="20"/>
          <w:szCs w:val="20"/>
          <w:color w:val="auto"/>
        </w:rPr>
      </w:pPr>
    </w:p>
    <w:p>
      <w:pPr>
        <w:ind w:right="80" w:firstLine="374"/>
        <w:spacing w:after="0" w:line="269" w:lineRule="auto"/>
        <w:rPr>
          <w:sz w:val="20"/>
          <w:szCs w:val="20"/>
          <w:color w:val="auto"/>
        </w:rPr>
      </w:pPr>
      <w:r>
        <w:rPr>
          <w:rFonts w:ascii="Arial" w:cs="Arial" w:eastAsia="Arial" w:hAnsi="Arial"/>
          <w:sz w:val="18"/>
          <w:szCs w:val="18"/>
          <w:color w:val="auto"/>
        </w:rPr>
        <w:t>During the nine months ended September 30, 2021, our total investments had net unrealized appreciation of approximately $8.0 million. Included in the net unrealized appreciation are unrealized appreciation on CLO Fund Securities of approximately $9.4 million, unrealized appreciation on equity securities of approximately $4.0 million, an unrealized appreciation of $2.6 million on our Joint Ventures investment, unrealized depreciation on our debt securities of $7.4 million, and unrealized depreciation of $0.9 million on our derivatives. During the nine months ended September 30, 2020, our total investments had net unrealized depreciation of approximately $21.8 million. Included in the net unrealized depreciation are unrealized depreciation on CLO Fund Securities of approximately $.5 million, unrealized appreciation on equity securities of approximately $.4 million, an unrealized depreciation of $4.7 million on our Joint Ventures investment, unrealized depreciation on our debt securities of $3.9million and unrealized depreciation of $1.0 million on our derivatives.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202" w:lineRule="exact"/>
        <w:rPr>
          <w:sz w:val="20"/>
          <w:szCs w:val="20"/>
          <w:color w:val="auto"/>
        </w:rPr>
      </w:pPr>
    </w:p>
    <w:p>
      <w:pPr>
        <w:ind w:right="140" w:firstLine="374"/>
        <w:spacing w:after="0" w:line="279" w:lineRule="auto"/>
        <w:rPr>
          <w:sz w:val="20"/>
          <w:szCs w:val="20"/>
          <w:color w:val="auto"/>
        </w:rPr>
      </w:pPr>
      <w:r>
        <w:rPr>
          <w:rFonts w:ascii="Arial" w:cs="Arial" w:eastAsia="Arial" w:hAnsi="Arial"/>
          <w:sz w:val="18"/>
          <w:szCs w:val="18"/>
          <w:color w:val="auto"/>
        </w:rPr>
        <w:t>The net increase in stockholders’ equity resulting from operations for the nine months ended September 30, 2021 was $28.4 million, or $3.45 per basic share. Net decrease in stockholders’ equity resulting from operations for the nine months ended September 30, 2020 was $17.5 million, or $3.91 per share.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89"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September 30, 2021 and December 31, 2020 the fair value of investments and cash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4"/>
          </w:tcPr>
          <w:p>
            <w:pPr>
              <w:jc w:val="right"/>
              <w:ind w:right="1090"/>
              <w:spacing w:after="0"/>
              <w:rPr>
                <w:sz w:val="20"/>
                <w:szCs w:val="20"/>
                <w:color w:val="auto"/>
              </w:rPr>
            </w:pPr>
            <w:r>
              <w:rPr>
                <w:rFonts w:ascii="Arial" w:cs="Arial" w:eastAsia="Arial" w:hAnsi="Arial"/>
                <w:sz w:val="18"/>
                <w:szCs w:val="18"/>
                <w:b w:val="1"/>
                <w:bCs w:val="1"/>
                <w:color w:val="auto"/>
              </w:rPr>
              <w:t>Investments at Fair Value</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Security Type</w:t>
            </w:r>
          </w:p>
        </w:tc>
        <w:tc>
          <w:tcPr>
            <w:tcW w:w="31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1"/>
              </w:rPr>
              <w:t>September 30, 2021</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57"/>
        </w:trPr>
        <w:tc>
          <w:tcPr>
            <w:tcW w:w="3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28,539,989</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6,990,008</w:t>
            </w:r>
          </w:p>
        </w:tc>
        <w:tc>
          <w:tcPr>
            <w:tcW w:w="0" w:type="dxa"/>
            <w:vAlign w:val="bottom"/>
          </w:tcPr>
          <w:p>
            <w:pPr>
              <w:spacing w:after="0"/>
              <w:rPr>
                <w:sz w:val="1"/>
                <w:szCs w:val="1"/>
                <w:color w:val="auto"/>
              </w:rPr>
            </w:pPr>
          </w:p>
        </w:tc>
      </w:tr>
      <w:tr>
        <w:trPr>
          <w:trHeight w:val="250"/>
        </w:trPr>
        <w:tc>
          <w:tcPr>
            <w:tcW w:w="37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21,050,857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75,913,411</w:t>
            </w:r>
          </w:p>
        </w:tc>
        <w:tc>
          <w:tcPr>
            <w:tcW w:w="0" w:type="dxa"/>
            <w:vAlign w:val="bottom"/>
          </w:tcPr>
          <w:p>
            <w:pPr>
              <w:spacing w:after="0"/>
              <w:rPr>
                <w:sz w:val="1"/>
                <w:szCs w:val="1"/>
                <w:color w:val="auto"/>
              </w:rPr>
            </w:pPr>
          </w:p>
        </w:tc>
      </w:tr>
      <w:tr>
        <w:trPr>
          <w:trHeight w:val="263"/>
        </w:trPr>
        <w:tc>
          <w:tcPr>
            <w:tcW w:w="3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Secured Loan</w:t>
            </w:r>
          </w:p>
        </w:tc>
        <w:tc>
          <w:tcPr>
            <w:tcW w:w="3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380,960,592</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328,845,612</w:t>
            </w:r>
          </w:p>
        </w:tc>
        <w:tc>
          <w:tcPr>
            <w:tcW w:w="0" w:type="dxa"/>
            <w:vAlign w:val="bottom"/>
          </w:tcPr>
          <w:p>
            <w:pPr>
              <w:spacing w:after="0"/>
              <w:rPr>
                <w:sz w:val="1"/>
                <w:szCs w:val="1"/>
                <w:color w:val="auto"/>
              </w:rPr>
            </w:pPr>
          </w:p>
        </w:tc>
      </w:tr>
      <w:tr>
        <w:trPr>
          <w:trHeight w:val="250"/>
        </w:trPr>
        <w:tc>
          <w:tcPr>
            <w:tcW w:w="3720" w:type="dxa"/>
            <w:vAlign w:val="bottom"/>
          </w:tcPr>
          <w:p>
            <w:pPr>
              <w:ind w:left="20"/>
              <w:spacing w:after="0"/>
              <w:rPr>
                <w:sz w:val="20"/>
                <w:szCs w:val="20"/>
                <w:color w:val="auto"/>
              </w:rPr>
            </w:pPr>
            <w:r>
              <w:rPr>
                <w:rFonts w:ascii="Arial" w:cs="Arial" w:eastAsia="Arial" w:hAnsi="Arial"/>
                <w:sz w:val="18"/>
                <w:szCs w:val="18"/>
                <w:color w:val="auto"/>
              </w:rPr>
              <w:t>Junior Secured Loan</w:t>
            </w:r>
          </w:p>
        </w:tc>
        <w:tc>
          <w:tcPr>
            <w:tcW w:w="3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74,076,080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75,807,477</w:t>
            </w:r>
          </w:p>
        </w:tc>
        <w:tc>
          <w:tcPr>
            <w:tcW w:w="0" w:type="dxa"/>
            <w:vAlign w:val="bottom"/>
          </w:tcPr>
          <w:p>
            <w:pPr>
              <w:spacing w:after="0"/>
              <w:rPr>
                <w:sz w:val="1"/>
                <w:szCs w:val="1"/>
                <w:color w:val="auto"/>
              </w:rPr>
            </w:pPr>
          </w:p>
        </w:tc>
      </w:tr>
      <w:tr>
        <w:trPr>
          <w:trHeight w:val="263"/>
        </w:trPr>
        <w:tc>
          <w:tcPr>
            <w:tcW w:w="3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Unsecured Bond</w:t>
            </w:r>
          </w:p>
        </w:tc>
        <w:tc>
          <w:tcPr>
            <w:tcW w:w="3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43,204</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207,766</w:t>
            </w:r>
          </w:p>
        </w:tc>
        <w:tc>
          <w:tcPr>
            <w:tcW w:w="0" w:type="dxa"/>
            <w:vAlign w:val="bottom"/>
          </w:tcPr>
          <w:p>
            <w:pPr>
              <w:spacing w:after="0"/>
              <w:rPr>
                <w:sz w:val="1"/>
                <w:szCs w:val="1"/>
                <w:color w:val="auto"/>
              </w:rPr>
            </w:pPr>
          </w:p>
        </w:tc>
      </w:tr>
      <w:tr>
        <w:trPr>
          <w:trHeight w:val="250"/>
        </w:trPr>
        <w:tc>
          <w:tcPr>
            <w:tcW w:w="3720" w:type="dxa"/>
            <w:vAlign w:val="bottom"/>
          </w:tcPr>
          <w:p>
            <w:pPr>
              <w:ind w:left="20"/>
              <w:spacing w:after="0"/>
              <w:rPr>
                <w:sz w:val="20"/>
                <w:szCs w:val="20"/>
                <w:color w:val="auto"/>
              </w:rPr>
            </w:pPr>
            <w:r>
              <w:rPr>
                <w:rFonts w:ascii="Arial" w:cs="Arial" w:eastAsia="Arial" w:hAnsi="Arial"/>
                <w:sz w:val="18"/>
                <w:szCs w:val="18"/>
                <w:color w:val="auto"/>
              </w:rPr>
              <w:t>CLO Fund Securities</w:t>
            </w:r>
          </w:p>
        </w:tc>
        <w:tc>
          <w:tcPr>
            <w:tcW w:w="3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17,173,634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19,582,555</w:t>
            </w:r>
          </w:p>
        </w:tc>
        <w:tc>
          <w:tcPr>
            <w:tcW w:w="0" w:type="dxa"/>
            <w:vAlign w:val="bottom"/>
          </w:tcPr>
          <w:p>
            <w:pPr>
              <w:spacing w:after="0"/>
              <w:rPr>
                <w:sz w:val="1"/>
                <w:szCs w:val="1"/>
                <w:color w:val="auto"/>
              </w:rPr>
            </w:pPr>
          </w:p>
        </w:tc>
      </w:tr>
      <w:tr>
        <w:trPr>
          <w:trHeight w:val="263"/>
        </w:trPr>
        <w:tc>
          <w:tcPr>
            <w:tcW w:w="3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Securities</w:t>
            </w:r>
          </w:p>
        </w:tc>
        <w:tc>
          <w:tcPr>
            <w:tcW w:w="3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22,298,759</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13,944,876</w:t>
            </w:r>
          </w:p>
        </w:tc>
        <w:tc>
          <w:tcPr>
            <w:tcW w:w="0" w:type="dxa"/>
            <w:vAlign w:val="bottom"/>
          </w:tcPr>
          <w:p>
            <w:pPr>
              <w:spacing w:after="0"/>
              <w:rPr>
                <w:sz w:val="1"/>
                <w:szCs w:val="1"/>
                <w:color w:val="auto"/>
              </w:rPr>
            </w:pPr>
          </w:p>
        </w:tc>
      </w:tr>
      <w:tr>
        <w:trPr>
          <w:trHeight w:val="250"/>
        </w:trPr>
        <w:tc>
          <w:tcPr>
            <w:tcW w:w="3720" w:type="dxa"/>
            <w:vAlign w:val="bottom"/>
          </w:tcPr>
          <w:p>
            <w:pPr>
              <w:ind w:left="20"/>
              <w:spacing w:after="0"/>
              <w:rPr>
                <w:sz w:val="20"/>
                <w:szCs w:val="20"/>
                <w:color w:val="auto"/>
              </w:rPr>
            </w:pPr>
            <w:r>
              <w:rPr>
                <w:rFonts w:ascii="Arial" w:cs="Arial" w:eastAsia="Arial" w:hAnsi="Arial"/>
                <w:sz w:val="18"/>
                <w:szCs w:val="18"/>
                <w:color w:val="auto"/>
              </w:rPr>
              <w:t>Joint Ventures</w:t>
            </w:r>
          </w:p>
        </w:tc>
        <w:tc>
          <w:tcPr>
            <w:tcW w:w="3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67,629,114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49,349,163</w:t>
            </w:r>
          </w:p>
        </w:tc>
        <w:tc>
          <w:tcPr>
            <w:tcW w:w="0" w:type="dxa"/>
            <w:vAlign w:val="bottom"/>
          </w:tcPr>
          <w:p>
            <w:pPr>
              <w:spacing w:after="0"/>
              <w:rPr>
                <w:sz w:val="1"/>
                <w:szCs w:val="1"/>
                <w:color w:val="auto"/>
              </w:rPr>
            </w:pPr>
          </w:p>
        </w:tc>
      </w:tr>
      <w:tr>
        <w:trPr>
          <w:trHeight w:val="257"/>
        </w:trPr>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Derivatives</w:t>
            </w:r>
          </w:p>
        </w:tc>
        <w:tc>
          <w:tcPr>
            <w:tcW w:w="3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(1,982,091 )</w:t>
            </w:r>
          </w:p>
        </w:tc>
        <w:tc>
          <w:tcPr>
            <w:tcW w:w="1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(1,108,618 )</w:t>
            </w:r>
          </w:p>
        </w:tc>
        <w:tc>
          <w:tcPr>
            <w:tcW w:w="0" w:type="dxa"/>
            <w:vAlign w:val="bottom"/>
          </w:tcPr>
          <w:p>
            <w:pPr>
              <w:spacing w:after="0"/>
              <w:rPr>
                <w:sz w:val="1"/>
                <w:szCs w:val="1"/>
                <w:color w:val="auto"/>
              </w:rPr>
            </w:pPr>
          </w:p>
        </w:tc>
      </w:tr>
      <w:tr>
        <w:trPr>
          <w:trHeight w:val="250"/>
        </w:trPr>
        <w:tc>
          <w:tcPr>
            <w:tcW w:w="3720" w:type="dxa"/>
            <w:vAlign w:val="bottom"/>
          </w:tcPr>
          <w:p>
            <w:pPr>
              <w:ind w:left="20"/>
              <w:spacing w:after="0"/>
              <w:rPr>
                <w:sz w:val="20"/>
                <w:szCs w:val="20"/>
                <w:color w:val="auto"/>
              </w:rPr>
            </w:pPr>
            <w:r>
              <w:rPr>
                <w:rFonts w:ascii="Arial" w:cs="Arial" w:eastAsia="Arial" w:hAnsi="Arial"/>
                <w:sz w:val="18"/>
                <w:szCs w:val="18"/>
                <w:color w:val="auto"/>
              </w:rPr>
              <w:t>Total</w:t>
            </w:r>
          </w:p>
        </w:tc>
        <w:tc>
          <w:tcPr>
            <w:tcW w:w="3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609,790,138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569,532,250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140" w:type="dxa"/>
            <w:vAlign w:val="bottom"/>
            <w:vMerge w:val="restart"/>
          </w:tcPr>
          <w:p>
            <w:pPr>
              <w:jc w:val="right"/>
              <w:ind w:right="105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72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-553720</wp:posOffset>
            </wp:positionV>
            <wp:extent cx="102870" cy="571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4" w:name="page95"/>
    <w:bookmarkEnd w:id="94"/>
    <w:p>
      <w:pPr>
        <w:ind w:right="100" w:firstLine="374"/>
        <w:spacing w:after="0" w:line="290" w:lineRule="auto"/>
        <w:rPr>
          <w:sz w:val="20"/>
          <w:szCs w:val="20"/>
          <w:color w:val="auto"/>
        </w:rPr>
      </w:pPr>
      <w:r>
        <w:rPr>
          <w:rFonts w:ascii="Arial" w:cs="Arial" w:eastAsia="Arial" w:hAnsi="Arial"/>
          <w:sz w:val="17"/>
          <w:szCs w:val="17"/>
          <w:color w:val="auto"/>
        </w:rPr>
        <w:t>Subject to market conditions, we intend to grow our portfolio of assets by raising additional capital, including through the prudent use of leverage available to us. As a BDC, we are limited in the amount of leverage we can incur under the 1940 Act. Effective March 29, 2019, we are allowed to borrow amounts such that our asset coverage, as defined in the 1940 Act, equals at least 150% after such borrowing. Because we also recognize the need to have funds available for operating our business and to make investments, we seek to have adequate liquidity at all times to cover normal cyclical swings in funding availability and to allow us to meet abnormal and unexpected funding requirements. As a result, we may hold varying amounts of cash and other short-term investments from time-to-time for liquidity purposes.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256" w:lineRule="exact"/>
        <w:rPr>
          <w:sz w:val="20"/>
          <w:szCs w:val="20"/>
          <w:color w:val="auto"/>
        </w:rPr>
      </w:pPr>
    </w:p>
    <w:p>
      <w:pPr>
        <w:ind w:right="60" w:firstLine="374"/>
        <w:spacing w:after="0"/>
        <w:rPr>
          <w:sz w:val="20"/>
          <w:szCs w:val="20"/>
          <w:color w:val="auto"/>
        </w:rPr>
      </w:pPr>
      <w:r>
        <w:rPr>
          <w:rFonts w:ascii="Arial" w:cs="Arial" w:eastAsia="Arial" w:hAnsi="Arial"/>
          <w:sz w:val="18"/>
          <w:szCs w:val="18"/>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150% after such borrowing. As of September 30, 2021, we had approximately $370 million of par value of outstanding borrowings and our asset coverage ratio of total assets to total borrowings was 178%, compliant with the minimum asset coverage level of 150% generally required for a BDC by the 1940 Act. We may also borrow amounts of up to 5% of the value of our total assets for temporary purposes.</w:t>
      </w:r>
    </w:p>
    <w:p>
      <w:pPr>
        <w:spacing w:after="0" w:line="149" w:lineRule="exact"/>
        <w:rPr>
          <w:sz w:val="20"/>
          <w:szCs w:val="20"/>
          <w:color w:val="auto"/>
        </w:rPr>
      </w:pPr>
    </w:p>
    <w:p>
      <w:pPr>
        <w:ind w:right="340" w:firstLine="374"/>
        <w:spacing w:after="0" w:line="241" w:lineRule="auto"/>
        <w:rPr>
          <w:sz w:val="20"/>
          <w:szCs w:val="20"/>
          <w:color w:val="auto"/>
        </w:rPr>
      </w:pPr>
      <w:r>
        <w:rPr>
          <w:rFonts w:ascii="Arial" w:cs="Arial" w:eastAsia="Arial" w:hAnsi="Arial"/>
          <w:sz w:val="18"/>
          <w:szCs w:val="18"/>
          <w:color w:val="auto"/>
        </w:rPr>
        <w:t>The Small Business Credit Availability Act (the “SBCA”) has modified the 1940 Act by allowing a BDC to increase the maximum amount of leverage it may incur from an asset coverage ratio of 200% to an asset coverage ratio of 150%, if certain requirements are met. On March 29, 2018, the Board , including a “required majority” (as such term is defined in Section 57(o) of the 1940 Act) of its Board, approved the modified asset coverage requirements set forth in Section 61(a)(2) of the 1940 Act, as amended by the SBCA. As a result, our asset coverage requirements for senior securities changed from 200% to 150%, effective as of March 29, 2019.</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Outstanding Notes</w:t>
      </w:r>
    </w:p>
    <w:p>
      <w:pPr>
        <w:spacing w:after="0" w:line="23" w:lineRule="exact"/>
        <w:rPr>
          <w:sz w:val="20"/>
          <w:szCs w:val="20"/>
          <w:color w:val="auto"/>
        </w:rPr>
      </w:pPr>
    </w:p>
    <w:p>
      <w:pPr>
        <w:ind w:right="140" w:firstLine="374"/>
        <w:spacing w:after="0" w:line="286" w:lineRule="auto"/>
        <w:rPr>
          <w:sz w:val="20"/>
          <w:szCs w:val="20"/>
          <w:color w:val="auto"/>
        </w:rPr>
      </w:pPr>
      <w:r>
        <w:rPr>
          <w:rFonts w:ascii="Arial" w:cs="Arial" w:eastAsia="Arial" w:hAnsi="Arial"/>
          <w:sz w:val="17"/>
          <w:szCs w:val="17"/>
          <w:color w:val="auto"/>
        </w:rPr>
        <w:t>On April 30, 2021, the Company issued $80,000,000 in aggregate principal amount of unsecured 4.875% Notes due 2026 (the “4.875% Notes due 2026”) in a private placement exempt from registration under the Section 4(a)(2) of the Securities Act. The 4.875% Notes due 2026 have not been registered under the Securities Act or any state securities laws and may not be reoffered or resold in the United States absent registration or an applicable exemption from such registration requirements. The net proceeds to the Company were approximately $77.7 million, after deducting estimated offering expenses. The Company used the net proceeds of the offering to redeem in full its 6.125% Notes due 2022, to make investments in portfolio companies in accordance with its investment objectives, and for general corporate purposes.</w:t>
      </w:r>
    </w:p>
    <w:p>
      <w:pPr>
        <w:spacing w:after="0" w:line="195" w:lineRule="exact"/>
        <w:rPr>
          <w:sz w:val="20"/>
          <w:szCs w:val="20"/>
          <w:color w:val="auto"/>
        </w:rPr>
      </w:pPr>
    </w:p>
    <w:p>
      <w:pPr>
        <w:ind w:firstLine="374"/>
        <w:spacing w:after="0" w:line="275" w:lineRule="auto"/>
        <w:rPr>
          <w:sz w:val="20"/>
          <w:szCs w:val="20"/>
          <w:color w:val="auto"/>
        </w:rPr>
      </w:pPr>
      <w:r>
        <w:rPr>
          <w:rFonts w:ascii="Arial" w:cs="Arial" w:eastAsia="Arial" w:hAnsi="Arial"/>
          <w:sz w:val="18"/>
          <w:szCs w:val="18"/>
          <w:color w:val="auto"/>
        </w:rPr>
        <w:t>On April 30, 2021, the Company and U.S. Bank National Association (the “Trustee”) entered into a Supplemental Indenture (the “Third Supplemental Indenture”), which supplements that certain Base Indenture, dated as of October 10, 2012 (as may be further amended, supplemented or otherwise modified from time to time, the “Base Indenture” and, together with the Third Supplemental Indenture, the “Indenture”). The Third Supplemental Indenture relates to the Company’s issuance of the 4.875% Notes due 2026.</w:t>
      </w:r>
    </w:p>
    <w:p>
      <w:pPr>
        <w:spacing w:after="0" w:line="199"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The 4.875% Notes due 2026 will mature on April 30, 2026 and may be redeemed in whole or in part at the Company’s option at any time or from time to time at the redemption prices set forth in the Indenture and bear interest at a rate of 4.875% per year payable semi-annually on March 16 and September 16 of each year, commencing on September 16, 2021. The 4.875% Notes due 2026 are general unsecured obligations of the Company that rank senior in right of payment to all of the Company’s existing and future indebtedness that is expressly subordinated in right of payment to the 4.875% Notes due 2026,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spacing w:after="0" w:line="195" w:lineRule="exact"/>
        <w:rPr>
          <w:sz w:val="20"/>
          <w:szCs w:val="20"/>
          <w:color w:val="auto"/>
        </w:rPr>
      </w:pPr>
    </w:p>
    <w:p>
      <w:pPr>
        <w:jc w:val="both"/>
        <w:ind w:right="300" w:firstLine="374"/>
        <w:spacing w:after="0" w:line="299" w:lineRule="auto"/>
        <w:rPr>
          <w:sz w:val="20"/>
          <w:szCs w:val="20"/>
          <w:color w:val="auto"/>
        </w:rPr>
      </w:pPr>
      <w:r>
        <w:rPr>
          <w:rFonts w:ascii="Arial" w:cs="Arial" w:eastAsia="Arial" w:hAnsi="Arial"/>
          <w:sz w:val="16"/>
          <w:szCs w:val="16"/>
          <w:color w:val="auto"/>
        </w:rPr>
        <w:t>The Indenture contains certain covenants, including covenants requiring the Company to comply with the asset coverage requirements of Sections 18(a)(1)(A) and 18(a)(1)(B) as modified by Section 61(a)(2) of the 1940 Act, whether or not it is subject to those requirements, and to provide financial information to the holders of the Notes and the Trustee if the Company is no longer subject to the reporting requirements under the Exchange Act.</w:t>
      </w:r>
    </w:p>
    <w:p>
      <w:pPr>
        <w:spacing w:after="0" w:line="2" w:lineRule="exact"/>
        <w:rPr>
          <w:sz w:val="20"/>
          <w:szCs w:val="20"/>
          <w:color w:val="auto"/>
        </w:rPr>
      </w:pPr>
    </w:p>
    <w:p>
      <w:pPr>
        <w:ind w:right="180"/>
        <w:spacing w:after="0" w:line="358" w:lineRule="auto"/>
        <w:rPr>
          <w:sz w:val="20"/>
          <w:szCs w:val="20"/>
          <w:color w:val="auto"/>
        </w:rPr>
      </w:pPr>
      <w:r>
        <w:rPr>
          <w:rFonts w:ascii="Arial" w:cs="Arial" w:eastAsia="Arial" w:hAnsi="Arial"/>
          <w:sz w:val="16"/>
          <w:szCs w:val="16"/>
          <w:color w:val="auto"/>
        </w:rPr>
        <w:t>Additionally, the Company has agreed to use its commercially reasonable efforts to maintain a rating of the 4.875% Notes due 2026 from a rating agency, as long as the notes are outstanding. These covenants are subject to important limitations and exceptions that are described in the Indenture.</w:t>
      </w:r>
    </w:p>
    <w:p>
      <w:pPr>
        <w:spacing w:after="0" w:line="139" w:lineRule="exact"/>
        <w:rPr>
          <w:sz w:val="20"/>
          <w:szCs w:val="20"/>
          <w:color w:val="auto"/>
        </w:rPr>
      </w:pPr>
    </w:p>
    <w:p>
      <w:pPr>
        <w:jc w:val="both"/>
        <w:ind w:right="80" w:firstLine="374"/>
        <w:spacing w:after="0" w:line="279" w:lineRule="auto"/>
        <w:rPr>
          <w:sz w:val="20"/>
          <w:szCs w:val="20"/>
          <w:color w:val="auto"/>
        </w:rPr>
      </w:pPr>
      <w:r>
        <w:rPr>
          <w:rFonts w:ascii="Arial" w:cs="Arial" w:eastAsia="Arial" w:hAnsi="Arial"/>
          <w:sz w:val="18"/>
          <w:szCs w:val="18"/>
          <w:color w:val="auto"/>
        </w:rPr>
        <w:t>In addition, on the occurrence of a “change of control repurchase event,” as defined in the Indenture, the Company will generally be required to make an offer to purchase the outstanding notes at a price equal to 100% of the principal amount of such notes plus accrued and unpaid interest to the repurchase date.</w:t>
      </w:r>
    </w:p>
    <w:p>
      <w:pPr>
        <w:spacing w:after="0" w:line="200" w:lineRule="exact"/>
        <w:rPr>
          <w:sz w:val="20"/>
          <w:szCs w:val="20"/>
          <w:color w:val="auto"/>
        </w:rPr>
      </w:pPr>
    </w:p>
    <w:p>
      <w:pPr>
        <w:spacing w:after="0" w:line="22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Registration Rights Agreement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5" w:name="page96"/>
    <w:bookmarkEnd w:id="95"/>
    <w:p>
      <w:pPr>
        <w:ind w:right="60" w:firstLine="374"/>
        <w:spacing w:after="0" w:line="308" w:lineRule="auto"/>
        <w:rPr>
          <w:sz w:val="20"/>
          <w:szCs w:val="20"/>
          <w:color w:val="auto"/>
        </w:rPr>
      </w:pPr>
      <w:r>
        <w:rPr>
          <w:rFonts w:ascii="Arial" w:cs="Arial" w:eastAsia="Arial" w:hAnsi="Arial"/>
          <w:sz w:val="16"/>
          <w:szCs w:val="16"/>
          <w:color w:val="auto"/>
        </w:rPr>
        <w:t>In connection with the offering of 4.875% Notes due 2026, the Company entered into a Registration Rights Agreement, dated as of April 30, 2021 (the “Registration Rights Agreement”), with the purchasers of the 4.875% Notes due 2026. Pursuant to the Registration Rights Agreement, the Company is obligated to file with the SEC a registration statement relating to an offer to exchange the 4.875% Notes due 2026 for new notes issued by the Company that are registered under the Securities Act and otherwise have terms substantially identical to those of the 4.875% Notes due 2026, and to use its commercially reasonable efforts to cause such registration statement to be declared effective. If the Company is not able to effect the exchange offer, the Company will be obligated to file a shelf registration statement covering the resale of the 4.875% Notes due 2026 and use its commercially reasonable efforts to cause such registration statement to be declared effective. If the Company fails to satisfy its registration obligations by certain dates specified in the Registration Rights Agreement, it will be required to pay additional interest to the holders of the 4.875% Notes due 2026.</w:t>
      </w:r>
    </w:p>
    <w:p>
      <w:pPr>
        <w:spacing w:after="0" w:line="109" w:lineRule="exact"/>
        <w:rPr>
          <w:sz w:val="20"/>
          <w:szCs w:val="20"/>
          <w:color w:val="auto"/>
        </w:rPr>
      </w:pPr>
    </w:p>
    <w:p>
      <w:pPr>
        <w:ind w:right="180" w:firstLine="374"/>
        <w:spacing w:after="0" w:line="238" w:lineRule="auto"/>
        <w:rPr>
          <w:sz w:val="20"/>
          <w:szCs w:val="20"/>
          <w:color w:val="auto"/>
        </w:rPr>
      </w:pPr>
      <w:r>
        <w:rPr>
          <w:rFonts w:ascii="Arial" w:cs="Arial" w:eastAsia="Arial" w:hAnsi="Arial"/>
          <w:sz w:val="18"/>
          <w:szCs w:val="18"/>
          <w:color w:val="auto"/>
        </w:rPr>
        <w:t>June 23, 2021 the Company closed a private placement of $28.0 million in aggregate principal amount of 4.875% senior unsecured notes due 2026. These notes have identical terms to the Company’s $80.0 of aggregate principal amount of 4.875% Notes due 2026 that were issued on April 30, 2021 (collectively, the 4.875% Notes due 2026). The net proceeds to the Company were approximately $27.4 million, after deducting payment of fees and estimated offering expenses. The Notes bear an interest rate of 4.875% per year, payable semiannually and will mature on April 30, 2026 and may be repaid in whole or in part, at Portman Ridge’s option, at any time or from time to time at par plus a “make-whole” premium, if applicable. The Company intends to use the net proceeds of the private placement to redeem in full its 6.125% Senior Unsecured Notes due September 2022 assumed in connection with the recent merger with HCAP (the “HCAP Notes”), make investments in portfolio companies in accordance with its investment objectives, and for general corporate purposes.</w:t>
      </w:r>
    </w:p>
    <w:p>
      <w:pPr>
        <w:spacing w:after="0" w:line="167" w:lineRule="exact"/>
        <w:rPr>
          <w:sz w:val="20"/>
          <w:szCs w:val="20"/>
          <w:color w:val="auto"/>
        </w:rPr>
      </w:pPr>
    </w:p>
    <w:p>
      <w:pPr>
        <w:ind w:right="20" w:firstLine="374"/>
        <w:spacing w:after="0" w:line="279" w:lineRule="auto"/>
        <w:rPr>
          <w:sz w:val="20"/>
          <w:szCs w:val="20"/>
          <w:color w:val="auto"/>
        </w:rPr>
      </w:pPr>
      <w:r>
        <w:rPr>
          <w:rFonts w:ascii="Arial" w:cs="Arial" w:eastAsia="Arial" w:hAnsi="Arial"/>
          <w:sz w:val="16"/>
          <w:szCs w:val="16"/>
          <w:color w:val="auto"/>
        </w:rPr>
        <w:t>During the third quarter of 2017, we issued $77.4 million aggregate principal amount of 6.125% Notes due 2022 (the “6.125% Notes Due 2022”). The net proceeds for the 6.125% Notes Due 2022, after the payment of underwriting expenses, were approximately $74.6 million. Interest on the 6.125% Notes Due 2022 is paid quarterly in arrears on March 30, June 30, September 30 and December 30, at a rate of 6.125% commencing September 30, 2017. The 6.125% Notes Due 2022 mature on September 30, 2022 and are senior unsecured obligations. The indenture governing the 6.125% Notes Due 2022 contains certain restrictive covenants, including compliance with certain provisions of the 1940 Act relating to borrowing and dividends.</w:t>
      </w:r>
    </w:p>
    <w:p>
      <w:pPr>
        <w:spacing w:after="0" w:line="132" w:lineRule="exact"/>
        <w:rPr>
          <w:sz w:val="20"/>
          <w:szCs w:val="20"/>
          <w:color w:val="auto"/>
        </w:rPr>
      </w:pPr>
    </w:p>
    <w:p>
      <w:pPr>
        <w:ind w:right="20" w:firstLine="374"/>
        <w:spacing w:after="0" w:line="288" w:lineRule="auto"/>
        <w:rPr>
          <w:sz w:val="20"/>
          <w:szCs w:val="20"/>
          <w:color w:val="auto"/>
        </w:rPr>
      </w:pPr>
      <w:r>
        <w:rPr>
          <w:rFonts w:ascii="Arial" w:cs="Arial" w:eastAsia="Arial" w:hAnsi="Arial"/>
          <w:sz w:val="17"/>
          <w:szCs w:val="17"/>
          <w:color w:val="auto"/>
        </w:rPr>
        <w:t>During the three months ended March 31, 2020, the Company repurchased approximately $573 thousand of principal amount of the 6.125% Notes Due 2022 at a cost of approximately $419 thousand, resulting in a realized gain on extinguishment of approximately $154 thousand. The Company subsequently surrendered these notes to the Trustee for cancellation. On April 30, 2021, Company notified the trustee for the Company’s 6.125% Notes due 2022 of the Company’s election to redeem the $77.4 million aggregate principal amount of the 6.125% Notes due 2022 outstanding and instructed the trustee to provide notice of such redemption to the holders of the 6.125% Notes due 2022 in accordance with the terms of the indenture governing the 6.125% Notes due 2022. The redemption was completed on May 30, 2021. Following the redemption, none of the 6.125% Notes due 2022 remain outstanding, and they were delisted from the NASDAQ Global Select Market.</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HCAP Notes</w:t>
      </w:r>
    </w:p>
    <w:p>
      <w:pPr>
        <w:spacing w:after="0" w:line="212" w:lineRule="exact"/>
        <w:rPr>
          <w:sz w:val="20"/>
          <w:szCs w:val="20"/>
          <w:color w:val="auto"/>
        </w:rPr>
      </w:pPr>
    </w:p>
    <w:p>
      <w:pPr>
        <w:ind w:right="420" w:firstLine="374"/>
        <w:spacing w:after="0" w:line="293" w:lineRule="auto"/>
        <w:rPr>
          <w:sz w:val="20"/>
          <w:szCs w:val="20"/>
          <w:color w:val="auto"/>
        </w:rPr>
      </w:pPr>
      <w:r>
        <w:rPr>
          <w:rFonts w:ascii="Arial" w:cs="Arial" w:eastAsia="Arial" w:hAnsi="Arial"/>
          <w:sz w:val="18"/>
          <w:szCs w:val="18"/>
          <w:color w:val="auto"/>
        </w:rPr>
        <w:t>In connection with the HCAP Acquisition, the Company assumed $28.75 million of HCAP Notes. These notes were redeemed in full on July 23, 2021.</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Revolving Credit Facilities</w:t>
      </w:r>
    </w:p>
    <w:p>
      <w:pPr>
        <w:spacing w:after="0" w:line="131" w:lineRule="exact"/>
        <w:rPr>
          <w:sz w:val="20"/>
          <w:szCs w:val="20"/>
          <w:color w:val="auto"/>
        </w:rPr>
      </w:pPr>
    </w:p>
    <w:p>
      <w:pPr>
        <w:ind w:right="20" w:firstLine="374"/>
        <w:spacing w:after="0" w:line="308" w:lineRule="auto"/>
        <w:rPr>
          <w:sz w:val="20"/>
          <w:szCs w:val="20"/>
          <w:color w:val="auto"/>
        </w:rPr>
      </w:pPr>
      <w:r>
        <w:rPr>
          <w:rFonts w:ascii="Arial" w:cs="Arial" w:eastAsia="Arial" w:hAnsi="Arial"/>
          <w:sz w:val="16"/>
          <w:szCs w:val="16"/>
          <w:color w:val="auto"/>
        </w:rPr>
        <w:t>On March 1, 2018, Great Lakes KCAP Funding I, LLC (“Funding”), our wholly owned subsidiary, entered into a senior secured revolving credit facility (the “Prior Revolving Credit Facility”) with certain institutional lenders, State Bank and Trust Company, as the administrative agent, lead arranger and bookrunner, CIBC Bank USA, as documentation agent and us, as the servicer. The maximum commitment amount of the Prior Revolving Credit Facility was increased on March 27, 2019 to $57.5 million, and on April 1, 2019 to $67.5 million, subject to availability under the borrowing base. The Prior Revolving Credit Facility was fully repaid and the related agreements, including security interests in assets pledged as collateral, were terminated on December 23, 2019. Borrowings under the Prior Revolving Credit Facility bore interest at a rate per annum equal to (i) in the case of LIBOR rate loans, an adjusted LIBOR rate for the applicable interest period plus 3.25% or (ii) in the case of base rate loans, the prime rate plus 3.25%. Funding paid a fee on any undrawn amounts of 0.375% per annum; provided that if 50% or less of the Prior Revolving Credit Facility was drawn, the fee would be 0.50% per annum.</w:t>
      </w:r>
    </w:p>
    <w:p>
      <w:pPr>
        <w:spacing w:after="0" w:line="55" w:lineRule="exact"/>
        <w:rPr>
          <w:sz w:val="20"/>
          <w:szCs w:val="20"/>
          <w:color w:val="auto"/>
        </w:rPr>
      </w:pPr>
    </w:p>
    <w:p>
      <w:pPr>
        <w:ind w:firstLine="374"/>
        <w:spacing w:after="0" w:line="275" w:lineRule="auto"/>
        <w:rPr>
          <w:sz w:val="20"/>
          <w:szCs w:val="20"/>
          <w:color w:val="auto"/>
        </w:rPr>
      </w:pPr>
      <w:r>
        <w:rPr>
          <w:rFonts w:ascii="Arial" w:cs="Arial" w:eastAsia="Arial" w:hAnsi="Arial"/>
          <w:sz w:val="18"/>
          <w:szCs w:val="18"/>
          <w:color w:val="auto"/>
        </w:rPr>
        <w:t>On December 18, 2019, Great Lakes Portman Ridge Funding LLC (“GLPRF LLC”), a wholly-owned subsidiary of the Company, entered into a senior secured revolving credit facility (the “Revolving Credit Facility”) with JPMorgan Chase Bank, National Association (“JPM”). JPM serves as administrative agent, U.S. Bank National Association serves as collateral agent, securities intermediary and collateral administrator, and the Company serves as portfolio manager under the Revolving Credit Facility.</w:t>
      </w:r>
    </w:p>
    <w:p>
      <w:pPr>
        <w:spacing w:after="0" w:line="77" w:lineRule="exact"/>
        <w:rPr>
          <w:sz w:val="20"/>
          <w:szCs w:val="20"/>
          <w:color w:val="auto"/>
        </w:rPr>
      </w:pPr>
    </w:p>
    <w:p>
      <w:pPr>
        <w:ind w:right="180" w:firstLine="374"/>
        <w:spacing w:after="0" w:line="266" w:lineRule="auto"/>
        <w:rPr>
          <w:sz w:val="20"/>
          <w:szCs w:val="20"/>
          <w:color w:val="auto"/>
        </w:rPr>
      </w:pPr>
      <w:r>
        <w:rPr>
          <w:rFonts w:ascii="Arial" w:cs="Arial" w:eastAsia="Arial" w:hAnsi="Arial"/>
          <w:sz w:val="18"/>
          <w:szCs w:val="18"/>
          <w:color w:val="auto"/>
        </w:rPr>
        <w:t>Advances under the Revolving Credit Facility bear interest at a per annum rate equal to the three-month LIBOR in effect, plus the applicable margin of 2.85% per annum. GLPRF LLC is required to utilize a minimum of 80% of the commitments under the Revolving Credit Facility, after an initial six-month ramp-up period during which a lesser minimum utilization requirement applies.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6" w:name="page97"/>
    <w:bookmarkEnd w:id="96"/>
    <w:p>
      <w:pPr>
        <w:ind w:right="180"/>
        <w:spacing w:after="0" w:line="303" w:lineRule="auto"/>
        <w:rPr>
          <w:sz w:val="20"/>
          <w:szCs w:val="20"/>
          <w:color w:val="auto"/>
        </w:rPr>
      </w:pPr>
      <w:r>
        <w:rPr>
          <w:rFonts w:ascii="Arial" w:cs="Arial" w:eastAsia="Arial" w:hAnsi="Arial"/>
          <w:sz w:val="17"/>
          <w:szCs w:val="17"/>
          <w:color w:val="auto"/>
        </w:rPr>
        <w:t>Unused amounts below such minimum utilization amount accrue interest as if such amounts are outstanding as borrowings under the Revolving Credit Facility. In addition, GLPRF LLC will pay a non-usage fee during the first three years after the closing date in an amount not to exceed 0.50% per annum on the average daily unborrowed portion of the financing commitments in excess of such minimum utilization amount.</w:t>
      </w:r>
    </w:p>
    <w:p>
      <w:pPr>
        <w:spacing w:after="0" w:line="56" w:lineRule="exact"/>
        <w:rPr>
          <w:sz w:val="20"/>
          <w:szCs w:val="20"/>
          <w:color w:val="auto"/>
        </w:rPr>
      </w:pPr>
    </w:p>
    <w:p>
      <w:pPr>
        <w:ind w:right="40" w:firstLine="374"/>
        <w:spacing w:after="0" w:line="272" w:lineRule="auto"/>
        <w:rPr>
          <w:sz w:val="20"/>
          <w:szCs w:val="20"/>
          <w:color w:val="auto"/>
        </w:rPr>
      </w:pPr>
      <w:r>
        <w:rPr>
          <w:rFonts w:ascii="Arial" w:cs="Arial" w:eastAsia="Arial" w:hAnsi="Arial"/>
          <w:sz w:val="18"/>
          <w:szCs w:val="18"/>
          <w:color w:val="auto"/>
        </w:rPr>
        <w:t>The initial principal amount of the Revolving Credit Facility is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 All amounts outstanding under the Revolving Credit Facility must be repaid by the maturity date of December 18, 2023.</w:t>
      </w:r>
    </w:p>
    <w:p>
      <w:pPr>
        <w:spacing w:after="0" w:line="83" w:lineRule="exact"/>
        <w:rPr>
          <w:sz w:val="20"/>
          <w:szCs w:val="20"/>
          <w:color w:val="auto"/>
        </w:rPr>
      </w:pPr>
    </w:p>
    <w:p>
      <w:pPr>
        <w:ind w:right="300" w:firstLine="374"/>
        <w:spacing w:after="0" w:line="303" w:lineRule="auto"/>
        <w:rPr>
          <w:sz w:val="20"/>
          <w:szCs w:val="20"/>
          <w:color w:val="auto"/>
        </w:rPr>
      </w:pPr>
      <w:r>
        <w:rPr>
          <w:rFonts w:ascii="Arial" w:cs="Arial" w:eastAsia="Arial" w:hAnsi="Arial"/>
          <w:sz w:val="17"/>
          <w:szCs w:val="17"/>
          <w:color w:val="auto"/>
        </w:rPr>
        <w:t>GLPRF LLC’s obligations to the lenders under the Revolving Credit Facility are secured by a first priority security interest in all of GLPRF LLC’s portfolio of investments and cash. The obligations of GLPRF LLC under the Revolving Credit Facility are non-recourse to the Company, and the Company’s exposure under the Revolving Credit Facility is limited to the value of the Company’s investment in GLPRF LLC.</w:t>
      </w:r>
    </w:p>
    <w:p>
      <w:pPr>
        <w:spacing w:after="0" w:line="56" w:lineRule="exact"/>
        <w:rPr>
          <w:sz w:val="20"/>
          <w:szCs w:val="20"/>
          <w:color w:val="auto"/>
        </w:rPr>
      </w:pPr>
    </w:p>
    <w:p>
      <w:pPr>
        <w:ind w:right="80" w:firstLine="374"/>
        <w:spacing w:after="0" w:line="272" w:lineRule="auto"/>
        <w:rPr>
          <w:sz w:val="20"/>
          <w:szCs w:val="20"/>
          <w:color w:val="auto"/>
        </w:rPr>
      </w:pPr>
      <w:r>
        <w:rPr>
          <w:rFonts w:ascii="Arial" w:cs="Arial" w:eastAsia="Arial" w:hAnsi="Arial"/>
          <w:sz w:val="18"/>
          <w:szCs w:val="18"/>
          <w:color w:val="auto"/>
        </w:rPr>
        <w:t>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the Company is no longer the portfolio manager of GLPRF LLC. Upon the occurrence and during the continuation of an event of default, JPM may declare the outstanding advances and all other obligations under the Revolving Credit Facility immediately due and payable.</w:t>
      </w:r>
    </w:p>
    <w:p>
      <w:pPr>
        <w:spacing w:after="0" w:line="83" w:lineRule="exact"/>
        <w:rPr>
          <w:sz w:val="20"/>
          <w:szCs w:val="20"/>
          <w:color w:val="auto"/>
        </w:rPr>
      </w:pPr>
    </w:p>
    <w:p>
      <w:pPr>
        <w:ind w:right="40" w:firstLine="374"/>
        <w:spacing w:after="0" w:line="275" w:lineRule="auto"/>
        <w:rPr>
          <w:sz w:val="20"/>
          <w:szCs w:val="20"/>
          <w:color w:val="auto"/>
        </w:rPr>
      </w:pPr>
      <w:r>
        <w:rPr>
          <w:rFonts w:ascii="Arial" w:cs="Arial" w:eastAsia="Arial" w:hAnsi="Arial"/>
          <w:sz w:val="18"/>
          <w:szCs w:val="18"/>
          <w:color w:val="auto"/>
        </w:rPr>
        <w:t>The occurrence of an event of default (as described above) or a market value event (as defined in the Revolving Credit Facility) triggers a requirement that GLPRF LLC obtain the consent of JPM prior to entering into certain sales or dispositions with respect to portfolio assets, and the occurrence of a market value event triggers the right of JPM to direct GLPRF LLC to enter into sales or dispositions with respect to any portfolio assets, in each case in JPM’s sole discretion.</w:t>
      </w:r>
    </w:p>
    <w:p>
      <w:pPr>
        <w:spacing w:after="0" w:line="77" w:lineRule="exact"/>
        <w:rPr>
          <w:sz w:val="20"/>
          <w:szCs w:val="20"/>
          <w:color w:val="auto"/>
        </w:rPr>
      </w:pPr>
    </w:p>
    <w:p>
      <w:pPr>
        <w:ind w:right="680" w:firstLine="374"/>
        <w:spacing w:after="0" w:line="293" w:lineRule="auto"/>
        <w:rPr>
          <w:sz w:val="20"/>
          <w:szCs w:val="20"/>
          <w:color w:val="auto"/>
        </w:rPr>
      </w:pPr>
      <w:r>
        <w:rPr>
          <w:rFonts w:ascii="Arial" w:cs="Arial" w:eastAsia="Arial" w:hAnsi="Arial"/>
          <w:sz w:val="18"/>
          <w:szCs w:val="18"/>
          <w:color w:val="auto"/>
        </w:rPr>
        <w:t>At September 30, 2021, GLPRF LLC was in compliance with all of its debt covenants and $69.1 million principal amount of borrowings was outstanding under the Revolving Credit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2018-2 Secured Notes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Principal at</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Stated</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September 30, 2021</w:t>
            </w:r>
          </w:p>
        </w:tc>
        <w:tc>
          <w:tcPr>
            <w:tcW w:w="140" w:type="dxa"/>
            <w:vAlign w:val="bottom"/>
          </w:tcPr>
          <w:p>
            <w:pPr>
              <w:spacing w:after="0"/>
              <w:rPr>
                <w:sz w:val="23"/>
                <w:szCs w:val="23"/>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Carrying Value</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6"/>
              </w:rPr>
              <w:t>Par</w:t>
            </w:r>
          </w:p>
        </w:tc>
        <w:tc>
          <w:tcPr>
            <w:tcW w:w="100" w:type="dxa"/>
            <w:vAlign w:val="bottom"/>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Spread</w:t>
            </w:r>
          </w:p>
        </w:tc>
        <w:tc>
          <w:tcPr>
            <w:tcW w:w="160" w:type="dxa"/>
            <w:vAlign w:val="bottom"/>
          </w:tcPr>
          <w:p>
            <w:pPr>
              <w:spacing w:after="0"/>
              <w:rPr>
                <w:sz w:val="23"/>
                <w:szCs w:val="23"/>
                <w:color w:val="auto"/>
              </w:rPr>
            </w:pPr>
          </w:p>
        </w:tc>
        <w:tc>
          <w:tcPr>
            <w:tcW w:w="136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7"/>
              </w:rPr>
              <w:t>Rating</w:t>
            </w:r>
            <w:r>
              <w:rPr>
                <w:rFonts w:ascii="Arial" w:cs="Arial" w:eastAsia="Arial" w:hAnsi="Arial"/>
                <w:sz w:val="24"/>
                <w:szCs w:val="24"/>
                <w:color w:val="auto"/>
                <w:w w:val="87"/>
                <w:vertAlign w:val="superscript"/>
              </w:rPr>
              <w:t>(1)</w:t>
            </w:r>
          </w:p>
        </w:tc>
        <w:tc>
          <w:tcPr>
            <w:tcW w:w="140" w:type="dxa"/>
            <w:vAlign w:val="bottom"/>
          </w:tcPr>
          <w:p>
            <w:pPr>
              <w:spacing w:after="0"/>
              <w:rPr>
                <w:sz w:val="23"/>
                <w:szCs w:val="23"/>
                <w:color w:val="auto"/>
              </w:rPr>
            </w:pPr>
          </w:p>
        </w:tc>
        <w:tc>
          <w:tcPr>
            <w:tcW w:w="138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93"/>
              </w:rPr>
              <w:t>Maturity</w:t>
            </w:r>
            <w:r>
              <w:rPr>
                <w:rFonts w:ascii="Arial" w:cs="Arial" w:eastAsia="Arial" w:hAnsi="Arial"/>
                <w:sz w:val="24"/>
                <w:szCs w:val="24"/>
                <w:b w:val="1"/>
                <w:bCs w:val="1"/>
                <w:color w:val="auto"/>
                <w:w w:val="93"/>
                <w:vertAlign w:val="superscript"/>
              </w:rPr>
              <w:t>(2)</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2018-2 Secured Notes: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center"/>
              <w:spacing w:after="0" w:line="195" w:lineRule="exact"/>
              <w:rPr>
                <w:sz w:val="20"/>
                <w:szCs w:val="20"/>
                <w:color w:val="auto"/>
              </w:rPr>
            </w:pPr>
            <w:r>
              <w:rPr>
                <w:rFonts w:ascii="Arial" w:cs="Arial" w:eastAsia="Arial" w:hAnsi="Arial"/>
                <w:sz w:val="18"/>
                <w:szCs w:val="18"/>
                <w:color w:val="auto"/>
                <w:w w:val="95"/>
              </w:rPr>
              <w:t>LIBOR + 1.58%</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900" w:type="dxa"/>
            <w:vAlign w:val="bottom"/>
            <w:vMerge w:val="restart"/>
            <w:shd w:val="clear" w:color="auto" w:fill="CFF0FC"/>
          </w:tcPr>
          <w:p>
            <w:pPr>
              <w:ind w:left="200"/>
              <w:spacing w:after="0"/>
              <w:rPr>
                <w:sz w:val="20"/>
                <w:szCs w:val="20"/>
                <w:color w:val="auto"/>
              </w:rPr>
            </w:pPr>
            <w:r>
              <w:rPr>
                <w:rFonts w:ascii="Arial" w:cs="Arial" w:eastAsia="Arial" w:hAnsi="Arial"/>
                <w:sz w:val="18"/>
                <w:szCs w:val="18"/>
                <w:color w:val="auto"/>
              </w:rPr>
              <w:t>Class A-1R-R Notes</w:t>
            </w:r>
          </w:p>
        </w:tc>
        <w:tc>
          <w:tcPr>
            <w:tcW w:w="28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center"/>
              <w:ind w:left="40"/>
              <w:spacing w:after="0"/>
              <w:rPr>
                <w:sz w:val="20"/>
                <w:szCs w:val="20"/>
                <w:color w:val="auto"/>
              </w:rPr>
            </w:pPr>
            <w:r>
              <w:rPr>
                <w:rFonts w:ascii="Arial" w:cs="Arial" w:eastAsia="Arial" w:hAnsi="Arial"/>
                <w:sz w:val="12"/>
                <w:szCs w:val="12"/>
                <w:color w:val="auto"/>
                <w:w w:val="95"/>
              </w:rPr>
              <w:t>(3)</w:t>
            </w:r>
          </w:p>
        </w:tc>
        <w:tc>
          <w:tcPr>
            <w:tcW w:w="16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rPr>
              <w:t>AAA(sf)</w:t>
            </w:r>
          </w:p>
        </w:tc>
        <w:tc>
          <w:tcPr>
            <w:tcW w:w="1520" w:type="dxa"/>
            <w:vAlign w:val="bottom"/>
            <w:gridSpan w:val="2"/>
            <w:vMerge w:val="restart"/>
            <w:shd w:val="clear" w:color="auto" w:fill="CFF0FC"/>
          </w:tcPr>
          <w:p>
            <w:pPr>
              <w:jc w:val="center"/>
              <w:ind w:left="50"/>
              <w:spacing w:after="0"/>
              <w:rPr>
                <w:sz w:val="20"/>
                <w:szCs w:val="20"/>
                <w:color w:val="auto"/>
              </w:rPr>
            </w:pPr>
            <w:r>
              <w:rPr>
                <w:rFonts w:ascii="Arial" w:cs="Arial" w:eastAsia="Arial" w:hAnsi="Arial"/>
                <w:sz w:val="18"/>
                <w:szCs w:val="18"/>
                <w:color w:val="auto"/>
                <w:w w:val="90"/>
              </w:rPr>
              <w:t>11/20/2029</w:t>
            </w:r>
          </w:p>
        </w:tc>
        <w:tc>
          <w:tcPr>
            <w:tcW w:w="0" w:type="dxa"/>
            <w:vAlign w:val="bottom"/>
          </w:tcPr>
          <w:p>
            <w:pPr>
              <w:spacing w:after="0"/>
              <w:rPr>
                <w:sz w:val="1"/>
                <w:szCs w:val="1"/>
                <w:color w:val="auto"/>
              </w:rPr>
            </w:pPr>
          </w:p>
        </w:tc>
      </w:tr>
      <w:tr>
        <w:trPr>
          <w:trHeight w:val="68"/>
        </w:trPr>
        <w:tc>
          <w:tcPr>
            <w:tcW w:w="390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1180" w:type="dxa"/>
            <w:vAlign w:val="bottom"/>
            <w:vMerge w:val="continue"/>
            <w:shd w:val="clear" w:color="auto" w:fill="CFF0FC"/>
          </w:tcPr>
          <w:p>
            <w:pPr>
              <w:spacing w:after="0"/>
              <w:rPr>
                <w:sz w:val="5"/>
                <w:szCs w:val="5"/>
                <w:color w:val="auto"/>
              </w:rPr>
            </w:pPr>
          </w:p>
        </w:tc>
        <w:tc>
          <w:tcPr>
            <w:tcW w:w="240" w:type="dxa"/>
            <w:vAlign w:val="bottom"/>
            <w:gridSpan w:val="2"/>
            <w:vMerge w:val="continue"/>
            <w:shd w:val="clear" w:color="auto" w:fill="CFF0FC"/>
          </w:tcPr>
          <w:p>
            <w:pPr>
              <w:spacing w:after="0"/>
              <w:rPr>
                <w:sz w:val="5"/>
                <w:szCs w:val="5"/>
                <w:color w:val="auto"/>
              </w:rPr>
            </w:pPr>
          </w:p>
        </w:tc>
        <w:tc>
          <w:tcPr>
            <w:tcW w:w="116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34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360" w:type="dxa"/>
            <w:vAlign w:val="bottom"/>
            <w:vMerge w:val="continue"/>
            <w:shd w:val="clear" w:color="auto" w:fill="CFF0FC"/>
          </w:tcPr>
          <w:p>
            <w:pPr>
              <w:spacing w:after="0"/>
              <w:rPr>
                <w:sz w:val="5"/>
                <w:szCs w:val="5"/>
                <w:color w:val="auto"/>
              </w:rPr>
            </w:pPr>
          </w:p>
        </w:tc>
        <w:tc>
          <w:tcPr>
            <w:tcW w:w="1520" w:type="dxa"/>
            <w:vAlign w:val="bottom"/>
            <w:gridSpan w:val="2"/>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00"/>
              <w:spacing w:after="0"/>
              <w:rPr>
                <w:sz w:val="20"/>
                <w:szCs w:val="20"/>
                <w:color w:val="auto"/>
              </w:rPr>
            </w:pPr>
            <w:r>
              <w:rPr>
                <w:rFonts w:ascii="Arial" w:cs="Arial" w:eastAsia="Arial" w:hAnsi="Arial"/>
                <w:sz w:val="18"/>
                <w:szCs w:val="18"/>
                <w:color w:val="auto"/>
              </w:rPr>
              <w:t>Class A-1T-R Notes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89,631,705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90,512,698</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LIBOR + 1.58%</w:t>
            </w:r>
          </w:p>
        </w:tc>
        <w:tc>
          <w:tcPr>
            <w:tcW w:w="1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AAA(sf)</w:t>
            </w:r>
          </w:p>
        </w:tc>
        <w:tc>
          <w:tcPr>
            <w:tcW w:w="152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11/20/2029</w:t>
            </w:r>
          </w:p>
        </w:tc>
        <w:tc>
          <w:tcPr>
            <w:tcW w:w="0" w:type="dxa"/>
            <w:vAlign w:val="bottom"/>
          </w:tcPr>
          <w:p>
            <w:pPr>
              <w:spacing w:after="0"/>
              <w:rPr>
                <w:sz w:val="1"/>
                <w:szCs w:val="1"/>
                <w:color w:val="auto"/>
              </w:rPr>
            </w:pPr>
          </w:p>
        </w:tc>
      </w:tr>
      <w:tr>
        <w:trPr>
          <w:trHeight w:val="263"/>
        </w:trPr>
        <w:tc>
          <w:tcPr>
            <w:tcW w:w="3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Class A-2-R Notes</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54,681,332</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55,100,000</w:t>
            </w:r>
          </w:p>
        </w:tc>
        <w:tc>
          <w:tcPr>
            <w:tcW w:w="100" w:type="dxa"/>
            <w:vAlign w:val="bottom"/>
            <w:shd w:val="clear" w:color="auto" w:fill="CFF0FC"/>
          </w:tcPr>
          <w:p>
            <w:pPr>
              <w:spacing w:after="0"/>
              <w:rPr>
                <w:sz w:val="22"/>
                <w:szCs w:val="22"/>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LIBOR + 2.45%</w:t>
            </w: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AA (sf)</w:t>
            </w:r>
          </w:p>
        </w:tc>
        <w:tc>
          <w:tcPr>
            <w:tcW w:w="15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0"/>
              </w:rPr>
              <w:t>11/20/2029</w:t>
            </w:r>
          </w:p>
        </w:tc>
        <w:tc>
          <w:tcPr>
            <w:tcW w:w="0" w:type="dxa"/>
            <w:vAlign w:val="bottom"/>
          </w:tcPr>
          <w:p>
            <w:pPr>
              <w:spacing w:after="0"/>
              <w:rPr>
                <w:sz w:val="1"/>
                <w:szCs w:val="1"/>
                <w:color w:val="auto"/>
              </w:rPr>
            </w:pPr>
          </w:p>
        </w:tc>
      </w:tr>
      <w:tr>
        <w:trPr>
          <w:trHeight w:val="243"/>
        </w:trPr>
        <w:tc>
          <w:tcPr>
            <w:tcW w:w="3900" w:type="dxa"/>
            <w:vAlign w:val="bottom"/>
          </w:tcPr>
          <w:p>
            <w:pPr>
              <w:ind w:left="200"/>
              <w:spacing w:after="0"/>
              <w:rPr>
                <w:sz w:val="20"/>
                <w:szCs w:val="20"/>
                <w:color w:val="auto"/>
              </w:rPr>
            </w:pPr>
            <w:r>
              <w:rPr>
                <w:rFonts w:ascii="Arial" w:cs="Arial" w:eastAsia="Arial" w:hAnsi="Arial"/>
                <w:sz w:val="18"/>
                <w:szCs w:val="18"/>
                <w:color w:val="auto"/>
              </w:rPr>
              <w:t>Class B-R Notes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18,102,679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18,250,000</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LIBOR + 3.17%</w:t>
            </w:r>
          </w:p>
        </w:tc>
        <w:tc>
          <w:tcPr>
            <w:tcW w:w="1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7"/>
              </w:rPr>
              <w:t>A (sf)</w:t>
            </w:r>
          </w:p>
        </w:tc>
        <w:tc>
          <w:tcPr>
            <w:tcW w:w="152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11/20/2029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6" w:lineRule="exact"/>
        <w:rPr>
          <w:sz w:val="20"/>
          <w:szCs w:val="20"/>
          <w:color w:val="auto"/>
        </w:rPr>
      </w:pPr>
    </w:p>
    <w:p>
      <w:pPr>
        <w:ind w:left="4340" w:hanging="296"/>
        <w:spacing w:after="0"/>
        <w:tabs>
          <w:tab w:leader="none" w:pos="43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162,415,716   $  163,862,698</w:t>
      </w:r>
    </w:p>
    <w:p>
      <w:pPr>
        <w:spacing w:after="0" w:line="27" w:lineRule="exact"/>
        <w:rPr>
          <w:rFonts w:ascii="Arial" w:cs="Arial" w:eastAsia="Arial" w:hAnsi="Arial"/>
          <w:sz w:val="18"/>
          <w:szCs w:val="18"/>
          <w:color w:val="auto"/>
        </w:rPr>
      </w:pPr>
    </w:p>
    <w:p>
      <w:pPr>
        <w:ind w:left="380" w:right="420" w:hanging="372"/>
        <w:spacing w:after="0" w:line="266" w:lineRule="auto"/>
        <w:tabs>
          <w:tab w:leader="none" w:pos="294" w:val="left"/>
        </w:tabs>
        <w:numPr>
          <w:ilvl w:val="0"/>
          <w:numId w:val="95"/>
        </w:numPr>
        <w:rPr>
          <w:rFonts w:ascii="Arial" w:cs="Arial" w:eastAsia="Arial" w:hAnsi="Arial"/>
          <w:sz w:val="14"/>
          <w:szCs w:val="14"/>
          <w:color w:val="auto"/>
        </w:rPr>
      </w:pPr>
      <w:r>
        <w:rPr>
          <w:rFonts w:ascii="Arial" w:cs="Arial" w:eastAsia="Arial" w:hAnsi="Arial"/>
          <w:sz w:val="16"/>
          <w:szCs w:val="16"/>
          <w:color w:val="auto"/>
        </w:rPr>
        <w:t>Represents ratings from each of S&amp;P and DBRS for the Class A-1R-R Notes and the Class A-1T-R Notes and from S&amp;P for the Class A-2-R Notes and Class B-R Notes as of the closing of the CLO on October 18, 2018.</w:t>
      </w:r>
    </w:p>
    <w:p>
      <w:pPr>
        <w:spacing w:after="0" w:line="1" w:lineRule="exact"/>
        <w:rPr>
          <w:rFonts w:ascii="Arial" w:cs="Arial" w:eastAsia="Arial" w:hAnsi="Arial"/>
          <w:sz w:val="14"/>
          <w:szCs w:val="14"/>
          <w:color w:val="auto"/>
        </w:rPr>
      </w:pPr>
    </w:p>
    <w:p>
      <w:pPr>
        <w:ind w:left="380" w:right="580" w:hanging="372"/>
        <w:spacing w:after="0" w:line="288" w:lineRule="auto"/>
        <w:tabs>
          <w:tab w:leader="none" w:pos="294" w:val="left"/>
        </w:tabs>
        <w:numPr>
          <w:ilvl w:val="0"/>
          <w:numId w:val="95"/>
        </w:numPr>
        <w:rPr>
          <w:rFonts w:ascii="Arial" w:cs="Arial" w:eastAsia="Arial" w:hAnsi="Arial"/>
          <w:sz w:val="14"/>
          <w:szCs w:val="14"/>
          <w:color w:val="auto"/>
        </w:rPr>
      </w:pPr>
      <w:r>
        <w:rPr>
          <w:rFonts w:ascii="Arial" w:cs="Arial" w:eastAsia="Arial" w:hAnsi="Arial"/>
          <w:sz w:val="16"/>
          <w:szCs w:val="16"/>
          <w:color w:val="auto"/>
        </w:rPr>
        <w:t>The indenture governing our CLO permits the repricing or refinancing of the secured notes after November 20, 2020, which may result in the redemption of the outstanding notes occurring prior to their stated maturity.</w:t>
      </w:r>
    </w:p>
    <w:p>
      <w:pPr>
        <w:spacing w:after="0" w:line="13" w:lineRule="exact"/>
        <w:rPr>
          <w:rFonts w:ascii="Arial" w:cs="Arial" w:eastAsia="Arial" w:hAnsi="Arial"/>
          <w:sz w:val="14"/>
          <w:szCs w:val="14"/>
          <w:color w:val="auto"/>
        </w:rPr>
      </w:pPr>
    </w:p>
    <w:p>
      <w:pPr>
        <w:ind w:left="440" w:hanging="432"/>
        <w:spacing w:after="0"/>
        <w:tabs>
          <w:tab w:leader="none" w:pos="440" w:val="left"/>
        </w:tabs>
        <w:numPr>
          <w:ilvl w:val="0"/>
          <w:numId w:val="95"/>
        </w:numPr>
        <w:rPr>
          <w:rFonts w:ascii="Arial" w:cs="Arial" w:eastAsia="Arial" w:hAnsi="Arial"/>
          <w:sz w:val="14"/>
          <w:szCs w:val="14"/>
          <w:color w:val="auto"/>
        </w:rPr>
      </w:pPr>
      <w:r>
        <w:rPr>
          <w:rFonts w:ascii="Arial" w:cs="Arial" w:eastAsia="Arial" w:hAnsi="Arial"/>
          <w:sz w:val="16"/>
          <w:szCs w:val="16"/>
          <w:color w:val="auto"/>
        </w:rPr>
        <w:t>Interest may be indexed to either the CP Rate (as defined in the governing indenture) or three-month USD LIBOR.</w:t>
      </w:r>
    </w:p>
    <w:p>
      <w:pPr>
        <w:spacing w:after="0" w:line="149" w:lineRule="exact"/>
        <w:rPr>
          <w:sz w:val="20"/>
          <w:szCs w:val="20"/>
          <w:color w:val="auto"/>
        </w:rPr>
      </w:pPr>
    </w:p>
    <w:p>
      <w:pPr>
        <w:ind w:right="140" w:firstLine="374"/>
        <w:spacing w:after="0" w:line="275" w:lineRule="auto"/>
        <w:rPr>
          <w:sz w:val="20"/>
          <w:szCs w:val="20"/>
          <w:color w:val="auto"/>
        </w:rPr>
      </w:pPr>
      <w:r>
        <w:rPr>
          <w:rFonts w:ascii="Arial" w:cs="Arial" w:eastAsia="Arial" w:hAnsi="Arial"/>
          <w:sz w:val="18"/>
          <w:szCs w:val="18"/>
          <w:color w:val="auto"/>
        </w:rPr>
        <w:t>October 28, 2020 the Company completed the GARS Acquisition, pursuant to the terms and conditions of the GARS Merger Agreement. In connection therewith, the Company now consolidates the financial statements the 2018-2 CLO a $420.0 million par value CLO facility. On the date of the transaction the debt assumed was recognized at fair value, resulting in a $2.4 million discount which is amortized over the remaining term of the borrowings.</w:t>
      </w:r>
    </w:p>
    <w:p>
      <w:pPr>
        <w:spacing w:after="0" w:line="185" w:lineRule="exact"/>
        <w:rPr>
          <w:sz w:val="20"/>
          <w:szCs w:val="20"/>
          <w:color w:val="auto"/>
        </w:rPr>
      </w:pPr>
    </w:p>
    <w:p>
      <w:pPr>
        <w:ind w:right="140" w:firstLine="374"/>
        <w:spacing w:after="0" w:line="266" w:lineRule="auto"/>
        <w:rPr>
          <w:sz w:val="20"/>
          <w:szCs w:val="20"/>
          <w:color w:val="auto"/>
        </w:rPr>
      </w:pPr>
      <w:r>
        <w:rPr>
          <w:rFonts w:ascii="Arial" w:cs="Arial" w:eastAsia="Arial" w:hAnsi="Arial"/>
          <w:sz w:val="18"/>
          <w:szCs w:val="18"/>
          <w:color w:val="auto"/>
        </w:rPr>
        <w:t>The CLO was executed by GF CLO 2018-2 (the “Issuer”) and Garrison Funding 2018-2 LLC (together with the Issuer, the “Co-Issuers”) who issued $312.0 million of senior secured notes (collectively referred to as the “2018-2 Secured Notes” individually defined above in the table) and $108.0 million of subordinated notes (the “2018-2 Subordinated Notes” and, together with the 2018-2 Secured Notes, the “2018-2 Notes”) backed by a diversified portfolio of primarily senior secured loans. The Company owns all $108.0 million of the 2018-2 Subordinated Notes and $18.3 million of the Class B-R Notes and serves as collateral manager for the Co-Issuers. The Company is entitled to receive interest from the Class B-R Notes, distributions from the 2018-2 Subordinated Notes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7" w:name="page98"/>
    <w:bookmarkEnd w:id="97"/>
    <w:p>
      <w:pPr>
        <w:spacing w:after="0" w:line="286" w:lineRule="auto"/>
        <w:rPr>
          <w:sz w:val="20"/>
          <w:szCs w:val="20"/>
          <w:color w:val="auto"/>
        </w:rPr>
      </w:pPr>
      <w:r>
        <w:rPr>
          <w:rFonts w:ascii="Arial" w:cs="Arial" w:eastAsia="Arial" w:hAnsi="Arial"/>
          <w:sz w:val="17"/>
          <w:szCs w:val="17"/>
          <w:color w:val="auto"/>
        </w:rPr>
        <w:t>fees for serving as collateral manager in accordance with the CLO’s governing documents and to the extent funds are available for such purposes. However, as a result of retaining all of the 2018-2 Subordinated Notes, the Company consolidates the accounts of the Co-Issuers into its financial statements and all transactions between the Company and the Co-Issuers are eliminated on consolidation. As a result of this consolidation, the 2018-2 Secured Notes issued by the CLO is treated as the Company’s indebtedness, except any 2018-2 Secured Notes owned by the Company, which are eliminated in consolidation. The 2018-2 Notes are scheduled to mature on November 20, 2029, however the Co-Issuers may redeem the 2018-2 Notes on any business day after November 20, 2020. The indenture governing the 2018-2 Notes provides that, to the extent cash is available from cash collections, the holders of the 2018-2 Notes are to receive quarterly interest payments on the 20th day or, if not a business day, the next succeeding business day of February, May, August and November of each year until the stated maturity or earlier redemption. On July 18, 2019, $25.0 million outstanding of the aggregate $50.0 million Class A-1R-R Notes available under the CLO converted to Class A-1T-R Notes. The remaining $25.0 million of Class A-1R-R Notes, to the extent drawn, will convert to term notes on or before November 20, 2022.</w:t>
      </w:r>
    </w:p>
    <w:p>
      <w:pPr>
        <w:spacing w:after="0" w:line="182" w:lineRule="exact"/>
        <w:rPr>
          <w:sz w:val="20"/>
          <w:szCs w:val="20"/>
          <w:color w:val="auto"/>
        </w:rPr>
      </w:pPr>
    </w:p>
    <w:p>
      <w:pPr>
        <w:ind w:right="620" w:firstLine="374"/>
        <w:spacing w:after="0" w:line="293" w:lineRule="auto"/>
        <w:rPr>
          <w:sz w:val="20"/>
          <w:szCs w:val="20"/>
          <w:color w:val="auto"/>
        </w:rPr>
      </w:pPr>
      <w:r>
        <w:rPr>
          <w:rFonts w:ascii="Arial" w:cs="Arial" w:eastAsia="Arial" w:hAnsi="Arial"/>
          <w:sz w:val="18"/>
          <w:szCs w:val="18"/>
          <w:color w:val="auto"/>
        </w:rPr>
        <w:t>During the first quarter of 2021, the Company redeemed approximately $88 million of the 2018-2 Secured Notes. In connection therewith, the Company recognized a realized loss on extinguishment of debt of approximately $0.9 million.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16" w:lineRule="exact"/>
        <w:rPr>
          <w:sz w:val="20"/>
          <w:szCs w:val="20"/>
          <w:color w:val="auto"/>
        </w:rPr>
      </w:pPr>
    </w:p>
    <w:p>
      <w:pPr>
        <w:ind w:right="240" w:firstLine="374"/>
        <w:spacing w:after="0" w:line="293"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98% of our ordinary net taxable income for the calendar year;</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212" w:lineRule="exact"/>
        <w:rPr>
          <w:sz w:val="20"/>
          <w:szCs w:val="20"/>
          <w:color w:val="auto"/>
        </w:rPr>
      </w:pPr>
    </w:p>
    <w:p>
      <w:pPr>
        <w:ind w:left="700" w:right="520"/>
        <w:spacing w:after="0" w:line="293" w:lineRule="auto"/>
        <w:rPr>
          <w:sz w:val="20"/>
          <w:szCs w:val="20"/>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129" w:lineRule="exact"/>
        <w:rPr>
          <w:sz w:val="20"/>
          <w:szCs w:val="20"/>
          <w:color w:val="auto"/>
        </w:rPr>
      </w:pPr>
    </w:p>
    <w:p>
      <w:pPr>
        <w:ind w:right="60" w:firstLine="374"/>
        <w:spacing w:after="0" w:line="293"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129" w:lineRule="exact"/>
        <w:rPr>
          <w:sz w:val="20"/>
          <w:szCs w:val="20"/>
          <w:color w:val="auto"/>
        </w:rPr>
      </w:pPr>
    </w:p>
    <w:p>
      <w:pPr>
        <w:ind w:right="300" w:firstLine="374"/>
        <w:spacing w:after="0" w:line="293" w:lineRule="auto"/>
        <w:rPr>
          <w:sz w:val="20"/>
          <w:szCs w:val="20"/>
          <w:color w:val="auto"/>
        </w:rPr>
      </w:pPr>
      <w:r>
        <w:rPr>
          <w:rFonts w:ascii="Arial" w:cs="Arial" w:eastAsia="Arial" w:hAnsi="Arial"/>
          <w:sz w:val="18"/>
          <w:szCs w:val="18"/>
          <w:color w:val="auto"/>
        </w:rPr>
        <w:t>The amount of our declared distributions, as evaluated by management and approved by our Board, is based primarily on our evaluation of our net investment income and distributable taxable income.</w:t>
      </w:r>
    </w:p>
    <w:p>
      <w:pPr>
        <w:spacing w:after="0" w:line="143" w:lineRule="exact"/>
        <w:rPr>
          <w:sz w:val="20"/>
          <w:szCs w:val="20"/>
          <w:color w:val="auto"/>
        </w:rPr>
      </w:pPr>
    </w:p>
    <w:p>
      <w:pPr>
        <w:ind w:right="20" w:firstLine="374"/>
        <w:spacing w:after="0" w:line="285" w:lineRule="auto"/>
        <w:rPr>
          <w:sz w:val="20"/>
          <w:szCs w:val="20"/>
          <w:color w:val="auto"/>
        </w:rPr>
      </w:pPr>
      <w:r>
        <w:rPr>
          <w:rFonts w:ascii="Arial" w:cs="Arial" w:eastAsia="Arial" w:hAnsi="Arial"/>
          <w:sz w:val="17"/>
          <w:szCs w:val="17"/>
          <w:color w:val="auto"/>
        </w:rPr>
        <w:t>We may distribute taxable dividends that are payable in cash or shares of our common stock at the election of each stockholder. Under certain applicable provisions of the Code and the Treasury regulations, distributions payable in cash or in shares of stock at the election of stockholders are treated as taxable dividends. The Internal Revenue Service has published guidance indicating that this rule will apply even where the total amount of cash that may be distributed is limited to no more than 20% of the total distribution. Under this guidance, if too many stockholders elect to receive their distributions in cash, the cash available for distribution must be allocated among the stockholders electing to receive cash (with the balance of the distribution paid in stock). If we decide to make any distributions consistent with this guidance that are payable in part in our stock, taxable stockholders receiving such dividends will be required to include the full amount of the dividend (whether received in cash, shares of our stock, or a combination thereof)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71" w:lineRule="exact"/>
        <w:rPr>
          <w:sz w:val="20"/>
          <w:szCs w:val="20"/>
          <w:color w:val="auto"/>
        </w:rPr>
      </w:pPr>
    </w:p>
    <w:p>
      <w:pPr>
        <w:ind w:right="60" w:firstLine="374"/>
        <w:spacing w:after="0" w:line="293" w:lineRule="auto"/>
        <w:rPr>
          <w:sz w:val="20"/>
          <w:szCs w:val="20"/>
          <w:color w:val="auto"/>
        </w:rPr>
      </w:pPr>
      <w:r>
        <w:rPr>
          <w:rFonts w:ascii="Arial" w:cs="Arial" w:eastAsia="Arial" w:hAnsi="Arial"/>
          <w:sz w:val="18"/>
          <w:szCs w:val="18"/>
          <w:color w:val="auto"/>
        </w:rPr>
        <w:t>On November 3, 2021, our Board declared a cash distribution of $0.62 per share of common stock. The distribution is payable on November 30, 2021 to stockholders of record at the close of business as of November 15, 2021.</w:t>
      </w:r>
    </w:p>
    <w:p>
      <w:pPr>
        <w:spacing w:after="0" w:line="62" w:lineRule="exact"/>
        <w:rPr>
          <w:sz w:val="20"/>
          <w:szCs w:val="20"/>
          <w:color w:val="auto"/>
        </w:rPr>
      </w:pPr>
    </w:p>
    <w:p>
      <w:pPr>
        <w:ind w:right="60" w:firstLine="374"/>
        <w:spacing w:after="0" w:line="299" w:lineRule="auto"/>
        <w:rPr>
          <w:sz w:val="20"/>
          <w:szCs w:val="20"/>
          <w:color w:val="auto"/>
        </w:rPr>
      </w:pPr>
      <w:r>
        <w:rPr>
          <w:rFonts w:ascii="Arial" w:cs="Arial" w:eastAsia="Arial" w:hAnsi="Arial"/>
          <w:sz w:val="16"/>
          <w:szCs w:val="16"/>
          <w:color w:val="auto"/>
        </w:rPr>
        <w:t>We are also prohibited by the 1940 Act and the indenture governing our 4.875% Notes due 2026 from declaring dividends (except a dividend payable in our stock) or making distributions on our common stock, or purchasing any such stock, if, at the time of declaration or at the time of any such purchase, our asset coverage, as defined in the 1940 Act, is below the threshold specified in Section 18(a)(1)(B) as modified by Section 61(a)(2) of the 1940 Act or any successor provisions thereto of the 1940 Act, after deducting the amount of such dividend, distribution or purchase price, as the case may be, and giving effect, in each case (i) to any exemptive relief granted to us by the SEC and (ii) to any no-action relief granted by the SEC to another BDC (or to the Company if it determines to seek such similar no-action or other relief) permitting the BDC to declare any cash dividend or distribution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8" w:name="page99"/>
    <w:bookmarkEnd w:id="98"/>
    <w:p>
      <w:pPr>
        <w:ind w:right="260"/>
        <w:spacing w:after="0" w:line="279" w:lineRule="auto"/>
        <w:rPr>
          <w:sz w:val="20"/>
          <w:szCs w:val="20"/>
          <w:color w:val="auto"/>
        </w:rPr>
      </w:pPr>
      <w:r>
        <w:rPr>
          <w:rFonts w:ascii="Arial" w:cs="Arial" w:eastAsia="Arial" w:hAnsi="Arial"/>
          <w:sz w:val="18"/>
          <w:szCs w:val="18"/>
          <w:color w:val="auto"/>
        </w:rPr>
        <w:t>notwithstanding the prohibition contained in Section 18(a)(1)(B) as modified by Section 61(a)(1) of the 1940 Act in order to maintain its status as a RIC under the Code. In any such event, we would be prohibited from making distributions required in order to maintain our status as a RIC unless made in accordance with any such exemptive or no-action relief granted by the SEC.</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quarterly distributions paid by us since 2019.</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0" w:type="dxa"/>
            <w:vAlign w:val="bottom"/>
          </w:tcPr>
          <w:p>
            <w:pPr>
              <w:spacing w:after="0"/>
              <w:rPr>
                <w:sz w:val="19"/>
                <w:szCs w:val="19"/>
                <w:color w:val="auto"/>
              </w:rPr>
            </w:pPr>
          </w:p>
        </w:tc>
        <w:tc>
          <w:tcPr>
            <w:tcW w:w="1300" w:type="dxa"/>
            <w:vAlign w:val="bottom"/>
            <w:gridSpan w:val="2"/>
            <w:vMerge w:val="restart"/>
          </w:tcPr>
          <w:p>
            <w:pPr>
              <w:jc w:val="right"/>
              <w:ind w:right="90"/>
              <w:spacing w:after="0"/>
              <w:rPr>
                <w:sz w:val="20"/>
                <w:szCs w:val="20"/>
                <w:color w:val="auto"/>
              </w:rPr>
            </w:pPr>
            <w:r>
              <w:rPr>
                <w:rFonts w:ascii="Arial" w:cs="Arial" w:eastAsia="Arial" w:hAnsi="Arial"/>
                <w:sz w:val="18"/>
                <w:szCs w:val="18"/>
                <w:b w:val="1"/>
                <w:bCs w:val="1"/>
                <w:color w:val="auto"/>
                <w:w w:val="95"/>
              </w:rPr>
              <w:t xml:space="preserve">Distribution </w:t>
            </w:r>
            <w:r>
              <w:rPr>
                <w:rFonts w:ascii="Arial" w:cs="Arial" w:eastAsia="Arial" w:hAnsi="Arial"/>
                <w:sz w:val="24"/>
                <w:szCs w:val="24"/>
                <w:b w:val="1"/>
                <w:bCs w:val="1"/>
                <w:color w:val="auto"/>
                <w:w w:val="95"/>
                <w:vertAlign w:val="superscript"/>
              </w:rPr>
              <w:t>2</w:t>
            </w:r>
          </w:p>
        </w:tc>
        <w:tc>
          <w:tcPr>
            <w:tcW w:w="1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Declaration</w:t>
            </w: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Record</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Date</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Date</w:t>
            </w:r>
          </w:p>
        </w:tc>
        <w:tc>
          <w:tcPr>
            <w:tcW w:w="12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50"/>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50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8/4/2021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8/17/2021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8/31/2021</w:t>
            </w:r>
          </w:p>
        </w:tc>
        <w:tc>
          <w:tcPr>
            <w:tcW w:w="0" w:type="dxa"/>
            <w:vAlign w:val="bottom"/>
          </w:tcPr>
          <w:p>
            <w:pPr>
              <w:spacing w:after="0"/>
              <w:rPr>
                <w:sz w:val="1"/>
                <w:szCs w:val="1"/>
                <w:color w:val="auto"/>
              </w:rPr>
            </w:pPr>
          </w:p>
        </w:tc>
      </w:tr>
      <w:tr>
        <w:trPr>
          <w:trHeight w:val="263"/>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0.60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5/6/2021</w:t>
            </w:r>
          </w:p>
        </w:tc>
        <w:tc>
          <w:tcPr>
            <w:tcW w:w="1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5/19/2021</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6/1/2021</w:t>
            </w:r>
          </w:p>
        </w:tc>
        <w:tc>
          <w:tcPr>
            <w:tcW w:w="0" w:type="dxa"/>
            <w:vAlign w:val="bottom"/>
          </w:tcPr>
          <w:p>
            <w:pPr>
              <w:spacing w:after="0"/>
              <w:rPr>
                <w:sz w:val="1"/>
                <w:szCs w:val="1"/>
                <w:color w:val="auto"/>
              </w:rPr>
            </w:pPr>
          </w:p>
        </w:tc>
      </w:tr>
      <w:tr>
        <w:trPr>
          <w:trHeight w:val="257"/>
        </w:trPr>
        <w:tc>
          <w:tcPr>
            <w:tcW w:w="580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2/12/2021</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2/22/2021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3/2/2021</w:t>
            </w:r>
          </w:p>
        </w:tc>
        <w:tc>
          <w:tcPr>
            <w:tcW w:w="0" w:type="dxa"/>
            <w:vAlign w:val="bottom"/>
          </w:tcPr>
          <w:p>
            <w:pPr>
              <w:spacing w:after="0"/>
              <w:rPr>
                <w:sz w:val="1"/>
                <w:szCs w:val="1"/>
                <w:color w:val="auto"/>
              </w:rPr>
            </w:pPr>
          </w:p>
        </w:tc>
      </w:tr>
      <w:tr>
        <w:trPr>
          <w:trHeight w:val="283"/>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declared in 2021</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1.80</w:t>
            </w:r>
          </w:p>
        </w:tc>
        <w:tc>
          <w:tcPr>
            <w:tcW w:w="1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0.60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10/16/2020</w:t>
            </w:r>
          </w:p>
        </w:tc>
        <w:tc>
          <w:tcPr>
            <w:tcW w:w="1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10/26/2020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11/27/2020</w:t>
            </w:r>
          </w:p>
        </w:tc>
        <w:tc>
          <w:tcPr>
            <w:tcW w:w="0" w:type="dxa"/>
            <w:vAlign w:val="bottom"/>
          </w:tcPr>
          <w:p>
            <w:pPr>
              <w:spacing w:after="0"/>
              <w:rPr>
                <w:sz w:val="1"/>
                <w:szCs w:val="1"/>
                <w:color w:val="auto"/>
              </w:rPr>
            </w:pPr>
          </w:p>
        </w:tc>
      </w:tr>
      <w:tr>
        <w:trPr>
          <w:trHeight w:val="250"/>
        </w:trPr>
        <w:tc>
          <w:tcPr>
            <w:tcW w:w="580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5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8/5/2020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8/17/2020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8/28/2020</w:t>
            </w:r>
          </w:p>
        </w:tc>
        <w:tc>
          <w:tcPr>
            <w:tcW w:w="0" w:type="dxa"/>
            <w:vAlign w:val="bottom"/>
          </w:tcPr>
          <w:p>
            <w:pPr>
              <w:spacing w:after="0"/>
              <w:rPr>
                <w:sz w:val="1"/>
                <w:szCs w:val="1"/>
                <w:color w:val="auto"/>
              </w:rPr>
            </w:pPr>
          </w:p>
        </w:tc>
      </w:tr>
      <w:tr>
        <w:trPr>
          <w:trHeight w:val="263"/>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FF0FC"/>
          </w:tcPr>
          <w:p>
            <w:pPr>
              <w:spacing w:after="0"/>
              <w:rPr>
                <w:sz w:val="22"/>
                <w:szCs w:val="22"/>
                <w:color w:val="auto"/>
              </w:rPr>
            </w:pP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0.60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3/17/2020</w:t>
            </w:r>
          </w:p>
        </w:tc>
        <w:tc>
          <w:tcPr>
            <w:tcW w:w="1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5/7/2020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5/27/2020</w:t>
            </w:r>
          </w:p>
        </w:tc>
        <w:tc>
          <w:tcPr>
            <w:tcW w:w="0" w:type="dxa"/>
            <w:vAlign w:val="bottom"/>
          </w:tcPr>
          <w:p>
            <w:pPr>
              <w:spacing w:after="0"/>
              <w:rPr>
                <w:sz w:val="1"/>
                <w:szCs w:val="1"/>
                <w:color w:val="auto"/>
              </w:rPr>
            </w:pPr>
          </w:p>
        </w:tc>
      </w:tr>
      <w:tr>
        <w:trPr>
          <w:trHeight w:val="257"/>
        </w:trPr>
        <w:tc>
          <w:tcPr>
            <w:tcW w:w="580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2/5/2020</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2/18/2020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2/28/2020</w:t>
            </w:r>
          </w:p>
        </w:tc>
        <w:tc>
          <w:tcPr>
            <w:tcW w:w="0" w:type="dxa"/>
            <w:vAlign w:val="bottom"/>
          </w:tcPr>
          <w:p>
            <w:pPr>
              <w:spacing w:after="0"/>
              <w:rPr>
                <w:sz w:val="1"/>
                <w:szCs w:val="1"/>
                <w:color w:val="auto"/>
              </w:rPr>
            </w:pPr>
          </w:p>
        </w:tc>
      </w:tr>
      <w:tr>
        <w:trPr>
          <w:trHeight w:val="283"/>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declared in 2020</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2.40</w:t>
            </w:r>
          </w:p>
        </w:tc>
        <w:tc>
          <w:tcPr>
            <w:tcW w:w="1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0.60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11/5/2019</w:t>
            </w:r>
          </w:p>
        </w:tc>
        <w:tc>
          <w:tcPr>
            <w:tcW w:w="1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11/15/2019</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11/29/2019</w:t>
            </w:r>
          </w:p>
        </w:tc>
        <w:tc>
          <w:tcPr>
            <w:tcW w:w="0" w:type="dxa"/>
            <w:vAlign w:val="bottom"/>
          </w:tcPr>
          <w:p>
            <w:pPr>
              <w:spacing w:after="0"/>
              <w:rPr>
                <w:sz w:val="1"/>
                <w:szCs w:val="1"/>
                <w:color w:val="auto"/>
              </w:rPr>
            </w:pPr>
          </w:p>
        </w:tc>
      </w:tr>
      <w:tr>
        <w:trPr>
          <w:trHeight w:val="250"/>
        </w:trPr>
        <w:tc>
          <w:tcPr>
            <w:tcW w:w="580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5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8/5/2019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8/12/2019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8/29/2019</w:t>
            </w:r>
          </w:p>
        </w:tc>
        <w:tc>
          <w:tcPr>
            <w:tcW w:w="0" w:type="dxa"/>
            <w:vAlign w:val="bottom"/>
          </w:tcPr>
          <w:p>
            <w:pPr>
              <w:spacing w:after="0"/>
              <w:rPr>
                <w:sz w:val="1"/>
                <w:szCs w:val="1"/>
                <w:color w:val="auto"/>
              </w:rPr>
            </w:pPr>
          </w:p>
        </w:tc>
      </w:tr>
      <w:tr>
        <w:trPr>
          <w:trHeight w:val="263"/>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FF0FC"/>
          </w:tcPr>
          <w:p>
            <w:pPr>
              <w:spacing w:after="0"/>
              <w:rPr>
                <w:sz w:val="22"/>
                <w:szCs w:val="22"/>
                <w:color w:val="auto"/>
              </w:rPr>
            </w:pP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3/20/2019</w:t>
            </w:r>
          </w:p>
        </w:tc>
        <w:tc>
          <w:tcPr>
            <w:tcW w:w="1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4/5/2019</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4/26/2019</w:t>
            </w:r>
          </w:p>
        </w:tc>
        <w:tc>
          <w:tcPr>
            <w:tcW w:w="0" w:type="dxa"/>
            <w:vAlign w:val="bottom"/>
          </w:tcPr>
          <w:p>
            <w:pPr>
              <w:spacing w:after="0"/>
              <w:rPr>
                <w:sz w:val="1"/>
                <w:szCs w:val="1"/>
                <w:color w:val="auto"/>
              </w:rPr>
            </w:pPr>
          </w:p>
        </w:tc>
      </w:tr>
      <w:tr>
        <w:trPr>
          <w:trHeight w:val="257"/>
        </w:trPr>
        <w:tc>
          <w:tcPr>
            <w:tcW w:w="580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40"/>
              <w:spacing w:after="0" w:line="257" w:lineRule="exact"/>
              <w:rPr>
                <w:sz w:val="20"/>
                <w:szCs w:val="20"/>
                <w:color w:val="auto"/>
              </w:rPr>
            </w:pPr>
            <w:r>
              <w:rPr>
                <w:rFonts w:ascii="Arial" w:cs="Arial" w:eastAsia="Arial" w:hAnsi="Arial"/>
                <w:sz w:val="18"/>
                <w:szCs w:val="18"/>
                <w:color w:val="auto"/>
              </w:rPr>
              <w:t xml:space="preserve">12/12/2018 </w:t>
            </w:r>
            <w:r>
              <w:rPr>
                <w:rFonts w:ascii="Arial" w:cs="Arial" w:eastAsia="Arial" w:hAnsi="Arial"/>
                <w:sz w:val="24"/>
                <w:szCs w:val="24"/>
                <w:color w:val="auto"/>
                <w:vertAlign w:val="superscript"/>
              </w:rPr>
              <w:t>1</w:t>
            </w:r>
          </w:p>
        </w:tc>
        <w:tc>
          <w:tcPr>
            <w:tcW w:w="1260" w:type="dxa"/>
            <w:vAlign w:val="bottom"/>
          </w:tcPr>
          <w:p>
            <w:pPr>
              <w:jc w:val="right"/>
              <w:spacing w:after="0"/>
              <w:rPr>
                <w:sz w:val="20"/>
                <w:szCs w:val="20"/>
                <w:color w:val="auto"/>
              </w:rPr>
            </w:pPr>
            <w:r>
              <w:rPr>
                <w:rFonts w:ascii="Arial" w:cs="Arial" w:eastAsia="Arial" w:hAnsi="Arial"/>
                <w:sz w:val="18"/>
                <w:szCs w:val="18"/>
                <w:color w:val="auto"/>
              </w:rPr>
              <w:t>1/7/2019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1/31/2019</w:t>
            </w:r>
          </w:p>
        </w:tc>
        <w:tc>
          <w:tcPr>
            <w:tcW w:w="0" w:type="dxa"/>
            <w:vAlign w:val="bottom"/>
          </w:tcPr>
          <w:p>
            <w:pPr>
              <w:spacing w:after="0"/>
              <w:rPr>
                <w:sz w:val="1"/>
                <w:szCs w:val="1"/>
                <w:color w:val="auto"/>
              </w:rPr>
            </w:pPr>
          </w:p>
        </w:tc>
      </w:tr>
      <w:tr>
        <w:trPr>
          <w:trHeight w:val="283"/>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declared in 2019</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3.20</w:t>
            </w:r>
          </w:p>
        </w:tc>
        <w:tc>
          <w:tcPr>
            <w:tcW w:w="1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-2047875</wp:posOffset>
            </wp:positionV>
            <wp:extent cx="7747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-2030730</wp:posOffset>
            </wp:positionV>
            <wp:extent cx="7747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-1036320</wp:posOffset>
            </wp:positionV>
            <wp:extent cx="7747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-1019175</wp:posOffset>
            </wp:positionV>
            <wp:extent cx="7747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7747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7747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700" w:hanging="318"/>
        <w:spacing w:after="0"/>
        <w:tabs>
          <w:tab w:leader="none" w:pos="7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Since the record date of this distribution is subsequent to year-end, it is a subsequent year tax event.</w:t>
      </w:r>
    </w:p>
    <w:p>
      <w:pPr>
        <w:spacing w:after="0" w:line="22" w:lineRule="exact"/>
        <w:rPr>
          <w:sz w:val="20"/>
          <w:szCs w:val="20"/>
          <w:color w:val="auto"/>
        </w:rPr>
      </w:pPr>
    </w:p>
    <w:p>
      <w:pPr>
        <w:ind w:left="700" w:right="260" w:hanging="318"/>
        <w:spacing w:after="0" w:line="288" w:lineRule="auto"/>
        <w:tabs>
          <w:tab w:leader="none" w:pos="7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Company completed a Reverse Stock Split of 10 to 1 effective August 26, 2021, the common stock and net asset value have been adjusted retroactively to reflect the split.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97" w:lineRule="exact"/>
        <w:rPr>
          <w:sz w:val="20"/>
          <w:szCs w:val="20"/>
          <w:color w:val="auto"/>
        </w:rPr>
      </w:pPr>
    </w:p>
    <w:p>
      <w:pPr>
        <w:ind w:right="80" w:firstLine="374"/>
        <w:spacing w:after="0" w:line="306" w:lineRule="auto"/>
        <w:rPr>
          <w:sz w:val="20"/>
          <w:szCs w:val="20"/>
          <w:color w:val="auto"/>
        </w:rPr>
      </w:pPr>
      <w:r>
        <w:rPr>
          <w:rFonts w:ascii="Arial" w:cs="Arial" w:eastAsia="Arial" w:hAnsi="Arial"/>
          <w:sz w:val="16"/>
          <w:szCs w:val="16"/>
          <w:color w:val="auto"/>
        </w:rPr>
        <w:t>On March 5, 2020, the Board of Directors of the Company approved a $10 million stock repurchase program (the “Stock Repurchase Program”). Under this repurchase program, shares may be repurchased from time to time in open market transactions, in privately negotiated transactions or otherwise subject to any law or agreement to which we are party including any restrictions under the 1940 Act and in the indenture for our 4.875% Notes Due 2026. The timing and actual number of shares repurchased will depend on a variety of factors, including legal requirements, price, and economic and market conditions. This Stock Repurchase Program may be suspended or discontinued at any time. On March 11, 2021, the Board of Directors of the Company authorized a renewed stock repurchase program of up to $10 million (the “Renewed Stock Repurchase Program”) for an approximately one-year period, effective March 11, 2021 and terminating on March 31, 2022. The terms and conditions of the Renewed Stock Repurchase Program are substantially similar to the prior Stock Repurchase Program. The Renewed Stock Repurchase Program may be suspended or discontinued at any time. Subject to these restrictions, we will selectively pursue opportunities to repurchase shares which are accretive to net asset value per share.</w:t>
      </w:r>
    </w:p>
    <w:p>
      <w:pPr>
        <w:spacing w:after="0" w:line="224" w:lineRule="exact"/>
        <w:rPr>
          <w:sz w:val="20"/>
          <w:szCs w:val="20"/>
          <w:color w:val="auto"/>
        </w:rPr>
      </w:pPr>
    </w:p>
    <w:p>
      <w:pPr>
        <w:ind w:right="40" w:firstLine="374"/>
        <w:spacing w:after="0" w:line="299" w:lineRule="auto"/>
        <w:rPr>
          <w:sz w:val="20"/>
          <w:szCs w:val="20"/>
          <w:color w:val="auto"/>
        </w:rPr>
      </w:pPr>
      <w:r>
        <w:rPr>
          <w:rFonts w:ascii="Arial" w:cs="Arial" w:eastAsia="Arial" w:hAnsi="Arial"/>
          <w:sz w:val="16"/>
          <w:szCs w:val="16"/>
          <w:color w:val="auto"/>
        </w:rPr>
        <w:t>During the third quarter of 2021, the Company repurchased 59,659 of its shares under the Renewed Stock Repurchase program at an aggregate cost of approximately $1.4 million. There were no share repurchases during the first quarter of 2021. During the three and nine months ended September 30, 2021</w:t>
      </w:r>
    </w:p>
    <w:p>
      <w:pPr>
        <w:spacing w:after="0" w:line="1" w:lineRule="exact"/>
        <w:rPr>
          <w:sz w:val="20"/>
          <w:szCs w:val="20"/>
          <w:color w:val="auto"/>
        </w:rPr>
      </w:pPr>
    </w:p>
    <w:p>
      <w:pPr>
        <w:ind w:right="20" w:firstLine="8"/>
        <w:spacing w:after="0" w:line="292" w:lineRule="auto"/>
        <w:tabs>
          <w:tab w:leader="none" w:pos="9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repurchased 59,659 and 75,377 shares, respectively under the Stock Repurchase Program at an aggregate cost of approximately $1.4 million and $1.8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firstLine="374"/>
        <w:spacing w:after="0" w:line="266" w:lineRule="auto"/>
        <w:rPr>
          <w:sz w:val="20"/>
          <w:szCs w:val="20"/>
          <w:color w:val="auto"/>
        </w:rPr>
      </w:pPr>
      <w:r>
        <w:rPr>
          <w:rFonts w:ascii="Arial" w:cs="Arial" w:eastAsia="Arial" w:hAnsi="Arial"/>
          <w:sz w:val="18"/>
          <w:szCs w:val="18"/>
          <w:color w:val="auto"/>
        </w:rPr>
        <w:t>From time-to-time we are a party to financial instruments with off-balance sheet risk in the normal course of business in order to meet the needs of our investment in portfolio companies.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September 30, 2021 and December 31, 2020, we had approximately $48.7 million and $32.9 million commitments to fund investments, respectively. We may also enter into derivative contracts with off-balance sheet risk in connection with its investing activities.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9" w:name="page100"/>
    <w:bookmarkEnd w:id="99"/>
    <w:p>
      <w:pPr>
        <w:jc w:val="both"/>
        <w:ind w:right="160" w:firstLine="374"/>
        <w:spacing w:after="0" w:line="275" w:lineRule="auto"/>
        <w:rPr>
          <w:sz w:val="20"/>
          <w:szCs w:val="20"/>
          <w:color w:val="auto"/>
        </w:rPr>
      </w:pPr>
      <w:r>
        <w:rPr>
          <w:rFonts w:ascii="Arial" w:cs="Arial" w:eastAsia="Arial" w:hAnsi="Arial"/>
          <w:sz w:val="18"/>
          <w:szCs w:val="18"/>
          <w:color w:val="auto"/>
        </w:rPr>
        <w:t>We have made an aggregate commitment to the BCP Great Lakes Partnership of $50 million, subject to certain limitations (including that we are not obligated to fund capital calls if such funding would cause us to be out of compliance with certain provisions of the 1940 Act). As of September 30, 2021 and December 31, 2020, we had a $6.9 million and $20.0 million, respectively unfunded commitment to the BCP Great Lakes Partnership, subject to the limitations noted above.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September 30,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5"/>
          </w:tcPr>
          <w:p>
            <w:pPr>
              <w:ind w:left="740"/>
              <w:spacing w:after="0"/>
              <w:rPr>
                <w:sz w:val="20"/>
                <w:szCs w:val="20"/>
                <w:color w:val="auto"/>
              </w:rPr>
            </w:pPr>
            <w:r>
              <w:rPr>
                <w:rFonts w:ascii="Arial" w:cs="Arial" w:eastAsia="Arial" w:hAnsi="Arial"/>
                <w:sz w:val="18"/>
                <w:szCs w:val="18"/>
                <w:b w:val="1"/>
                <w:bCs w:val="1"/>
                <w:color w:val="auto"/>
              </w:rPr>
              <w:t>Payments Due by Period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38"/>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Less than</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More than</w:t>
            </w:r>
          </w:p>
        </w:tc>
      </w:tr>
      <w:tr>
        <w:trPr>
          <w:trHeight w:val="241"/>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one year</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2 - 3 years</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4 - 5 years</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5 years</w:t>
            </w:r>
          </w:p>
        </w:tc>
      </w:tr>
      <w:tr>
        <w:trPr>
          <w:trHeight w:val="257"/>
        </w:trPr>
        <w:tc>
          <w:tcPr>
            <w:tcW w:w="4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Long-term debt obligations</w:t>
            </w: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4"/>
              </w:rPr>
              <w:t>$   340,933,596</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69,070,898</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108,000,000</w:t>
            </w:r>
          </w:p>
        </w:tc>
        <w:tc>
          <w:tcPr>
            <w:tcW w:w="13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8"/>
              </w:rPr>
              <w:t>$  163,862,698</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ind w:right="20" w:firstLine="374"/>
        <w:spacing w:after="0" w:line="292"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“Significant Accounting Policies — Investments” contained elsewhere herein</w:t>
      </w:r>
      <w:r>
        <w:rPr>
          <w:rFonts w:ascii="Arial" w:cs="Arial" w:eastAsia="Arial" w:hAnsi="Arial"/>
          <w:sz w:val="17"/>
          <w:szCs w:val="17"/>
          <w:i w:val="1"/>
          <w:iCs w:val="1"/>
          <w:color w:val="auto"/>
        </w:rPr>
        <w:t>.</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12" w:lineRule="exact"/>
        <w:rPr>
          <w:sz w:val="20"/>
          <w:szCs w:val="20"/>
          <w:color w:val="auto"/>
        </w:rPr>
      </w:pPr>
    </w:p>
    <w:p>
      <w:pPr>
        <w:ind w:right="520" w:firstLine="374"/>
        <w:spacing w:after="0" w:line="293"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29" w:lineRule="exact"/>
        <w:rPr>
          <w:sz w:val="20"/>
          <w:szCs w:val="20"/>
          <w:color w:val="auto"/>
        </w:rPr>
      </w:pPr>
    </w:p>
    <w:p>
      <w:pPr>
        <w:ind w:right="140" w:firstLine="374"/>
        <w:spacing w:after="0" w:line="271"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pursuant to procedures approved by our Board.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determined values may differ significantly from the values that would have been used had a ready market existed for the investments, and the differences could be material.</w:t>
      </w:r>
    </w:p>
    <w:p>
      <w:pPr>
        <w:spacing w:after="0" w:line="150" w:lineRule="exact"/>
        <w:rPr>
          <w:sz w:val="20"/>
          <w:szCs w:val="20"/>
          <w:color w:val="auto"/>
        </w:rPr>
      </w:pPr>
    </w:p>
    <w:p>
      <w:pPr>
        <w:ind w:firstLine="374"/>
        <w:spacing w:after="0" w:line="275" w:lineRule="auto"/>
        <w:rPr>
          <w:sz w:val="20"/>
          <w:szCs w:val="20"/>
          <w:color w:val="auto"/>
        </w:rPr>
      </w:pPr>
      <w:r>
        <w:rPr>
          <w:rFonts w:ascii="Arial" w:cs="Arial" w:eastAsia="Arial" w:hAnsi="Arial"/>
          <w:sz w:val="18"/>
          <w:szCs w:val="18"/>
          <w:color w:val="auto"/>
        </w:rPr>
        <w:t>Pursuant to ASC 946: Financial Services — Investment Companies (“ASC 946”),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58" w:lineRule="exact"/>
        <w:rPr>
          <w:sz w:val="20"/>
          <w:szCs w:val="20"/>
          <w:color w:val="auto"/>
        </w:rPr>
      </w:pPr>
    </w:p>
    <w:p>
      <w:pPr>
        <w:ind w:right="120" w:firstLine="374"/>
        <w:spacing w:after="0" w:line="293"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129" w:lineRule="exact"/>
        <w:rPr>
          <w:sz w:val="20"/>
          <w:szCs w:val="20"/>
          <w:color w:val="auto"/>
        </w:rPr>
      </w:pPr>
    </w:p>
    <w:p>
      <w:pPr>
        <w:ind w:right="20" w:firstLine="374"/>
        <w:spacing w:after="0" w:line="299" w:lineRule="auto"/>
        <w:rPr>
          <w:sz w:val="20"/>
          <w:szCs w:val="20"/>
          <w:color w:val="auto"/>
        </w:rPr>
      </w:pPr>
      <w:r>
        <w:rPr>
          <w:rFonts w:ascii="Arial" w:cs="Arial" w:eastAsia="Arial" w:hAnsi="Arial"/>
          <w:sz w:val="16"/>
          <w:szCs w:val="16"/>
          <w:color w:val="auto"/>
        </w:rPr>
        <w:t>We follow the provisions of ASC 820: Fair Value Measurements and Disclosures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0" w:name="page101"/>
    <w:bookmarkEnd w:id="100"/>
    <w:p>
      <w:pPr>
        <w:ind w:right="180" w:firstLine="374"/>
        <w:spacing w:after="0" w:line="293"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43" w:lineRule="exact"/>
        <w:rPr>
          <w:sz w:val="20"/>
          <w:szCs w:val="20"/>
          <w:color w:val="auto"/>
        </w:rPr>
      </w:pPr>
    </w:p>
    <w:p>
      <w:pPr>
        <w:ind w:left="700" w:right="220"/>
        <w:spacing w:after="0" w:line="303" w:lineRule="auto"/>
        <w:rPr>
          <w:sz w:val="20"/>
          <w:szCs w:val="20"/>
          <w:color w:val="auto"/>
        </w:rPr>
      </w:pPr>
      <w:r>
        <w:rPr>
          <w:rFonts w:ascii="Arial" w:cs="Arial" w:eastAsia="Arial" w:hAnsi="Arial"/>
          <w:sz w:val="17"/>
          <w:szCs w:val="17"/>
          <w:color w:val="auto"/>
        </w:rPr>
        <w:t>Level I –Unadjusted quoted prices are available in active markets for identical investments as of the reporting date. The type of investments included in Level I include listed equities and listed securities. As required by ASC 820: Fair Value, we do not adjust the quoted price for these investments, even in situations where we hold a large position and a sale could reasonably affect the quoted price.</w:t>
      </w:r>
    </w:p>
    <w:p>
      <w:pPr>
        <w:spacing w:after="0" w:line="124" w:lineRule="exact"/>
        <w:rPr>
          <w:sz w:val="20"/>
          <w:szCs w:val="20"/>
          <w:color w:val="auto"/>
        </w:rPr>
      </w:pPr>
    </w:p>
    <w:p>
      <w:pPr>
        <w:jc w:val="both"/>
        <w:ind w:left="700" w:right="80"/>
        <w:spacing w:after="0" w:line="314" w:lineRule="auto"/>
        <w:rPr>
          <w:sz w:val="20"/>
          <w:szCs w:val="20"/>
          <w:color w:val="auto"/>
        </w:rPr>
      </w:pPr>
      <w:r>
        <w:rPr>
          <w:rFonts w:ascii="Arial" w:cs="Arial" w:eastAsia="Arial" w:hAnsi="Arial"/>
          <w:sz w:val="16"/>
          <w:szCs w:val="16"/>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19" w:lineRule="exact"/>
        <w:rPr>
          <w:sz w:val="20"/>
          <w:szCs w:val="20"/>
          <w:color w:val="auto"/>
        </w:rPr>
      </w:pPr>
    </w:p>
    <w:p>
      <w:pPr>
        <w:ind w:left="700"/>
        <w:spacing w:after="0" w:line="311"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our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36" w:lineRule="exact"/>
        <w:rPr>
          <w:sz w:val="20"/>
          <w:szCs w:val="20"/>
          <w:color w:val="auto"/>
        </w:rPr>
      </w:pPr>
    </w:p>
    <w:p>
      <w:pPr>
        <w:ind w:right="20" w:firstLine="374"/>
        <w:spacing w:after="0" w:line="287"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We assess of the significance of a particular input to the fair value measurement in its entirety requires judgment, and we consider factors specific to the investment. The majority of our investments are classified as Level III. We evaluate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Our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37" w:lineRule="exact"/>
        <w:rPr>
          <w:sz w:val="20"/>
          <w:szCs w:val="20"/>
          <w:color w:val="auto"/>
        </w:rPr>
      </w:pPr>
    </w:p>
    <w:p>
      <w:pPr>
        <w:ind w:right="340" w:firstLine="374"/>
        <w:spacing w:after="0" w:line="329" w:lineRule="auto"/>
        <w:rPr>
          <w:sz w:val="20"/>
          <w:szCs w:val="20"/>
          <w:color w:val="auto"/>
        </w:rPr>
      </w:pPr>
      <w:r>
        <w:rPr>
          <w:rFonts w:ascii="Arial" w:cs="Arial" w:eastAsia="Arial" w:hAnsi="Arial"/>
          <w:sz w:val="16"/>
          <w:szCs w:val="16"/>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07" w:lineRule="exact"/>
        <w:rPr>
          <w:sz w:val="20"/>
          <w:szCs w:val="20"/>
          <w:color w:val="auto"/>
        </w:rPr>
      </w:pPr>
    </w:p>
    <w:p>
      <w:pPr>
        <w:ind w:right="60" w:firstLine="374"/>
        <w:spacing w:after="0" w:line="305"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we have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42" w:lineRule="exact"/>
        <w:rPr>
          <w:sz w:val="20"/>
          <w:szCs w:val="20"/>
          <w:color w:val="auto"/>
        </w:rPr>
      </w:pPr>
    </w:p>
    <w:p>
      <w:pPr>
        <w:ind w:firstLine="374"/>
        <w:spacing w:after="0" w:line="314" w:lineRule="auto"/>
        <w:rPr>
          <w:sz w:val="20"/>
          <w:szCs w:val="20"/>
          <w:color w:val="auto"/>
        </w:rPr>
      </w:pPr>
      <w:r>
        <w:rPr>
          <w:rFonts w:ascii="Arial" w:cs="Arial" w:eastAsia="Arial" w:hAnsi="Arial"/>
          <w:sz w:val="16"/>
          <w:szCs w:val="16"/>
          <w:color w:val="auto"/>
        </w:rPr>
        <w:t>Our investments in our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carry investments in joint ventures at fair value based upon the fair value of the investments held by the joint venture.</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1" w:name="page102"/>
    <w:bookmarkEnd w:id="101"/>
    <w:p>
      <w:pPr>
        <w:ind w:firstLine="374"/>
        <w:spacing w:after="0" w:line="287"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51" w:lineRule="exact"/>
        <w:rPr>
          <w:sz w:val="20"/>
          <w:szCs w:val="20"/>
          <w:color w:val="auto"/>
        </w:rPr>
      </w:pPr>
    </w:p>
    <w:p>
      <w:pPr>
        <w:ind w:right="60" w:firstLine="374"/>
        <w:spacing w:after="0" w:line="292"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34" w:lineRule="exact"/>
        <w:rPr>
          <w:sz w:val="20"/>
          <w:szCs w:val="20"/>
          <w:color w:val="auto"/>
        </w:rPr>
      </w:pPr>
    </w:p>
    <w:p>
      <w:pPr>
        <w:ind w:right="100" w:firstLine="374"/>
        <w:spacing w:after="0" w:line="303" w:lineRule="auto"/>
        <w:rPr>
          <w:sz w:val="20"/>
          <w:szCs w:val="20"/>
          <w:color w:val="auto"/>
        </w:rPr>
      </w:pPr>
      <w:r>
        <w:rPr>
          <w:rFonts w:ascii="Arial" w:cs="Arial" w:eastAsia="Arial" w:hAnsi="Arial"/>
          <w:sz w:val="17"/>
          <w:szCs w:val="17"/>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24" w:lineRule="exact"/>
        <w:rPr>
          <w:sz w:val="20"/>
          <w:szCs w:val="20"/>
          <w:color w:val="auto"/>
        </w:rPr>
      </w:pPr>
    </w:p>
    <w:p>
      <w:pPr>
        <w:ind w:right="140" w:firstLine="374"/>
        <w:spacing w:after="0" w:line="275"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our judgment.</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Board may consider other methods of valuation to determine the fair value of investments as appropriate in conformity with GAAP.</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8" w:lineRule="exact"/>
        <w:rPr>
          <w:sz w:val="20"/>
          <w:szCs w:val="20"/>
          <w:color w:val="auto"/>
        </w:rPr>
      </w:pPr>
    </w:p>
    <w:p>
      <w:pPr>
        <w:ind w:firstLine="374"/>
        <w:spacing w:after="0" w:line="309" w:lineRule="auto"/>
        <w:rPr>
          <w:sz w:val="20"/>
          <w:szCs w:val="20"/>
          <w:color w:val="auto"/>
        </w:rPr>
      </w:pPr>
      <w:r>
        <w:rPr>
          <w:rFonts w:ascii="Arial" w:cs="Arial" w:eastAsia="Arial" w:hAnsi="Arial"/>
          <w:sz w:val="16"/>
          <w:szCs w:val="16"/>
          <w:color w:val="auto"/>
        </w:rPr>
        <w:t>Interest income, including amortization of premium and accretion of discount and accrual payment-in-kind (“PIK”) interest,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September 30, 2021, six of our investments were on non-accrual status.</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Investment Income on CLO Fund Securities</w:t>
      </w:r>
    </w:p>
    <w:p>
      <w:pPr>
        <w:spacing w:after="0" w:line="198" w:lineRule="exact"/>
        <w:rPr>
          <w:sz w:val="20"/>
          <w:szCs w:val="20"/>
          <w:color w:val="auto"/>
        </w:rPr>
      </w:pPr>
    </w:p>
    <w:p>
      <w:pPr>
        <w:ind w:firstLine="374"/>
        <w:spacing w:after="0" w:line="281"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2" w:name="page103"/>
    <w:bookmarkEnd w:id="102"/>
    <w:p>
      <w:pPr>
        <w:ind w:right="20" w:firstLine="374"/>
        <w:spacing w:after="0" w:line="269" w:lineRule="auto"/>
        <w:rPr>
          <w:sz w:val="20"/>
          <w:szCs w:val="20"/>
          <w:color w:val="auto"/>
        </w:rPr>
      </w:pPr>
      <w:r>
        <w:rPr>
          <w:rFonts w:ascii="Arial" w:cs="Arial" w:eastAsia="Arial" w:hAnsi="Arial"/>
          <w:sz w:val="18"/>
          <w:szCs w:val="18"/>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us during the period. For U.S. tax purposes, these CLO equity investments are treated as PFICs. Taxable income is provided on a PFIC statement, where income and capital gains are determined based on the U.S. shareholder's proportionate ownership of the PFIC.</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198" w:lineRule="exact"/>
        <w:rPr>
          <w:sz w:val="20"/>
          <w:szCs w:val="20"/>
          <w:color w:val="auto"/>
        </w:rPr>
      </w:pPr>
    </w:p>
    <w:p>
      <w:pPr>
        <w:ind w:right="80" w:firstLine="374"/>
        <w:spacing w:after="0" w:line="279" w:lineRule="auto"/>
        <w:rPr>
          <w:sz w:val="20"/>
          <w:szCs w:val="20"/>
          <w:color w:val="auto"/>
        </w:rPr>
      </w:pPr>
      <w:r>
        <w:rPr>
          <w:rFonts w:ascii="Arial" w:cs="Arial" w:eastAsia="Arial" w:hAnsi="Arial"/>
          <w:sz w:val="18"/>
          <w:szCs w:val="18"/>
          <w:color w:val="auto"/>
        </w:rPr>
        <w:t>We may have loans in our portfolio that contain a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we have not yet collected any cash.</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Fee Income</w:t>
      </w:r>
    </w:p>
    <w:p>
      <w:pPr>
        <w:spacing w:after="0" w:line="198" w:lineRule="exact"/>
        <w:rPr>
          <w:sz w:val="20"/>
          <w:szCs w:val="20"/>
          <w:color w:val="auto"/>
        </w:rPr>
      </w:pPr>
    </w:p>
    <w:p>
      <w:pPr>
        <w:ind w:right="40" w:firstLine="374"/>
        <w:spacing w:after="0" w:line="275"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12" w:lineRule="exact"/>
        <w:rPr>
          <w:sz w:val="20"/>
          <w:szCs w:val="20"/>
          <w:color w:val="auto"/>
        </w:rPr>
      </w:pPr>
    </w:p>
    <w:p>
      <w:pPr>
        <w:ind w:right="140" w:firstLine="374"/>
        <w:spacing w:after="0" w:line="314" w:lineRule="auto"/>
        <w:rPr>
          <w:sz w:val="20"/>
          <w:szCs w:val="20"/>
          <w:color w:val="auto"/>
        </w:rPr>
      </w:pPr>
      <w:r>
        <w:rPr>
          <w:rFonts w:ascii="Arial" w:cs="Arial" w:eastAsia="Arial" w:hAnsi="Arial"/>
          <w:sz w:val="16"/>
          <w:szCs w:val="16"/>
          <w:color w:val="auto"/>
        </w:rPr>
        <w:t>As a result of the Closing we will no longer issue stock options or restricted stock under the Company’s Equity Incentive Plan or the 2008 Non-Employee Director Plan. The 1940 Act does not permit externally managed investment companies and BDCs to issue or have outstanding options or restricted stock granted to directors and employees. Immediately prior to the Closing, by virtue of the Externalization and subject to the execution of an option cancellation agreement, each option to purchase shares of our common stock granted under our Non-Employee Director Plan that was outstanding immediately prior to the Externalization (each, a “Company Stock Option”) was cancelled in exchange for the payment in cash to the holder thereof.</w:t>
      </w:r>
    </w:p>
    <w:p>
      <w:pPr>
        <w:spacing w:after="0" w:line="119" w:lineRule="exact"/>
        <w:rPr>
          <w:sz w:val="20"/>
          <w:szCs w:val="20"/>
          <w:color w:val="auto"/>
        </w:rPr>
      </w:pPr>
    </w:p>
    <w:p>
      <w:pPr>
        <w:ind w:right="220" w:firstLine="374"/>
        <w:spacing w:after="0" w:line="275" w:lineRule="auto"/>
        <w:rPr>
          <w:sz w:val="20"/>
          <w:szCs w:val="20"/>
          <w:color w:val="auto"/>
        </w:rPr>
      </w:pPr>
      <w:r>
        <w:rPr>
          <w:rFonts w:ascii="Arial" w:cs="Arial" w:eastAsia="Arial" w:hAnsi="Arial"/>
          <w:sz w:val="18"/>
          <w:szCs w:val="18"/>
          <w:color w:val="auto"/>
        </w:rPr>
        <w:t>Immediately prior to the Closing, each restricted share of our (the “Company Restricted Share”) outstanding and not previously forfeited under the Company’s Equity Incentive Plan and the Company’s Non-Employee Director Plan became fully vested, all restrictions with respect to such Company Restricted Shares lapsed, and the holders of such Company Restricted Shares became entitled to receive a pro rata share of the payment made to stockholders in connection with the Externalization.</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12" w:lineRule="exact"/>
        <w:rPr>
          <w:sz w:val="20"/>
          <w:szCs w:val="20"/>
          <w:color w:val="auto"/>
        </w:rPr>
      </w:pPr>
    </w:p>
    <w:p>
      <w:pPr>
        <w:ind w:firstLine="374"/>
        <w:spacing w:after="0" w:line="272" w:lineRule="auto"/>
        <w:rPr>
          <w:sz w:val="20"/>
          <w:szCs w:val="20"/>
          <w:color w:val="auto"/>
        </w:rPr>
      </w:pPr>
      <w:r>
        <w:rPr>
          <w:rFonts w:ascii="Arial" w:cs="Arial" w:eastAsia="Arial" w:hAnsi="Arial"/>
          <w:sz w:val="18"/>
          <w:szCs w:val="18"/>
          <w:color w:val="auto"/>
        </w:rPr>
        <w:t>We have elected to be treated as a RIC and intend to continue to qualify for the tax treatment applicable to RICs under Subchapter M of the Code and, among other things, intends to make the required distributions to our stockholders as specified therein. In order to qualify for tax treatment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198" w:lineRule="exact"/>
        <w:rPr>
          <w:sz w:val="20"/>
          <w:szCs w:val="20"/>
          <w:color w:val="auto"/>
        </w:rPr>
      </w:pPr>
    </w:p>
    <w:p>
      <w:pPr>
        <w:ind w:right="540" w:firstLine="374"/>
        <w:spacing w:after="0" w:line="293" w:lineRule="auto"/>
        <w:rPr>
          <w:sz w:val="20"/>
          <w:szCs w:val="20"/>
          <w:color w:val="auto"/>
        </w:rPr>
      </w:pPr>
      <w:r>
        <w:rPr>
          <w:rFonts w:ascii="Arial" w:cs="Arial" w:eastAsia="Arial" w:hAnsi="Arial"/>
          <w:sz w:val="18"/>
          <w:szCs w:val="18"/>
          <w:color w:val="auto"/>
        </w:rPr>
        <w:t>The amount of our declared distributions, as evaluated by management and approved by our Board, is based primarily on our evaluation of net investment income and distributable taxable income.</w:t>
      </w:r>
    </w:p>
    <w:p>
      <w:pPr>
        <w:spacing w:after="0" w:line="183" w:lineRule="exact"/>
        <w:rPr>
          <w:sz w:val="20"/>
          <w:szCs w:val="20"/>
          <w:color w:val="auto"/>
        </w:rPr>
      </w:pPr>
    </w:p>
    <w:p>
      <w:pPr>
        <w:ind w:firstLine="374"/>
        <w:spacing w:after="0" w:line="266" w:lineRule="auto"/>
        <w:rPr>
          <w:sz w:val="20"/>
          <w:szCs w:val="20"/>
          <w:color w:val="auto"/>
        </w:rPr>
      </w:pPr>
      <w:r>
        <w:rPr>
          <w:rFonts w:ascii="Arial" w:cs="Arial" w:eastAsia="Arial" w:hAnsi="Arial"/>
          <w:sz w:val="18"/>
          <w:szCs w:val="18"/>
          <w:color w:val="auto"/>
        </w:rPr>
        <w:t>On November 3, 2021, our Board declared a cash distribution of $0.62 per share of common stock. The distribution is payable on November 30, 2021 to stockholders of record at the close of business as of November 15, 2021.</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0"/>
        </w:trPr>
        <w:tc>
          <w:tcPr>
            <w:tcW w:w="8600" w:type="dxa"/>
            <w:vAlign w:val="bottom"/>
            <w:gridSpan w:val="6"/>
          </w:tcPr>
          <w:p>
            <w:pPr>
              <w:ind w:left="380"/>
              <w:spacing w:after="0"/>
              <w:rPr>
                <w:sz w:val="20"/>
                <w:szCs w:val="20"/>
                <w:color w:val="auto"/>
              </w:rPr>
            </w:pPr>
            <w:r>
              <w:rPr>
                <w:rFonts w:ascii="Arial" w:cs="Arial" w:eastAsia="Arial" w:hAnsi="Arial"/>
                <w:sz w:val="18"/>
                <w:szCs w:val="18"/>
                <w:color w:val="auto"/>
                <w:w w:val="93"/>
              </w:rPr>
              <w:t>The following table sets forth the quarterly distributions paid by us for the 2021, 2020 and 2019 calendar years.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0" w:type="dxa"/>
            <w:vAlign w:val="bottom"/>
          </w:tcPr>
          <w:p>
            <w:pPr>
              <w:spacing w:after="0"/>
              <w:rPr>
                <w:sz w:val="20"/>
                <w:szCs w:val="20"/>
                <w:color w:val="auto"/>
              </w:rPr>
            </w:pPr>
          </w:p>
        </w:tc>
        <w:tc>
          <w:tcPr>
            <w:tcW w:w="1300" w:type="dxa"/>
            <w:vAlign w:val="bottom"/>
            <w:gridSpan w:val="2"/>
            <w:vMerge w:val="restart"/>
          </w:tcPr>
          <w:p>
            <w:pPr>
              <w:jc w:val="right"/>
              <w:ind w:right="90"/>
              <w:spacing w:after="0"/>
              <w:rPr>
                <w:sz w:val="20"/>
                <w:szCs w:val="20"/>
                <w:color w:val="auto"/>
              </w:rPr>
            </w:pPr>
            <w:r>
              <w:rPr>
                <w:rFonts w:ascii="Arial" w:cs="Arial" w:eastAsia="Arial" w:hAnsi="Arial"/>
                <w:sz w:val="18"/>
                <w:szCs w:val="18"/>
                <w:b w:val="1"/>
                <w:bCs w:val="1"/>
                <w:color w:val="auto"/>
                <w:w w:val="95"/>
              </w:rPr>
              <w:t xml:space="preserve">Distribution </w:t>
            </w:r>
            <w:r>
              <w:rPr>
                <w:rFonts w:ascii="Arial" w:cs="Arial" w:eastAsia="Arial" w:hAnsi="Arial"/>
                <w:sz w:val="24"/>
                <w:szCs w:val="24"/>
                <w:b w:val="1"/>
                <w:bCs w:val="1"/>
                <w:color w:val="auto"/>
                <w:w w:val="95"/>
                <w:vertAlign w:val="superscript"/>
              </w:rPr>
              <w:t>2</w:t>
            </w:r>
          </w:p>
        </w:tc>
        <w:tc>
          <w:tcPr>
            <w:tcW w:w="14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Declaration</w:t>
            </w: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Record</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8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Date</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Date</w:t>
            </w:r>
          </w:p>
        </w:tc>
        <w:tc>
          <w:tcPr>
            <w:tcW w:w="12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50"/>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50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8/4/2021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8/17/2021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8/31/2021</w:t>
            </w:r>
          </w:p>
        </w:tc>
        <w:tc>
          <w:tcPr>
            <w:tcW w:w="0" w:type="dxa"/>
            <w:vAlign w:val="bottom"/>
          </w:tcPr>
          <w:p>
            <w:pPr>
              <w:spacing w:after="0"/>
              <w:rPr>
                <w:sz w:val="1"/>
                <w:szCs w:val="1"/>
                <w:color w:val="auto"/>
              </w:rPr>
            </w:pPr>
          </w:p>
        </w:tc>
      </w:tr>
      <w:tr>
        <w:trPr>
          <w:trHeight w:val="263"/>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0.60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5/6/2021</w:t>
            </w:r>
          </w:p>
        </w:tc>
        <w:tc>
          <w:tcPr>
            <w:tcW w:w="1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5/19/2021</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6/1/2021</w:t>
            </w:r>
          </w:p>
        </w:tc>
        <w:tc>
          <w:tcPr>
            <w:tcW w:w="0" w:type="dxa"/>
            <w:vAlign w:val="bottom"/>
          </w:tcPr>
          <w:p>
            <w:pPr>
              <w:spacing w:after="0"/>
              <w:rPr>
                <w:sz w:val="1"/>
                <w:szCs w:val="1"/>
                <w:color w:val="auto"/>
              </w:rPr>
            </w:pPr>
          </w:p>
        </w:tc>
      </w:tr>
      <w:tr>
        <w:trPr>
          <w:trHeight w:val="257"/>
        </w:trPr>
        <w:tc>
          <w:tcPr>
            <w:tcW w:w="580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2/12/2021</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2/22/2021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3/2/2021</w:t>
            </w:r>
          </w:p>
        </w:tc>
        <w:tc>
          <w:tcPr>
            <w:tcW w:w="0" w:type="dxa"/>
            <w:vAlign w:val="bottom"/>
          </w:tcPr>
          <w:p>
            <w:pPr>
              <w:spacing w:after="0"/>
              <w:rPr>
                <w:sz w:val="1"/>
                <w:szCs w:val="1"/>
                <w:color w:val="auto"/>
              </w:rPr>
            </w:pPr>
          </w:p>
        </w:tc>
      </w:tr>
      <w:tr>
        <w:trPr>
          <w:trHeight w:val="283"/>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declared in 2021</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1.80</w:t>
            </w:r>
          </w:p>
        </w:tc>
        <w:tc>
          <w:tcPr>
            <w:tcW w:w="1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0.60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10/16/2020</w:t>
            </w:r>
          </w:p>
        </w:tc>
        <w:tc>
          <w:tcPr>
            <w:tcW w:w="1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10/26/2020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11/27/2020</w:t>
            </w:r>
          </w:p>
        </w:tc>
        <w:tc>
          <w:tcPr>
            <w:tcW w:w="0" w:type="dxa"/>
            <w:vAlign w:val="bottom"/>
          </w:tcPr>
          <w:p>
            <w:pPr>
              <w:spacing w:after="0"/>
              <w:rPr>
                <w:sz w:val="1"/>
                <w:szCs w:val="1"/>
                <w:color w:val="auto"/>
              </w:rPr>
            </w:pPr>
          </w:p>
        </w:tc>
      </w:tr>
      <w:tr>
        <w:trPr>
          <w:trHeight w:val="250"/>
        </w:trPr>
        <w:tc>
          <w:tcPr>
            <w:tcW w:w="580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5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8/5/2020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8/17/2020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8/28/2020</w:t>
            </w:r>
          </w:p>
        </w:tc>
        <w:tc>
          <w:tcPr>
            <w:tcW w:w="0" w:type="dxa"/>
            <w:vAlign w:val="bottom"/>
          </w:tcPr>
          <w:p>
            <w:pPr>
              <w:spacing w:after="0"/>
              <w:rPr>
                <w:sz w:val="1"/>
                <w:szCs w:val="1"/>
                <w:color w:val="auto"/>
              </w:rPr>
            </w:pPr>
          </w:p>
        </w:tc>
      </w:tr>
      <w:tr>
        <w:trPr>
          <w:trHeight w:val="263"/>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FF0FC"/>
          </w:tcPr>
          <w:p>
            <w:pPr>
              <w:spacing w:after="0"/>
              <w:rPr>
                <w:sz w:val="22"/>
                <w:szCs w:val="22"/>
                <w:color w:val="auto"/>
              </w:rPr>
            </w:pP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0.60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3/17/2020</w:t>
            </w:r>
          </w:p>
        </w:tc>
        <w:tc>
          <w:tcPr>
            <w:tcW w:w="1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5/7/2020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5/27/2020</w:t>
            </w:r>
          </w:p>
        </w:tc>
        <w:tc>
          <w:tcPr>
            <w:tcW w:w="0" w:type="dxa"/>
            <w:vAlign w:val="bottom"/>
          </w:tcPr>
          <w:p>
            <w:pPr>
              <w:spacing w:after="0"/>
              <w:rPr>
                <w:sz w:val="1"/>
                <w:szCs w:val="1"/>
                <w:color w:val="auto"/>
              </w:rPr>
            </w:pPr>
          </w:p>
        </w:tc>
      </w:tr>
      <w:tr>
        <w:trPr>
          <w:trHeight w:val="257"/>
        </w:trPr>
        <w:tc>
          <w:tcPr>
            <w:tcW w:w="580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2/5/2020</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2/18/2020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2/28/2020</w:t>
            </w:r>
          </w:p>
        </w:tc>
        <w:tc>
          <w:tcPr>
            <w:tcW w:w="0" w:type="dxa"/>
            <w:vAlign w:val="bottom"/>
          </w:tcPr>
          <w:p>
            <w:pPr>
              <w:spacing w:after="0"/>
              <w:rPr>
                <w:sz w:val="1"/>
                <w:szCs w:val="1"/>
                <w:color w:val="auto"/>
              </w:rPr>
            </w:pPr>
          </w:p>
        </w:tc>
      </w:tr>
      <w:tr>
        <w:trPr>
          <w:trHeight w:val="283"/>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declared in 2020</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2.40</w:t>
            </w:r>
          </w:p>
        </w:tc>
        <w:tc>
          <w:tcPr>
            <w:tcW w:w="1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0.60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11/5/2019</w:t>
            </w:r>
          </w:p>
        </w:tc>
        <w:tc>
          <w:tcPr>
            <w:tcW w:w="1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11/15/2019</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11/29/2019</w:t>
            </w:r>
          </w:p>
        </w:tc>
        <w:tc>
          <w:tcPr>
            <w:tcW w:w="0" w:type="dxa"/>
            <w:vAlign w:val="bottom"/>
          </w:tcPr>
          <w:p>
            <w:pPr>
              <w:spacing w:after="0"/>
              <w:rPr>
                <w:sz w:val="1"/>
                <w:szCs w:val="1"/>
                <w:color w:val="auto"/>
              </w:rPr>
            </w:pPr>
          </w:p>
        </w:tc>
      </w:tr>
      <w:tr>
        <w:trPr>
          <w:trHeight w:val="250"/>
        </w:trPr>
        <w:tc>
          <w:tcPr>
            <w:tcW w:w="580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5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8/5/2019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8/12/2019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8/29/2019</w:t>
            </w:r>
          </w:p>
        </w:tc>
        <w:tc>
          <w:tcPr>
            <w:tcW w:w="0" w:type="dxa"/>
            <w:vAlign w:val="bottom"/>
          </w:tcPr>
          <w:p>
            <w:pPr>
              <w:spacing w:after="0"/>
              <w:rPr>
                <w:sz w:val="1"/>
                <w:szCs w:val="1"/>
                <w:color w:val="auto"/>
              </w:rPr>
            </w:pPr>
          </w:p>
        </w:tc>
      </w:tr>
      <w:tr>
        <w:trPr>
          <w:trHeight w:val="263"/>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FF0FC"/>
          </w:tcPr>
          <w:p>
            <w:pPr>
              <w:spacing w:after="0"/>
              <w:rPr>
                <w:sz w:val="22"/>
                <w:szCs w:val="22"/>
                <w:color w:val="auto"/>
              </w:rPr>
            </w:pP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3/20/2019</w:t>
            </w:r>
          </w:p>
        </w:tc>
        <w:tc>
          <w:tcPr>
            <w:tcW w:w="1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4/5/2019</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4/26/2019</w:t>
            </w:r>
          </w:p>
        </w:tc>
        <w:tc>
          <w:tcPr>
            <w:tcW w:w="0" w:type="dxa"/>
            <w:vAlign w:val="bottom"/>
          </w:tcPr>
          <w:p>
            <w:pPr>
              <w:spacing w:after="0"/>
              <w:rPr>
                <w:sz w:val="1"/>
                <w:szCs w:val="1"/>
                <w:color w:val="auto"/>
              </w:rPr>
            </w:pPr>
          </w:p>
        </w:tc>
      </w:tr>
      <w:tr>
        <w:trPr>
          <w:trHeight w:val="257"/>
        </w:trPr>
        <w:tc>
          <w:tcPr>
            <w:tcW w:w="580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40"/>
              <w:spacing w:after="0" w:line="257" w:lineRule="exact"/>
              <w:rPr>
                <w:sz w:val="20"/>
                <w:szCs w:val="20"/>
                <w:color w:val="auto"/>
              </w:rPr>
            </w:pPr>
            <w:r>
              <w:rPr>
                <w:rFonts w:ascii="Arial" w:cs="Arial" w:eastAsia="Arial" w:hAnsi="Arial"/>
                <w:sz w:val="18"/>
                <w:szCs w:val="18"/>
                <w:color w:val="auto"/>
              </w:rPr>
              <w:t xml:space="preserve">12/12/2018 </w:t>
            </w:r>
            <w:r>
              <w:rPr>
                <w:rFonts w:ascii="Arial" w:cs="Arial" w:eastAsia="Arial" w:hAnsi="Arial"/>
                <w:sz w:val="24"/>
                <w:szCs w:val="24"/>
                <w:color w:val="auto"/>
                <w:vertAlign w:val="superscript"/>
              </w:rPr>
              <w:t>1</w:t>
            </w:r>
          </w:p>
        </w:tc>
        <w:tc>
          <w:tcPr>
            <w:tcW w:w="1260" w:type="dxa"/>
            <w:vAlign w:val="bottom"/>
          </w:tcPr>
          <w:p>
            <w:pPr>
              <w:jc w:val="right"/>
              <w:spacing w:after="0"/>
              <w:rPr>
                <w:sz w:val="20"/>
                <w:szCs w:val="20"/>
                <w:color w:val="auto"/>
              </w:rPr>
            </w:pPr>
            <w:r>
              <w:rPr>
                <w:rFonts w:ascii="Arial" w:cs="Arial" w:eastAsia="Arial" w:hAnsi="Arial"/>
                <w:sz w:val="18"/>
                <w:szCs w:val="18"/>
                <w:color w:val="auto"/>
              </w:rPr>
              <w:t>1/7/2019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1/31/2019</w:t>
            </w:r>
          </w:p>
        </w:tc>
        <w:tc>
          <w:tcPr>
            <w:tcW w:w="0" w:type="dxa"/>
            <w:vAlign w:val="bottom"/>
          </w:tcPr>
          <w:p>
            <w:pPr>
              <w:spacing w:after="0"/>
              <w:rPr>
                <w:sz w:val="1"/>
                <w:szCs w:val="1"/>
                <w:color w:val="auto"/>
              </w:rPr>
            </w:pPr>
          </w:p>
        </w:tc>
      </w:tr>
      <w:tr>
        <w:trPr>
          <w:trHeight w:val="283"/>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declared in 2019</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3.20</w:t>
            </w:r>
          </w:p>
        </w:tc>
        <w:tc>
          <w:tcPr>
            <w:tcW w:w="1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-2048510</wp:posOffset>
            </wp:positionV>
            <wp:extent cx="7747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-2031365</wp:posOffset>
            </wp:positionV>
            <wp:extent cx="7747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-1036320</wp:posOffset>
            </wp:positionV>
            <wp:extent cx="7747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-1019810</wp:posOffset>
            </wp:positionV>
            <wp:extent cx="7747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7747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7747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67" w:lineRule="exact"/>
        <w:rPr>
          <w:sz w:val="20"/>
          <w:szCs w:val="20"/>
          <w:color w:val="auto"/>
        </w:rPr>
      </w:pPr>
    </w:p>
    <w:p>
      <w:pPr>
        <w:ind w:left="700" w:hanging="318"/>
        <w:spacing w:after="0"/>
        <w:tabs>
          <w:tab w:leader="none" w:pos="700" w:val="left"/>
        </w:tabs>
        <w:numPr>
          <w:ilvl w:val="0"/>
          <w:numId w:val="99"/>
        </w:numPr>
        <w:rPr>
          <w:rFonts w:ascii="Arial" w:cs="Arial" w:eastAsia="Arial" w:hAnsi="Arial"/>
          <w:sz w:val="18"/>
          <w:szCs w:val="18"/>
          <w:color w:val="auto"/>
        </w:rPr>
      </w:pPr>
      <w:r>
        <w:rPr>
          <w:rFonts w:ascii="Arial" w:cs="Arial" w:eastAsia="Arial" w:hAnsi="Arial"/>
          <w:sz w:val="16"/>
          <w:szCs w:val="16"/>
          <w:color w:val="auto"/>
        </w:rPr>
        <w:t>Since the record date of this distribution is subsequent to year-end, it is a subsequent year tax event.</w:t>
      </w:r>
    </w:p>
    <w:p>
      <w:pPr>
        <w:spacing w:after="0" w:line="199" w:lineRule="exact"/>
        <w:rPr>
          <w:sz w:val="20"/>
          <w:szCs w:val="20"/>
          <w:color w:val="auto"/>
        </w:rPr>
      </w:pPr>
    </w:p>
    <w:p>
      <w:pPr>
        <w:ind w:left="380" w:right="380" w:hanging="89"/>
        <w:spacing w:after="0" w:line="293" w:lineRule="auto"/>
        <w:tabs>
          <w:tab w:leader="none" w:pos="57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Company completed a Reverse Stock Split of 10 to 1 effective August 26, 2021, the common stock and net asset value have been adjusted retroactively to reflect the split.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4" w:name="page105"/>
    <w:bookmarkEnd w:id="104"/>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w:t>
      </w:r>
    </w:p>
    <w:p>
      <w:pPr>
        <w:spacing w:after="0" w:line="147" w:lineRule="exact"/>
        <w:rPr>
          <w:sz w:val="20"/>
          <w:szCs w:val="20"/>
          <w:color w:val="auto"/>
        </w:rPr>
      </w:pPr>
    </w:p>
    <w:p>
      <w:pPr>
        <w:ind w:right="420" w:firstLine="374"/>
        <w:spacing w:after="0" w:line="291" w:lineRule="auto"/>
        <w:rPr>
          <w:sz w:val="20"/>
          <w:szCs w:val="20"/>
          <w:color w:val="auto"/>
        </w:rPr>
      </w:pPr>
      <w:r>
        <w:rPr>
          <w:rFonts w:ascii="Arial" w:cs="Arial" w:eastAsia="Arial" w:hAnsi="Arial"/>
          <w:sz w:val="16"/>
          <w:szCs w:val="16"/>
          <w:color w:val="auto"/>
        </w:rPr>
        <w:t>Our investment income is affected by fluctuations in various interest rates, including LIBOR and prime rates. As of September 30, 2021, approximately 86.9% of our Debt Securities Portfolio were either floating rate with a spread to an interest rate index such as LIBOR or the prime rate.</w:t>
      </w:r>
    </w:p>
    <w:p>
      <w:pPr>
        <w:ind w:right="100"/>
        <w:spacing w:after="0" w:line="277" w:lineRule="auto"/>
        <w:rPr>
          <w:sz w:val="20"/>
          <w:szCs w:val="20"/>
          <w:color w:val="auto"/>
        </w:rPr>
      </w:pPr>
      <w:r>
        <w:rPr>
          <w:rFonts w:ascii="Arial" w:cs="Arial" w:eastAsia="Arial" w:hAnsi="Arial"/>
          <w:sz w:val="17"/>
          <w:szCs w:val="17"/>
          <w:color w:val="auto"/>
        </w:rPr>
        <w:t>75.5% of these floating rate loans contain LIBOR floors ranging between 0.50% and 2.25%. We generally expect that future portfolio investments will predominately be floating rate investments. As of September 30, 2021, we had $335.4 million (par value) of borrowings outstanding at a current weighted average rate of 3.2%, of which $108 million par value had a fixed rate and $232.9 million par value has a floating rate.</w:t>
      </w:r>
    </w:p>
    <w:p>
      <w:pPr>
        <w:spacing w:after="0" w:line="146" w:lineRule="exact"/>
        <w:rPr>
          <w:sz w:val="20"/>
          <w:szCs w:val="20"/>
          <w:color w:val="auto"/>
        </w:rPr>
      </w:pPr>
    </w:p>
    <w:p>
      <w:pPr>
        <w:ind w:firstLine="374"/>
        <w:spacing w:after="0" w:line="311" w:lineRule="auto"/>
        <w:rPr>
          <w:sz w:val="20"/>
          <w:szCs w:val="20"/>
          <w:color w:val="auto"/>
        </w:rPr>
      </w:pPr>
      <w:r>
        <w:rPr>
          <w:rFonts w:ascii="Arial" w:cs="Arial" w:eastAsia="Arial" w:hAnsi="Arial"/>
          <w:sz w:val="16"/>
          <w:szCs w:val="16"/>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fixed rate borrowings would remain the same, while the interest rate on borrowings under the Revolving Credit Facility would fluctuate with changes in interest rates.</w:t>
      </w:r>
    </w:p>
    <w:p>
      <w:pPr>
        <w:spacing w:after="0" w:line="108" w:lineRule="exact"/>
        <w:rPr>
          <w:sz w:val="20"/>
          <w:szCs w:val="20"/>
          <w:color w:val="auto"/>
        </w:rPr>
      </w:pPr>
    </w:p>
    <w:p>
      <w:pPr>
        <w:jc w:val="both"/>
        <w:ind w:right="20" w:firstLine="374"/>
        <w:spacing w:after="0" w:line="263"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143" w:lineRule="exact"/>
        <w:rPr>
          <w:sz w:val="20"/>
          <w:szCs w:val="20"/>
          <w:color w:val="auto"/>
        </w:rPr>
      </w:pPr>
    </w:p>
    <w:p>
      <w:pPr>
        <w:ind w:right="120" w:firstLine="374"/>
        <w:spacing w:after="0" w:line="286" w:lineRule="auto"/>
        <w:rPr>
          <w:sz w:val="20"/>
          <w:szCs w:val="20"/>
          <w:color w:val="auto"/>
        </w:rPr>
      </w:pPr>
      <w:r>
        <w:rPr>
          <w:rFonts w:ascii="Arial" w:cs="Arial" w:eastAsia="Arial" w:hAnsi="Arial"/>
          <w:sz w:val="17"/>
          <w:szCs w:val="17"/>
          <w:color w:val="auto"/>
        </w:rPr>
        <w:t>We have analyzed the potential impact of changes in interest rates on interest income net of interest expense. Assuming that our balance sheet at September 30, 2021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Impact on net investment income from</w:t>
            </w:r>
          </w:p>
        </w:tc>
        <w:tc>
          <w:tcPr>
            <w:tcW w:w="1280" w:type="dxa"/>
            <w:vAlign w:val="bottom"/>
          </w:tcPr>
          <w:p>
            <w:pPr>
              <w:spacing w:after="0"/>
              <w:rPr>
                <w:sz w:val="19"/>
                <w:szCs w:val="19"/>
                <w:color w:val="auto"/>
              </w:rPr>
            </w:pPr>
          </w:p>
        </w:tc>
      </w:tr>
      <w:tr>
        <w:trPr>
          <w:trHeight w:val="234"/>
        </w:trPr>
        <w:tc>
          <w:tcPr>
            <w:tcW w:w="5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a change in interest rates at:</w:t>
            </w:r>
          </w:p>
        </w:tc>
        <w:tc>
          <w:tcPr>
            <w:tcW w:w="1280" w:type="dxa"/>
            <w:vAlign w:val="bottom"/>
          </w:tcPr>
          <w:p>
            <w:pPr>
              <w:spacing w:after="0"/>
              <w:rPr>
                <w:sz w:val="20"/>
                <w:szCs w:val="20"/>
                <w:color w:val="auto"/>
              </w:rPr>
            </w:pPr>
          </w:p>
        </w:tc>
      </w:tr>
      <w:tr>
        <w:trPr>
          <w:trHeight w:val="263"/>
        </w:trPr>
        <w:tc>
          <w:tcPr>
            <w:tcW w:w="5340" w:type="dxa"/>
            <w:vAlign w:val="bottom"/>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3%</w:t>
            </w:r>
          </w:p>
        </w:tc>
      </w:tr>
      <w:tr>
        <w:trPr>
          <w:trHeight w:val="256"/>
        </w:trPr>
        <w:tc>
          <w:tcPr>
            <w:tcW w:w="6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Increase in interest rate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(1,490,326 )</w:t>
            </w:r>
          </w:p>
        </w:tc>
        <w:tc>
          <w:tcPr>
            <w:tcW w:w="15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386,545</w:t>
            </w:r>
          </w:p>
        </w:tc>
        <w:tc>
          <w:tcPr>
            <w:tcW w:w="2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2,237,103</w:t>
            </w:r>
          </w:p>
        </w:tc>
      </w:tr>
      <w:tr>
        <w:trPr>
          <w:trHeight w:val="243"/>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Decrease in interest rate</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52,554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(78,182 )</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(208,918 )</w:t>
            </w:r>
          </w:p>
        </w:tc>
      </w:tr>
    </w:tbl>
    <w:p>
      <w:pPr>
        <w:spacing w:after="0" w:line="242" w:lineRule="exact"/>
        <w:rPr>
          <w:sz w:val="20"/>
          <w:szCs w:val="20"/>
          <w:color w:val="auto"/>
        </w:rPr>
      </w:pPr>
    </w:p>
    <w:p>
      <w:pPr>
        <w:ind w:right="100" w:firstLine="374"/>
        <w:spacing w:after="0" w:line="279" w:lineRule="auto"/>
        <w:rPr>
          <w:sz w:val="20"/>
          <w:szCs w:val="20"/>
          <w:color w:val="auto"/>
        </w:rPr>
      </w:pPr>
      <w:r>
        <w:rPr>
          <w:rFonts w:ascii="Arial" w:cs="Arial" w:eastAsia="Arial" w:hAnsi="Arial"/>
          <w:sz w:val="18"/>
          <w:szCs w:val="18"/>
          <w:color w:val="auto"/>
        </w:rPr>
        <w:t>As shown above, net investment income assuming a 1% increase in interest rates would decrease by approximately $1.5 million on an annualized basis. If the increase in rates was more significant, such as 2% or 3%, the net effect on net investment income would be an increase of approximately $387 thousand and $2.2 million, respectively.</w:t>
      </w:r>
    </w:p>
    <w:p>
      <w:pPr>
        <w:spacing w:after="0" w:line="156" w:lineRule="exact"/>
        <w:rPr>
          <w:sz w:val="20"/>
          <w:szCs w:val="20"/>
          <w:color w:val="auto"/>
        </w:rPr>
      </w:pPr>
    </w:p>
    <w:p>
      <w:pPr>
        <w:ind w:right="100" w:firstLine="374"/>
        <w:spacing w:after="0" w:line="275" w:lineRule="auto"/>
        <w:rPr>
          <w:sz w:val="20"/>
          <w:szCs w:val="20"/>
          <w:color w:val="auto"/>
        </w:rPr>
      </w:pPr>
      <w:r>
        <w:rPr>
          <w:rFonts w:ascii="Arial" w:cs="Arial" w:eastAsia="Arial" w:hAnsi="Arial"/>
          <w:sz w:val="18"/>
          <w:szCs w:val="18"/>
          <w:color w:val="auto"/>
        </w:rPr>
        <w:t>On an annualized basis, a decrease in interest rates of 1% would result in an increase in net investment income of approximately $53 thousand. A decrease in interest rates of 2% and 3% would result in a decrease in net investment income of approximately $78 thousand and $209 thousand, respectively. The effect on net investment income from declines in interest rates impacted by interest rate floors on certain of our floating rate investments, as there is no floor on our floating rate debt facility and the 2018-2 Secured Notes.</w:t>
      </w:r>
    </w:p>
    <w:p>
      <w:pPr>
        <w:spacing w:after="0" w:line="145" w:lineRule="exact"/>
        <w:rPr>
          <w:sz w:val="20"/>
          <w:szCs w:val="20"/>
          <w:color w:val="auto"/>
        </w:rPr>
      </w:pPr>
    </w:p>
    <w:p>
      <w:pPr>
        <w:ind w:right="60" w:firstLine="374"/>
        <w:spacing w:after="0" w:line="275"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12" w:lineRule="exact"/>
        <w:rPr>
          <w:sz w:val="20"/>
          <w:szCs w:val="20"/>
          <w:color w:val="auto"/>
        </w:rPr>
      </w:pPr>
    </w:p>
    <w:p>
      <w:pPr>
        <w:ind w:firstLine="374"/>
        <w:spacing w:after="0" w:line="266" w:lineRule="auto"/>
        <w:rPr>
          <w:sz w:val="20"/>
          <w:szCs w:val="20"/>
          <w:color w:val="auto"/>
        </w:rPr>
      </w:pPr>
      <w:r>
        <w:rPr>
          <w:rFonts w:ascii="Arial" w:cs="Arial" w:eastAsia="Arial" w:hAnsi="Arial"/>
          <w:sz w:val="18"/>
          <w:szCs w:val="18"/>
          <w:color w:val="auto"/>
        </w:rPr>
        <w:t>We carry our investments at fair value, as determined in good faith by our Board pursuant to a valuation methodology approved by our Board. Investments for which market quotations are generally readily available are generally valued at such market quotations. Investments for which there is not a readily available market value are valued at fair value as determined in good faith by our Board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5" w:name="page106"/>
    <w:bookmarkEnd w:id="105"/>
    <w:p>
      <w:pPr>
        <w:spacing w:after="0" w:line="288" w:lineRule="auto"/>
        <w:rPr>
          <w:sz w:val="20"/>
          <w:szCs w:val="20"/>
          <w:color w:val="auto"/>
        </w:rPr>
      </w:pPr>
      <w:r>
        <w:rPr>
          <w:rFonts w:ascii="Arial" w:cs="Arial" w:eastAsia="Arial" w:hAnsi="Arial"/>
          <w:sz w:val="17"/>
          <w:szCs w:val="17"/>
          <w:color w:val="auto"/>
        </w:rPr>
        <w:t>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54" w:lineRule="exact"/>
        <w:rPr>
          <w:sz w:val="20"/>
          <w:szCs w:val="20"/>
          <w:color w:val="auto"/>
        </w:rPr>
      </w:pPr>
    </w:p>
    <w:p>
      <w:pPr>
        <w:ind w:right="180" w:firstLine="374"/>
        <w:spacing w:after="0" w:line="292"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Board. Each quarter, the independent valuation firm will perform third party valuations on the Company’s material investments in illiquid securities such that they are reviewed at least once during a trailing 12-month period. These third-party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1" w:lineRule="exact"/>
        <w:rPr>
          <w:sz w:val="20"/>
          <w:szCs w:val="20"/>
          <w:color w:val="auto"/>
        </w:rPr>
      </w:pPr>
    </w:p>
    <w:p>
      <w:pPr>
        <w:ind w:right="20" w:firstLine="374"/>
        <w:spacing w:after="0" w:line="269" w:lineRule="auto"/>
        <w:rPr>
          <w:sz w:val="20"/>
          <w:szCs w:val="20"/>
          <w:color w:val="auto"/>
        </w:rPr>
      </w:pPr>
      <w:r>
        <w:rPr>
          <w:rFonts w:ascii="Arial" w:cs="Arial" w:eastAsia="Arial" w:hAnsi="Arial"/>
          <w:sz w:val="18"/>
          <w:szCs w:val="18"/>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to ensure that information required to be disclosed by us in reports that we file or submit under the Exchange Acts recorded, processed, summarized, and reported within the time periods specified in the SEC’s rules and forms, and that information required to be disclosed by us in the reports that we file or submit under the Exchange Act is accumulated and communicated to our management, including our CEO and CFO, as appropriate to allow timely decisions regarding required disclosures as of the end of the period covered by this report.</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12" w:lineRule="exact"/>
        <w:rPr>
          <w:sz w:val="20"/>
          <w:szCs w:val="20"/>
          <w:color w:val="auto"/>
        </w:rPr>
      </w:pPr>
    </w:p>
    <w:p>
      <w:pPr>
        <w:ind w:right="40" w:firstLine="374"/>
        <w:spacing w:after="0" w:line="266" w:lineRule="auto"/>
        <w:rPr>
          <w:sz w:val="20"/>
          <w:szCs w:val="20"/>
          <w:color w:val="auto"/>
        </w:rPr>
      </w:pPr>
      <w:r>
        <w:rPr>
          <w:rFonts w:ascii="Arial" w:cs="Arial" w:eastAsia="Arial" w:hAnsi="Arial"/>
          <w:sz w:val="18"/>
          <w:szCs w:val="18"/>
          <w:color w:val="auto"/>
        </w:rPr>
        <w:t>There have been no changes in our internal control over financial reporting during the period ended September 30, 2021 that have materially affected, or are reasonably likely to materially affect, our internal control over financial reporting.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6" w:name="page107"/>
    <w:bookmarkEnd w:id="106"/>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The Company is not currently a party to any material legal proceedings except as set forth below.</w:t>
      </w:r>
    </w:p>
    <w:p>
      <w:pPr>
        <w:spacing w:after="0" w:line="131" w:lineRule="exact"/>
        <w:rPr>
          <w:sz w:val="20"/>
          <w:szCs w:val="20"/>
          <w:color w:val="auto"/>
        </w:rPr>
      </w:pPr>
    </w:p>
    <w:p>
      <w:pPr>
        <w:ind w:firstLine="374"/>
        <w:spacing w:after="0" w:line="286" w:lineRule="auto"/>
        <w:rPr>
          <w:sz w:val="20"/>
          <w:szCs w:val="20"/>
          <w:color w:val="auto"/>
        </w:rPr>
      </w:pPr>
      <w:r>
        <w:rPr>
          <w:rFonts w:ascii="Arial" w:cs="Arial" w:eastAsia="Arial" w:hAnsi="Arial"/>
          <w:sz w:val="17"/>
          <w:szCs w:val="17"/>
          <w:color w:val="auto"/>
        </w:rPr>
        <w:t xml:space="preserve">HCAP and certain of its officer and directors as well as JMP Group LLC were named as defendants in two putative stockholder class action lawsuits, both filed in the Court of Chancery in the State of Delaware, captioned </w:t>
      </w:r>
      <w:r>
        <w:rPr>
          <w:rFonts w:ascii="Arial" w:cs="Arial" w:eastAsia="Arial" w:hAnsi="Arial"/>
          <w:sz w:val="17"/>
          <w:szCs w:val="17"/>
          <w:i w:val="1"/>
          <w:iCs w:val="1"/>
          <w:color w:val="auto"/>
        </w:rPr>
        <w:t>Stewart Thompson v. Joseph Jolson, et al.</w:t>
      </w:r>
      <w:r>
        <w:rPr>
          <w:rFonts w:ascii="Arial" w:cs="Arial" w:eastAsia="Arial" w:hAnsi="Arial"/>
          <w:sz w:val="17"/>
          <w:szCs w:val="17"/>
          <w:color w:val="auto"/>
        </w:rPr>
        <w:t xml:space="preserve">, Case No. 2021-0164 and </w:t>
      </w:r>
      <w:r>
        <w:rPr>
          <w:rFonts w:ascii="Arial" w:cs="Arial" w:eastAsia="Arial" w:hAnsi="Arial"/>
          <w:sz w:val="17"/>
          <w:szCs w:val="17"/>
          <w:i w:val="1"/>
          <w:iCs w:val="1"/>
          <w:color w:val="auto"/>
        </w:rPr>
        <w:t>Ronald Tornese</w:t>
      </w:r>
      <w:r>
        <w:rPr>
          <w:rFonts w:ascii="Arial" w:cs="Arial" w:eastAsia="Arial" w:hAnsi="Arial"/>
          <w:sz w:val="17"/>
          <w:szCs w:val="17"/>
          <w:color w:val="auto"/>
        </w:rPr>
        <w:t xml:space="preserve"> </w:t>
      </w:r>
      <w:r>
        <w:rPr>
          <w:rFonts w:ascii="Arial" w:cs="Arial" w:eastAsia="Arial" w:hAnsi="Arial"/>
          <w:sz w:val="17"/>
          <w:szCs w:val="17"/>
          <w:i w:val="1"/>
          <w:iCs w:val="1"/>
          <w:color w:val="auto"/>
        </w:rPr>
        <w:t>v. Joseph Jolson, et al.</w:t>
      </w:r>
      <w:r>
        <w:rPr>
          <w:rFonts w:ascii="Arial" w:cs="Arial" w:eastAsia="Arial" w:hAnsi="Arial"/>
          <w:sz w:val="17"/>
          <w:szCs w:val="17"/>
          <w:color w:val="auto"/>
        </w:rPr>
        <w:t>, Case No. 2021-0167 (the “Delaware Actions”). The complaints in the Delaware Actions allege certain breaches of fiduciary duties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against the defendants as well as aiding and abetting claims against JMP Group LLC and HCAP’s Chief Executive Officer concerning HCAP’s proposed merger with the Company and Acquisition Sub that resulted in the merger with and into the Company. In addition, HCAP and certain of its officer and directors, among others, were named as defendants in stockholder actions, filed in the Supreme Court of the State of New York, captioned </w:t>
      </w:r>
      <w:r>
        <w:rPr>
          <w:rFonts w:ascii="Arial" w:cs="Arial" w:eastAsia="Arial" w:hAnsi="Arial"/>
          <w:sz w:val="17"/>
          <w:szCs w:val="17"/>
          <w:i w:val="1"/>
          <w:iCs w:val="1"/>
          <w:color w:val="auto"/>
        </w:rPr>
        <w:t>Greg</w:t>
      </w:r>
      <w:r>
        <w:rPr>
          <w:rFonts w:ascii="Arial" w:cs="Arial" w:eastAsia="Arial" w:hAnsi="Arial"/>
          <w:sz w:val="17"/>
          <w:szCs w:val="17"/>
          <w:color w:val="auto"/>
        </w:rPr>
        <w:t xml:space="preserve"> </w:t>
      </w:r>
      <w:r>
        <w:rPr>
          <w:rFonts w:ascii="Arial" w:cs="Arial" w:eastAsia="Arial" w:hAnsi="Arial"/>
          <w:sz w:val="17"/>
          <w:szCs w:val="17"/>
          <w:i w:val="1"/>
          <w:iCs w:val="1"/>
          <w:color w:val="auto"/>
        </w:rPr>
        <w:t>Ramanauskas v. Harvest Capital Credit Corp, et al</w:t>
      </w:r>
      <w:r>
        <w:rPr>
          <w:rFonts w:ascii="Arial" w:cs="Arial" w:eastAsia="Arial" w:hAnsi="Arial"/>
          <w:sz w:val="17"/>
          <w:szCs w:val="17"/>
          <w:color w:val="auto"/>
        </w:rPr>
        <w:t>., Case No. 651524/2021, alleging certain breaches of fiduciary duties against individual defendants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aiding and abetting claims against HCAP, the Company, Acquisition Sub, and the Adviser (the “New York State Action”) and in the Eastern District of New York, captioned </w:t>
      </w:r>
      <w:r>
        <w:rPr>
          <w:rFonts w:ascii="Arial" w:cs="Arial" w:eastAsia="Arial" w:hAnsi="Arial"/>
          <w:sz w:val="17"/>
          <w:szCs w:val="17"/>
          <w:i w:val="1"/>
          <w:iCs w:val="1"/>
          <w:color w:val="auto"/>
        </w:rPr>
        <w:t>Kyle Kruchok v. Harvest Capital Credit Corp., et al.</w:t>
      </w:r>
      <w:r>
        <w:rPr>
          <w:rFonts w:ascii="Arial" w:cs="Arial" w:eastAsia="Arial" w:hAnsi="Arial"/>
          <w:sz w:val="17"/>
          <w:szCs w:val="17"/>
          <w:color w:val="auto"/>
        </w:rPr>
        <w:t>, Case No. 1:21-cv-01573, alleging violations of Section 14(a) of the Exchange Act against HCAP and certain officers and directors, and Section 20(a) of the Exchange Act against individual defendants (the “New York Federal Action”) (collectively with the Delaware Actions, the “Litigations”).</w:t>
      </w:r>
    </w:p>
    <w:p>
      <w:pPr>
        <w:spacing w:after="0" w:line="70" w:lineRule="exact"/>
        <w:rPr>
          <w:sz w:val="20"/>
          <w:szCs w:val="20"/>
          <w:color w:val="auto"/>
        </w:rPr>
      </w:pPr>
    </w:p>
    <w:p>
      <w:pPr>
        <w:ind w:firstLine="374"/>
        <w:spacing w:after="0" w:line="288" w:lineRule="auto"/>
        <w:rPr>
          <w:sz w:val="20"/>
          <w:szCs w:val="20"/>
          <w:color w:val="auto"/>
        </w:rPr>
      </w:pPr>
      <w:r>
        <w:rPr>
          <w:rFonts w:ascii="Arial" w:cs="Arial" w:eastAsia="Arial" w:hAnsi="Arial"/>
          <w:sz w:val="17"/>
          <w:szCs w:val="17"/>
          <w:color w:val="auto"/>
        </w:rPr>
        <w:t>The complaints in the Delaware Actions and the New York State Action generally allege that the defendants breached their fiduciary duties in connection with the proposed merger and caused to be filed with the SEC an allegedly materially incomplete and misleading registration statement on Form N-14 relating to the proposed merger. The complaint in the New York Federal Action generally alleges that the defendants made materially false and misleading statements and/or omissions in the registration statement on Form N-14 relating to the proposed merger. The plaintiffs in the Litigations asked the court to enjoin the proposed merger, and to award attorneys’ fees and costs, among other relief. Further, the plaintiffs in the Delaware Actions ask the court to direct the defendants to account to plaintiffs and the putative class for all damages suffered as a result of the alleged wrongdoing. The plaintiffs in the New York Federal Action also ask for rescissory damages.</w:t>
      </w:r>
    </w:p>
    <w:p>
      <w:pPr>
        <w:spacing w:after="0" w:line="73" w:lineRule="exact"/>
        <w:rPr>
          <w:sz w:val="20"/>
          <w:szCs w:val="20"/>
          <w:color w:val="auto"/>
        </w:rPr>
      </w:pPr>
    </w:p>
    <w:p>
      <w:pPr>
        <w:ind w:right="100" w:firstLine="374"/>
        <w:spacing w:after="0" w:line="275" w:lineRule="auto"/>
        <w:rPr>
          <w:sz w:val="20"/>
          <w:szCs w:val="20"/>
          <w:color w:val="auto"/>
        </w:rPr>
      </w:pPr>
      <w:r>
        <w:rPr>
          <w:rFonts w:ascii="Arial" w:cs="Arial" w:eastAsia="Arial" w:hAnsi="Arial"/>
          <w:sz w:val="18"/>
          <w:szCs w:val="18"/>
          <w:color w:val="auto"/>
        </w:rPr>
        <w:t>On April 19, 2021, plaintiffs in the Delaware Action filed a motion for expedited proceedings, which was subsequently withdrawn. On June 9, 2021, HCAP merged with and into the Company with the Company as the surviving corporation. As a result, the Company became responsible for any claims against HCAP as well as for any advancement and/or indemnification owed to the former officers and directors of HCAP. On June 17, 2021, the plaintiffs in the New York Federal Action filed a notice of voluntary dismissal.</w:t>
      </w:r>
    </w:p>
    <w:p>
      <w:pPr>
        <w:spacing w:after="0" w:line="77" w:lineRule="exact"/>
        <w:rPr>
          <w:sz w:val="20"/>
          <w:szCs w:val="20"/>
          <w:color w:val="auto"/>
        </w:rPr>
      </w:pPr>
    </w:p>
    <w:p>
      <w:pPr>
        <w:ind w:right="320" w:firstLine="374"/>
        <w:spacing w:after="0" w:line="292" w:lineRule="auto"/>
        <w:rPr>
          <w:sz w:val="20"/>
          <w:szCs w:val="20"/>
          <w:color w:val="auto"/>
        </w:rPr>
      </w:pPr>
      <w:r>
        <w:rPr>
          <w:rFonts w:ascii="Arial" w:cs="Arial" w:eastAsia="Arial" w:hAnsi="Arial"/>
          <w:sz w:val="17"/>
          <w:szCs w:val="17"/>
          <w:color w:val="auto"/>
        </w:rPr>
        <w:t>The Delaware Actions as well as the New York State Action remain at the early stage. We and the former HCAP officers and directors intend to defend ourselves vigorously against the allegations in the aforementioned actions to the extent they proceed. Neither the outcome of the lawsuits nor an estimate of any reasonably possible losses is determinable at this time. While we and HCAP maintain directors’ and officers’ insurance that provides coverage for claims such as those alleged in the complaints, an adverse judgment for monetary damages in excess of or outside of available insurance coverage could have a material adverse effect on our operations and liquidity.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ind w:right="320" w:firstLine="749"/>
        <w:spacing w:after="0" w:line="292" w:lineRule="auto"/>
        <w:rPr>
          <w:sz w:val="20"/>
          <w:szCs w:val="20"/>
          <w:color w:val="auto"/>
        </w:rPr>
      </w:pPr>
      <w:r>
        <w:rPr>
          <w:rFonts w:ascii="Arial" w:cs="Arial" w:eastAsia="Arial" w:hAnsi="Arial"/>
          <w:sz w:val="18"/>
          <w:szCs w:val="18"/>
          <w:color w:val="auto"/>
        </w:rPr>
        <w:t>Other than the items noted below, there have been no material changes during fiscal 2021 to the risk factors that were included in our Annual Report on Form 10-K for the year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4.875% Notes due 2026</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4.875% Notes due 2026 are unsecured and therefore are effectively subordinated to any secured indebtedness we may incur.</w:t>
      </w:r>
    </w:p>
    <w:p>
      <w:pPr>
        <w:spacing w:after="0" w:line="252" w:lineRule="exact"/>
        <w:rPr>
          <w:sz w:val="20"/>
          <w:szCs w:val="20"/>
          <w:color w:val="auto"/>
        </w:rPr>
      </w:pPr>
    </w:p>
    <w:p>
      <w:pPr>
        <w:ind w:right="60" w:firstLine="749"/>
        <w:spacing w:after="0" w:line="311" w:lineRule="auto"/>
        <w:rPr>
          <w:sz w:val="20"/>
          <w:szCs w:val="20"/>
          <w:color w:val="auto"/>
        </w:rPr>
      </w:pPr>
      <w:r>
        <w:rPr>
          <w:rFonts w:ascii="Arial" w:cs="Arial" w:eastAsia="Arial" w:hAnsi="Arial"/>
          <w:sz w:val="16"/>
          <w:szCs w:val="16"/>
          <w:color w:val="auto"/>
        </w:rPr>
        <w:t>The 4.875% Notes due 2026 are not secured by any of our assets or any of the assets of our subsidiaries. As a result, the 4.875% Notes due 2026 are effectively subordinated to any secured indebtedness we or our subsidiaries have currently incurred or that we or our subsidiaries may incur in the future (or any indebtedness that is initially unsecured in respect of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4.875% Notes due 2026.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4.875% Notes due 2026 will be subordinated structurally to the indebtedness and other liabilities of our subsidiaries.</w:t>
      </w:r>
    </w:p>
    <w:p>
      <w:pPr>
        <w:spacing w:after="0" w:line="252" w:lineRule="exact"/>
        <w:rPr>
          <w:sz w:val="20"/>
          <w:szCs w:val="20"/>
          <w:color w:val="auto"/>
        </w:rPr>
      </w:pPr>
    </w:p>
    <w:p>
      <w:pPr>
        <w:ind w:right="120" w:firstLine="749"/>
        <w:spacing w:after="0" w:line="266" w:lineRule="auto"/>
        <w:rPr>
          <w:sz w:val="20"/>
          <w:szCs w:val="20"/>
          <w:color w:val="auto"/>
        </w:rPr>
      </w:pPr>
      <w:r>
        <w:rPr>
          <w:rFonts w:ascii="Arial" w:cs="Arial" w:eastAsia="Arial" w:hAnsi="Arial"/>
          <w:sz w:val="18"/>
          <w:szCs w:val="18"/>
          <w:color w:val="auto"/>
        </w:rPr>
        <w:t>The 4.875% Notes due 2026 are obligations exclusively of Portman Ridge Finance Corporation and not of any of our subsidiaries. None of our subsidiaries are guarantors of the 4.875% Notes due 2026, and the 4.875% Notes due 2026 will not be required to be guaranteed by any subsidiaries we may acquire or create in the future. Except to the extent we are a creditor with recognized claims against our subsidiaries, all claims of creditors, including trade creditors, of our subsidiaries will have priority over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7" w:name="page108"/>
    <w:bookmarkEnd w:id="107"/>
    <w:p>
      <w:pPr>
        <w:ind w:right="80"/>
        <w:spacing w:after="0" w:line="270" w:lineRule="auto"/>
        <w:rPr>
          <w:sz w:val="20"/>
          <w:szCs w:val="20"/>
          <w:color w:val="auto"/>
        </w:rPr>
      </w:pPr>
      <w:r>
        <w:rPr>
          <w:rFonts w:ascii="Arial" w:cs="Arial" w:eastAsia="Arial" w:hAnsi="Arial"/>
          <w:sz w:val="18"/>
          <w:szCs w:val="18"/>
          <w:color w:val="auto"/>
        </w:rPr>
        <w:t>our claims (and therefore the claims of our creditors, including holders of the 4.875% Notes due 2026) with respect to the assets of such subsidiaries. Even if we were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4.875% Notes due 2026 are subordinated structurally to all indebtedness and other liabilities of any of our subsidiaries and any subsidiaries that we may in the future acquire or establish as financing vehicles or otherwise. All of the existing indebtedness of our subsidiaries is structurally senior to the 4.875% Notes due 2026. In addition, our subsidiaries may incur substantial additional indebtedness in the future, all of which would be structurally senior to the 4.875% Notes due 2026.</w:t>
      </w:r>
    </w:p>
    <w:p>
      <w:pPr>
        <w:spacing w:after="0" w:line="206"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There is currently no public market for the 4.875% Notes due 2026. If an active trading market for the 4.875% Notes due 2026 does not develop or is not maintained, holders of the 4.875% Notes due 2026 may not be able to sell them.</w:t>
      </w:r>
    </w:p>
    <w:p>
      <w:pPr>
        <w:spacing w:after="0" w:line="183" w:lineRule="exact"/>
        <w:rPr>
          <w:sz w:val="20"/>
          <w:szCs w:val="20"/>
          <w:color w:val="auto"/>
        </w:rPr>
      </w:pPr>
    </w:p>
    <w:p>
      <w:pPr>
        <w:ind w:firstLine="749"/>
        <w:spacing w:after="0" w:line="287" w:lineRule="auto"/>
        <w:rPr>
          <w:sz w:val="20"/>
          <w:szCs w:val="20"/>
          <w:color w:val="auto"/>
        </w:rPr>
      </w:pPr>
      <w:r>
        <w:rPr>
          <w:rFonts w:ascii="Arial" w:cs="Arial" w:eastAsia="Arial" w:hAnsi="Arial"/>
          <w:sz w:val="17"/>
          <w:szCs w:val="17"/>
          <w:color w:val="auto"/>
        </w:rPr>
        <w:t>The 4.875% Notes due 2026 are a new issue of debt securities for which there currently is no trading market. We do not currently intend to apply for listing of the 4.875% Notes due 2026 on any securities exchange or for quotation of the 4.875% Notes due 2026 on any automated dealer quotation system. If no active trading market develops, you may not be able to resell your 4.875% Notes due 2026 at their fair market value or at all. If the 4.875% Notes due 2026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Accordingly, we cannot assure you that an active and liquid trading market will develop or continue for the 4.875% Notes due 2026, that you will be able to sell your 4.875% Notes due 2026 at a particular time or that the price you receive when you sell will be favorable. To the extent an active trading market does not develop, the liquidity and trading price for the 4.875% Notes due 2026 may be harmed. Accordingly, you may be required to bear the financial risk of an investment in the 4.875% Notes due 2026 for an indefinite period of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restrictions on the ability to transfer or resell the 4.875% Notes due 2026.</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4.875% Notes due 2026 have not been registered under the Securities Act of 1933, as amended (the “Securities Act”). Accordingly,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4.875% Notes due 2026 may only be offered or sold in transactions that are not subject to, or that are otherwise exempt from, the registration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the Securities Act and applicable state securities laws or pursuant to an effective registration statement. Therefore, you may transfer or resell the 4.875%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Notes due 2026 in the U.S. only in a transaction exempt from the registration requirements of Securities Act and applicable state securities laws or pursuant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an effective registration statement, and you may be required to bear the risk of your investment until the maturity of the 4.875% Notes due 2026.</w:t>
      </w:r>
    </w:p>
    <w:p>
      <w:pPr>
        <w:spacing w:after="0" w:line="263" w:lineRule="exact"/>
        <w:rPr>
          <w:sz w:val="20"/>
          <w:szCs w:val="20"/>
          <w:color w:val="auto"/>
        </w:rPr>
      </w:pPr>
    </w:p>
    <w:p>
      <w:pPr>
        <w:ind w:right="80" w:firstLine="749"/>
        <w:spacing w:after="0" w:line="306" w:lineRule="auto"/>
        <w:rPr>
          <w:sz w:val="20"/>
          <w:szCs w:val="20"/>
          <w:color w:val="auto"/>
        </w:rPr>
      </w:pPr>
      <w:r>
        <w:rPr>
          <w:rFonts w:ascii="Arial" w:cs="Arial" w:eastAsia="Arial" w:hAnsi="Arial"/>
          <w:sz w:val="16"/>
          <w:szCs w:val="16"/>
          <w:color w:val="auto"/>
        </w:rPr>
        <w:t>Although under the registration rights agreement we are required to consummate an offer to exchange the 4.875% Notes due 2026 for substantially equivalent registered securities or to register the resale of the 4.875% Notes due 2026, until the exchange offer is consummated or such a registration statement has been declared effective, as the case may be, holders of the 4.875% Notes due 2026 may not offer or sell the 4.875% Notes due 2026 except pursuant to an exemption from, or in a transaction not subject to, the registration requirements of the Securities Act and applicable state securities laws or pursuant to an effective registration statement. The SEC, however, has broad discretion to determine whether any registration statement will be declared effective and may delay or deny effectiveness of any such registration statement filed by us for a variety of reasons. Our ability to have declared effective by the SEC a registration statement pertaining to the registered exchange offer on a timely basis will depend upon our ability to resolve any issues that may be raised by the SEC. We have filed a registration statement with respect to the 4.875% Notes due 2026, but no assurance can be given as to when a registration statement with respect to the 4.875% Notes due 2026 will become effective, if at all. Failure to have the registration statement become effective could adversely affect the liquidity and price of the 4.875% Notes due 2026.</w:t>
      </w:r>
    </w:p>
    <w:p>
      <w:pPr>
        <w:spacing w:after="0" w:line="179" w:lineRule="exact"/>
        <w:rPr>
          <w:sz w:val="20"/>
          <w:szCs w:val="20"/>
          <w:color w:val="auto"/>
        </w:rPr>
      </w:pPr>
    </w:p>
    <w:p>
      <w:pPr>
        <w:ind w:right="640"/>
        <w:spacing w:after="0" w:line="293" w:lineRule="auto"/>
        <w:rPr>
          <w:sz w:val="20"/>
          <w:szCs w:val="20"/>
          <w:color w:val="auto"/>
        </w:rPr>
      </w:pPr>
      <w:r>
        <w:rPr>
          <w:rFonts w:ascii="Arial" w:cs="Arial" w:eastAsia="Arial" w:hAnsi="Arial"/>
          <w:sz w:val="18"/>
          <w:szCs w:val="18"/>
          <w:b w:val="1"/>
          <w:bCs w:val="1"/>
          <w:i w:val="1"/>
          <w:iCs w:val="1"/>
          <w:color w:val="auto"/>
        </w:rPr>
        <w:t>Our current indebtedness could adversely affect our business, financial condition and results of operations and our ability to meet our payment obligations under the 4.875% Notes due 2026 and our other debt.</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23" w:lineRule="exact"/>
        <w:rPr>
          <w:sz w:val="20"/>
          <w:szCs w:val="20"/>
          <w:color w:val="auto"/>
        </w:rPr>
      </w:pPr>
    </w:p>
    <w:p>
      <w:pPr>
        <w:ind w:left="1080" w:right="100"/>
        <w:spacing w:after="0" w:line="281" w:lineRule="auto"/>
        <w:rPr>
          <w:sz w:val="20"/>
          <w:szCs w:val="20"/>
          <w:color w:val="auto"/>
        </w:rPr>
      </w:pPr>
      <w:r>
        <w:rPr>
          <w:rFonts w:ascii="Arial" w:cs="Arial" w:eastAsia="Arial" w:hAnsi="Arial"/>
          <w:sz w:val="17"/>
          <w:szCs w:val="17"/>
          <w:color w:val="auto"/>
        </w:rPr>
        <w:t>making it more difficult for us to meet our payment and other obligations under the 4.875% Notes due 2026 and our other outstanding debt; resulting in an event of default if we fail to comply with the financial and other restrictive covenants contained in our financing arrangements, which event of default could result in substantially all of our debt becoming immediately due and payable;</w:t>
      </w:r>
    </w:p>
    <w:p>
      <w:pPr>
        <w:spacing w:after="0" w:line="2" w:lineRule="exact"/>
        <w:rPr>
          <w:sz w:val="20"/>
          <w:szCs w:val="20"/>
          <w:color w:val="auto"/>
        </w:rPr>
      </w:pPr>
    </w:p>
    <w:p>
      <w:pPr>
        <w:ind w:left="1080" w:right="140"/>
        <w:spacing w:after="0" w:line="266" w:lineRule="auto"/>
        <w:rPr>
          <w:sz w:val="20"/>
          <w:szCs w:val="20"/>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ind w:left="1080" w:right="760"/>
        <w:spacing w:after="0" w:line="266" w:lineRule="auto"/>
        <w:rPr>
          <w:sz w:val="20"/>
          <w:szCs w:val="20"/>
          <w:color w:val="auto"/>
        </w:rPr>
      </w:pPr>
      <w:r>
        <w:rPr>
          <w:rFonts w:ascii="Arial" w:cs="Arial" w:eastAsia="Arial" w:hAnsi="Arial"/>
          <w:sz w:val="18"/>
          <w:szCs w:val="18"/>
          <w:color w:val="auto"/>
        </w:rPr>
        <w:t>subjecting us to the risk of increased sensitivity to interest rate increases on our indebtedness with variable interest rates, including borrowings under our financing arrangements; and</w:t>
      </w:r>
    </w:p>
    <w:p>
      <w:pPr>
        <w:ind w:left="1080" w:right="160"/>
        <w:spacing w:after="0" w:line="266" w:lineRule="auto"/>
        <w:rPr>
          <w:sz w:val="20"/>
          <w:szCs w:val="20"/>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8" w:name="page109"/>
    <w:bookmarkEnd w:id="108"/>
    <w:p>
      <w:pPr>
        <w:ind w:right="80" w:firstLine="749"/>
        <w:spacing w:after="0" w:line="293"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4.875% Notes due 2026 and our other debt.</w:t>
      </w:r>
    </w:p>
    <w:p>
      <w:pPr>
        <w:spacing w:after="0" w:line="183" w:lineRule="exact"/>
        <w:rPr>
          <w:sz w:val="20"/>
          <w:szCs w:val="20"/>
          <w:color w:val="auto"/>
        </w:rPr>
      </w:pPr>
    </w:p>
    <w:p>
      <w:pPr>
        <w:ind w:right="60" w:firstLine="749"/>
        <w:spacing w:after="0" w:line="269" w:lineRule="auto"/>
        <w:rPr>
          <w:sz w:val="20"/>
          <w:szCs w:val="20"/>
          <w:color w:val="auto"/>
        </w:rPr>
      </w:pPr>
      <w:r>
        <w:rPr>
          <w:rFonts w:ascii="Arial" w:cs="Arial" w:eastAsia="Arial" w:hAnsi="Arial"/>
          <w:sz w:val="18"/>
          <w:szCs w:val="18"/>
          <w:color w:val="auto"/>
        </w:rPr>
        <w:t>Our ability to meet our payment and other obligations under our financing arrangements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financing arrangements or otherwise, in an amount sufficient to enable us to meet our payment obligations under the 4.875% Notes due 2026 and our other debt and to fund other liquidity needs. If we are not able to generate sufficient cash flow to service our debt obligations, we may need to refinance or restructure our debt, including the 4.875% Notes due 2026, sell assets, reduce or delay capital investments, or seek to raise additional capital. If we are unable to implement one or more of these alternatives, we may not be able to meet our payment obligations under the 4.875% Notes due 2026 and our other debt.</w:t>
      </w:r>
    </w:p>
    <w:p>
      <w:pPr>
        <w:spacing w:after="0" w:line="210"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A downgrade, suspension or withdrawal of the credit rating assigned by a rating agency to us or the 4.875% Notes due 2026 could cause the liquidity or market value of the 4.875% Notes due 2026 to decline significantly.</w:t>
      </w:r>
    </w:p>
    <w:p>
      <w:pPr>
        <w:spacing w:after="0" w:line="183" w:lineRule="exact"/>
        <w:rPr>
          <w:sz w:val="20"/>
          <w:szCs w:val="20"/>
          <w:color w:val="auto"/>
        </w:rPr>
      </w:pPr>
    </w:p>
    <w:p>
      <w:pPr>
        <w:ind w:right="20" w:firstLine="749"/>
        <w:spacing w:after="0" w:line="275" w:lineRule="auto"/>
        <w:rPr>
          <w:sz w:val="20"/>
          <w:szCs w:val="20"/>
          <w:color w:val="auto"/>
        </w:rPr>
      </w:pPr>
      <w:r>
        <w:rPr>
          <w:rFonts w:ascii="Arial" w:cs="Arial" w:eastAsia="Arial" w:hAnsi="Arial"/>
          <w:sz w:val="18"/>
          <w:szCs w:val="18"/>
          <w:color w:val="auto"/>
        </w:rPr>
        <w:t>Our credit ratings are an assessment by rating agencies of our ability to pay our debts when due. Consequently, real or anticipated changes in our credit ratings will generally affect the market value of the 4.875% Notes due 2026. These credit ratings may not reflect the potential impact of risks relating to the structure or marketing of the 4.875% Notes due 2026. Credit ratings are not a recommendation to buy, sell or hold any security, and may be revised or withdrawn at any time by the issuing organization in its sole discretion.</w:t>
      </w:r>
    </w:p>
    <w:p>
      <w:pPr>
        <w:spacing w:after="0" w:line="199" w:lineRule="exact"/>
        <w:rPr>
          <w:sz w:val="20"/>
          <w:szCs w:val="20"/>
          <w:color w:val="auto"/>
        </w:rPr>
      </w:pPr>
    </w:p>
    <w:p>
      <w:pPr>
        <w:jc w:val="both"/>
        <w:ind w:right="140" w:firstLine="749"/>
        <w:spacing w:after="0" w:line="303" w:lineRule="auto"/>
        <w:rPr>
          <w:sz w:val="20"/>
          <w:szCs w:val="20"/>
          <w:color w:val="auto"/>
        </w:rPr>
      </w:pPr>
      <w:r>
        <w:rPr>
          <w:rFonts w:ascii="Arial" w:cs="Arial" w:eastAsia="Arial" w:hAnsi="Arial"/>
          <w:sz w:val="17"/>
          <w:szCs w:val="17"/>
          <w:color w:val="auto"/>
        </w:rPr>
        <w:t>The 4.875% Notes due 2026 are rated by Egan-Jones Ratings Company (“EJR”). There can be no assurance that EJR’s credit rating will remain for any given period of time or that such credit rating will not be lowered or withdrawn entirely by EJR if in its judgment future circumstances relating to the basis of the credit rating, such as adverse changes in our business, financial condition and results of operations, so warrant.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governing the 4.875% Notes due 2026 contains limited protection for holders of the 4.875% Notes due 2026.</w:t>
      </w:r>
    </w:p>
    <w:p>
      <w:pPr>
        <w:spacing w:after="0" w:line="252" w:lineRule="exact"/>
        <w:rPr>
          <w:sz w:val="20"/>
          <w:szCs w:val="20"/>
          <w:color w:val="auto"/>
        </w:rPr>
      </w:pPr>
    </w:p>
    <w:p>
      <w:pPr>
        <w:ind w:right="420" w:firstLine="749"/>
        <w:spacing w:after="0" w:line="282" w:lineRule="auto"/>
        <w:rPr>
          <w:sz w:val="20"/>
          <w:szCs w:val="20"/>
          <w:color w:val="auto"/>
        </w:rPr>
      </w:pPr>
      <w:r>
        <w:rPr>
          <w:rFonts w:ascii="Arial" w:cs="Arial" w:eastAsia="Arial" w:hAnsi="Arial"/>
          <w:sz w:val="17"/>
          <w:szCs w:val="17"/>
          <w:color w:val="auto"/>
        </w:rPr>
        <w:t>The indenture governing the 4.875% Notes due 2026 offers limited protection to holders of the 4.875% Notes due 2026. The terms of the indenture and the 4.875% Notes due 2026 do not restrict our or any of our subsidiaries’ ability to engage in, or otherwise be a party to, a variety of corporate transactions, circumstances or events that could have an adverse impact on your investment in the 4.875% Notes due 2026. In particular, the terms of the indenture and the 4.875% Notes due 2026 do not place any restrictions on our or our subsidiaries’ ability to:</w:t>
      </w:r>
    </w:p>
    <w:p>
      <w:pPr>
        <w:ind w:left="1080"/>
        <w:spacing w:after="0" w:line="281" w:lineRule="auto"/>
        <w:rPr>
          <w:sz w:val="20"/>
          <w:szCs w:val="20"/>
          <w:color w:val="auto"/>
        </w:rPr>
      </w:pPr>
      <w:r>
        <w:rPr>
          <w:rFonts w:ascii="Arial" w:cs="Arial" w:eastAsia="Arial" w:hAnsi="Arial"/>
          <w:sz w:val="17"/>
          <w:szCs w:val="17"/>
          <w:color w:val="auto"/>
        </w:rPr>
        <w:t>issue securities or otherwise incur additional indebtedness or other obligations, including (1) any indebtedness or other obligations that would be equal in right of payment to the 4.875% Notes due 2026, (2) any indebtedness or other obligations that would be secured and therefore rank effectively senior in right of payment to the 4.875% Notes due 2026 to the extent of the values of the assets securing such debt, (3) indebtedness of ours that is guaranteed by one or more of our subsidiaries and which therefore is structurally senior to the 4.875% Notes due 2026 and (4) securities, indebtedness or obligations issued or incurred by our subsidiaries that would be senior to our equity interests in our subsidiaries and therefore rank structurally senior to the 4.875% Notes due 2026 with respect to the assets of our subsidiaries, in each case other than an incurrence of indebtedness that would cause a violation of Section 18(a)(1)(A) of the 1940 Act as modified by Section 61(a)(2) of the 1940 Act;</w:t>
      </w:r>
    </w:p>
    <w:p>
      <w:pPr>
        <w:spacing w:after="0" w:line="5" w:lineRule="exact"/>
        <w:rPr>
          <w:sz w:val="20"/>
          <w:szCs w:val="20"/>
          <w:color w:val="auto"/>
        </w:rPr>
      </w:pPr>
    </w:p>
    <w:p>
      <w:pPr>
        <w:ind w:left="1080" w:right="80"/>
        <w:spacing w:after="0" w:line="281" w:lineRule="auto"/>
        <w:rPr>
          <w:sz w:val="20"/>
          <w:szCs w:val="20"/>
          <w:color w:val="auto"/>
        </w:rPr>
      </w:pPr>
      <w:r>
        <w:rPr>
          <w:rFonts w:ascii="Arial" w:cs="Arial" w:eastAsia="Arial" w:hAnsi="Arial"/>
          <w:sz w:val="17"/>
          <w:szCs w:val="17"/>
          <w:color w:val="auto"/>
        </w:rPr>
        <w:t>pay dividends on, or purchase or redeem or make any payments in respect of, capital stock or other securities ranking junior in right of payment to the 4.875% Notes due 2026, including preferred stock or subordinated indebtedness, in each case other than dividends, purchases, redemptions or payments that would cause a violation of Section 18(a)(1)(B) as modified by Section 61(a)(2) of the 1940 Act or any successor provisions, giving effect to any no-action relief granted by the SEC to another BDC and upon which we may reasonably rely (or to us if we determine to seek such similar SEC no-action or other relief) permitting the BDC to declare any cash dividend or distribution notwithstanding the prohibition contained in Section 18(a)(1)(B) as modified by Section 61(a)(2) of the 1940 Act in order to maintain the BDC’s status as a RIC under Subchapter M of the Code;</w:t>
      </w:r>
    </w:p>
    <w:p>
      <w:pPr>
        <w:spacing w:after="0" w:line="4" w:lineRule="exact"/>
        <w:rPr>
          <w:sz w:val="20"/>
          <w:szCs w:val="20"/>
          <w:color w:val="auto"/>
        </w:rPr>
      </w:pPr>
    </w:p>
    <w:p>
      <w:pPr>
        <w:ind w:left="1080" w:right="940"/>
        <w:spacing w:after="0" w:line="266" w:lineRule="auto"/>
        <w:rPr>
          <w:sz w:val="20"/>
          <w:szCs w:val="20"/>
          <w:color w:val="auto"/>
        </w:rPr>
      </w:pPr>
      <w:r>
        <w:rPr>
          <w:rFonts w:ascii="Arial" w:cs="Arial" w:eastAsia="Arial" w:hAnsi="Arial"/>
          <w:sz w:val="18"/>
          <w:szCs w:val="18"/>
          <w:color w:val="auto"/>
        </w:rPr>
        <w:t>sell assets (other than certain limited restrictions on our ability to consolidate, merge or sell all or substantially all of our assets); enter into transactions with affiliates;</w:t>
      </w:r>
    </w:p>
    <w:p>
      <w:pPr>
        <w:ind w:left="1080" w:right="2500"/>
        <w:spacing w:after="0" w:line="266" w:lineRule="auto"/>
        <w:rPr>
          <w:sz w:val="20"/>
          <w:szCs w:val="20"/>
          <w:color w:val="auto"/>
        </w:rPr>
      </w:pPr>
      <w:r>
        <w:rPr>
          <w:rFonts w:ascii="Arial" w:cs="Arial" w:eastAsia="Arial" w:hAnsi="Arial"/>
          <w:sz w:val="18"/>
          <w:szCs w:val="18"/>
          <w:color w:val="auto"/>
        </w:rPr>
        <w:t>create liens (including liens on the shares of our subsidiaries) or enter into sale and leaseback transactions; make investments; or</w:t>
      </w:r>
    </w:p>
    <w:p>
      <w:pPr>
        <w:ind w:left="1080"/>
        <w:spacing w:after="0"/>
        <w:rPr>
          <w:sz w:val="20"/>
          <w:szCs w:val="20"/>
          <w:color w:val="auto"/>
        </w:rPr>
      </w:pPr>
      <w:r>
        <w:rPr>
          <w:rFonts w:ascii="Arial" w:cs="Arial" w:eastAsia="Arial" w:hAnsi="Arial"/>
          <w:sz w:val="18"/>
          <w:szCs w:val="18"/>
          <w:color w:val="auto"/>
        </w:rPr>
        <w:t>create restrictions on the payment of dividends or other amounts to us from our subsidiaries.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9" w:name="page110"/>
    <w:bookmarkEnd w:id="109"/>
    <w:p>
      <w:pPr>
        <w:ind w:right="40" w:firstLine="749"/>
        <w:spacing w:after="0" w:line="275" w:lineRule="auto"/>
        <w:rPr>
          <w:sz w:val="20"/>
          <w:szCs w:val="20"/>
          <w:color w:val="auto"/>
        </w:rPr>
      </w:pPr>
      <w:r>
        <w:rPr>
          <w:rFonts w:ascii="Arial" w:cs="Arial" w:eastAsia="Arial" w:hAnsi="Arial"/>
          <w:sz w:val="18"/>
          <w:szCs w:val="18"/>
          <w:color w:val="auto"/>
        </w:rPr>
        <w:t>In addition, the terms of the indenture and the 4.875% Notes due 2026 do not protect holders of the 4.875% Notes due 2026 in the event that we experience changes (including significant adverse changes) in our financial condition, results of operations or credit ratings, as they will not require that we or our subsidiaries adhere to any financial tests or ratios or specified levels of net worth, revenues, income, cash flow or liquidity other than as described above.</w:t>
      </w:r>
    </w:p>
    <w:p>
      <w:pPr>
        <w:spacing w:after="0" w:line="199" w:lineRule="exact"/>
        <w:rPr>
          <w:sz w:val="20"/>
          <w:szCs w:val="20"/>
          <w:color w:val="auto"/>
        </w:rPr>
      </w:pPr>
    </w:p>
    <w:p>
      <w:pPr>
        <w:jc w:val="both"/>
        <w:ind w:right="400" w:firstLine="749"/>
        <w:spacing w:after="0" w:line="303" w:lineRule="auto"/>
        <w:rPr>
          <w:sz w:val="20"/>
          <w:szCs w:val="20"/>
          <w:color w:val="auto"/>
        </w:rPr>
      </w:pPr>
      <w:r>
        <w:rPr>
          <w:rFonts w:ascii="Arial" w:cs="Arial" w:eastAsia="Arial" w:hAnsi="Arial"/>
          <w:sz w:val="17"/>
          <w:szCs w:val="17"/>
          <w:color w:val="auto"/>
        </w:rPr>
        <w:t>Our ability to recapitalize, incur additional debt and take a number of other actions will not be limited by the terms of the 4.875% Notes due 2026 and may have important consequences for you as a holder of the 4.875% Notes due 2026, including making it more difficult for us to satisfy our obligations with respect to the 4.875% Notes due 2026 or negatively affecting the trading value of the 4.875% Notes due 2026.</w:t>
      </w:r>
    </w:p>
    <w:p>
      <w:pPr>
        <w:spacing w:after="0" w:line="178" w:lineRule="exact"/>
        <w:rPr>
          <w:sz w:val="20"/>
          <w:szCs w:val="20"/>
          <w:color w:val="auto"/>
        </w:rPr>
      </w:pPr>
    </w:p>
    <w:p>
      <w:pPr>
        <w:ind w:right="160" w:firstLine="749"/>
        <w:spacing w:after="0" w:line="279"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indenture and the 4.875% Notes due 2026, including additional covenants and events of default. The issuance or incurrence of any such debt with incremental protections could affect the market for and trading levels and prices of the 4.875% Notes due 2026.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repurchase the 4.875% Notes due 2026 upon a Change of Control Repurchase Event.</w:t>
      </w:r>
    </w:p>
    <w:p>
      <w:pPr>
        <w:spacing w:after="0" w:line="252" w:lineRule="exact"/>
        <w:rPr>
          <w:sz w:val="20"/>
          <w:szCs w:val="20"/>
          <w:color w:val="auto"/>
        </w:rPr>
      </w:pPr>
    </w:p>
    <w:p>
      <w:pPr>
        <w:ind w:firstLine="749"/>
        <w:spacing w:after="0" w:line="269" w:lineRule="auto"/>
        <w:rPr>
          <w:sz w:val="20"/>
          <w:szCs w:val="20"/>
          <w:color w:val="auto"/>
        </w:rPr>
      </w:pPr>
      <w:r>
        <w:rPr>
          <w:rFonts w:ascii="Arial" w:cs="Arial" w:eastAsia="Arial" w:hAnsi="Arial"/>
          <w:sz w:val="18"/>
          <w:szCs w:val="18"/>
          <w:color w:val="auto"/>
        </w:rPr>
        <w:t>We may not be able to repurchase the 4.875% Notes due 2026 upon a Change of Control Repurchase Event (as defined in the indenture governing the 4.875% Notes due 2026) because we may not have sufficient funds. Upon a Change of Control Repurchase Event, holders of the 4.875% Notes due 2026 may require us to repurchase for cash some or all of the 4.875% Notes due 2026 at a repurchase price equal to 100% of the aggregate principal amount of the 4.875% Notes due 2026 being repurchased, plus accrued and unpaid interest to, but not including, the repurchase date. Our failure to purchase such tendered 4.875% Notes due 2026 upon the occurrence of such Change of Control Repurchase Event would cause an event of default under the indenture governing the 4.875% Notes due 2026 and may cause a cross-default under the agreements governing certain of our other indebtedness, which may result in the acceleration of such indebtedness requiring us to repay that indebtedness immediately. If a Change of Control Repurchase Event were to occur, we may not have sufficient funds to repay any such accelerated indebtedness and/or to make the required repurchase of the 4.875% Notes due 2026.</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0" w:name="page111"/>
    <w:bookmarkEnd w:id="110"/>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6" w:lineRule="exact"/>
        <w:rPr>
          <w:sz w:val="20"/>
          <w:szCs w:val="20"/>
          <w:color w:val="auto"/>
        </w:rPr>
      </w:pPr>
    </w:p>
    <w:p>
      <w:pPr>
        <w:ind w:right="80" w:firstLine="374"/>
        <w:spacing w:after="0" w:line="272" w:lineRule="auto"/>
        <w:rPr>
          <w:sz w:val="20"/>
          <w:szCs w:val="20"/>
          <w:color w:val="auto"/>
        </w:rPr>
      </w:pPr>
      <w:r>
        <w:rPr>
          <w:rFonts w:ascii="Arial" w:cs="Arial" w:eastAsia="Arial" w:hAnsi="Arial"/>
          <w:sz w:val="18"/>
          <w:szCs w:val="18"/>
          <w:color w:val="auto"/>
        </w:rPr>
        <w:t>Other than the shares issued pursuant to our dividend reinvestment plan (“DRIP”),we did not engage in any sales of unregistered securities during the nine months ended September 30, 2021, except as previously reported by us on our current reports on Form 8-K. We issued a total of 18,868 shares of common stock under our dividend reinvestment plan (“DRIP”) during the nine months ended September 30, 2021. This issuance was not subject to the registration requirements of the Securities Act. For the nine months ended September 30, 2021, the aggregate value of the shares of our common stock issued under our DRIP was approximately $444 thousand.</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information regarding recent repurchases of shares of our common stock.</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134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Purchased as Part of Publicly</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jc w:val="center"/>
              <w:ind w:right="155"/>
              <w:spacing w:after="0"/>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2"/>
              </w:rPr>
              <w:t>Average Price</w:t>
            </w:r>
          </w:p>
        </w:tc>
        <w:tc>
          <w:tcPr>
            <w:tcW w:w="160" w:type="dxa"/>
            <w:vAlign w:val="bottom"/>
          </w:tcPr>
          <w:p>
            <w:pPr>
              <w:spacing w:after="0"/>
              <w:rPr>
                <w:sz w:val="4"/>
                <w:szCs w:val="4"/>
                <w:color w:val="auto"/>
              </w:rPr>
            </w:pPr>
          </w:p>
        </w:tc>
        <w:tc>
          <w:tcPr>
            <w:tcW w:w="194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Announced Plans or</w:t>
            </w:r>
          </w:p>
        </w:tc>
        <w:tc>
          <w:tcPr>
            <w:tcW w:w="160" w:type="dxa"/>
            <w:vAlign w:val="bottom"/>
          </w:tcPr>
          <w:p>
            <w:pPr>
              <w:spacing w:after="0"/>
              <w:rPr>
                <w:sz w:val="4"/>
                <w:szCs w:val="4"/>
                <w:color w:val="auto"/>
              </w:rPr>
            </w:pPr>
          </w:p>
        </w:tc>
        <w:tc>
          <w:tcPr>
            <w:tcW w:w="2200" w:type="dxa"/>
            <w:vAlign w:val="bottom"/>
            <w:gridSpan w:val="2"/>
            <w:vMerge w:val="restart"/>
          </w:tcPr>
          <w:p>
            <w:pPr>
              <w:jc w:val="center"/>
              <w:ind w:right="35"/>
              <w:spacing w:after="0"/>
              <w:rPr>
                <w:sz w:val="20"/>
                <w:szCs w:val="20"/>
                <w:color w:val="auto"/>
              </w:rPr>
            </w:pPr>
            <w:r>
              <w:rPr>
                <w:rFonts w:ascii="Arial" w:cs="Arial" w:eastAsia="Arial" w:hAnsi="Arial"/>
                <w:sz w:val="14"/>
                <w:szCs w:val="14"/>
                <w:b w:val="1"/>
                <w:bCs w:val="1"/>
                <w:color w:val="auto"/>
                <w:w w:val="92"/>
              </w:rPr>
              <w:t>Purchased Under the Program</w:t>
            </w:r>
          </w:p>
        </w:tc>
        <w:tc>
          <w:tcPr>
            <w:tcW w:w="0" w:type="dxa"/>
            <w:vAlign w:val="bottom"/>
          </w:tcPr>
          <w:p>
            <w:pPr>
              <w:spacing w:after="0"/>
              <w:rPr>
                <w:sz w:val="1"/>
                <w:szCs w:val="1"/>
                <w:color w:val="auto"/>
              </w:rPr>
            </w:pPr>
          </w:p>
        </w:tc>
      </w:tr>
      <w:tr>
        <w:trPr>
          <w:trHeight w:val="144"/>
        </w:trPr>
        <w:tc>
          <w:tcPr>
            <w:tcW w:w="3980" w:type="dxa"/>
            <w:vAlign w:val="bottom"/>
          </w:tcPr>
          <w:p>
            <w:pPr>
              <w:spacing w:after="0"/>
              <w:rPr>
                <w:sz w:val="12"/>
                <w:szCs w:val="12"/>
                <w:color w:val="auto"/>
              </w:rPr>
            </w:pPr>
          </w:p>
        </w:tc>
        <w:tc>
          <w:tcPr>
            <w:tcW w:w="1340" w:type="dxa"/>
            <w:vAlign w:val="bottom"/>
          </w:tcPr>
          <w:p>
            <w:pPr>
              <w:jc w:val="center"/>
              <w:ind w:right="36"/>
              <w:spacing w:after="0" w:line="145" w:lineRule="exact"/>
              <w:rPr>
                <w:sz w:val="20"/>
                <w:szCs w:val="20"/>
                <w:color w:val="auto"/>
              </w:rPr>
            </w:pPr>
            <w:r>
              <w:rPr>
                <w:rFonts w:ascii="Arial" w:cs="Arial" w:eastAsia="Arial" w:hAnsi="Arial"/>
                <w:sz w:val="14"/>
                <w:szCs w:val="14"/>
                <w:b w:val="1"/>
                <w:bCs w:val="1"/>
                <w:color w:val="auto"/>
                <w:w w:val="90"/>
              </w:rPr>
              <w:t>Shares Purchased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(c)</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35"/>
              <w:spacing w:after="0" w:line="175" w:lineRule="exact"/>
              <w:rPr>
                <w:sz w:val="20"/>
                <w:szCs w:val="20"/>
                <w:color w:val="auto"/>
              </w:rPr>
            </w:pPr>
            <w:r>
              <w:rPr>
                <w:rFonts w:ascii="Arial" w:cs="Arial" w:eastAsia="Arial" w:hAnsi="Arial"/>
                <w:sz w:val="14"/>
                <w:szCs w:val="14"/>
                <w:b w:val="1"/>
                <w:bCs w:val="1"/>
                <w:color w:val="auto"/>
                <w:w w:val="95"/>
              </w:rPr>
              <w:t xml:space="preserve">per Share </w:t>
            </w:r>
            <w:r>
              <w:rPr>
                <w:rFonts w:ascii="Arial" w:cs="Arial" w:eastAsia="Arial" w:hAnsi="Arial"/>
                <w:sz w:val="19"/>
                <w:szCs w:val="19"/>
                <w:b w:val="1"/>
                <w:bCs w:val="1"/>
                <w:color w:val="auto"/>
                <w:w w:val="95"/>
                <w:vertAlign w:val="superscript"/>
              </w:rPr>
              <w:t>(c)</w:t>
            </w:r>
          </w:p>
        </w:tc>
        <w:tc>
          <w:tcPr>
            <w:tcW w:w="160" w:type="dxa"/>
            <w:vAlign w:val="bottom"/>
          </w:tcPr>
          <w:p>
            <w:pPr>
              <w:spacing w:after="0"/>
              <w:rPr>
                <w:sz w:val="15"/>
                <w:szCs w:val="15"/>
                <w:color w:val="auto"/>
              </w:rPr>
            </w:pPr>
          </w:p>
        </w:tc>
        <w:tc>
          <w:tcPr>
            <w:tcW w:w="1940" w:type="dxa"/>
            <w:vAlign w:val="bottom"/>
            <w:tcBorders>
              <w:bottom w:val="single" w:sz="8" w:color="auto"/>
            </w:tcBorders>
          </w:tcPr>
          <w:p>
            <w:pPr>
              <w:jc w:val="center"/>
              <w:ind w:right="18"/>
              <w:spacing w:after="0" w:line="175" w:lineRule="exact"/>
              <w:rPr>
                <w:sz w:val="20"/>
                <w:szCs w:val="20"/>
                <w:color w:val="auto"/>
              </w:rPr>
            </w:pPr>
            <w:r>
              <w:rPr>
                <w:rFonts w:ascii="Arial" w:cs="Arial" w:eastAsia="Arial" w:hAnsi="Arial"/>
                <w:sz w:val="14"/>
                <w:szCs w:val="14"/>
                <w:b w:val="1"/>
                <w:bCs w:val="1"/>
                <w:color w:val="auto"/>
                <w:w w:val="83"/>
              </w:rPr>
              <w:t xml:space="preserve">Programs </w:t>
            </w:r>
            <w:r>
              <w:rPr>
                <w:rFonts w:ascii="Arial" w:cs="Arial" w:eastAsia="Arial" w:hAnsi="Arial"/>
                <w:sz w:val="19"/>
                <w:szCs w:val="19"/>
                <w:b w:val="1"/>
                <w:bCs w:val="1"/>
                <w:color w:val="auto"/>
                <w:w w:val="83"/>
                <w:vertAlign w:val="superscript"/>
              </w:rPr>
              <w:t>(a)(c)</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center"/>
              <w:ind w:right="115"/>
              <w:spacing w:after="0" w:line="175" w:lineRule="exact"/>
              <w:rPr>
                <w:sz w:val="20"/>
                <w:szCs w:val="20"/>
                <w:color w:val="auto"/>
              </w:rPr>
            </w:pPr>
            <w:r>
              <w:rPr>
                <w:rFonts w:ascii="Arial" w:cs="Arial" w:eastAsia="Arial" w:hAnsi="Arial"/>
                <w:sz w:val="14"/>
                <w:szCs w:val="14"/>
                <w:b w:val="1"/>
                <w:bCs w:val="1"/>
                <w:color w:val="auto"/>
                <w:w w:val="91"/>
              </w:rPr>
              <w:t xml:space="preserve">(Dollars in Thousands) </w:t>
            </w:r>
            <w:r>
              <w:rPr>
                <w:rFonts w:ascii="Arial" w:cs="Arial" w:eastAsia="Arial" w:hAnsi="Arial"/>
                <w:sz w:val="19"/>
                <w:szCs w:val="19"/>
                <w:b w:val="1"/>
                <w:bCs w:val="1"/>
                <w:color w:val="auto"/>
                <w:w w:val="91"/>
                <w:vertAlign w:val="superscript"/>
              </w:rPr>
              <w:t>(a)</w:t>
            </w:r>
          </w:p>
        </w:tc>
        <w:tc>
          <w:tcPr>
            <w:tcW w:w="0" w:type="dxa"/>
            <w:vAlign w:val="bottom"/>
          </w:tcPr>
          <w:p>
            <w:pPr>
              <w:spacing w:after="0"/>
              <w:rPr>
                <w:sz w:val="1"/>
                <w:szCs w:val="1"/>
                <w:color w:val="auto"/>
              </w:rPr>
            </w:pPr>
          </w:p>
        </w:tc>
      </w:tr>
      <w:tr>
        <w:trPr>
          <w:trHeight w:val="250"/>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March 1-March 31, 2020</w:t>
            </w:r>
          </w:p>
        </w:tc>
        <w:tc>
          <w:tcPr>
            <w:tcW w:w="13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12,155</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10.10</w:t>
            </w:r>
          </w:p>
        </w:tc>
        <w:tc>
          <w:tcPr>
            <w:tcW w:w="2100" w:type="dxa"/>
            <w:vAlign w:val="bottom"/>
            <w:gridSpan w:val="2"/>
            <w:shd w:val="clear" w:color="auto" w:fill="CFF0FC"/>
          </w:tcPr>
          <w:p>
            <w:pPr>
              <w:jc w:val="right"/>
              <w:ind w:right="18"/>
              <w:spacing w:after="0"/>
              <w:rPr>
                <w:sz w:val="20"/>
                <w:szCs w:val="20"/>
                <w:color w:val="auto"/>
              </w:rPr>
            </w:pPr>
            <w:r>
              <w:rPr>
                <w:rFonts w:ascii="Arial" w:cs="Arial" w:eastAsia="Arial" w:hAnsi="Arial"/>
                <w:sz w:val="18"/>
                <w:szCs w:val="18"/>
                <w:color w:val="auto"/>
              </w:rPr>
              <w:t>12,155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9,877</w:t>
            </w: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1140" w:type="dxa"/>
            <w:vAlign w:val="bottom"/>
          </w:tcPr>
          <w:p>
            <w:pPr>
              <w:spacing w:after="0"/>
              <w:rPr>
                <w:sz w:val="22"/>
                <w:szCs w:val="22"/>
                <w:color w:val="auto"/>
              </w:rPr>
            </w:pPr>
          </w:p>
        </w:tc>
        <w:tc>
          <w:tcPr>
            <w:tcW w:w="2100" w:type="dxa"/>
            <w:vAlign w:val="bottom"/>
            <w:gridSpan w:val="2"/>
          </w:tcPr>
          <w:p>
            <w:pPr>
              <w:spacing w:after="0"/>
              <w:rPr>
                <w:sz w:val="22"/>
                <w:szCs w:val="22"/>
                <w:color w:val="auto"/>
              </w:rPr>
            </w:pPr>
          </w:p>
        </w:tc>
        <w:tc>
          <w:tcPr>
            <w:tcW w:w="280" w:type="dxa"/>
            <w:vAlign w:val="bottom"/>
            <w:gridSpan w:val="2"/>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1-June 30, 2020</w:t>
            </w:r>
          </w:p>
        </w:tc>
        <w:tc>
          <w:tcPr>
            <w:tcW w:w="13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25,390</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11.20</w:t>
            </w:r>
          </w:p>
        </w:tc>
        <w:tc>
          <w:tcPr>
            <w:tcW w:w="2100" w:type="dxa"/>
            <w:vAlign w:val="bottom"/>
            <w:gridSpan w:val="2"/>
            <w:shd w:val="clear" w:color="auto" w:fill="CFF0FC"/>
          </w:tcPr>
          <w:p>
            <w:pPr>
              <w:jc w:val="right"/>
              <w:ind w:right="18"/>
              <w:spacing w:after="0"/>
              <w:rPr>
                <w:sz w:val="20"/>
                <w:szCs w:val="20"/>
                <w:color w:val="auto"/>
              </w:rPr>
            </w:pPr>
            <w:r>
              <w:rPr>
                <w:rFonts w:ascii="Arial" w:cs="Arial" w:eastAsia="Arial" w:hAnsi="Arial"/>
                <w:sz w:val="18"/>
                <w:szCs w:val="18"/>
                <w:color w:val="auto"/>
              </w:rPr>
              <w:t>25,390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9,593</w:t>
            </w: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1140" w:type="dxa"/>
            <w:vAlign w:val="bottom"/>
          </w:tcPr>
          <w:p>
            <w:pPr>
              <w:spacing w:after="0"/>
              <w:rPr>
                <w:sz w:val="22"/>
                <w:szCs w:val="22"/>
                <w:color w:val="auto"/>
              </w:rPr>
            </w:pPr>
          </w:p>
        </w:tc>
        <w:tc>
          <w:tcPr>
            <w:tcW w:w="2100" w:type="dxa"/>
            <w:vAlign w:val="bottom"/>
            <w:gridSpan w:val="2"/>
          </w:tcPr>
          <w:p>
            <w:pPr>
              <w:spacing w:after="0"/>
              <w:rPr>
                <w:sz w:val="22"/>
                <w:szCs w:val="22"/>
                <w:color w:val="auto"/>
              </w:rPr>
            </w:pPr>
          </w:p>
        </w:tc>
        <w:tc>
          <w:tcPr>
            <w:tcW w:w="280" w:type="dxa"/>
            <w:vAlign w:val="bottom"/>
            <w:gridSpan w:val="2"/>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1-September 30, 2020</w:t>
            </w:r>
          </w:p>
        </w:tc>
        <w:tc>
          <w:tcPr>
            <w:tcW w:w="13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35,896</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12.70</w:t>
            </w:r>
          </w:p>
        </w:tc>
        <w:tc>
          <w:tcPr>
            <w:tcW w:w="2100" w:type="dxa"/>
            <w:vAlign w:val="bottom"/>
            <w:gridSpan w:val="2"/>
            <w:shd w:val="clear" w:color="auto" w:fill="CFF0FC"/>
          </w:tcPr>
          <w:p>
            <w:pPr>
              <w:jc w:val="right"/>
              <w:ind w:right="18"/>
              <w:spacing w:after="0"/>
              <w:rPr>
                <w:sz w:val="20"/>
                <w:szCs w:val="20"/>
                <w:color w:val="auto"/>
              </w:rPr>
            </w:pPr>
            <w:r>
              <w:rPr>
                <w:rFonts w:ascii="Arial" w:cs="Arial" w:eastAsia="Arial" w:hAnsi="Arial"/>
                <w:sz w:val="18"/>
                <w:szCs w:val="18"/>
                <w:color w:val="auto"/>
              </w:rPr>
              <w:t>35,896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9,137</w:t>
            </w: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October 1-December 31, 2020</w:t>
            </w:r>
          </w:p>
        </w:tc>
        <w:tc>
          <w:tcPr>
            <w:tcW w:w="134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9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9,137</w:t>
            </w:r>
          </w:p>
        </w:tc>
        <w:tc>
          <w:tcPr>
            <w:tcW w:w="0" w:type="dxa"/>
            <w:vAlign w:val="bottom"/>
          </w:tcPr>
          <w:p>
            <w:pPr>
              <w:spacing w:after="0"/>
              <w:rPr>
                <w:sz w:val="1"/>
                <w:szCs w:val="1"/>
                <w:color w:val="auto"/>
              </w:rPr>
            </w:pPr>
          </w:p>
        </w:tc>
      </w:tr>
      <w:tr>
        <w:trPr>
          <w:trHeight w:val="250"/>
        </w:trPr>
        <w:tc>
          <w:tcPr>
            <w:tcW w:w="39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10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December 31, 2020</w:t>
            </w:r>
          </w:p>
        </w:tc>
        <w:tc>
          <w:tcPr>
            <w:tcW w:w="13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73,440</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100" w:type="dxa"/>
            <w:vAlign w:val="bottom"/>
            <w:gridSpan w:val="2"/>
            <w:shd w:val="clear" w:color="auto" w:fill="CFF0FC"/>
          </w:tcPr>
          <w:p>
            <w:pPr>
              <w:jc w:val="right"/>
              <w:ind w:right="18"/>
              <w:spacing w:after="0"/>
              <w:rPr>
                <w:sz w:val="20"/>
                <w:szCs w:val="20"/>
                <w:color w:val="auto"/>
              </w:rPr>
            </w:pPr>
            <w:r>
              <w:rPr>
                <w:rFonts w:ascii="Arial" w:cs="Arial" w:eastAsia="Arial" w:hAnsi="Arial"/>
                <w:sz w:val="18"/>
                <w:szCs w:val="18"/>
                <w:color w:val="auto"/>
              </w:rPr>
              <w:t>73,440</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80" w:type="dxa"/>
            <w:vAlign w:val="bottom"/>
            <w:tcBorders>
              <w:top w:val="single" w:sz="8" w:color="CFF0FC"/>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80" w:type="dxa"/>
            <w:vAlign w:val="bottom"/>
            <w:tcBorders>
              <w:top w:val="single" w:sz="8" w:color="CFF0FC"/>
            </w:tcBorders>
          </w:tcPr>
          <w:p>
            <w:pPr>
              <w:spacing w:after="0"/>
              <w:rPr>
                <w:sz w:val="22"/>
                <w:szCs w:val="22"/>
                <w:color w:val="auto"/>
              </w:rPr>
            </w:pPr>
          </w:p>
        </w:tc>
        <w:tc>
          <w:tcPr>
            <w:tcW w:w="140" w:type="dxa"/>
            <w:vAlign w:val="bottom"/>
            <w:tcBorders>
              <w:top w:val="single" w:sz="8" w:color="CFF0FC"/>
            </w:tcBorders>
          </w:tcPr>
          <w:p>
            <w:pPr>
              <w:spacing w:after="0"/>
              <w:rPr>
                <w:sz w:val="22"/>
                <w:szCs w:val="22"/>
                <w:color w:val="auto"/>
              </w:rPr>
            </w:pPr>
          </w:p>
        </w:tc>
        <w:tc>
          <w:tcPr>
            <w:tcW w:w="1140" w:type="dxa"/>
            <w:vAlign w:val="bottom"/>
            <w:tcBorders>
              <w:top w:val="single" w:sz="8" w:color="CFF0FC"/>
            </w:tcBorders>
          </w:tcPr>
          <w:p>
            <w:pPr>
              <w:spacing w:after="0"/>
              <w:rPr>
                <w:sz w:val="22"/>
                <w:szCs w:val="22"/>
                <w:color w:val="auto"/>
              </w:rPr>
            </w:pPr>
          </w:p>
        </w:tc>
        <w:tc>
          <w:tcPr>
            <w:tcW w:w="160" w:type="dxa"/>
            <w:vAlign w:val="bottom"/>
            <w:tcBorders>
              <w:top w:val="single" w:sz="8" w:color="CFF0FC"/>
            </w:tcBorders>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280" w:type="dxa"/>
            <w:vAlign w:val="bottom"/>
            <w:tcBorders>
              <w:top w:val="single" w:sz="8" w:color="CFF0FC"/>
            </w:tcBorders>
            <w:gridSpan w:val="2"/>
          </w:tcPr>
          <w:p>
            <w:pPr>
              <w:spacing w:after="0"/>
              <w:rPr>
                <w:sz w:val="22"/>
                <w:szCs w:val="22"/>
                <w:color w:val="auto"/>
              </w:rPr>
            </w:pPr>
          </w:p>
        </w:tc>
        <w:tc>
          <w:tcPr>
            <w:tcW w:w="208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March 11-March 31, 2021</w:t>
            </w:r>
          </w:p>
        </w:tc>
        <w:tc>
          <w:tcPr>
            <w:tcW w:w="13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9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1140" w:type="dxa"/>
            <w:vAlign w:val="bottom"/>
          </w:tcPr>
          <w:p>
            <w:pPr>
              <w:spacing w:after="0"/>
              <w:rPr>
                <w:sz w:val="22"/>
                <w:szCs w:val="22"/>
                <w:color w:val="auto"/>
              </w:rPr>
            </w:pPr>
          </w:p>
        </w:tc>
        <w:tc>
          <w:tcPr>
            <w:tcW w:w="2100" w:type="dxa"/>
            <w:vAlign w:val="bottom"/>
            <w:gridSpan w:val="2"/>
          </w:tcPr>
          <w:p>
            <w:pPr>
              <w:spacing w:after="0"/>
              <w:rPr>
                <w:sz w:val="22"/>
                <w:szCs w:val="22"/>
                <w:color w:val="auto"/>
              </w:rPr>
            </w:pPr>
          </w:p>
        </w:tc>
        <w:tc>
          <w:tcPr>
            <w:tcW w:w="280" w:type="dxa"/>
            <w:vAlign w:val="bottom"/>
            <w:gridSpan w:val="2"/>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 xml:space="preserve">April 1-June 30, 2021 </w:t>
            </w:r>
            <w:r>
              <w:rPr>
                <w:rFonts w:ascii="Arial" w:cs="Arial" w:eastAsia="Arial" w:hAnsi="Arial"/>
                <w:sz w:val="24"/>
                <w:szCs w:val="24"/>
                <w:color w:val="auto"/>
                <w:vertAlign w:val="superscript"/>
              </w:rPr>
              <w:t>(b)</w:t>
            </w:r>
          </w:p>
        </w:tc>
        <w:tc>
          <w:tcPr>
            <w:tcW w:w="13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15,718</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24.20</w:t>
            </w:r>
          </w:p>
        </w:tc>
        <w:tc>
          <w:tcPr>
            <w:tcW w:w="2100" w:type="dxa"/>
            <w:vAlign w:val="bottom"/>
            <w:gridSpan w:val="2"/>
            <w:shd w:val="clear" w:color="auto" w:fill="CFF0FC"/>
          </w:tcPr>
          <w:p>
            <w:pPr>
              <w:jc w:val="right"/>
              <w:ind w:right="18"/>
              <w:spacing w:after="0"/>
              <w:rPr>
                <w:sz w:val="20"/>
                <w:szCs w:val="20"/>
                <w:color w:val="auto"/>
              </w:rPr>
            </w:pPr>
            <w:r>
              <w:rPr>
                <w:rFonts w:ascii="Arial" w:cs="Arial" w:eastAsia="Arial" w:hAnsi="Arial"/>
                <w:sz w:val="18"/>
                <w:szCs w:val="18"/>
                <w:color w:val="auto"/>
              </w:rPr>
              <w:t>15,718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56"/>
        </w:trPr>
        <w:tc>
          <w:tcPr>
            <w:tcW w:w="39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1140" w:type="dxa"/>
            <w:vAlign w:val="bottom"/>
          </w:tcPr>
          <w:p>
            <w:pPr>
              <w:spacing w:after="0"/>
              <w:rPr>
                <w:sz w:val="22"/>
                <w:szCs w:val="22"/>
                <w:color w:val="auto"/>
              </w:rPr>
            </w:pPr>
          </w:p>
        </w:tc>
        <w:tc>
          <w:tcPr>
            <w:tcW w:w="2100" w:type="dxa"/>
            <w:vAlign w:val="bottom"/>
            <w:gridSpan w:val="2"/>
          </w:tcPr>
          <w:p>
            <w:pPr>
              <w:spacing w:after="0"/>
              <w:rPr>
                <w:sz w:val="22"/>
                <w:szCs w:val="22"/>
                <w:color w:val="auto"/>
              </w:rPr>
            </w:pPr>
          </w:p>
        </w:tc>
        <w:tc>
          <w:tcPr>
            <w:tcW w:w="280" w:type="dxa"/>
            <w:vAlign w:val="bottom"/>
            <w:gridSpan w:val="2"/>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July 1-September 30, 2021</w:t>
            </w:r>
          </w:p>
        </w:tc>
        <w:tc>
          <w:tcPr>
            <w:tcW w:w="134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59,659</w:t>
            </w:r>
          </w:p>
        </w:tc>
        <w:tc>
          <w:tcPr>
            <w:tcW w:w="3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24.24</w:t>
            </w:r>
          </w:p>
        </w:tc>
        <w:tc>
          <w:tcPr>
            <w:tcW w:w="160" w:type="dxa"/>
            <w:vAlign w:val="bottom"/>
            <w:tcBorders>
              <w:bottom w:val="single" w:sz="8" w:color="CFF0FC"/>
            </w:tcBorders>
            <w:shd w:val="clear" w:color="auto" w:fill="CFF0FC"/>
          </w:tcPr>
          <w:p>
            <w:pPr>
              <w:spacing w:after="0"/>
              <w:rPr>
                <w:sz w:val="22"/>
                <w:szCs w:val="22"/>
                <w:color w:val="auto"/>
              </w:rPr>
            </w:pPr>
          </w:p>
        </w:tc>
        <w:tc>
          <w:tcPr>
            <w:tcW w:w="19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59,659</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September 30, 2021</w:t>
            </w:r>
          </w:p>
        </w:tc>
        <w:tc>
          <w:tcPr>
            <w:tcW w:w="134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75,377</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9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75,377</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b w:val="1"/>
                <w:bCs w:val="1"/>
                <w:color w:val="auto"/>
              </w:rPr>
              <w:t>148,817</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9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b w:val="1"/>
                <w:bCs w:val="1"/>
                <w:color w:val="auto"/>
              </w:rPr>
              <w:t>148,817</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-2028190</wp:posOffset>
            </wp:positionV>
            <wp:extent cx="111125" cy="571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-2028190</wp:posOffset>
            </wp:positionV>
            <wp:extent cx="102870" cy="571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-1693545</wp:posOffset>
            </wp:positionV>
            <wp:extent cx="111125" cy="571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-1693545</wp:posOffset>
            </wp:positionV>
            <wp:extent cx="102870" cy="571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-708025</wp:posOffset>
            </wp:positionV>
            <wp:extent cx="111125" cy="571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-708025</wp:posOffset>
            </wp:positionV>
            <wp:extent cx="102870" cy="571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-356235</wp:posOffset>
            </wp:positionV>
            <wp:extent cx="111125" cy="571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-356235</wp:posOffset>
            </wp:positionV>
            <wp:extent cx="102870" cy="571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-5080</wp:posOffset>
            </wp:positionV>
            <wp:extent cx="111125" cy="571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-5080</wp:posOffset>
            </wp:positionV>
            <wp:extent cx="102870" cy="571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200" w:lineRule="exact"/>
        <w:rPr>
          <w:sz w:val="20"/>
          <w:szCs w:val="20"/>
          <w:color w:val="auto"/>
        </w:rPr>
      </w:pPr>
    </w:p>
    <w:p>
      <w:pPr>
        <w:ind w:left="700" w:hanging="318"/>
        <w:spacing w:after="0" w:line="282" w:lineRule="auto"/>
        <w:tabs>
          <w:tab w:leader="none" w:pos="70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On March 5, 2020, the Board of Directors of the Company approved a $10 million stock repurchase program. Under this repurchase program, shares could be repurchased from time to time in open market transactions, in privately negotiated transactions or otherwise subject to any law or agreement to which we were party including any restrictions under the 1940 Act and in the indentures for our debt securities. On March 11, 2021, the Board of Directors of the Company authorized a renewed stock repurchase program of up to $10 million (the “Renewed Stock Repurchase Program”) for an approximately one-year period, effective March 11, 2021 and terminating on March 31, 2022. Under this repurchase program, shares may be repurchased from time to time in open market transactions, in privately negotiated transactions or otherwise subject to any law or agreement to which we are party including any restrictions in the 1940 Act or the indenture for our 4.875% Notes Due 2026. The timing and actual number of shares repurchased will depend on a variety of factors, including legal requirements, price, and economic and market conditions. This Renewed Stock Repurchase Program may be suspended or discontinued at any time. Subject to these restrictions, we will selectively pursue opportunities to repurchase shares which are accretive to net asset value per share.</w:t>
      </w:r>
    </w:p>
    <w:p>
      <w:pPr>
        <w:spacing w:after="0" w:line="2" w:lineRule="exact"/>
        <w:rPr>
          <w:rFonts w:ascii="Arial" w:cs="Arial" w:eastAsia="Arial" w:hAnsi="Arial"/>
          <w:sz w:val="15"/>
          <w:szCs w:val="15"/>
          <w:color w:val="auto"/>
        </w:rPr>
      </w:pPr>
    </w:p>
    <w:p>
      <w:pPr>
        <w:ind w:left="700" w:hanging="318"/>
        <w:spacing w:after="0"/>
        <w:tabs>
          <w:tab w:leader="none" w:pos="7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All repurchases made during the three months ended June 30, 2021 were made between June 1, 2021 and June 30, 2021.</w:t>
      </w:r>
    </w:p>
    <w:p>
      <w:pPr>
        <w:spacing w:after="0" w:line="18" w:lineRule="exact"/>
        <w:rPr>
          <w:rFonts w:ascii="Arial" w:cs="Arial" w:eastAsia="Arial" w:hAnsi="Arial"/>
          <w:sz w:val="16"/>
          <w:szCs w:val="16"/>
          <w:color w:val="auto"/>
        </w:rPr>
      </w:pPr>
    </w:p>
    <w:p>
      <w:pPr>
        <w:ind w:left="700" w:right="260" w:hanging="318"/>
        <w:spacing w:after="0" w:line="288" w:lineRule="auto"/>
        <w:tabs>
          <w:tab w:leader="none" w:pos="7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Company completed a Reverse Stock Split of 10 to 1 effective August 26, 2021, the common stock and net asset value have been adjusted retroactively to reflect the split.</w:t>
      </w:r>
    </w:p>
    <w:p>
      <w:pPr>
        <w:spacing w:after="0" w:line="171" w:lineRule="exact"/>
        <w:rPr>
          <w:sz w:val="20"/>
          <w:szCs w:val="20"/>
          <w:color w:val="auto"/>
        </w:rPr>
      </w:pPr>
    </w:p>
    <w:p>
      <w:pPr>
        <w:ind w:right="260" w:firstLine="374"/>
        <w:spacing w:after="0" w:line="279" w:lineRule="auto"/>
        <w:rPr>
          <w:sz w:val="20"/>
          <w:szCs w:val="20"/>
          <w:color w:val="auto"/>
        </w:rPr>
      </w:pPr>
      <w:r>
        <w:rPr>
          <w:rFonts w:ascii="Arial" w:cs="Arial" w:eastAsia="Arial" w:hAnsi="Arial"/>
          <w:sz w:val="18"/>
          <w:szCs w:val="18"/>
          <w:color w:val="auto"/>
        </w:rPr>
        <w:t>As permitted by our policies and procedures governing transactions in our securities by our directors, executive officers and other employees, from time to time some of these persons may establish plans or arrangements complying with Rule 10b5-1 under the Exchange Act, and similar plans and arrangements relating to our common stock</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1" w:name="page112"/>
    <w:bookmarkEnd w:id="111"/>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p>
      <w:pPr>
        <w:jc w:val="center"/>
        <w:ind w:left="700"/>
        <w:spacing w:after="0" w:line="293" w:lineRule="auto"/>
        <w:rPr>
          <w:sz w:val="20"/>
          <w:szCs w:val="20"/>
          <w:color w:val="auto"/>
        </w:rPr>
      </w:pPr>
      <w:r>
        <w:rPr>
          <w:rFonts w:ascii="Arial" w:cs="Arial" w:eastAsia="Arial" w:hAnsi="Arial"/>
          <w:sz w:val="18"/>
          <w:szCs w:val="18"/>
          <w:color w:val="auto"/>
        </w:rPr>
        <w:t>Reference is made to the Exhibit List filed as a part of this report beginning on page E-1. Each of such exhibits is incorporated by reference herein.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540" w:right="6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20" w:type="dxa"/>
            <w:vAlign w:val="bottom"/>
            <w:gridSpan w:val="12"/>
          </w:tcPr>
          <w:p>
            <w:pPr>
              <w:ind w:left="1260"/>
              <w:spacing w:after="0"/>
              <w:rPr>
                <w:sz w:val="20"/>
                <w:szCs w:val="20"/>
                <w:color w:val="auto"/>
              </w:rPr>
            </w:pPr>
            <w:r>
              <w:rPr>
                <w:rFonts w:ascii="Arial" w:cs="Arial" w:eastAsia="Arial" w:hAnsi="Arial"/>
                <w:sz w:val="18"/>
                <w:szCs w:val="18"/>
                <w:b w:val="1"/>
                <w:bCs w:val="1"/>
                <w:color w:val="auto"/>
              </w:rPr>
              <w:t>Exhibit Index</w:t>
            </w:r>
          </w:p>
        </w:tc>
      </w:tr>
      <w:tr>
        <w:trPr>
          <w:trHeight w:val="450"/>
        </w:trPr>
        <w:tc>
          <w:tcPr>
            <w:tcW w:w="20" w:type="dxa"/>
            <w:vAlign w:val="bottom"/>
          </w:tcPr>
          <w:p>
            <w:pPr>
              <w:spacing w:after="0"/>
              <w:rPr>
                <w:sz w:val="24"/>
                <w:szCs w:val="2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06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auto"/>
              </w:rPr>
              <w:t>Description of Document</w:t>
            </w:r>
          </w:p>
        </w:tc>
      </w:tr>
      <w:tr>
        <w:trPr>
          <w:trHeight w:val="526"/>
        </w:trPr>
        <w:tc>
          <w:tcPr>
            <w:tcW w:w="2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8"/>
                <w:szCs w:val="18"/>
                <w:color w:val="0000FF"/>
              </w:rPr>
            </w:pPr>
            <w:hyperlink r:id="rId82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14"/>
          </w:tcPr>
          <w:p>
            <w:pPr>
              <w:spacing w:after="0"/>
              <w:rPr>
                <w:rFonts w:ascii="Arial" w:cs="Arial" w:eastAsia="Arial" w:hAnsi="Arial"/>
                <w:sz w:val="18"/>
                <w:szCs w:val="18"/>
                <w:color w:val="0000FF"/>
                <w:w w:val="95"/>
              </w:rPr>
            </w:pPr>
            <w:hyperlink r:id="rId826">
              <w:r>
                <w:rPr>
                  <w:rFonts w:ascii="Arial" w:cs="Arial" w:eastAsia="Arial" w:hAnsi="Arial"/>
                  <w:sz w:val="18"/>
                  <w:szCs w:val="18"/>
                  <w:color w:val="0000FF"/>
                  <w:w w:val="95"/>
                </w:rPr>
                <w:t>Form of Certificate of Incorporation of Company (incorporated by reference to the exhibit included in Pre-Effective Amendment No. 1 on</w:t>
              </w:r>
            </w:hyperlink>
          </w:p>
        </w:tc>
      </w:tr>
      <w:tr>
        <w:trPr>
          <w:trHeight w:val="209"/>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r:id="rId826">
              <w:r>
                <w:rPr>
                  <w:rFonts w:ascii="Arial" w:cs="Arial" w:eastAsia="Arial" w:hAnsi="Arial"/>
                  <w:sz w:val="18"/>
                  <w:szCs w:val="18"/>
                  <w:color w:val="0000FF"/>
                  <w:w w:val="91"/>
                </w:rPr>
                <w:t>Form N-2, as filed on October 6, 2006 ).</w:t>
              </w:r>
            </w:hyperlink>
          </w:p>
        </w:tc>
        <w:tc>
          <w:tcPr>
            <w:tcW w:w="7080" w:type="dxa"/>
            <w:vAlign w:val="bottom"/>
            <w:tcBorders>
              <w:top w:val="single" w:sz="8" w:color="0000FF"/>
            </w:tcBorders>
            <w:gridSpan w:val="6"/>
          </w:tcPr>
          <w:p>
            <w:pPr>
              <w:spacing w:after="0"/>
              <w:rPr>
                <w:sz w:val="18"/>
                <w:szCs w:val="18"/>
                <w:color w:val="auto"/>
              </w:rPr>
            </w:pPr>
          </w:p>
        </w:tc>
        <w:tc>
          <w:tcPr>
            <w:tcW w:w="340" w:type="dxa"/>
            <w:vAlign w:val="bottom"/>
            <w:gridSpan w:val="6"/>
          </w:tcPr>
          <w:p>
            <w:pPr>
              <w:spacing w:after="0"/>
              <w:rPr>
                <w:sz w:val="18"/>
                <w:szCs w:val="18"/>
                <w:color w:val="auto"/>
              </w:rPr>
            </w:pPr>
          </w:p>
        </w:tc>
      </w:tr>
      <w:tr>
        <w:trPr>
          <w:trHeight w:val="399"/>
        </w:trPr>
        <w:tc>
          <w:tcPr>
            <w:tcW w:w="20" w:type="dxa"/>
            <w:vAlign w:val="bottom"/>
          </w:tcPr>
          <w:p>
            <w:pPr>
              <w:spacing w:after="0"/>
              <w:rPr>
                <w:sz w:val="24"/>
                <w:szCs w:val="24"/>
                <w:color w:val="auto"/>
              </w:rPr>
            </w:pPr>
          </w:p>
        </w:tc>
        <w:tc>
          <w:tcPr>
            <w:tcW w:w="500" w:type="dxa"/>
            <w:vAlign w:val="bottom"/>
            <w:gridSpan w:val="3"/>
          </w:tcPr>
          <w:p>
            <w:pPr>
              <w:spacing w:after="0"/>
              <w:rPr>
                <w:rFonts w:ascii="Arial" w:cs="Arial" w:eastAsia="Arial" w:hAnsi="Arial"/>
                <w:sz w:val="18"/>
                <w:szCs w:val="18"/>
                <w:color w:val="0000FF"/>
              </w:rPr>
            </w:pPr>
            <w:hyperlink r:id="rId827">
              <w:r>
                <w:rPr>
                  <w:rFonts w:ascii="Arial" w:cs="Arial" w:eastAsia="Arial" w:hAnsi="Arial"/>
                  <w:sz w:val="18"/>
                  <w:szCs w:val="18"/>
                  <w:color w:val="0000FF"/>
                </w:rPr>
                <w:t>3.</w:t>
              </w:r>
              <w:r>
                <w:rPr>
                  <w:rFonts w:ascii="Arial" w:cs="Arial" w:eastAsia="Arial" w:hAnsi="Arial"/>
                  <w:sz w:val="18"/>
                  <w:szCs w:val="18"/>
                  <w:u w:val="single" w:color="auto"/>
                  <w:color w:val="0000FF"/>
                </w:rPr>
                <w:t>1.1</w:t>
              </w:r>
            </w:hyperlink>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14"/>
          </w:tcPr>
          <w:p>
            <w:pPr>
              <w:spacing w:after="0"/>
              <w:rPr>
                <w:rFonts w:ascii="Arial" w:cs="Arial" w:eastAsia="Arial" w:hAnsi="Arial"/>
                <w:sz w:val="18"/>
                <w:szCs w:val="18"/>
                <w:color w:val="0000FF"/>
                <w:w w:val="94"/>
              </w:rPr>
            </w:pPr>
            <w:hyperlink r:id="rId827">
              <w:r>
                <w:rPr>
                  <w:rFonts w:ascii="Arial" w:cs="Arial" w:eastAsia="Arial" w:hAnsi="Arial"/>
                  <w:sz w:val="18"/>
                  <w:szCs w:val="18"/>
                  <w:color w:val="0000FF"/>
                  <w:w w:val="94"/>
                </w:rPr>
                <w:t>Certificate of Amendment to Certificate of Incorporation of Portman Ridge Finance Corporation (incorporated by reference to Exhibit 3.1 of</w:t>
              </w:r>
            </w:hyperlink>
          </w:p>
        </w:tc>
      </w:tr>
      <w:tr>
        <w:trPr>
          <w:trHeight w:val="209"/>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80" w:type="dxa"/>
            <w:vAlign w:val="bottom"/>
            <w:tcBorders>
              <w:top w:val="single" w:sz="8" w:color="0000FF"/>
            </w:tcBorders>
            <w:gridSpan w:val="10"/>
          </w:tcPr>
          <w:p>
            <w:pPr>
              <w:spacing w:after="0"/>
              <w:rPr>
                <w:rFonts w:ascii="Arial" w:cs="Arial" w:eastAsia="Arial" w:hAnsi="Arial"/>
                <w:sz w:val="18"/>
                <w:szCs w:val="18"/>
                <w:color w:val="0000FF"/>
              </w:rPr>
            </w:pPr>
            <w:hyperlink r:id="rId827">
              <w:r>
                <w:rPr>
                  <w:rFonts w:ascii="Arial" w:cs="Arial" w:eastAsia="Arial" w:hAnsi="Arial"/>
                  <w:sz w:val="18"/>
                  <w:szCs w:val="18"/>
                  <w:color w:val="0000FF"/>
                </w:rPr>
                <w:t>the Current Report on Form 8-K, as filed on April 2, 2019).</w:t>
              </w:r>
            </w:hyperlink>
          </w:p>
        </w:tc>
        <w:tc>
          <w:tcPr>
            <w:tcW w:w="160" w:type="dxa"/>
            <w:vAlign w:val="bottom"/>
            <w:gridSpan w:val="4"/>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0" w:type="dxa"/>
            <w:vAlign w:val="bottom"/>
            <w:gridSpan w:val="3"/>
          </w:tcPr>
          <w:p>
            <w:pPr>
              <w:spacing w:after="0"/>
              <w:rPr>
                <w:rFonts w:ascii="Arial" w:cs="Arial" w:eastAsia="Arial" w:hAnsi="Arial"/>
                <w:sz w:val="18"/>
                <w:szCs w:val="18"/>
                <w:color w:val="0000FF"/>
              </w:rPr>
            </w:pPr>
            <w:hyperlink r:id="rId828">
              <w:r>
                <w:rPr>
                  <w:rFonts w:ascii="Arial" w:cs="Arial" w:eastAsia="Arial" w:hAnsi="Arial"/>
                  <w:sz w:val="18"/>
                  <w:szCs w:val="18"/>
                  <w:color w:val="0000FF"/>
                </w:rPr>
                <w:t>3.</w:t>
              </w:r>
              <w:r>
                <w:rPr>
                  <w:rFonts w:ascii="Arial" w:cs="Arial" w:eastAsia="Arial" w:hAnsi="Arial"/>
                  <w:sz w:val="18"/>
                  <w:szCs w:val="18"/>
                  <w:u w:val="single" w:color="auto"/>
                  <w:color w:val="0000FF"/>
                </w:rPr>
                <w:t>1.2</w:t>
              </w:r>
            </w:hyperlink>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14"/>
          </w:tcPr>
          <w:p>
            <w:pPr>
              <w:spacing w:after="0"/>
              <w:rPr>
                <w:rFonts w:ascii="Arial" w:cs="Arial" w:eastAsia="Arial" w:hAnsi="Arial"/>
                <w:sz w:val="18"/>
                <w:szCs w:val="18"/>
                <w:color w:val="0000FF"/>
                <w:w w:val="97"/>
              </w:rPr>
            </w:pPr>
            <w:hyperlink r:id="rId828">
              <w:r>
                <w:rPr>
                  <w:rFonts w:ascii="Arial" w:cs="Arial" w:eastAsia="Arial" w:hAnsi="Arial"/>
                  <w:sz w:val="18"/>
                  <w:szCs w:val="18"/>
                  <w:color w:val="0000FF"/>
                  <w:w w:val="97"/>
                </w:rPr>
                <w:t>Certificate of Amendment to Certificate of Incorporation of Portman Ridge Finance Corporation (the Reverse Stock Split Certificate of</w:t>
              </w:r>
            </w:hyperlink>
          </w:p>
        </w:tc>
      </w:tr>
      <w:tr>
        <w:trPr>
          <w:trHeight w:val="209"/>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r:id="rId828">
              <w:r>
                <w:rPr>
                  <w:rFonts w:ascii="Arial" w:cs="Arial" w:eastAsia="Arial" w:hAnsi="Arial"/>
                  <w:sz w:val="18"/>
                  <w:szCs w:val="18"/>
                  <w:color w:val="0000FF"/>
                  <w:w w:val="92"/>
                </w:rPr>
                <w:t>Amendment) (incorporated by reference to Exhibit 3.1 of the Current Report on Form 8-K filed on August 26, 2021).</w:t>
              </w:r>
            </w:hyperlink>
          </w:p>
        </w:tc>
        <w:tc>
          <w:tcPr>
            <w:tcW w:w="1280" w:type="dxa"/>
            <w:vAlign w:val="bottom"/>
            <w:tcBorders>
              <w:top w:val="single" w:sz="8" w:color="0000FF"/>
            </w:tcBorders>
            <w:gridSpan w:val="2"/>
          </w:tcPr>
          <w:p>
            <w:pPr>
              <w:spacing w:after="0"/>
              <w:rPr>
                <w:sz w:val="18"/>
                <w:szCs w:val="18"/>
                <w:color w:val="auto"/>
              </w:rPr>
            </w:pPr>
          </w:p>
        </w:tc>
        <w:tc>
          <w:tcPr>
            <w:tcW w:w="560" w:type="dxa"/>
            <w:vAlign w:val="bottom"/>
            <w:gridSpan w:val="7"/>
          </w:tcPr>
          <w:p>
            <w:pPr>
              <w:spacing w:after="0"/>
              <w:rPr>
                <w:sz w:val="18"/>
                <w:szCs w:val="18"/>
                <w:color w:val="auto"/>
              </w:rPr>
            </w:pPr>
          </w:p>
        </w:tc>
      </w:tr>
      <w:tr>
        <w:trPr>
          <w:trHeight w:val="493"/>
        </w:trPr>
        <w:tc>
          <w:tcPr>
            <w:tcW w:w="20" w:type="dxa"/>
            <w:vAlign w:val="bottom"/>
          </w:tcPr>
          <w:p>
            <w:pPr>
              <w:spacing w:after="0"/>
              <w:rPr>
                <w:sz w:val="24"/>
                <w:szCs w:val="24"/>
                <w:color w:val="auto"/>
              </w:rPr>
            </w:pPr>
          </w:p>
        </w:tc>
        <w:tc>
          <w:tcPr>
            <w:tcW w:w="500" w:type="dxa"/>
            <w:vAlign w:val="bottom"/>
            <w:gridSpan w:val="3"/>
          </w:tcPr>
          <w:p>
            <w:pPr>
              <w:spacing w:after="0"/>
              <w:rPr>
                <w:rFonts w:ascii="Arial" w:cs="Arial" w:eastAsia="Arial" w:hAnsi="Arial"/>
                <w:sz w:val="18"/>
                <w:szCs w:val="18"/>
                <w:color w:val="0000FF"/>
              </w:rPr>
            </w:pPr>
            <w:hyperlink r:id="rId829">
              <w:r>
                <w:rPr>
                  <w:rFonts w:ascii="Arial" w:cs="Arial" w:eastAsia="Arial" w:hAnsi="Arial"/>
                  <w:sz w:val="18"/>
                  <w:szCs w:val="18"/>
                  <w:color w:val="0000FF"/>
                </w:rPr>
                <w:t>3.</w:t>
              </w:r>
              <w:r>
                <w:rPr>
                  <w:rFonts w:ascii="Arial" w:cs="Arial" w:eastAsia="Arial" w:hAnsi="Arial"/>
                  <w:sz w:val="18"/>
                  <w:szCs w:val="18"/>
                  <w:u w:val="single" w:color="auto"/>
                  <w:color w:val="0000FF"/>
                </w:rPr>
                <w:t>1.3</w:t>
              </w:r>
            </w:hyperlink>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14"/>
          </w:tcPr>
          <w:p>
            <w:pPr>
              <w:spacing w:after="0"/>
              <w:rPr>
                <w:rFonts w:ascii="Arial" w:cs="Arial" w:eastAsia="Arial" w:hAnsi="Arial"/>
                <w:sz w:val="18"/>
                <w:szCs w:val="18"/>
                <w:color w:val="0000FF"/>
                <w:w w:val="99"/>
              </w:rPr>
            </w:pPr>
            <w:hyperlink r:id="rId829">
              <w:r>
                <w:rPr>
                  <w:rFonts w:ascii="Arial" w:cs="Arial" w:eastAsia="Arial" w:hAnsi="Arial"/>
                  <w:sz w:val="18"/>
                  <w:szCs w:val="18"/>
                  <w:color w:val="0000FF"/>
                  <w:w w:val="99"/>
                </w:rPr>
                <w:t>Certificate of Amendment to Certificate of Incorporation of Portman Ridge Finance Corporation (the Decrease Shares Certificate of</w:t>
              </w:r>
            </w:hyperlink>
          </w:p>
        </w:tc>
      </w:tr>
      <w:tr>
        <w:trPr>
          <w:trHeight w:val="209"/>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r:id="rId829">
              <w:r>
                <w:rPr>
                  <w:rFonts w:ascii="Arial" w:cs="Arial" w:eastAsia="Arial" w:hAnsi="Arial"/>
                  <w:sz w:val="18"/>
                  <w:szCs w:val="18"/>
                  <w:color w:val="0000FF"/>
                  <w:w w:val="92"/>
                </w:rPr>
                <w:t>Amendment) (incorporated by reference to Exhibit 3.2 of the Current Report on Form 8-K filed on August 26, 2021).</w:t>
              </w:r>
            </w:hyperlink>
          </w:p>
        </w:tc>
        <w:tc>
          <w:tcPr>
            <w:tcW w:w="1040" w:type="dxa"/>
            <w:vAlign w:val="bottom"/>
            <w:tcBorders>
              <w:top w:val="single" w:sz="8" w:color="0000FF"/>
            </w:tcBorders>
          </w:tcPr>
          <w:p>
            <w:pPr>
              <w:spacing w:after="0"/>
              <w:rPr>
                <w:sz w:val="18"/>
                <w:szCs w:val="18"/>
                <w:color w:val="auto"/>
              </w:rPr>
            </w:pPr>
          </w:p>
        </w:tc>
        <w:tc>
          <w:tcPr>
            <w:tcW w:w="800" w:type="dxa"/>
            <w:vAlign w:val="bottom"/>
            <w:gridSpan w:val="8"/>
          </w:tcPr>
          <w:p>
            <w:pPr>
              <w:spacing w:after="0"/>
              <w:rPr>
                <w:sz w:val="18"/>
                <w:szCs w:val="18"/>
                <w:color w:val="auto"/>
              </w:rPr>
            </w:pPr>
          </w:p>
        </w:tc>
      </w:tr>
      <w:tr>
        <w:trPr>
          <w:trHeight w:val="493"/>
        </w:trPr>
        <w:tc>
          <w:tcPr>
            <w:tcW w:w="2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8"/>
                <w:szCs w:val="18"/>
                <w:color w:val="0000FF"/>
              </w:rPr>
            </w:pPr>
            <w:hyperlink r:id="rId830">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14"/>
          </w:tcPr>
          <w:p>
            <w:pPr>
              <w:spacing w:after="0"/>
              <w:rPr>
                <w:rFonts w:ascii="Arial" w:cs="Arial" w:eastAsia="Arial" w:hAnsi="Arial"/>
                <w:sz w:val="18"/>
                <w:szCs w:val="18"/>
                <w:color w:val="0000FF"/>
                <w:w w:val="92"/>
              </w:rPr>
            </w:pPr>
            <w:hyperlink r:id="rId830">
              <w:r>
                <w:rPr>
                  <w:rFonts w:ascii="Arial" w:cs="Arial" w:eastAsia="Arial" w:hAnsi="Arial"/>
                  <w:sz w:val="18"/>
                  <w:szCs w:val="18"/>
                  <w:color w:val="0000FF"/>
                  <w:w w:val="92"/>
                </w:rPr>
                <w:t>Third Amended and Restated Bylaws of Portman Ridge Finance Corporation, dated as of July 20, 2021 (incorporated by reference to Exhibit</w:t>
              </w:r>
            </w:hyperlink>
          </w:p>
        </w:tc>
      </w:tr>
      <w:tr>
        <w:trPr>
          <w:trHeight w:val="209"/>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tcBorders>
              <w:top w:val="single" w:sz="8" w:color="0000FF"/>
            </w:tcBorders>
            <w:gridSpan w:val="11"/>
          </w:tcPr>
          <w:p>
            <w:pPr>
              <w:spacing w:after="0"/>
              <w:rPr>
                <w:rFonts w:ascii="Arial" w:cs="Arial" w:eastAsia="Arial" w:hAnsi="Arial"/>
                <w:sz w:val="18"/>
                <w:szCs w:val="18"/>
                <w:color w:val="0000FF"/>
              </w:rPr>
            </w:pPr>
            <w:hyperlink r:id="rId830">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of the Current Report on Form 8-K, as filed on July 21, 2021).</w:t>
              </w:r>
            </w:hyperlink>
          </w:p>
        </w:tc>
        <w:tc>
          <w:tcPr>
            <w:tcW w:w="140" w:type="dxa"/>
            <w:vAlign w:val="bottom"/>
            <w:gridSpan w:val="3"/>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00" w:type="dxa"/>
            <w:vAlign w:val="bottom"/>
            <w:tcBorders>
              <w:bottom w:val="single" w:sz="8" w:color="0000FF"/>
            </w:tcBorders>
            <w:gridSpan w:val="3"/>
          </w:tcPr>
          <w:p>
            <w:pPr>
              <w:spacing w:after="0"/>
              <w:rPr>
                <w:rFonts w:ascii="Arial" w:cs="Arial" w:eastAsia="Arial" w:hAnsi="Arial"/>
                <w:sz w:val="18"/>
                <w:szCs w:val="18"/>
                <w:color w:val="0000FF"/>
                <w:w w:val="97"/>
              </w:rPr>
            </w:pPr>
            <w:hyperlink w:anchor="page115">
              <w:r>
                <w:rPr>
                  <w:rFonts w:ascii="Arial" w:cs="Arial" w:eastAsia="Arial" w:hAnsi="Arial"/>
                  <w:sz w:val="18"/>
                  <w:szCs w:val="18"/>
                  <w:color w:val="0000FF"/>
                  <w:w w:val="97"/>
                </w:rPr>
                <w:t>31.</w:t>
              </w:r>
              <w:r>
                <w:rPr>
                  <w:rFonts w:ascii="Arial" w:cs="Arial" w:eastAsia="Arial" w:hAnsi="Arial"/>
                  <w:sz w:val="18"/>
                  <w:szCs w:val="18"/>
                  <w:u w:val="single" w:color="auto"/>
                  <w:color w:val="0000FF"/>
                  <w:w w:val="97"/>
                </w:rPr>
                <w:t>1**</w:t>
              </w:r>
            </w:hyperlink>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115">
              <w:r>
                <w:rPr>
                  <w:rFonts w:ascii="Arial" w:cs="Arial" w:eastAsia="Arial" w:hAnsi="Arial"/>
                  <w:sz w:val="18"/>
                  <w:szCs w:val="18"/>
                  <w:color w:val="0000FF"/>
                  <w:w w:val="91"/>
                </w:rPr>
                <w:t>Certification of Chief Executive Officer Pursuant to Rule 13a-14(a) under the Securities Exchange Act of 1934, as adopted pursuant to Section</w:t>
              </w:r>
            </w:hyperlink>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tcBorders>
              <w:bottom w:val="single" w:sz="8" w:color="0000FF"/>
            </w:tcBorders>
          </w:tcPr>
          <w:p>
            <w:pPr>
              <w:spacing w:after="0"/>
              <w:rPr>
                <w:rFonts w:ascii="Arial" w:cs="Arial" w:eastAsia="Arial" w:hAnsi="Arial"/>
                <w:sz w:val="18"/>
                <w:szCs w:val="18"/>
                <w:color w:val="0000FF"/>
                <w:w w:val="90"/>
              </w:rPr>
            </w:pPr>
            <w:hyperlink w:anchor="page115">
              <w:r>
                <w:rPr>
                  <w:rFonts w:ascii="Arial" w:cs="Arial" w:eastAsia="Arial" w:hAnsi="Arial"/>
                  <w:sz w:val="18"/>
                  <w:szCs w:val="18"/>
                  <w:color w:val="0000FF"/>
                  <w:w w:val="90"/>
                </w:rPr>
                <w:t>302 of the Sarbanes-Oxley Act of 2002.</w:t>
              </w:r>
            </w:hyperlink>
          </w:p>
        </w:tc>
        <w:tc>
          <w:tcPr>
            <w:tcW w:w="7460" w:type="dxa"/>
            <w:vAlign w:val="bottom"/>
            <w:gridSpan w:val="13"/>
          </w:tcPr>
          <w:p>
            <w:pPr>
              <w:spacing w:after="0"/>
              <w:rPr>
                <w:sz w:val="18"/>
                <w:szCs w:val="18"/>
                <w:color w:val="auto"/>
              </w:rPr>
            </w:pPr>
          </w:p>
        </w:tc>
      </w:tr>
      <w:tr>
        <w:trPr>
          <w:trHeight w:val="398"/>
        </w:trPr>
        <w:tc>
          <w:tcPr>
            <w:tcW w:w="20" w:type="dxa"/>
            <w:vAlign w:val="bottom"/>
          </w:tcPr>
          <w:p>
            <w:pPr>
              <w:spacing w:after="0"/>
              <w:rPr>
                <w:sz w:val="24"/>
                <w:szCs w:val="24"/>
                <w:color w:val="auto"/>
              </w:rPr>
            </w:pPr>
          </w:p>
        </w:tc>
        <w:tc>
          <w:tcPr>
            <w:tcW w:w="500" w:type="dxa"/>
            <w:vAlign w:val="bottom"/>
            <w:tcBorders>
              <w:bottom w:val="single" w:sz="8" w:color="0000FF"/>
            </w:tcBorders>
            <w:gridSpan w:val="3"/>
          </w:tcPr>
          <w:p>
            <w:pPr>
              <w:spacing w:after="0"/>
              <w:rPr>
                <w:rFonts w:ascii="Arial" w:cs="Arial" w:eastAsia="Arial" w:hAnsi="Arial"/>
                <w:sz w:val="18"/>
                <w:szCs w:val="18"/>
                <w:color w:val="0000FF"/>
                <w:w w:val="97"/>
              </w:rPr>
            </w:pPr>
            <w:hyperlink w:anchor="page116">
              <w:r>
                <w:rPr>
                  <w:rFonts w:ascii="Arial" w:cs="Arial" w:eastAsia="Arial" w:hAnsi="Arial"/>
                  <w:sz w:val="18"/>
                  <w:szCs w:val="18"/>
                  <w:color w:val="0000FF"/>
                  <w:w w:val="97"/>
                </w:rPr>
                <w:t>31.</w:t>
              </w:r>
              <w:r>
                <w:rPr>
                  <w:rFonts w:ascii="Arial" w:cs="Arial" w:eastAsia="Arial" w:hAnsi="Arial"/>
                  <w:sz w:val="18"/>
                  <w:szCs w:val="18"/>
                  <w:u w:val="single" w:color="auto"/>
                  <w:color w:val="0000FF"/>
                  <w:w w:val="97"/>
                </w:rPr>
                <w:t>2**</w:t>
              </w:r>
            </w:hyperlink>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116">
              <w:r>
                <w:rPr>
                  <w:rFonts w:ascii="Arial" w:cs="Arial" w:eastAsia="Arial" w:hAnsi="Arial"/>
                  <w:sz w:val="18"/>
                  <w:szCs w:val="18"/>
                  <w:color w:val="0000FF"/>
                  <w:w w:val="91"/>
                </w:rPr>
                <w:t>Certification of Chief Financial Officer Pursuant to Rule 13a-14(a) under the Securities Exchange Act of 1934, as adopted pursuant to Section</w:t>
              </w:r>
            </w:hyperlink>
          </w:p>
        </w:tc>
        <w:tc>
          <w:tcPr>
            <w:tcW w:w="60" w:type="dxa"/>
            <w:vAlign w:val="bottom"/>
            <w:gridSpan w:val="2"/>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tcBorders>
              <w:bottom w:val="single" w:sz="8" w:color="0000FF"/>
            </w:tcBorders>
          </w:tcPr>
          <w:p>
            <w:pPr>
              <w:spacing w:after="0"/>
              <w:rPr>
                <w:rFonts w:ascii="Arial" w:cs="Arial" w:eastAsia="Arial" w:hAnsi="Arial"/>
                <w:sz w:val="18"/>
                <w:szCs w:val="18"/>
                <w:color w:val="0000FF"/>
                <w:w w:val="90"/>
              </w:rPr>
            </w:pPr>
            <w:hyperlink w:anchor="page116">
              <w:r>
                <w:rPr>
                  <w:rFonts w:ascii="Arial" w:cs="Arial" w:eastAsia="Arial" w:hAnsi="Arial"/>
                  <w:sz w:val="18"/>
                  <w:szCs w:val="18"/>
                  <w:color w:val="0000FF"/>
                  <w:w w:val="90"/>
                </w:rPr>
                <w:t>302 of the Sarbanes-Oxley Act of 2002.</w:t>
              </w:r>
            </w:hyperlink>
          </w:p>
        </w:tc>
        <w:tc>
          <w:tcPr>
            <w:tcW w:w="7460" w:type="dxa"/>
            <w:vAlign w:val="bottom"/>
            <w:gridSpan w:val="13"/>
          </w:tcPr>
          <w:p>
            <w:pPr>
              <w:spacing w:after="0"/>
              <w:rPr>
                <w:sz w:val="18"/>
                <w:szCs w:val="18"/>
                <w:color w:val="auto"/>
              </w:rPr>
            </w:pPr>
          </w:p>
        </w:tc>
      </w:tr>
      <w:tr>
        <w:trPr>
          <w:trHeight w:val="399"/>
        </w:trPr>
        <w:tc>
          <w:tcPr>
            <w:tcW w:w="20" w:type="dxa"/>
            <w:vAlign w:val="bottom"/>
          </w:tcPr>
          <w:p>
            <w:pPr>
              <w:spacing w:after="0"/>
              <w:rPr>
                <w:sz w:val="24"/>
                <w:szCs w:val="24"/>
                <w:color w:val="auto"/>
              </w:rPr>
            </w:pPr>
          </w:p>
        </w:tc>
        <w:tc>
          <w:tcPr>
            <w:tcW w:w="500" w:type="dxa"/>
            <w:vAlign w:val="bottom"/>
            <w:gridSpan w:val="3"/>
          </w:tcPr>
          <w:p>
            <w:pPr>
              <w:spacing w:after="0"/>
              <w:rPr>
                <w:rFonts w:ascii="Arial" w:cs="Arial" w:eastAsia="Arial" w:hAnsi="Arial"/>
                <w:sz w:val="18"/>
                <w:szCs w:val="18"/>
                <w:color w:val="0000FF"/>
                <w:w w:val="97"/>
              </w:rPr>
            </w:pPr>
            <w:hyperlink w:anchor="page117">
              <w:r>
                <w:rPr>
                  <w:rFonts w:ascii="Arial" w:cs="Arial" w:eastAsia="Arial" w:hAnsi="Arial"/>
                  <w:sz w:val="18"/>
                  <w:szCs w:val="18"/>
                  <w:color w:val="0000FF"/>
                  <w:w w:val="97"/>
                </w:rPr>
                <w:t>32.</w:t>
              </w:r>
              <w:r>
                <w:rPr>
                  <w:rFonts w:ascii="Arial" w:cs="Arial" w:eastAsia="Arial" w:hAnsi="Arial"/>
                  <w:sz w:val="18"/>
                  <w:szCs w:val="18"/>
                  <w:u w:val="single" w:color="auto"/>
                  <w:color w:val="0000FF"/>
                  <w:w w:val="97"/>
                </w:rPr>
                <w:t>1**</w:t>
              </w:r>
            </w:hyperlink>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14"/>
          </w:tcPr>
          <w:p>
            <w:pPr>
              <w:spacing w:after="0"/>
              <w:rPr>
                <w:rFonts w:ascii="Arial" w:cs="Arial" w:eastAsia="Arial" w:hAnsi="Arial"/>
                <w:sz w:val="18"/>
                <w:szCs w:val="18"/>
                <w:color w:val="0000FF"/>
                <w:w w:val="92"/>
              </w:rPr>
            </w:pPr>
            <w:hyperlink w:anchor="page117">
              <w:r>
                <w:rPr>
                  <w:rFonts w:ascii="Arial" w:cs="Arial" w:eastAsia="Arial" w:hAnsi="Arial"/>
                  <w:sz w:val="18"/>
                  <w:szCs w:val="18"/>
                  <w:color w:val="0000FF"/>
                  <w:w w:val="92"/>
                </w:rPr>
                <w:t>Certification of Chief Executive Officer Pursuant to 18 U. S. C. 1350, as adopted pursuant to Section 906 of the Sarbanes-Oxley Act of 2002.</w:t>
              </w:r>
            </w:hyperlink>
          </w:p>
        </w:tc>
      </w:tr>
      <w:tr>
        <w:trPr>
          <w:trHeight w:val="398"/>
        </w:trPr>
        <w:tc>
          <w:tcPr>
            <w:tcW w:w="20" w:type="dxa"/>
            <w:vAlign w:val="bottom"/>
          </w:tcPr>
          <w:p>
            <w:pPr>
              <w:spacing w:after="0"/>
              <w:rPr>
                <w:sz w:val="24"/>
                <w:szCs w:val="24"/>
                <w:color w:val="auto"/>
              </w:rPr>
            </w:pPr>
          </w:p>
        </w:tc>
        <w:tc>
          <w:tcPr>
            <w:tcW w:w="5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7"/>
              </w:rPr>
            </w:pPr>
            <w:hyperlink w:anchor="page118">
              <w:r>
                <w:rPr>
                  <w:rFonts w:ascii="Arial" w:cs="Arial" w:eastAsia="Arial" w:hAnsi="Arial"/>
                  <w:sz w:val="18"/>
                  <w:szCs w:val="18"/>
                  <w:color w:val="0000FF"/>
                  <w:w w:val="97"/>
                </w:rPr>
                <w:t>32.</w:t>
              </w:r>
              <w:r>
                <w:rPr>
                  <w:rFonts w:ascii="Arial" w:cs="Arial" w:eastAsia="Arial" w:hAnsi="Arial"/>
                  <w:sz w:val="18"/>
                  <w:szCs w:val="18"/>
                  <w:u w:val="single" w:color="auto"/>
                  <w:color w:val="0000FF"/>
                  <w:w w:val="97"/>
                </w:rPr>
                <w:t>2**</w:t>
              </w:r>
            </w:hyperlink>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1"/>
              </w:rPr>
            </w:pPr>
            <w:hyperlink w:anchor="page118">
              <w:r>
                <w:rPr>
                  <w:rFonts w:ascii="Arial" w:cs="Arial" w:eastAsia="Arial" w:hAnsi="Arial"/>
                  <w:sz w:val="18"/>
                  <w:szCs w:val="18"/>
                  <w:color w:val="0000FF"/>
                  <w:w w:val="91"/>
                </w:rPr>
                <w:t>Certification of Chief Financial Officer Pursuant to 18 U. S. C. 1350, as adopted pursuant to Section 906 of the Sarbanes-Oxley Act of 2002.</w:t>
              </w:r>
            </w:hyperlink>
          </w:p>
        </w:tc>
        <w:tc>
          <w:tcPr>
            <w:tcW w:w="40" w:type="dxa"/>
            <w:vAlign w:val="bottom"/>
            <w:tcBorders>
              <w:top w:val="single" w:sz="8" w:color="0000FF"/>
            </w:tcBorders>
          </w:tcPr>
          <w:p>
            <w:pPr>
              <w:spacing w:after="0"/>
              <w:rPr>
                <w:sz w:val="24"/>
                <w:szCs w:val="24"/>
                <w:color w:val="auto"/>
              </w:rPr>
            </w:pPr>
          </w:p>
        </w:tc>
        <w:tc>
          <w:tcPr>
            <w:tcW w:w="160" w:type="dxa"/>
            <w:vAlign w:val="bottom"/>
            <w:gridSpan w:val="4"/>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-539750</wp:posOffset>
            </wp:positionV>
            <wp:extent cx="2857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-273685</wp:posOffset>
            </wp:positionV>
            <wp:extent cx="28575"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-8255</wp:posOffset>
            </wp:positionV>
            <wp:extent cx="2857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Submitted herewith.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520" w:firstLine="374"/>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520" w:type="dxa"/>
            <w:vAlign w:val="bottom"/>
            <w:gridSpan w:val="2"/>
          </w:tcPr>
          <w:p>
            <w:pPr>
              <w:ind w:left="1940"/>
              <w:spacing w:after="0"/>
              <w:rPr>
                <w:sz w:val="20"/>
                <w:szCs w:val="20"/>
                <w:color w:val="auto"/>
              </w:rPr>
            </w:pPr>
            <w:r>
              <w:rPr>
                <w:rFonts w:ascii="Arial" w:cs="Arial" w:eastAsia="Arial" w:hAnsi="Arial"/>
                <w:sz w:val="18"/>
                <w:szCs w:val="18"/>
                <w:color w:val="auto"/>
              </w:rPr>
              <w:t>PORTMAN RIDGE FINANCE CORPORATION</w:t>
            </w:r>
          </w:p>
        </w:tc>
      </w:tr>
      <w:tr>
        <w:trPr>
          <w:trHeight w:val="742"/>
        </w:trPr>
        <w:tc>
          <w:tcPr>
            <w:tcW w:w="3700" w:type="dxa"/>
            <w:vAlign w:val="bottom"/>
          </w:tcPr>
          <w:p>
            <w:pPr>
              <w:spacing w:after="0"/>
              <w:rPr>
                <w:sz w:val="20"/>
                <w:szCs w:val="20"/>
                <w:color w:val="auto"/>
              </w:rPr>
            </w:pPr>
            <w:r>
              <w:rPr>
                <w:rFonts w:ascii="Arial" w:cs="Arial" w:eastAsia="Arial" w:hAnsi="Arial"/>
                <w:sz w:val="18"/>
                <w:szCs w:val="18"/>
                <w:color w:val="auto"/>
              </w:rPr>
              <w:t>Date: November 4, 2021</w:t>
            </w:r>
          </w:p>
        </w:tc>
        <w:tc>
          <w:tcPr>
            <w:tcW w:w="248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/s/ Edward Goldthorpe</w:t>
            </w:r>
          </w:p>
        </w:tc>
      </w:tr>
      <w:tr>
        <w:trPr>
          <w:trHeight w:val="230"/>
        </w:trPr>
        <w:tc>
          <w:tcPr>
            <w:tcW w:w="37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040" w:type="dxa"/>
            <w:vAlign w:val="bottom"/>
            <w:tcBorders>
              <w:bottom w:val="single" w:sz="8" w:color="auto"/>
            </w:tcBorders>
          </w:tcPr>
          <w:p>
            <w:pPr>
              <w:spacing w:after="0"/>
              <w:rPr>
                <w:sz w:val="19"/>
                <w:szCs w:val="19"/>
                <w:color w:val="auto"/>
              </w:rPr>
            </w:pPr>
          </w:p>
        </w:tc>
      </w:tr>
      <w:tr>
        <w:trPr>
          <w:trHeight w:val="466"/>
        </w:trPr>
        <w:tc>
          <w:tcPr>
            <w:tcW w:w="3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Edward Goldthorpe</w:t>
            </w:r>
          </w:p>
        </w:tc>
      </w:tr>
      <w:tr>
        <w:trPr>
          <w:trHeight w:val="486"/>
        </w:trPr>
        <w:tc>
          <w:tcPr>
            <w:tcW w:w="3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486"/>
        </w:trPr>
        <w:tc>
          <w:tcPr>
            <w:tcW w:w="3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527"/>
        </w:trPr>
        <w:tc>
          <w:tcPr>
            <w:tcW w:w="3700" w:type="dxa"/>
            <w:vAlign w:val="bottom"/>
          </w:tcPr>
          <w:p>
            <w:pPr>
              <w:spacing w:after="0"/>
              <w:rPr>
                <w:sz w:val="20"/>
                <w:szCs w:val="20"/>
                <w:color w:val="auto"/>
              </w:rPr>
            </w:pPr>
            <w:r>
              <w:rPr>
                <w:rFonts w:ascii="Arial" w:cs="Arial" w:eastAsia="Arial" w:hAnsi="Arial"/>
                <w:sz w:val="18"/>
                <w:szCs w:val="18"/>
                <w:color w:val="auto"/>
              </w:rPr>
              <w:t>Date: November 4, 2021</w:t>
            </w:r>
          </w:p>
        </w:tc>
        <w:tc>
          <w:tcPr>
            <w:tcW w:w="248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Pr>
          <w:p>
            <w:pPr>
              <w:jc w:val="center"/>
              <w:spacing w:after="0"/>
              <w:rPr>
                <w:sz w:val="20"/>
                <w:szCs w:val="20"/>
                <w:color w:val="auto"/>
              </w:rPr>
            </w:pPr>
            <w:r>
              <w:rPr>
                <w:rFonts w:ascii="Arial" w:cs="Arial" w:eastAsia="Arial" w:hAnsi="Arial"/>
                <w:sz w:val="18"/>
                <w:szCs w:val="18"/>
                <w:color w:val="auto"/>
                <w:w w:val="85"/>
              </w:rPr>
              <w:t>/s/ Jason Roos</w:t>
            </w:r>
          </w:p>
        </w:tc>
      </w:tr>
      <w:tr>
        <w:trPr>
          <w:trHeight w:val="229"/>
        </w:trPr>
        <w:tc>
          <w:tcPr>
            <w:tcW w:w="37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040" w:type="dxa"/>
            <w:vAlign w:val="bottom"/>
            <w:tcBorders>
              <w:bottom w:val="single" w:sz="8" w:color="auto"/>
            </w:tcBorders>
          </w:tcPr>
          <w:p>
            <w:pPr>
              <w:spacing w:after="0"/>
              <w:rPr>
                <w:sz w:val="19"/>
                <w:szCs w:val="19"/>
                <w:color w:val="auto"/>
              </w:rPr>
            </w:pPr>
          </w:p>
        </w:tc>
      </w:tr>
      <w:tr>
        <w:trPr>
          <w:trHeight w:val="466"/>
        </w:trPr>
        <w:tc>
          <w:tcPr>
            <w:tcW w:w="3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6"/>
              </w:rPr>
              <w:t>Jason Roos</w:t>
            </w:r>
          </w:p>
        </w:tc>
      </w:tr>
      <w:tr>
        <w:trPr>
          <w:trHeight w:val="486"/>
        </w:trPr>
        <w:tc>
          <w:tcPr>
            <w:tcW w:w="3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bl>
    <w:p>
      <w:pPr>
        <w:spacing w:after="0" w:line="256" w:lineRule="exact"/>
        <w:rPr>
          <w:sz w:val="20"/>
          <w:szCs w:val="20"/>
          <w:color w:val="auto"/>
        </w:rPr>
      </w:pPr>
    </w:p>
    <w:p>
      <w:pPr>
        <w:ind w:left="70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Edward Goldthorpe, certify that:</w:t>
      </w:r>
    </w:p>
    <w:p>
      <w:pPr>
        <w:spacing w:after="0" w:line="198" w:lineRule="exact"/>
        <w:rPr>
          <w:sz w:val="20"/>
          <w:szCs w:val="20"/>
          <w:color w:val="auto"/>
        </w:rPr>
      </w:pPr>
    </w:p>
    <w:p>
      <w:pPr>
        <w:ind w:left="1020" w:right="320" w:hanging="479"/>
        <w:spacing w:after="0" w:line="293" w:lineRule="auto"/>
        <w:tabs>
          <w:tab w:leader="none" w:pos="8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2021 of Portman Ridge Finance Corporation (the “registrant”);</w:t>
      </w:r>
    </w:p>
    <w:p>
      <w:pPr>
        <w:spacing w:after="0" w:line="129" w:lineRule="exact"/>
        <w:rPr>
          <w:rFonts w:ascii="Arial" w:cs="Arial" w:eastAsia="Arial" w:hAnsi="Arial"/>
          <w:sz w:val="18"/>
          <w:szCs w:val="18"/>
          <w:color w:val="auto"/>
        </w:rPr>
      </w:pPr>
    </w:p>
    <w:p>
      <w:pPr>
        <w:ind w:left="1020" w:right="40" w:hanging="479"/>
        <w:spacing w:after="0" w:line="279" w:lineRule="auto"/>
        <w:tabs>
          <w:tab w:leader="none" w:pos="8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1020" w:right="100" w:hanging="479"/>
        <w:spacing w:after="0" w:line="359" w:lineRule="auto"/>
        <w:tabs>
          <w:tab w:leader="none" w:pos="89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4" w:lineRule="exact"/>
        <w:rPr>
          <w:rFonts w:ascii="Arial" w:cs="Arial" w:eastAsia="Arial" w:hAnsi="Arial"/>
          <w:sz w:val="16"/>
          <w:szCs w:val="16"/>
          <w:color w:val="auto"/>
        </w:rPr>
      </w:pPr>
    </w:p>
    <w:p>
      <w:pPr>
        <w:ind w:left="1020" w:right="60" w:hanging="479"/>
        <w:spacing w:after="0" w:line="279" w:lineRule="auto"/>
        <w:tabs>
          <w:tab w:leader="none" w:pos="8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8"/>
          <w:szCs w:val="18"/>
          <w:color w:val="auto"/>
        </w:rPr>
      </w:pPr>
    </w:p>
    <w:p>
      <w:pPr>
        <w:ind w:left="1540" w:right="120" w:hanging="513"/>
        <w:spacing w:after="0" w:line="303" w:lineRule="auto"/>
        <w:tabs>
          <w:tab w:leader="none" w:pos="1391"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7"/>
          <w:szCs w:val="17"/>
          <w:color w:val="auto"/>
        </w:rPr>
      </w:pPr>
    </w:p>
    <w:p>
      <w:pPr>
        <w:ind w:left="1540" w:right="40" w:hanging="513"/>
        <w:spacing w:after="0" w:line="279" w:lineRule="auto"/>
        <w:tabs>
          <w:tab w:leader="none" w:pos="139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8"/>
          <w:szCs w:val="18"/>
          <w:color w:val="auto"/>
        </w:rPr>
      </w:pPr>
    </w:p>
    <w:p>
      <w:pPr>
        <w:ind w:left="1540" w:right="160" w:hanging="513"/>
        <w:spacing w:after="0" w:line="279" w:lineRule="auto"/>
        <w:tabs>
          <w:tab w:leader="none" w:pos="139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ind w:left="1540" w:right="120" w:hanging="513"/>
        <w:spacing w:after="0" w:line="279" w:lineRule="auto"/>
        <w:tabs>
          <w:tab w:leader="none" w:pos="139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8"/>
          <w:szCs w:val="18"/>
          <w:color w:val="auto"/>
        </w:rPr>
      </w:pPr>
    </w:p>
    <w:p>
      <w:pPr>
        <w:ind w:left="1020" w:right="20" w:hanging="479"/>
        <w:spacing w:after="0" w:line="359" w:lineRule="auto"/>
        <w:tabs>
          <w:tab w:leader="none" w:pos="89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4" w:lineRule="exact"/>
        <w:rPr>
          <w:rFonts w:ascii="Arial" w:cs="Arial" w:eastAsia="Arial" w:hAnsi="Arial"/>
          <w:sz w:val="16"/>
          <w:szCs w:val="16"/>
          <w:color w:val="auto"/>
        </w:rPr>
      </w:pPr>
    </w:p>
    <w:p>
      <w:pPr>
        <w:ind w:left="1540" w:right="360" w:hanging="513"/>
        <w:spacing w:after="0" w:line="359" w:lineRule="auto"/>
        <w:tabs>
          <w:tab w:leader="none" w:pos="1391"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4" w:lineRule="exact"/>
        <w:rPr>
          <w:rFonts w:ascii="Arial" w:cs="Arial" w:eastAsia="Arial" w:hAnsi="Arial"/>
          <w:sz w:val="16"/>
          <w:szCs w:val="16"/>
          <w:color w:val="auto"/>
        </w:rPr>
      </w:pPr>
    </w:p>
    <w:p>
      <w:pPr>
        <w:ind w:left="1540" w:right="60" w:hanging="513"/>
        <w:spacing w:after="0" w:line="293" w:lineRule="auto"/>
        <w:tabs>
          <w:tab w:leader="none" w:pos="139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40" w:val="left"/>
          <w:tab w:leader="none" w:pos="608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168910</wp:posOffset>
            </wp:positionV>
            <wp:extent cx="3274695"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69"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Edward Goldthorpe</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Roos, certify that:</w:t>
      </w:r>
    </w:p>
    <w:p>
      <w:pPr>
        <w:spacing w:after="0" w:line="198" w:lineRule="exact"/>
        <w:rPr>
          <w:sz w:val="20"/>
          <w:szCs w:val="20"/>
          <w:color w:val="auto"/>
        </w:rPr>
      </w:pPr>
    </w:p>
    <w:p>
      <w:pPr>
        <w:ind w:left="960" w:right="260" w:hanging="441"/>
        <w:spacing w:after="0" w:line="293" w:lineRule="auto"/>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2021 of Portman Ridge Finance Corporation (the “registrant”);</w:t>
      </w:r>
    </w:p>
    <w:p>
      <w:pPr>
        <w:spacing w:after="0" w:line="129" w:lineRule="exact"/>
        <w:rPr>
          <w:rFonts w:ascii="Arial" w:cs="Arial" w:eastAsia="Arial" w:hAnsi="Arial"/>
          <w:sz w:val="18"/>
          <w:szCs w:val="18"/>
          <w:color w:val="auto"/>
        </w:rPr>
      </w:pPr>
    </w:p>
    <w:p>
      <w:pPr>
        <w:jc w:val="both"/>
        <w:ind w:left="960" w:right="80" w:hanging="441"/>
        <w:spacing w:after="0" w:line="279" w:lineRule="auto"/>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960" w:right="40" w:hanging="441"/>
        <w:spacing w:after="0" w:line="324" w:lineRule="auto"/>
        <w:tabs>
          <w:tab w:leader="none" w:pos="9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960" w:hanging="441"/>
        <w:spacing w:after="0" w:line="279" w:lineRule="auto"/>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8"/>
          <w:szCs w:val="18"/>
          <w:color w:val="auto"/>
        </w:rPr>
      </w:pPr>
    </w:p>
    <w:p>
      <w:pPr>
        <w:ind w:left="1540" w:right="120" w:hanging="513"/>
        <w:spacing w:after="0" w:line="303" w:lineRule="auto"/>
        <w:tabs>
          <w:tab w:leader="none" w:pos="1391" w:val="left"/>
        </w:tabs>
        <w:numPr>
          <w:ilvl w:val="2"/>
          <w:numId w:val="10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7"/>
          <w:szCs w:val="17"/>
          <w:color w:val="auto"/>
        </w:rPr>
      </w:pPr>
    </w:p>
    <w:p>
      <w:pPr>
        <w:ind w:left="1540" w:right="40" w:hanging="513"/>
        <w:spacing w:after="0" w:line="279" w:lineRule="auto"/>
        <w:tabs>
          <w:tab w:leader="none" w:pos="1391" w:val="left"/>
        </w:tabs>
        <w:numPr>
          <w:ilvl w:val="2"/>
          <w:numId w:val="1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8"/>
          <w:szCs w:val="18"/>
          <w:color w:val="auto"/>
        </w:rPr>
      </w:pPr>
    </w:p>
    <w:p>
      <w:pPr>
        <w:ind w:left="1540" w:right="160" w:hanging="513"/>
        <w:spacing w:after="0" w:line="279" w:lineRule="auto"/>
        <w:tabs>
          <w:tab w:leader="none" w:pos="1391" w:val="left"/>
        </w:tabs>
        <w:numPr>
          <w:ilvl w:val="2"/>
          <w:numId w:val="10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ind w:left="1540" w:right="120" w:hanging="513"/>
        <w:spacing w:after="0" w:line="279" w:lineRule="auto"/>
        <w:tabs>
          <w:tab w:leader="none" w:pos="1391" w:val="left"/>
        </w:tabs>
        <w:numPr>
          <w:ilvl w:val="2"/>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8"/>
          <w:szCs w:val="18"/>
          <w:color w:val="auto"/>
        </w:rPr>
      </w:pPr>
    </w:p>
    <w:p>
      <w:pPr>
        <w:ind w:left="1020" w:right="20" w:hanging="479"/>
        <w:spacing w:after="0" w:line="359" w:lineRule="auto"/>
        <w:tabs>
          <w:tab w:leader="none" w:pos="895"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4" w:lineRule="exact"/>
        <w:rPr>
          <w:rFonts w:ascii="Arial" w:cs="Arial" w:eastAsia="Arial" w:hAnsi="Arial"/>
          <w:sz w:val="16"/>
          <w:szCs w:val="16"/>
          <w:color w:val="auto"/>
        </w:rPr>
      </w:pPr>
    </w:p>
    <w:p>
      <w:pPr>
        <w:ind w:left="1540" w:right="360" w:hanging="513"/>
        <w:spacing w:after="0" w:line="359" w:lineRule="auto"/>
        <w:tabs>
          <w:tab w:leader="none" w:pos="1391" w:val="left"/>
        </w:tabs>
        <w:numPr>
          <w:ilvl w:val="2"/>
          <w:numId w:val="10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4" w:lineRule="exact"/>
        <w:rPr>
          <w:rFonts w:ascii="Arial" w:cs="Arial" w:eastAsia="Arial" w:hAnsi="Arial"/>
          <w:sz w:val="16"/>
          <w:szCs w:val="16"/>
          <w:color w:val="auto"/>
        </w:rPr>
      </w:pPr>
    </w:p>
    <w:p>
      <w:pPr>
        <w:ind w:left="1540" w:right="60" w:hanging="513"/>
        <w:spacing w:after="0" w:line="293" w:lineRule="auto"/>
        <w:tabs>
          <w:tab w:leader="none" w:pos="1391"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60"/>
        <w:spacing w:after="0"/>
        <w:tabs>
          <w:tab w:leader="none" w:pos="5620" w:val="left"/>
          <w:tab w:leader="none" w:pos="60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168910</wp:posOffset>
            </wp:positionV>
            <wp:extent cx="314642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8">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6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Jason Roos</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Financial Officer</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 AS ADOPTED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40" w:firstLine="509"/>
        <w:spacing w:after="0" w:line="279" w:lineRule="auto"/>
        <w:rPr>
          <w:sz w:val="20"/>
          <w:szCs w:val="20"/>
          <w:color w:val="auto"/>
        </w:rPr>
      </w:pPr>
      <w:r>
        <w:rPr>
          <w:rFonts w:ascii="Arial" w:cs="Arial" w:eastAsia="Arial" w:hAnsi="Arial"/>
          <w:sz w:val="18"/>
          <w:szCs w:val="18"/>
          <w:color w:val="auto"/>
        </w:rPr>
        <w:t>In connection with the accompanying Quarterly Report of Portman Ridge Finance Corporation (the “Company”) on Form 10-Q for the quarter ended September 30, 2021 (the “Report”), I, Edward Goldthorpe, President and Chief Executive Officer of the Company, certify, pursuant to 18 U.S.C. §1350, as adopted pursuant to §906 of the Sarbanes-Oxley Act of 2002, that:</w:t>
      </w:r>
    </w:p>
    <w:p>
      <w:pPr>
        <w:spacing w:after="0" w:line="142" w:lineRule="exact"/>
        <w:rPr>
          <w:sz w:val="20"/>
          <w:szCs w:val="20"/>
          <w:color w:val="auto"/>
        </w:rPr>
      </w:pPr>
    </w:p>
    <w:p>
      <w:pPr>
        <w:ind w:left="900" w:hanging="359"/>
        <w:spacing w:after="0"/>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221" w:lineRule="exact"/>
        <w:rPr>
          <w:rFonts w:ascii="Arial" w:cs="Arial" w:eastAsia="Arial" w:hAnsi="Arial"/>
          <w:sz w:val="16"/>
          <w:szCs w:val="16"/>
          <w:color w:val="auto"/>
        </w:rPr>
      </w:pPr>
    </w:p>
    <w:p>
      <w:pPr>
        <w:ind w:left="1020" w:right="680" w:hanging="479"/>
        <w:spacing w:after="0" w:line="293" w:lineRule="auto"/>
        <w:tabs>
          <w:tab w:leader="none" w:pos="8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20"/>
        <w:spacing w:after="0"/>
        <w:tabs>
          <w:tab w:leader="none" w:pos="5620" w:val="left"/>
          <w:tab w:leader="none" w:pos="608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168910</wp:posOffset>
            </wp:positionV>
            <wp:extent cx="327469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69"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Edward Goldthorpe</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 AS ADOPTED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In connection with the accompanying Quarterly Report of Portman Ridge Finance Corporation, (the “Company”) on Form 10-Q for the quarter ended September 30, 2021 (the “Report”), I, Jason Roos, Chief Financial Officer of the Company, certify, pursuant to 18 U.S.C. §1350, as adopted pursuant to §906 of the Sarbanes-Oxley Act of 2002, that:</w:t>
      </w:r>
    </w:p>
    <w:p>
      <w:pPr>
        <w:spacing w:after="0" w:line="142" w:lineRule="exact"/>
        <w:rPr>
          <w:sz w:val="20"/>
          <w:szCs w:val="20"/>
          <w:color w:val="auto"/>
        </w:rPr>
      </w:pPr>
    </w:p>
    <w:p>
      <w:pPr>
        <w:ind w:left="900" w:hanging="359"/>
        <w:spacing w:after="0"/>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221" w:lineRule="exact"/>
        <w:rPr>
          <w:rFonts w:ascii="Arial" w:cs="Arial" w:eastAsia="Arial" w:hAnsi="Arial"/>
          <w:sz w:val="16"/>
          <w:szCs w:val="16"/>
          <w:color w:val="auto"/>
        </w:rPr>
      </w:pPr>
    </w:p>
    <w:p>
      <w:pPr>
        <w:ind w:left="1020" w:right="680" w:hanging="479"/>
        <w:spacing w:after="0" w:line="293" w:lineRule="auto"/>
        <w:tabs>
          <w:tab w:leader="none" w:pos="89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20"/>
        <w:spacing w:after="0"/>
        <w:tabs>
          <w:tab w:leader="none" w:pos="5640" w:val="left"/>
          <w:tab w:leader="none" w:pos="608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160655</wp:posOffset>
            </wp:positionV>
            <wp:extent cx="327469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55"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Jason Roos</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Chief Financial Officer</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1)"/>
      <w:numFmt w:val="decimal"/>
      <w:start w:val="1"/>
    </w:lvl>
  </w:abstractNum>
  <w:abstractNum w:abstractNumId="1">
    <w:nsid w:val="520EEDD1"/>
    <w:multiLevelType w:val="hybridMultilevel"/>
    <w:lvl w:ilvl="0">
      <w:lvlJc w:val="left"/>
      <w:lvlText w:val="(%1)"/>
      <w:numFmt w:val="decimal"/>
      <w:start w:val="1"/>
    </w:lvl>
  </w:abstractNum>
  <w:abstractNum w:abstractNumId="2">
    <w:nsid w:val="374A3FE6"/>
    <w:multiLevelType w:val="hybridMultilevel"/>
    <w:lvl w:ilvl="0">
      <w:lvlJc w:val="left"/>
      <w:lvlText w:val="(%1)"/>
      <w:numFmt w:val="decimal"/>
      <w:start w:val="1"/>
    </w:lvl>
  </w:abstractNum>
  <w:abstractNum w:abstractNumId="3">
    <w:nsid w:val="4F4EF005"/>
    <w:multiLevelType w:val="hybridMultilevel"/>
    <w:lvl w:ilvl="0">
      <w:lvlJc w:val="left"/>
      <w:lvlText w:val="1"/>
      <w:numFmt w:val="bullet"/>
      <w:start w:val="1"/>
    </w:lvl>
  </w:abstractNum>
  <w:abstractNum w:abstractNumId="4">
    <w:nsid w:val="23F9C13C"/>
    <w:multiLevelType w:val="hybridMultilevel"/>
    <w:lvl w:ilvl="0">
      <w:lvlJc w:val="left"/>
      <w:lvlText w:val="2"/>
      <w:numFmt w:val="bullet"/>
      <w:start w:val="1"/>
    </w:lvl>
  </w:abstractNum>
  <w:abstractNum w:abstractNumId="5">
    <w:nsid w:val="649BB77C"/>
    <w:multiLevelType w:val="hybridMultilevel"/>
    <w:lvl w:ilvl="0">
      <w:lvlJc w:val="left"/>
      <w:lvlText w:val="3"/>
      <w:numFmt w:val="bullet"/>
      <w:start w:val="1"/>
    </w:lvl>
  </w:abstractNum>
  <w:abstractNum w:abstractNumId="6">
    <w:nsid w:val="275AC794"/>
    <w:multiLevelType w:val="hybridMultilevel"/>
    <w:lvl w:ilvl="0">
      <w:lvlJc w:val="left"/>
      <w:lvlText w:val="4"/>
      <w:numFmt w:val="bullet"/>
      <w:start w:val="1"/>
    </w:lvl>
  </w:abstractNum>
  <w:abstractNum w:abstractNumId="7">
    <w:nsid w:val="39386575"/>
    <w:multiLevelType w:val="hybridMultilevel"/>
    <w:lvl w:ilvl="0">
      <w:lvlJc w:val="left"/>
      <w:lvlText w:val="5"/>
      <w:numFmt w:val="bullet"/>
      <w:start w:val="1"/>
    </w:lvl>
  </w:abstractNum>
  <w:abstractNum w:abstractNumId="8">
    <w:nsid w:val="1CF10FD8"/>
    <w:multiLevelType w:val="hybridMultilevel"/>
    <w:lvl w:ilvl="0">
      <w:lvlJc w:val="left"/>
      <w:lvlText w:val="6"/>
      <w:numFmt w:val="bullet"/>
      <w:start w:val="1"/>
    </w:lvl>
  </w:abstractNum>
  <w:abstractNum w:abstractNumId="9">
    <w:nsid w:val="180115BE"/>
    <w:multiLevelType w:val="hybridMultilevel"/>
    <w:lvl w:ilvl="0">
      <w:lvlJc w:val="left"/>
      <w:lvlText w:val="7"/>
      <w:numFmt w:val="bullet"/>
      <w:start w:val="1"/>
    </w:lvl>
  </w:abstractNum>
  <w:abstractNum w:abstractNumId="10">
    <w:nsid w:val="235BA861"/>
    <w:multiLevelType w:val="hybridMultilevel"/>
    <w:lvl w:ilvl="0">
      <w:lvlJc w:val="left"/>
      <w:lvlText w:val="8"/>
      <w:numFmt w:val="bullet"/>
      <w:start w:val="1"/>
    </w:lvl>
  </w:abstractNum>
  <w:abstractNum w:abstractNumId="11">
    <w:nsid w:val="47398C89"/>
    <w:multiLevelType w:val="hybridMultilevel"/>
    <w:lvl w:ilvl="0">
      <w:lvlJc w:val="left"/>
      <w:lvlText w:val="9"/>
      <w:numFmt w:val="bullet"/>
      <w:start w:val="1"/>
    </w:lvl>
  </w:abstractNum>
  <w:abstractNum w:abstractNumId="12">
    <w:nsid w:val="354FE9F9"/>
    <w:multiLevelType w:val="hybridMultilevel"/>
    <w:lvl w:ilvl="0">
      <w:lvlJc w:val="left"/>
      <w:lvlText w:val="%1"/>
      <w:numFmt w:val="decimal"/>
      <w:start w:val="10"/>
    </w:lvl>
  </w:abstractNum>
  <w:abstractNum w:abstractNumId="13">
    <w:nsid w:val="15B5AF5C"/>
    <w:multiLevelType w:val="hybridMultilevel"/>
    <w:lvl w:ilvl="0">
      <w:lvlJc w:val="left"/>
      <w:lvlText w:val="%1"/>
      <w:numFmt w:val="decimal"/>
      <w:start w:val="23"/>
    </w:lvl>
  </w:abstractNum>
  <w:abstractNum w:abstractNumId="14">
    <w:nsid w:val="741226BB"/>
    <w:multiLevelType w:val="hybridMultilevel"/>
    <w:lvl w:ilvl="0">
      <w:lvlJc w:val="left"/>
      <w:lvlText w:val="1"/>
      <w:numFmt w:val="bullet"/>
      <w:start w:val="1"/>
    </w:lvl>
  </w:abstractNum>
  <w:abstractNum w:abstractNumId="15">
    <w:nsid w:val="D34B6A8"/>
    <w:multiLevelType w:val="hybridMultilevel"/>
    <w:lvl w:ilvl="0">
      <w:lvlJc w:val="left"/>
      <w:lvlText w:val="2"/>
      <w:numFmt w:val="bullet"/>
      <w:start w:val="1"/>
    </w:lvl>
  </w:abstractNum>
  <w:abstractNum w:abstractNumId="16">
    <w:nsid w:val="10233C99"/>
    <w:multiLevelType w:val="hybridMultilevel"/>
    <w:lvl w:ilvl="0">
      <w:lvlJc w:val="left"/>
      <w:lvlText w:val="3"/>
      <w:numFmt w:val="bullet"/>
      <w:start w:val="1"/>
    </w:lvl>
  </w:abstractNum>
  <w:abstractNum w:abstractNumId="17">
    <w:nsid w:val="3F6AB60F"/>
    <w:multiLevelType w:val="hybridMultilevel"/>
    <w:lvl w:ilvl="0">
      <w:lvlJc w:val="left"/>
      <w:lvlText w:val="4"/>
      <w:numFmt w:val="bullet"/>
      <w:start w:val="1"/>
    </w:lvl>
  </w:abstractNum>
  <w:abstractNum w:abstractNumId="18">
    <w:nsid w:val="61574095"/>
    <w:multiLevelType w:val="hybridMultilevel"/>
    <w:lvl w:ilvl="0">
      <w:lvlJc w:val="left"/>
      <w:lvlText w:val="5"/>
      <w:numFmt w:val="bullet"/>
      <w:start w:val="1"/>
    </w:lvl>
  </w:abstractNum>
  <w:abstractNum w:abstractNumId="19">
    <w:nsid w:val="7E0C57B1"/>
    <w:multiLevelType w:val="hybridMultilevel"/>
    <w:lvl w:ilvl="0">
      <w:lvlJc w:val="left"/>
      <w:lvlText w:val="6"/>
      <w:numFmt w:val="bullet"/>
      <w:start w:val="1"/>
    </w:lvl>
  </w:abstractNum>
  <w:abstractNum w:abstractNumId="20">
    <w:nsid w:val="77AE35EB"/>
    <w:multiLevelType w:val="hybridMultilevel"/>
    <w:lvl w:ilvl="0">
      <w:lvlJc w:val="left"/>
      <w:lvlText w:val="7"/>
      <w:numFmt w:val="bullet"/>
      <w:start w:val="1"/>
    </w:lvl>
  </w:abstractNum>
  <w:abstractNum w:abstractNumId="21">
    <w:nsid w:val="579BE4F1"/>
    <w:multiLevelType w:val="hybridMultilevel"/>
    <w:lvl w:ilvl="0">
      <w:lvlJc w:val="left"/>
      <w:lvlText w:val="8"/>
      <w:numFmt w:val="bullet"/>
      <w:start w:val="1"/>
    </w:lvl>
  </w:abstractNum>
  <w:abstractNum w:abstractNumId="22">
    <w:nsid w:val="310C50B3"/>
    <w:multiLevelType w:val="hybridMultilevel"/>
    <w:lvl w:ilvl="0">
      <w:lvlJc w:val="left"/>
      <w:lvlText w:val="%1"/>
      <w:numFmt w:val="decimal"/>
      <w:start w:val="11"/>
    </w:lvl>
  </w:abstractNum>
  <w:abstractNum w:abstractNumId="23">
    <w:nsid w:val="5FF87E05"/>
    <w:multiLevelType w:val="hybridMultilevel"/>
    <w:lvl w:ilvl="0">
      <w:lvlJc w:val="left"/>
      <w:lvlText w:val="%1"/>
      <w:numFmt w:val="decimal"/>
      <w:start w:val="15"/>
    </w:lvl>
  </w:abstractNum>
  <w:abstractNum w:abstractNumId="24">
    <w:nsid w:val="2F305DEF"/>
    <w:multiLevelType w:val="hybridMultilevel"/>
    <w:lvl w:ilvl="0">
      <w:lvlJc w:val="left"/>
      <w:lvlText w:val="1"/>
      <w:numFmt w:val="bullet"/>
      <w:start w:val="1"/>
    </w:lvl>
  </w:abstractNum>
  <w:abstractNum w:abstractNumId="25">
    <w:nsid w:val="25A70BF7"/>
    <w:multiLevelType w:val="hybridMultilevel"/>
    <w:lvl w:ilvl="0">
      <w:lvlJc w:val="left"/>
      <w:lvlText w:val="2"/>
      <w:numFmt w:val="bullet"/>
      <w:start w:val="1"/>
    </w:lvl>
  </w:abstractNum>
  <w:abstractNum w:abstractNumId="26">
    <w:nsid w:val="1DBABF00"/>
    <w:multiLevelType w:val="hybridMultilevel"/>
    <w:lvl w:ilvl="0">
      <w:lvlJc w:val="left"/>
      <w:lvlText w:val="3"/>
      <w:numFmt w:val="bullet"/>
      <w:start w:val="1"/>
    </w:lvl>
  </w:abstractNum>
  <w:abstractNum w:abstractNumId="27">
    <w:nsid w:val="4AD084E9"/>
    <w:multiLevelType w:val="hybridMultilevel"/>
    <w:lvl w:ilvl="0">
      <w:lvlJc w:val="left"/>
      <w:lvlText w:val="4"/>
      <w:numFmt w:val="bullet"/>
      <w:start w:val="1"/>
    </w:lvl>
  </w:abstractNum>
  <w:abstractNum w:abstractNumId="28">
    <w:nsid w:val="1F48EAA1"/>
    <w:multiLevelType w:val="hybridMultilevel"/>
    <w:lvl w:ilvl="0">
      <w:lvlJc w:val="left"/>
      <w:lvlText w:val="5"/>
      <w:numFmt w:val="bullet"/>
      <w:start w:val="1"/>
    </w:lvl>
  </w:abstractNum>
  <w:abstractNum w:abstractNumId="29">
    <w:nsid w:val="1381823A"/>
    <w:multiLevelType w:val="hybridMultilevel"/>
    <w:lvl w:ilvl="0">
      <w:lvlJc w:val="left"/>
      <w:lvlText w:val="6"/>
      <w:numFmt w:val="bullet"/>
      <w:start w:val="1"/>
    </w:lvl>
  </w:abstractNum>
  <w:abstractNum w:abstractNumId="30">
    <w:nsid w:val="5DB70AE5"/>
    <w:multiLevelType w:val="hybridMultilevel"/>
    <w:lvl w:ilvl="0">
      <w:lvlJc w:val="left"/>
      <w:lvlText w:val="7"/>
      <w:numFmt w:val="bullet"/>
      <w:start w:val="1"/>
    </w:lvl>
  </w:abstractNum>
  <w:abstractNum w:abstractNumId="31">
    <w:nsid w:val="100F8FCA"/>
    <w:multiLevelType w:val="hybridMultilevel"/>
    <w:lvl w:ilvl="0">
      <w:lvlJc w:val="left"/>
      <w:lvlText w:val="%1."/>
      <w:numFmt w:val="decimal"/>
      <w:start w:val="1"/>
    </w:lvl>
  </w:abstractNum>
  <w:abstractNum w:abstractNumId="32">
    <w:nsid w:val="6590700B"/>
    <w:multiLevelType w:val="hybridMultilevel"/>
    <w:lvl w:ilvl="0">
      <w:lvlJc w:val="left"/>
      <w:lvlText w:val="%1."/>
      <w:numFmt w:val="decimal"/>
      <w:start w:val="2"/>
    </w:lvl>
  </w:abstractNum>
  <w:abstractNum w:abstractNumId="33">
    <w:nsid w:val="15014ACB"/>
    <w:multiLevelType w:val="hybridMultilevel"/>
    <w:lvl w:ilvl="0">
      <w:lvlJc w:val="left"/>
      <w:lvlText w:val="%1:"/>
      <w:numFmt w:val="decimal"/>
      <w:start w:val="820"/>
    </w:lvl>
  </w:abstractNum>
  <w:abstractNum w:abstractNumId="34">
    <w:nsid w:val="5F5E7FD0"/>
    <w:multiLevelType w:val="hybridMultilevel"/>
    <w:lvl w:ilvl="0">
      <w:lvlJc w:val="left"/>
      <w:lvlText w:val="%1."/>
      <w:numFmt w:val="decimal"/>
      <w:start w:val="3"/>
    </w:lvl>
  </w:abstractNum>
  <w:abstractNum w:abstractNumId="35">
    <w:nsid w:val="98A3148"/>
    <w:multiLevelType w:val="hybridMultilevel"/>
    <w:lvl w:ilvl="0">
      <w:lvlJc w:val="left"/>
      <w:lvlText w:val="(%1)"/>
      <w:numFmt w:val="decimal"/>
      <w:start w:val="1"/>
    </w:lvl>
  </w:abstractNum>
  <w:abstractNum w:abstractNumId="36">
    <w:nsid w:val="799D0247"/>
    <w:multiLevelType w:val="hybridMultilevel"/>
    <w:lvl w:ilvl="0">
      <w:lvlJc w:val="left"/>
      <w:lvlText w:val="%1."/>
      <w:numFmt w:val="decimal"/>
      <w:start w:val="4"/>
    </w:lvl>
  </w:abstractNum>
  <w:abstractNum w:abstractNumId="37">
    <w:nsid w:val="6B94764"/>
    <w:multiLevelType w:val="hybridMultilevel"/>
    <w:lvl w:ilvl="0">
      <w:lvlJc w:val="left"/>
      <w:lvlText w:val="1"/>
      <w:numFmt w:val="bullet"/>
      <w:start w:val="1"/>
    </w:lvl>
  </w:abstractNum>
  <w:abstractNum w:abstractNumId="38">
    <w:nsid w:val="42C296BD"/>
    <w:multiLevelType w:val="hybridMultilevel"/>
    <w:lvl w:ilvl="0">
      <w:lvlJc w:val="left"/>
      <w:lvlText w:val="2"/>
      <w:numFmt w:val="bullet"/>
      <w:start w:val="1"/>
    </w:lvl>
  </w:abstractNum>
  <w:abstractNum w:abstractNumId="39">
    <w:nsid w:val="168E121F"/>
    <w:multiLevelType w:val="hybridMultilevel"/>
    <w:lvl w:ilvl="0">
      <w:lvlJc w:val="left"/>
      <w:lvlText w:val="1"/>
      <w:numFmt w:val="bullet"/>
      <w:start w:val="1"/>
    </w:lvl>
  </w:abstractNum>
  <w:abstractNum w:abstractNumId="40">
    <w:nsid w:val="1EBA5D23"/>
    <w:multiLevelType w:val="hybridMultilevel"/>
    <w:lvl w:ilvl="0">
      <w:lvlJc w:val="left"/>
      <w:lvlText w:val="2"/>
      <w:numFmt w:val="bullet"/>
      <w:start w:val="1"/>
    </w:lvl>
  </w:abstractNum>
  <w:abstractNum w:abstractNumId="41">
    <w:nsid w:val="661E3F1E"/>
    <w:multiLevelType w:val="hybridMultilevel"/>
    <w:lvl w:ilvl="0">
      <w:lvlJc w:val="left"/>
      <w:lvlText w:val="1"/>
      <w:numFmt w:val="bullet"/>
      <w:start w:val="1"/>
    </w:lvl>
  </w:abstractNum>
  <w:abstractNum w:abstractNumId="42">
    <w:nsid w:val="5DC79EA8"/>
    <w:multiLevelType w:val="hybridMultilevel"/>
    <w:lvl w:ilvl="0">
      <w:lvlJc w:val="left"/>
      <w:lvlText w:val="2"/>
      <w:numFmt w:val="bullet"/>
      <w:start w:val="1"/>
    </w:lvl>
  </w:abstractNum>
  <w:abstractNum w:abstractNumId="43">
    <w:nsid w:val="540A471C"/>
    <w:multiLevelType w:val="hybridMultilevel"/>
    <w:lvl w:ilvl="0">
      <w:lvlJc w:val="left"/>
      <w:lvlText w:val="3"/>
      <w:numFmt w:val="bullet"/>
      <w:start w:val="1"/>
    </w:lvl>
  </w:abstractNum>
  <w:abstractNum w:abstractNumId="44">
    <w:nsid w:val="7BD3EE7B"/>
    <w:multiLevelType w:val="hybridMultilevel"/>
    <w:lvl w:ilvl="0">
      <w:lvlJc w:val="left"/>
      <w:lvlText w:val="4"/>
      <w:numFmt w:val="bullet"/>
      <w:start w:val="1"/>
    </w:lvl>
  </w:abstractNum>
  <w:abstractNum w:abstractNumId="45">
    <w:nsid w:val="51D9C564"/>
    <w:multiLevelType w:val="hybridMultilevel"/>
    <w:lvl w:ilvl="0">
      <w:lvlJc w:val="left"/>
      <w:lvlText w:val="5"/>
      <w:numFmt w:val="bullet"/>
      <w:start w:val="1"/>
    </w:lvl>
  </w:abstractNum>
  <w:abstractNum w:abstractNumId="46">
    <w:nsid w:val="613EFDC5"/>
    <w:multiLevelType w:val="hybridMultilevel"/>
    <w:lvl w:ilvl="0">
      <w:lvlJc w:val="left"/>
      <w:lvlText w:val="6"/>
      <w:numFmt w:val="bullet"/>
      <w:start w:val="1"/>
    </w:lvl>
  </w:abstractNum>
  <w:abstractNum w:abstractNumId="47">
    <w:nsid w:val="BF72B14"/>
    <w:multiLevelType w:val="hybridMultilevel"/>
    <w:lvl w:ilvl="0">
      <w:lvlJc w:val="left"/>
      <w:lvlText w:val="7"/>
      <w:numFmt w:val="bullet"/>
      <w:start w:val="1"/>
    </w:lvl>
  </w:abstractNum>
  <w:abstractNum w:abstractNumId="48">
    <w:nsid w:val="11447B73"/>
    <w:multiLevelType w:val="hybridMultilevel"/>
    <w:lvl w:ilvl="0">
      <w:lvlJc w:val="left"/>
      <w:lvlText w:val="1"/>
      <w:numFmt w:val="bullet"/>
      <w:start w:val="1"/>
    </w:lvl>
  </w:abstractNum>
  <w:abstractNum w:abstractNumId="49">
    <w:nsid w:val="42963E5A"/>
    <w:multiLevelType w:val="hybridMultilevel"/>
    <w:lvl w:ilvl="0">
      <w:lvlJc w:val="left"/>
      <w:lvlText w:val="2"/>
      <w:numFmt w:val="bullet"/>
      <w:start w:val="1"/>
    </w:lvl>
  </w:abstractNum>
  <w:abstractNum w:abstractNumId="50">
    <w:nsid w:val="A0382C5"/>
    <w:multiLevelType w:val="hybridMultilevel"/>
    <w:lvl w:ilvl="0">
      <w:lvlJc w:val="left"/>
      <w:lvlText w:val="3"/>
      <w:numFmt w:val="bullet"/>
      <w:start w:val="1"/>
    </w:lvl>
  </w:abstractNum>
  <w:abstractNum w:abstractNumId="51">
    <w:nsid w:val="8F2B15E"/>
    <w:multiLevelType w:val="hybridMultilevel"/>
    <w:lvl w:ilvl="0">
      <w:lvlJc w:val="left"/>
      <w:lvlText w:val="4"/>
      <w:numFmt w:val="bullet"/>
      <w:start w:val="1"/>
    </w:lvl>
  </w:abstractNum>
  <w:abstractNum w:abstractNumId="52">
    <w:nsid w:val="1A32234B"/>
    <w:multiLevelType w:val="hybridMultilevel"/>
    <w:lvl w:ilvl="0">
      <w:lvlJc w:val="left"/>
      <w:lvlText w:val="5"/>
      <w:numFmt w:val="bullet"/>
      <w:start w:val="1"/>
    </w:lvl>
  </w:abstractNum>
  <w:abstractNum w:abstractNumId="53">
    <w:nsid w:val="3B0FD379"/>
    <w:multiLevelType w:val="hybridMultilevel"/>
    <w:lvl w:ilvl="0">
      <w:lvlJc w:val="left"/>
      <w:lvlText w:val="6"/>
      <w:numFmt w:val="bullet"/>
      <w:start w:val="1"/>
    </w:lvl>
  </w:abstractNum>
  <w:abstractNum w:abstractNumId="54">
    <w:nsid w:val="68EB2F63"/>
    <w:multiLevelType w:val="hybridMultilevel"/>
    <w:lvl w:ilvl="0">
      <w:lvlJc w:val="left"/>
      <w:lvlText w:val="7"/>
      <w:numFmt w:val="bullet"/>
      <w:start w:val="1"/>
    </w:lvl>
  </w:abstractNum>
  <w:abstractNum w:abstractNumId="55">
    <w:nsid w:val="4962813B"/>
    <w:multiLevelType w:val="hybridMultilevel"/>
    <w:lvl w:ilvl="0">
      <w:lvlJc w:val="left"/>
      <w:lvlText w:val="8"/>
      <w:numFmt w:val="bullet"/>
      <w:start w:val="1"/>
    </w:lvl>
  </w:abstractNum>
  <w:abstractNum w:abstractNumId="56">
    <w:nsid w:val="60B6DF70"/>
    <w:multiLevelType w:val="hybridMultilevel"/>
    <w:lvl w:ilvl="0">
      <w:lvlJc w:val="left"/>
      <w:lvlText w:val="9"/>
      <w:numFmt w:val="bullet"/>
      <w:start w:val="1"/>
    </w:lvl>
  </w:abstractNum>
  <w:abstractNum w:abstractNumId="57">
    <w:nsid w:val="6A5EE64"/>
    <w:multiLevelType w:val="hybridMultilevel"/>
    <w:lvl w:ilvl="0">
      <w:lvlJc w:val="left"/>
      <w:lvlText w:val="%1"/>
      <w:numFmt w:val="decimal"/>
      <w:start w:val="10"/>
    </w:lvl>
  </w:abstractNum>
  <w:abstractNum w:abstractNumId="58">
    <w:nsid w:val="14330624"/>
    <w:multiLevelType w:val="hybridMultilevel"/>
    <w:lvl w:ilvl="0">
      <w:lvlJc w:val="left"/>
      <w:lvlText w:val="\emdash "/>
      <w:numFmt w:val="bullet"/>
      <w:start w:val="1"/>
    </w:lvl>
  </w:abstractNum>
  <w:abstractNum w:abstractNumId="59">
    <w:nsid w:val="7FFFCA11"/>
    <w:multiLevelType w:val="hybridMultilevel"/>
    <w:lvl w:ilvl="0">
      <w:lvlJc w:val="left"/>
      <w:lvlText w:val="(%1)"/>
      <w:numFmt w:val="decimal"/>
      <w:start w:val="1"/>
    </w:lvl>
  </w:abstractNum>
  <w:abstractNum w:abstractNumId="60">
    <w:nsid w:val="1A27709E"/>
    <w:multiLevelType w:val="hybridMultilevel"/>
    <w:lvl w:ilvl="0">
      <w:lvlJc w:val="left"/>
      <w:lvlText w:val="(%1)"/>
      <w:numFmt w:val="decimal"/>
      <w:start w:val="1"/>
    </w:lvl>
  </w:abstractNum>
  <w:abstractNum w:abstractNumId="61">
    <w:nsid w:val="71EA1109"/>
    <w:multiLevelType w:val="hybridMultilevel"/>
    <w:lvl w:ilvl="0">
      <w:lvlJc w:val="left"/>
      <w:lvlText w:val="%1:"/>
      <w:numFmt w:val="decimal"/>
      <w:start w:val="820"/>
    </w:lvl>
  </w:abstractNum>
  <w:abstractNum w:abstractNumId="62">
    <w:nsid w:val="100F59DC"/>
    <w:multiLevelType w:val="hybridMultilevel"/>
    <w:lvl w:ilvl="0">
      <w:lvlJc w:val="left"/>
      <w:lvlText w:val="1"/>
      <w:numFmt w:val="bullet"/>
      <w:start w:val="1"/>
    </w:lvl>
  </w:abstractNum>
  <w:abstractNum w:abstractNumId="63">
    <w:nsid w:val="7FB7E0AA"/>
    <w:multiLevelType w:val="hybridMultilevel"/>
    <w:lvl w:ilvl="0">
      <w:lvlJc w:val="left"/>
      <w:lvlText w:val="2"/>
      <w:numFmt w:val="bullet"/>
      <w:start w:val="1"/>
    </w:lvl>
  </w:abstractNum>
  <w:abstractNum w:abstractNumId="64">
    <w:nsid w:val="6EB5BD4"/>
    <w:multiLevelType w:val="hybridMultilevel"/>
    <w:lvl w:ilvl="0">
      <w:lvlJc w:val="left"/>
      <w:lvlText w:val="1"/>
      <w:numFmt w:val="bullet"/>
      <w:start w:val="1"/>
    </w:lvl>
  </w:abstractNum>
  <w:abstractNum w:abstractNumId="65">
    <w:nsid w:val="6F6DD9AC"/>
    <w:multiLevelType w:val="hybridMultilevel"/>
    <w:lvl w:ilvl="0">
      <w:lvlJc w:val="left"/>
      <w:lvlText w:val="2"/>
      <w:numFmt w:val="bullet"/>
      <w:start w:val="1"/>
    </w:lvl>
  </w:abstractNum>
  <w:abstractNum w:abstractNumId="66">
    <w:nsid w:val="94211F2"/>
    <w:multiLevelType w:val="hybridMultilevel"/>
    <w:lvl w:ilvl="0">
      <w:lvlJc w:val="left"/>
      <w:lvlText w:val="1"/>
      <w:numFmt w:val="bullet"/>
      <w:start w:val="1"/>
    </w:lvl>
  </w:abstractNum>
  <w:abstractNum w:abstractNumId="67">
    <w:nsid w:val="885E1B"/>
    <w:multiLevelType w:val="hybridMultilevel"/>
    <w:lvl w:ilvl="0">
      <w:lvlJc w:val="left"/>
      <w:lvlText w:val="2"/>
      <w:numFmt w:val="bullet"/>
      <w:start w:val="1"/>
    </w:lvl>
  </w:abstractNum>
  <w:abstractNum w:abstractNumId="68">
    <w:nsid w:val="76272110"/>
    <w:multiLevelType w:val="hybridMultilevel"/>
    <w:lvl w:ilvl="0">
      <w:lvlJc w:val="left"/>
      <w:lvlText w:val="1"/>
      <w:numFmt w:val="bullet"/>
      <w:start w:val="1"/>
    </w:lvl>
  </w:abstractNum>
  <w:abstractNum w:abstractNumId="69">
    <w:nsid w:val="4C04A8AF"/>
    <w:multiLevelType w:val="hybridMultilevel"/>
    <w:lvl w:ilvl="0">
      <w:lvlJc w:val="left"/>
      <w:lvlText w:val="2"/>
      <w:numFmt w:val="bullet"/>
      <w:start w:val="1"/>
    </w:lvl>
  </w:abstractNum>
  <w:abstractNum w:abstractNumId="70">
    <w:nsid w:val="1716703B"/>
    <w:multiLevelType w:val="hybridMultilevel"/>
    <w:lvl w:ilvl="0">
      <w:lvlJc w:val="left"/>
      <w:lvlText w:val="%1"/>
      <w:numFmt w:val="decimal"/>
      <w:start w:val="1"/>
    </w:lvl>
    <w:lvl w:ilvl="1">
      <w:lvlJc w:val="left"/>
      <w:lvlText w:val="(%2)"/>
      <w:numFmt w:val="decimal"/>
      <w:start w:val="1"/>
    </w:lvl>
  </w:abstractNum>
  <w:abstractNum w:abstractNumId="71">
    <w:nsid w:val="14E17E33"/>
    <w:multiLevelType w:val="hybridMultilevel"/>
    <w:lvl w:ilvl="0">
      <w:lvlJc w:val="left"/>
      <w:lvlText w:val="%1."/>
      <w:numFmt w:val="decimal"/>
      <w:start w:val="5"/>
    </w:lvl>
    <w:lvl w:ilvl="1">
      <w:lvlJc w:val="left"/>
      <w:lvlText w:val="%2"/>
      <w:numFmt w:val="decimal"/>
      <w:start w:val="1"/>
    </w:lvl>
  </w:abstractNum>
  <w:abstractNum w:abstractNumId="72">
    <w:nsid w:val="3222E7CD"/>
    <w:multiLevelType w:val="hybridMultilevel"/>
    <w:lvl w:ilvl="0">
      <w:lvlJc w:val="left"/>
      <w:lvlText w:val="(%1)"/>
      <w:numFmt w:val="decimal"/>
    </w:lvl>
    <w:lvl w:ilvl="1">
      <w:lvlJc w:val="left"/>
      <w:lvlText w:val="$"/>
      <w:numFmt w:val="bullet"/>
      <w:start w:val="1"/>
    </w:lvl>
  </w:abstractNum>
  <w:abstractNum w:abstractNumId="73">
    <w:nsid w:val="74DE0EE3"/>
    <w:multiLevelType w:val="hybridMultilevel"/>
    <w:lvl w:ilvl="0">
      <w:lvlJc w:val="left"/>
      <w:lvlText w:val="%1"/>
      <w:numFmt w:val="decimal"/>
      <w:start w:val="1"/>
    </w:lvl>
    <w:lvl w:ilvl="1">
      <w:lvlJc w:val="left"/>
      <w:lvlText w:val="(%2)"/>
      <w:numFmt w:val="decimal"/>
      <w:start w:val="1"/>
    </w:lvl>
  </w:abstractNum>
  <w:abstractNum w:abstractNumId="74">
    <w:nsid w:val="68EBC550"/>
    <w:multiLevelType w:val="hybridMultilevel"/>
    <w:lvl w:ilvl="0">
      <w:lvlJc w:val="left"/>
      <w:lvlText w:val="%1."/>
      <w:numFmt w:val="decimal"/>
      <w:start w:val="7"/>
    </w:lvl>
    <w:lvl w:ilvl="1">
      <w:lvlJc w:val="left"/>
      <w:lvlText w:val="%2"/>
      <w:numFmt w:val="decimal"/>
      <w:start w:val="1"/>
    </w:lvl>
  </w:abstractNum>
  <w:abstractNum w:abstractNumId="75">
    <w:nsid w:val="2DF6D648"/>
    <w:multiLevelType w:val="hybridMultilevel"/>
    <w:lvl w:ilvl="0">
      <w:lvlJc w:val="left"/>
      <w:lvlText w:val="%1."/>
      <w:numFmt w:val="decimal"/>
      <w:start w:val="8"/>
    </w:lvl>
  </w:abstractNum>
  <w:abstractNum w:abstractNumId="76">
    <w:nsid w:val="46B7D447"/>
    <w:multiLevelType w:val="hybridMultilevel"/>
    <w:lvl w:ilvl="0">
      <w:lvlJc w:val="left"/>
      <w:lvlText w:val="%1."/>
      <w:numFmt w:val="decimal"/>
      <w:start w:val="9"/>
    </w:lvl>
  </w:abstractNum>
  <w:abstractNum w:abstractNumId="77">
    <w:nsid w:val="4A2AC315"/>
    <w:multiLevelType w:val="hybridMultilevel"/>
    <w:lvl w:ilvl="0">
      <w:lvlJc w:val="left"/>
      <w:lvlText w:val="(%1)"/>
      <w:numFmt w:val="decimal"/>
      <w:start w:val="1"/>
    </w:lvl>
  </w:abstractNum>
  <w:abstractNum w:abstractNumId="78">
    <w:nsid w:val="39EE015C"/>
    <w:multiLevelType w:val="hybridMultilevel"/>
    <w:lvl w:ilvl="0">
      <w:lvlJc w:val="left"/>
      <w:lvlText w:val="1"/>
      <w:numFmt w:val="bullet"/>
      <w:start w:val="1"/>
    </w:lvl>
  </w:abstractNum>
  <w:abstractNum w:abstractNumId="79">
    <w:nsid w:val="57FC4FBB"/>
    <w:multiLevelType w:val="hybridMultilevel"/>
    <w:lvl w:ilvl="0">
      <w:lvlJc w:val="left"/>
      <w:lvlText w:val="(%1)"/>
      <w:numFmt w:val="lowerRoman"/>
      <w:start w:val="1"/>
    </w:lvl>
  </w:abstractNum>
  <w:abstractNum w:abstractNumId="80">
    <w:nsid w:val="CC1016F"/>
    <w:multiLevelType w:val="hybridMultilevel"/>
    <w:lvl w:ilvl="0">
      <w:lvlJc w:val="left"/>
      <w:lvlText w:val="%1."/>
      <w:numFmt w:val="decimal"/>
      <w:start w:val="12"/>
    </w:lvl>
  </w:abstractNum>
  <w:abstractNum w:abstractNumId="81">
    <w:nsid w:val="43F18422"/>
    <w:multiLevelType w:val="hybridMultilevel"/>
    <w:lvl w:ilvl="0">
      <w:lvlJc w:val="left"/>
      <w:lvlText w:val="(%1)"/>
      <w:numFmt w:val="decimal"/>
      <w:start w:val="1"/>
    </w:lvl>
  </w:abstractNum>
  <w:abstractNum w:abstractNumId="82">
    <w:nsid w:val="60EF0119"/>
    <w:multiLevelType w:val="hybridMultilevel"/>
    <w:lvl w:ilvl="0">
      <w:lvlJc w:val="left"/>
      <w:lvlText w:val="(%1)"/>
      <w:numFmt w:val="decimal"/>
      <w:start w:val="1"/>
    </w:lvl>
  </w:abstractNum>
  <w:abstractNum w:abstractNumId="83">
    <w:nsid w:val="26F324BA"/>
    <w:multiLevelType w:val="hybridMultilevel"/>
    <w:lvl w:ilvl="0">
      <w:lvlJc w:val="left"/>
      <w:lvlText w:val="(%1)"/>
      <w:numFmt w:val="decimal"/>
      <w:start w:val="1"/>
    </w:lvl>
  </w:abstractNum>
  <w:abstractNum w:abstractNumId="84">
    <w:nsid w:val="7F01579B"/>
    <w:multiLevelType w:val="hybridMultilevel"/>
    <w:lvl w:ilvl="0">
      <w:lvlJc w:val="left"/>
      <w:lvlText w:val="(%1)"/>
      <w:numFmt w:val="lowerRoman"/>
      <w:start w:val="2"/>
    </w:lvl>
  </w:abstractNum>
  <w:abstractNum w:abstractNumId="85">
    <w:nsid w:val="49DA307D"/>
    <w:multiLevelType w:val="hybridMultilevel"/>
    <w:lvl w:ilvl="0">
      <w:lvlJc w:val="left"/>
      <w:lvlText w:val="¹"/>
      <w:numFmt w:val="bullet"/>
      <w:start w:val="1"/>
    </w:lvl>
  </w:abstractNum>
  <w:abstractNum w:abstractNumId="86">
    <w:nsid w:val="7055A5F5"/>
    <w:multiLevelType w:val="hybridMultilevel"/>
    <w:lvl w:ilvl="0">
      <w:lvlJc w:val="left"/>
      <w:lvlText w:val="²"/>
      <w:numFmt w:val="bullet"/>
      <w:start w:val="1"/>
    </w:lvl>
  </w:abstractNum>
  <w:abstractNum w:abstractNumId="87">
    <w:nsid w:val="5FB8370B"/>
    <w:multiLevelType w:val="hybridMultilevel"/>
    <w:lvl w:ilvl="0">
      <w:lvlJc w:val="left"/>
      <w:lvlText w:val="1"/>
      <w:numFmt w:val="bullet"/>
      <w:start w:val="1"/>
    </w:lvl>
  </w:abstractNum>
  <w:abstractNum w:abstractNumId="88">
    <w:nsid w:val="50801EE1"/>
    <w:multiLevelType w:val="hybridMultilevel"/>
    <w:lvl w:ilvl="0">
      <w:lvlJc w:val="left"/>
      <w:lvlText w:val="2"/>
      <w:numFmt w:val="bullet"/>
      <w:start w:val="1"/>
    </w:lvl>
  </w:abstractNum>
  <w:abstractNum w:abstractNumId="89">
    <w:nsid w:val="488AC1A"/>
    <w:multiLevelType w:val="hybridMultilevel"/>
    <w:lvl w:ilvl="0">
      <w:lvlJc w:val="left"/>
      <w:lvlText w:val="1"/>
      <w:numFmt w:val="bullet"/>
      <w:start w:val="1"/>
    </w:lvl>
  </w:abstractNum>
  <w:abstractNum w:abstractNumId="90">
    <w:nsid w:val="5FB8011C"/>
    <w:multiLevelType w:val="hybridMultilevel"/>
    <w:lvl w:ilvl="0">
      <w:lvlJc w:val="left"/>
      <w:lvlText w:val="2"/>
      <w:numFmt w:val="bullet"/>
      <w:start w:val="1"/>
    </w:lvl>
  </w:abstractNum>
  <w:abstractNum w:abstractNumId="91">
    <w:nsid w:val="6AA78F7F"/>
    <w:multiLevelType w:val="hybridMultilevel"/>
    <w:lvl w:ilvl="0">
      <w:lvlJc w:val="left"/>
      <w:lvlText w:val="(%1)"/>
      <w:numFmt w:val="decimal"/>
      <w:start w:val="1"/>
    </w:lvl>
  </w:abstractNum>
  <w:abstractNum w:abstractNumId="92">
    <w:nsid w:val="7672BD23"/>
    <w:multiLevelType w:val="hybridMultilevel"/>
    <w:lvl w:ilvl="0">
      <w:lvlJc w:val="left"/>
      <w:lvlText w:val="(%1)"/>
      <w:numFmt w:val="decimal"/>
      <w:start w:val="2"/>
    </w:lvl>
  </w:abstractNum>
  <w:abstractNum w:abstractNumId="93">
    <w:nsid w:val="6FC75AF8"/>
    <w:multiLevelType w:val="hybridMultilevel"/>
    <w:lvl w:ilvl="0">
      <w:lvlJc w:val="left"/>
      <w:lvlText w:val="(%1)"/>
      <w:numFmt w:val="decimal"/>
      <w:start w:val="1"/>
    </w:lvl>
  </w:abstractNum>
  <w:abstractNum w:abstractNumId="94">
    <w:nsid w:val="6A5F7029"/>
    <w:multiLevelType w:val="hybridMultilevel"/>
    <w:lvl w:ilvl="0">
      <w:lvlJc w:val="left"/>
      <w:lvlText w:val="(%1)"/>
      <w:numFmt w:val="decimal"/>
    </w:lvl>
    <w:lvl w:ilvl="1">
      <w:lvlJc w:val="left"/>
      <w:lvlText w:val="$"/>
      <w:numFmt w:val="bullet"/>
      <w:start w:val="1"/>
    </w:lvl>
  </w:abstractNum>
  <w:abstractNum w:abstractNumId="95">
    <w:nsid w:val="7D5E18F8"/>
    <w:multiLevelType w:val="hybridMultilevel"/>
    <w:lvl w:ilvl="0">
      <w:lvlJc w:val="left"/>
      <w:lvlText w:val="1"/>
      <w:numFmt w:val="bullet"/>
      <w:start w:val="1"/>
    </w:lvl>
  </w:abstractNum>
  <w:abstractNum w:abstractNumId="96">
    <w:nsid w:val="5F3534A4"/>
    <w:multiLevelType w:val="hybridMultilevel"/>
    <w:lvl w:ilvl="0">
      <w:lvlJc w:val="left"/>
      <w:lvlText w:val="2"/>
      <w:numFmt w:val="bullet"/>
      <w:start w:val="1"/>
    </w:lvl>
  </w:abstractNum>
  <w:abstractNum w:abstractNumId="97">
    <w:nsid w:val="73A1821B"/>
    <w:multiLevelType w:val="hybridMultilevel"/>
    <w:lvl w:ilvl="0">
      <w:lvlJc w:val="left"/>
      <w:lvlText w:val=","/>
      <w:numFmt w:val="bullet"/>
      <w:start w:val="1"/>
    </w:lvl>
  </w:abstractNum>
  <w:abstractNum w:abstractNumId="98">
    <w:nsid w:val="7DE67713"/>
    <w:multiLevelType w:val="hybridMultilevel"/>
    <w:lvl w:ilvl="0">
      <w:lvlJc w:val="left"/>
      <w:lvlText w:val="1"/>
      <w:numFmt w:val="bullet"/>
      <w:start w:val="1"/>
    </w:lvl>
  </w:abstractNum>
  <w:abstractNum w:abstractNumId="99">
    <w:nsid w:val="555C55B5"/>
    <w:multiLevelType w:val="hybridMultilevel"/>
    <w:lvl w:ilvl="0">
      <w:lvlJc w:val="left"/>
      <w:lvlText w:val="2"/>
      <w:numFmt w:val="bullet"/>
      <w:start w:val="1"/>
    </w:lvl>
  </w:abstractNum>
  <w:abstractNum w:abstractNumId="100">
    <w:nsid w:val="3FA62ACA"/>
    <w:multiLevelType w:val="hybridMultilevel"/>
    <w:lvl w:ilvl="0">
      <w:lvlJc w:val="left"/>
      <w:lvlText w:val="(%1)"/>
      <w:numFmt w:val="lowerLetter"/>
      <w:start w:val="1"/>
    </w:lvl>
  </w:abstractNum>
  <w:abstractNum w:abstractNumId="101">
    <w:nsid w:val="14FCE74E"/>
    <w:multiLevelType w:val="hybridMultilevel"/>
    <w:lvl w:ilvl="0">
      <w:lvlJc w:val="left"/>
      <w:lvlText w:val="%1."/>
      <w:numFmt w:val="decimal"/>
      <w:start w:val="1"/>
    </w:lvl>
    <w:lvl w:ilvl="1">
      <w:lvlJc w:val="left"/>
      <w:lvlText w:val="(%2)"/>
      <w:numFmt w:val="lowerLetter"/>
      <w:start w:val="1"/>
    </w:lvl>
  </w:abstractNum>
  <w:abstractNum w:abstractNumId="102">
    <w:nsid w:val="6A3DD3E8"/>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31" Type="http://schemas.openxmlformats.org/officeDocument/2006/relationships/image" Target="media/image819.png"/><Relationship Id="rId832" Type="http://schemas.openxmlformats.org/officeDocument/2006/relationships/image" Target="media/image820.png"/><Relationship Id="rId833" Type="http://schemas.openxmlformats.org/officeDocument/2006/relationships/image" Target="media/image821.png"/><Relationship Id="rId834" Type="http://schemas.openxmlformats.org/officeDocument/2006/relationships/image" Target="media/image822.png"/><Relationship Id="rId835" Type="http://schemas.openxmlformats.org/officeDocument/2006/relationships/image" Target="media/image823.png"/><Relationship Id="rId836" Type="http://schemas.openxmlformats.org/officeDocument/2006/relationships/image" Target="media/image824.png"/><Relationship Id="rId837" Type="http://schemas.openxmlformats.org/officeDocument/2006/relationships/image" Target="media/image825.png"/><Relationship Id="rId838" Type="http://schemas.openxmlformats.org/officeDocument/2006/relationships/image" Target="media/image826.png"/><Relationship Id="rId839" Type="http://schemas.openxmlformats.org/officeDocument/2006/relationships/image" Target="media/image827.png"/><Relationship Id="rId840" Type="http://schemas.openxmlformats.org/officeDocument/2006/relationships/image" Target="media/image828.png"/><Relationship Id="rId841" Type="http://schemas.openxmlformats.org/officeDocument/2006/relationships/image" Target="media/image829.png"/><Relationship Id="rId842" Type="http://schemas.openxmlformats.org/officeDocument/2006/relationships/image" Target="media/image830.png"/><Relationship Id="rId843" Type="http://schemas.openxmlformats.org/officeDocument/2006/relationships/image" Target="media/image831.png"/><Relationship Id="rId826" Type="http://schemas.openxmlformats.org/officeDocument/2006/relationships/hyperlink" Target="https://www.sec.gov/Archives/edgar/data/1372807/000119312506204545/dex99a.htm" TargetMode="External"/><Relationship Id="rId827" Type="http://schemas.openxmlformats.org/officeDocument/2006/relationships/hyperlink" Target="https://www.sec.gov/Archives/edgar/data/1372807/000114420419017514/tv517653_ex3-1.htm" TargetMode="External"/><Relationship Id="rId828" Type="http://schemas.openxmlformats.org/officeDocument/2006/relationships/hyperlink" Target="https://www.sec.gov/Archives/edgar/data/1372807/000119312521256995/d210335dex31.htm" TargetMode="External"/><Relationship Id="rId829" Type="http://schemas.openxmlformats.org/officeDocument/2006/relationships/hyperlink" Target="https://www.sec.gov/Archives/edgar/data/1372807/000119312521256995/d210335dex32.htm" TargetMode="External"/><Relationship Id="rId830" Type="http://schemas.openxmlformats.org/officeDocument/2006/relationships/hyperlink" Target="https://www.sec.gov/Archives/edgar/data/1372807/000119312521220662/d298619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2021-11-04T15:46:16Z</dcterms:created>
  <dcterms:modified xsi:type="dcterms:W3CDTF">2021-11-04T15:46:16Z</dcterms:modified>
</cp:coreProperties>
</file>