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58420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8" w:lineRule="exact"/>
        <w:rPr>
          <w:sz w:val="24"/>
          <w:szCs w:val="24"/>
          <w:color w:val="auto"/>
        </w:rPr>
      </w:pPr>
    </w:p>
    <w:p>
      <w:pPr>
        <w:ind w:left="580" w:right="1600" w:hanging="572"/>
        <w:spacing w:after="0" w:line="282"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6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p>
      <w:pPr>
        <w:ind w:left="580"/>
        <w:spacing w:after="0"/>
        <w:tabs>
          <w:tab w:leader="none" w:pos="3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38735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340"/>
          </w:cols>
          <w:pgMar w:left="240" w:top="702" w:right="319" w:bottom="1440" w:gutter="0" w:footer="0" w:header="0"/>
        </w:sectPr>
      </w:pPr>
    </w:p>
    <w:p>
      <w:pPr>
        <w:spacing w:after="0" w:line="124"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20-5951150</w:t>
      </w:r>
    </w:p>
    <w:p>
      <w:pPr>
        <w:spacing w:after="0" w:line="200" w:lineRule="exact"/>
        <w:rPr>
          <w:sz w:val="24"/>
          <w:szCs w:val="24"/>
          <w:color w:val="auto"/>
        </w:rPr>
      </w:pPr>
    </w:p>
    <w:p>
      <w:pPr>
        <w:sectPr>
          <w:pgSz w:w="11900" w:h="16838" w:orient="portrait"/>
          <w:cols w:equalWidth="0" w:num="2">
            <w:col w:w="7420" w:space="720"/>
            <w:col w:w="3200"/>
          </w:cols>
          <w:pgMar w:left="240" w:top="702" w:right="319" w:bottom="1440" w:gutter="0" w:footer="0" w:header="0"/>
          <w:type w:val="continuous"/>
        </w:sectPr>
      </w:pPr>
    </w:p>
    <w:p>
      <w:pPr>
        <w:spacing w:after="0" w:line="48"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(I.R.S. Employer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960" w:space="720"/>
            <w:col w:w="3660"/>
          </w:cols>
          <w:pgMar w:left="240" w:top="702" w:right="319" w:bottom="144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340"/>
          </w:cols>
          <w:pgMar w:left="240" w:top="702" w:right="319" w:bottom="1440" w:gutter="0" w:footer="0" w:header="0"/>
          <w:type w:val="continuous"/>
        </w:sect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40005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0" w:lineRule="exact"/>
        <w:rPr>
          <w:sz w:val="24"/>
          <w:szCs w:val="24"/>
          <w:color w:val="auto"/>
        </w:rPr>
      </w:pPr>
    </w:p>
    <w:p>
      <w:pPr>
        <w:ind w:right="80" w:firstLine="2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160" w:firstLine="2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80" w:firstLine="2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rPr>
                <w:sz w:val="20"/>
                <w:szCs w:val="20"/>
                <w:color w:val="auto"/>
              </w:rPr>
            </w:pPr>
            <w:r>
              <w:rPr>
                <w:rFonts w:ascii="Arial" w:cs="Arial" w:eastAsia="Arial" w:hAnsi="Arial"/>
                <w:sz w:val="18"/>
                <w:szCs w:val="18"/>
                <w:color w:val="auto"/>
              </w:rPr>
              <w:t>x</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82" w:lineRule="exact"/>
        <w:rPr>
          <w:sz w:val="24"/>
          <w:szCs w:val="24"/>
          <w:color w:val="auto"/>
        </w:rPr>
      </w:pPr>
    </w:p>
    <w:p>
      <w:pPr>
        <w:ind w:firstLine="25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The number of outstanding shares of common stock of the registrant as of November 5, 2018 was 37,366,953.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02"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20" w:type="dxa"/>
            <w:vAlign w:val="bottom"/>
            <w:gridSpan w:val="12"/>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60" w:type="dxa"/>
            <w:vAlign w:val="bottom"/>
            <w:gridSpan w:val="13"/>
            <w:shd w:val="clear" w:color="auto" w:fill="CCEEFF"/>
          </w:tcPr>
          <w:p>
            <w:pPr>
              <w:jc w:val="center"/>
              <w:ind w:right="2340"/>
              <w:spacing w:after="0"/>
              <w:rPr>
                <w:sz w:val="20"/>
                <w:szCs w:val="20"/>
                <w:color w:val="auto"/>
              </w:rPr>
            </w:pPr>
            <w:r>
              <w:rPr>
                <w:rFonts w:ascii="Arial" w:cs="Arial" w:eastAsia="Arial" w:hAnsi="Arial"/>
                <w:sz w:val="18"/>
                <w:szCs w:val="18"/>
                <w:b w:val="1"/>
                <w:bCs w:val="1"/>
                <w:color w:val="auto"/>
                <w:w w:val="94"/>
              </w:rPr>
              <w:t>Part I. Financial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2018 (unaudited) and December 31, 2017</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and nine months ended September 30, 2018 and 2017</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9"/>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Changes in Net Assets (unaudited) for the nine months ended September 30, 2018 and 2017</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nine months ended September 30, 2018 and 2017</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September 30, 2018 (unaudited) and December 31, 2017</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Consolidated Financial Highlights (unaudited) for the for the nine months ended September 30, 2018 and 2017</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Notes to Consolidated Financial Statements (unaudited)</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2.</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3.</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4.</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5.</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820" w:type="dxa"/>
            <w:vAlign w:val="bottom"/>
            <w:gridSpan w:val="12"/>
            <w:shd w:val="clear" w:color="auto" w:fill="CCEEFF"/>
          </w:tcPr>
          <w:p>
            <w:pPr>
              <w:jc w:val="center"/>
              <w:ind w:right="3760"/>
              <w:spacing w:after="0" w:line="176" w:lineRule="exact"/>
              <w:rPr>
                <w:rFonts w:ascii="Arial" w:cs="Arial" w:eastAsia="Arial" w:hAnsi="Arial"/>
                <w:sz w:val="18"/>
                <w:szCs w:val="18"/>
                <w:b w:val="1"/>
                <w:bCs w:val="1"/>
                <w:color w:val="0000EE"/>
                <w:w w:val="97"/>
              </w:rPr>
            </w:pPr>
            <w:hyperlink w:anchor="page85">
              <w:r>
                <w:rPr>
                  <w:rFonts w:ascii="Arial" w:cs="Arial" w:eastAsia="Arial" w:hAnsi="Arial"/>
                  <w:sz w:val="18"/>
                  <w:szCs w:val="18"/>
                  <w:b w:val="1"/>
                  <w:bCs w:val="1"/>
                  <w:color w:val="0000EE"/>
                  <w:w w:val="97"/>
                </w:rPr>
                <w:t>Part II. Other Information</w:t>
              </w:r>
            </w:hyperlink>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1.</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Legal Proceedings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1A.</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Risk Factors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2.</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Unregistered Sales of Equity Securities and Use of Proceeds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3.</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Defaults Upon Senior Securities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4.</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Mine Safety Disclosures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5.</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Other Information</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6.</w:t>
              </w:r>
            </w:hyperlink>
          </w:p>
        </w:tc>
        <w:tc>
          <w:tcPr>
            <w:tcW w:w="9600" w:type="dxa"/>
            <w:vAlign w:val="bottom"/>
            <w:gridSpan w:val="19"/>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Exhibits</w:t>
              </w:r>
            </w:hyperlink>
          </w:p>
        </w:tc>
        <w:tc>
          <w:tcPr>
            <w:tcW w:w="9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840" w:type="dxa"/>
            <w:vAlign w:val="bottom"/>
            <w:tcBorders>
              <w:top w:val="single" w:sz="8" w:color="CCEEFF"/>
              <w:bottom w:val="single" w:sz="8" w:color="auto"/>
            </w:tcBorders>
            <w:gridSpan w:val="10"/>
          </w:tcPr>
          <w:p>
            <w:pPr>
              <w:jc w:val="center"/>
              <w:ind w:left="3670"/>
              <w:spacing w:after="0"/>
              <w:rPr>
                <w:sz w:val="20"/>
                <w:szCs w:val="20"/>
                <w:color w:val="auto"/>
              </w:rPr>
            </w:pPr>
            <w:r>
              <w:rPr>
                <w:rFonts w:ascii="Arial" w:cs="Arial" w:eastAsia="Arial" w:hAnsi="Arial"/>
                <w:sz w:val="18"/>
                <w:szCs w:val="18"/>
                <w:color w:val="auto"/>
                <w:w w:val="79"/>
              </w:rPr>
              <w:t>2</w:t>
            </w:r>
          </w:p>
        </w:tc>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jc w:val="center"/>
              <w:ind w:left="3390"/>
              <w:spacing w:after="0"/>
              <w:rPr>
                <w:sz w:val="20"/>
                <w:szCs w:val="20"/>
                <w:color w:val="auto"/>
              </w:rPr>
            </w:pPr>
            <w:r>
              <w:rPr>
                <w:rFonts w:ascii="Arial" w:cs="Arial" w:eastAsia="Arial" w:hAnsi="Arial"/>
                <w:sz w:val="18"/>
                <w:szCs w:val="18"/>
                <w:b w:val="1"/>
                <w:bCs w:val="1"/>
                <w:color w:val="auto"/>
              </w:rPr>
              <w:t>KCAP FINANCIAL, INC.</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20" w:type="dxa"/>
            <w:vAlign w:val="bottom"/>
          </w:tcPr>
          <w:p>
            <w:pPr>
              <w:jc w:val="center"/>
              <w:ind w:left="339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September 30, 2018</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 (cost: 2018 - $24,431,512; 2017 - $77,300,320)</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24,431,512</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77,300,320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Debt securities (amortized cost: 2018 - $149,138,595; 2017 - $125,179,470)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139,799,027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118,197,479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w w:val="97"/>
              </w:rPr>
              <w:t>CLO Fund Securities managed by affiliates (amortized cost: 2018 - $63,580,483; 2017 - $67,212,139)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45,531,058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w w:val="95"/>
              </w:rPr>
              <w:t>CLO Fund Securities managed by non-affiliates (amortized cost: 2018 - $5,188,762; 2017 - $5,126,893)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2,452,873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(cost: 2018 - $10,571,007; 2017 - $10,571,007)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4,079,336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Asset Manager Affiliates (cost: 2018 - $51,591,230; 2017 - $52,591,230)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35,818,000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38,849,000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Joint Venture (cost: 2018 - $24,914,858; 2017 - $24,914,858)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21,373,570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Investments at Fair Value (cost: 2018 - $329,416,447; 2017 - $362,895,917)</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273,485,375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311,956,156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1,713,906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987,818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2,276,162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Receivable for open trades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935,120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340,472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530,209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279,738,854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319,808,974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6.125% Notes Due 2022 (net of offering costs of: 2018 - $2,341,686; 2017 - $2,734,248)</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75,065,514</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74,672,952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2018 - $31,173; 2017 - $259,635)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6,968,827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KCAP Funding I, LLC Revolving Credit Facility (net of offering costs of: 2018 - $1,246,998)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21,701,195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Payable for open trades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34,215,195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2,008,553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2,350,803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Due to affiliates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105,830,349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138,004,398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w w:val="91"/>
              </w:rPr>
              <w:t>Common stock, par value $0.01 per share, 100,000,000 common shares authorized; 37,544,083 issued, and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w w:val="94"/>
              </w:rPr>
              <w:t>37,349,224 outstanding at September 30, 2018, and 37,507,402 issued, and 37,339,224 outstanding at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December 31, 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373,492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330,404,400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329,789,716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Excess distribution of net investment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(13,201,062)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(9,987,928)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(86,338,209)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(86,031,799)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(57,330,116)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(52,338,805)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173,908,505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181,804,576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279,738,854</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319,808,974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vMerge w:val="restart"/>
          </w:tcPr>
          <w:p>
            <w:pPr>
              <w:jc w:val="center"/>
              <w:ind w:left="3370"/>
              <w:spacing w:after="0"/>
              <w:rPr>
                <w:sz w:val="20"/>
                <w:szCs w:val="20"/>
                <w:color w:val="auto"/>
              </w:rPr>
            </w:pPr>
            <w:r>
              <w:rPr>
                <w:rFonts w:ascii="Arial" w:cs="Arial" w:eastAsia="Arial" w:hAnsi="Arial"/>
                <w:sz w:val="18"/>
                <w:szCs w:val="18"/>
                <w:color w:val="auto"/>
                <w:w w:val="89"/>
              </w:rPr>
              <w:t>See accompanying notes to financial statements.</w:t>
            </w: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920" w:type="dxa"/>
            <w:vAlign w:val="bottom"/>
            <w:tcBorders>
              <w:bottom w:val="single" w:sz="8" w:color="auto"/>
            </w:tcBorders>
          </w:tcPr>
          <w:p>
            <w:pPr>
              <w:jc w:val="center"/>
              <w:ind w:left="3390"/>
              <w:spacing w:after="0"/>
              <w:rPr>
                <w:sz w:val="20"/>
                <w:szCs w:val="20"/>
                <w:color w:val="auto"/>
              </w:rPr>
            </w:pPr>
            <w:r>
              <w:rPr>
                <w:rFonts w:ascii="Arial" w:cs="Arial" w:eastAsia="Arial" w:hAnsi="Arial"/>
                <w:sz w:val="18"/>
                <w:szCs w:val="18"/>
                <w:color w:val="auto"/>
                <w:w w:val="79"/>
              </w:rPr>
              <w:t>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5"/>
          </w:tcPr>
          <w:p>
            <w:pPr>
              <w:jc w:val="center"/>
              <w:ind w:left="63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Interest from investments in debt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4,487,575</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2,033,813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11,796,245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10,934,928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Payment-in-kind investment income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405,858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1,061,419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829,773</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Interest from cash and time deposits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21,043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71,183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51,250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 on CLO Fund Securities managed by affiliates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1,179,463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2,693,547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4,428,032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8,378,785</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w w:val="96"/>
              </w:rPr>
              <w:t>Investment income on CLO Fund Securities managed by non-affiliates</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94,992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99,578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292,694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329,108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from Asset Manager Affiliates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Investment income - Joint Venture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2,150,000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685,000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structuring service fees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114,097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298,628</w:t>
            </w:r>
          </w:p>
        </w:tc>
        <w:tc>
          <w:tcPr>
            <w:tcW w:w="0" w:type="dxa"/>
            <w:vAlign w:val="bottom"/>
          </w:tcPr>
          <w:p>
            <w:pPr>
              <w:spacing w:after="0"/>
              <w:rPr>
                <w:sz w:val="1"/>
                <w:szCs w:val="1"/>
                <w:color w:val="auto"/>
              </w:rPr>
            </w:pPr>
          </w:p>
        </w:tc>
      </w:tr>
      <w:tr>
        <w:trPr>
          <w:trHeight w:val="210"/>
        </w:trPr>
        <w:tc>
          <w:tcPr>
            <w:tcW w:w="5620" w:type="dxa"/>
            <w:vAlign w:val="bottom"/>
          </w:tcPr>
          <w:p>
            <w:pPr>
              <w:ind w:left="340"/>
              <w:spacing w:after="0"/>
              <w:rPr>
                <w:sz w:val="20"/>
                <w:szCs w:val="20"/>
                <w:color w:val="auto"/>
              </w:rPr>
            </w:pPr>
            <w:r>
              <w:rPr>
                <w:rFonts w:ascii="Arial" w:cs="Arial" w:eastAsia="Arial" w:hAnsi="Arial"/>
                <w:sz w:val="18"/>
                <w:szCs w:val="18"/>
                <w:color w:val="auto"/>
              </w:rPr>
              <w:t>Total investment income</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7,158,750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6,253,343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20,833,670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21,687,472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Interest and amortization of debt issuance costs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1,871,187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1,371,953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5,582,467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5,790,242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1,072,812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3,216,710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3,473,841</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867,724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802,507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2,489,098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2,545,195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236,900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256,473</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Administrative and other</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381,835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395,782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1,364,302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1,265,317</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4,204,221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3,723,848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12,889,477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13,331,068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2,954,529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2,529,495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7,944,193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8,356,404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Net realized losses from investment transactions</w:t>
            </w: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(136,766)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(1,906,537)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(137,336)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(2,871,941)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unrealized (depreciation) appreciation 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Debt securities</w:t>
            </w: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(1,232,216)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1,759,152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(2,357,578)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4,172,723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(171,775)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(335,348)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(606,179)</w:t>
            </w: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CLO Fund Securities managed by affiliates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682,574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(1,590,062)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(325,678)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(3,695,876)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 Fund Securities managed by non-affiliates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200,723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(328,552)</w:t>
            </w: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Asset Manager Affiliates investments</w:t>
            </w: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(1,035,000)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2,922,000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(2,031,000)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1,481,000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 Investment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282,076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(142,430)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(147,751)</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net change in unrealized appreciation (depreciation)</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(1,468,914</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2,722,316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(4,991,311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875,365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Net realized and unrealized appreciation (depreciation) on investments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(1,605,680</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(5,128,647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(1,996,576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Realized losses on extinguishments of Debt</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(4,014,723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(169,074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(4,121,998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Increase (Decrease ) In Stockholders’ Equity Resulting From</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1,348,849</w:t>
            </w:r>
          </w:p>
        </w:tc>
        <w:tc>
          <w:tcPr>
            <w:tcW w:w="1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(669,449)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2,646,472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2,237,830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180"/>
              <w:spacing w:after="0" w:line="195" w:lineRule="exact"/>
              <w:rPr>
                <w:sz w:val="20"/>
                <w:szCs w:val="20"/>
                <w:color w:val="auto"/>
              </w:rPr>
            </w:pPr>
            <w:r>
              <w:rPr>
                <w:rFonts w:ascii="Arial" w:cs="Arial" w:eastAsia="Arial" w:hAnsi="Arial"/>
                <w:sz w:val="18"/>
                <w:szCs w:val="18"/>
                <w:color w:val="auto"/>
              </w:rPr>
              <w:t>Net Increase (Decrease) In Stockholders' Equity Resulting from</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Operations per Common Share: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of Common Stock Outstanding—Basic</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37,349,904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37,196,621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37,354,449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37,202,011</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Weighted Average Shares of Common Stock Outstanding—Diluted</w:t>
            </w: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37,349,904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37,196,621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37,354,449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37,202,011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rPr>
              <w:t>KCAP FINANCIAL, INC.</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98"/>
              </w:rPr>
              <w:t>CONSOLIDATED STATEMENTS OF CHANGES IN NET ASSETS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investment income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7,944,193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8,356,404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from investment transactions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(169,074)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(4,121,998)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(4,991,311)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increase in stockholders’ equity resulting from operations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2,646,472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2,237,830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(11,157,327)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(13,315,561)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154,600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(86,743)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(224,944)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546,927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614,784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938,250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181,804,576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194,924,925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assets at end of period (including undistributed net investment income of $0 in 2018 and $0 in 2017)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173,908,505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184,785,444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4.66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end of period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37,349,224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37,317,815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40" w:type="dxa"/>
            <w:vAlign w:val="bottom"/>
          </w:tcPr>
          <w:p>
            <w:pPr>
              <w:jc w:val="center"/>
              <w:ind w:left="2970"/>
              <w:spacing w:after="0"/>
              <w:rPr>
                <w:sz w:val="20"/>
                <w:szCs w:val="20"/>
                <w:color w:val="auto"/>
              </w:rPr>
            </w:pPr>
            <w:r>
              <w:rPr>
                <w:rFonts w:ascii="Arial" w:cs="Arial" w:eastAsia="Arial" w:hAnsi="Arial"/>
                <w:sz w:val="18"/>
                <w:szCs w:val="18"/>
                <w:b w:val="1"/>
                <w:bCs w:val="1"/>
                <w:color w:val="auto"/>
              </w:rPr>
              <w:t>KCAP FINANCIAL, INC.</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jc w:val="center"/>
              <w:ind w:left="295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Net increase in stockholder's equity resulting from operations</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2,646,472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2,237,830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increase in stockholder’s equity resulting from operations to net cash provided by</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realized losses on investment transactions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137,336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2,871,941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from investments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4,991,311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(75,550,935)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8"/>
              </w:rPr>
              <w:t>(202,774,326)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115,362,645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252,169,877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Net accretion of investments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(5,408,308)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665,000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losses on extinguishments of debt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169,074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(1,061,419)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(829,774)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546,927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payable for open trades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(34,215,195)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27,065,785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Decrease in receivable for open trades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2,993,750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2,950,658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interest and dividends receivable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(1,224,891)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Increase in accounts receivable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accrued interest payable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86,133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Decrease in other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189,737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due from affiliates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308,373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(Decrease) increase in due to affiliates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(24,956)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(342,250)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10,268,804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84,624,418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(forfeitures) of restricted shares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(1,459,899)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(2,798,940)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to stockholders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(11,002,623)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(86,743)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7.375% Notes Due 2019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Issuance of 6.125% Notes Due 2022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77,407,200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Senior Funding Notes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(147,350,000)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20"/>
              <w:spacing w:after="0"/>
              <w:rPr>
                <w:sz w:val="20"/>
                <w:szCs w:val="20"/>
                <w:color w:val="auto"/>
              </w:rPr>
            </w:pPr>
            <w:r>
              <w:rPr>
                <w:rFonts w:ascii="Arial" w:cs="Arial" w:eastAsia="Arial" w:hAnsi="Arial"/>
                <w:sz w:val="18"/>
                <w:szCs w:val="18"/>
                <w:color w:val="auto"/>
              </w:rPr>
              <w:t>Borrowings under KCAP Funding LLC, Revolving Credit Facility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31,000,000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KCAP Funding LLC, Revolving Credit Facility</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(8,051,807)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(9,601,175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(92,523,673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color w:val="auto"/>
        </w:rPr>
        <w:t>CHANGE IN CASH AND RESTRICTED CASH</w:t>
      </w:r>
    </w:p>
    <w:p>
      <w:pPr>
        <w:spacing w:after="0" w:line="9" w:lineRule="exact"/>
        <w:rPr>
          <w:sz w:val="20"/>
          <w:szCs w:val="20"/>
          <w:color w:val="auto"/>
        </w:rPr>
      </w:pPr>
    </w:p>
    <w:p>
      <w:pPr>
        <w:ind w:right="3220"/>
        <w:spacing w:after="0" w:line="302" w:lineRule="auto"/>
        <w:rPr>
          <w:sz w:val="20"/>
          <w:szCs w:val="20"/>
          <w:color w:val="auto"/>
        </w:rPr>
      </w:pPr>
      <w:r>
        <w:rPr>
          <w:rFonts w:ascii="Arial" w:cs="Arial" w:eastAsia="Arial" w:hAnsi="Arial"/>
          <w:sz w:val="17"/>
          <w:szCs w:val="17"/>
          <w:color w:val="auto"/>
        </w:rPr>
        <w:t>CASH AND RESTRICTED CASH, BEGINNING OF PERIOD CASH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680"/>
        <w:spacing w:after="0"/>
        <w:tabs>
          <w:tab w:leader="none" w:pos="1940" w:val="left"/>
        </w:tabs>
        <w:rPr>
          <w:sz w:val="20"/>
          <w:szCs w:val="20"/>
          <w:color w:val="auto"/>
        </w:rPr>
      </w:pPr>
      <w:r>
        <w:rPr>
          <w:rFonts w:ascii="Arial" w:cs="Arial" w:eastAsia="Arial" w:hAnsi="Arial"/>
          <w:sz w:val="18"/>
          <w:szCs w:val="18"/>
          <w:color w:val="auto"/>
        </w:rPr>
        <w:t>667,629</w:t>
      </w:r>
      <w:r>
        <w:rPr>
          <w:sz w:val="20"/>
          <w:szCs w:val="20"/>
          <w:color w:val="auto"/>
        </w:rPr>
        <w:tab/>
      </w:r>
      <w:r>
        <w:rPr>
          <w:rFonts w:ascii="Arial" w:cs="Arial" w:eastAsia="Arial" w:hAnsi="Arial"/>
          <w:sz w:val="18"/>
          <w:szCs w:val="18"/>
          <w:color w:val="auto"/>
        </w:rPr>
        <w:t>(7,899,255)</w:t>
      </w:r>
    </w:p>
    <w:p>
      <w:pPr>
        <w:spacing w:after="0" w:line="9" w:lineRule="exact"/>
        <w:rPr>
          <w:sz w:val="20"/>
          <w:szCs w:val="20"/>
          <w:color w:val="auto"/>
        </w:rPr>
      </w:pPr>
    </w:p>
    <w:p>
      <w:pPr>
        <w:ind w:left="560"/>
        <w:spacing w:after="0"/>
        <w:tabs>
          <w:tab w:leader="none" w:pos="2000" w:val="left"/>
        </w:tabs>
        <w:rPr>
          <w:sz w:val="20"/>
          <w:szCs w:val="20"/>
          <w:color w:val="auto"/>
        </w:rPr>
      </w:pPr>
      <w:r>
        <w:rPr>
          <w:rFonts w:ascii="Arial" w:cs="Arial" w:eastAsia="Arial" w:hAnsi="Arial"/>
          <w:sz w:val="17"/>
          <w:szCs w:val="17"/>
          <w:color w:val="auto"/>
        </w:rPr>
        <w:t>2,034,095</w:t>
      </w:r>
      <w:r>
        <w:rPr>
          <w:sz w:val="20"/>
          <w:szCs w:val="20"/>
          <w:color w:val="auto"/>
        </w:rPr>
        <w:tab/>
      </w:r>
      <w:r>
        <w:rPr>
          <w:rFonts w:ascii="Arial" w:cs="Arial" w:eastAsia="Arial" w:hAnsi="Arial"/>
          <w:sz w:val="17"/>
          <w:szCs w:val="17"/>
          <w:color w:val="auto"/>
        </w:rPr>
        <w:t>9,835,555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1732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7" w:lineRule="exact"/>
        <w:rPr>
          <w:sz w:val="20"/>
          <w:szCs w:val="20"/>
          <w:color w:val="auto"/>
        </w:rPr>
      </w:pPr>
    </w:p>
    <w:p>
      <w:pPr>
        <w:spacing w:after="0"/>
        <w:tabs>
          <w:tab w:leader="none" w:pos="540" w:val="left"/>
          <w:tab w:leader="none" w:pos="1460" w:val="left"/>
          <w:tab w:leader="none" w:pos="2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2,701,724</w:t>
        <w:tab/>
        <w:t>$</w:t>
      </w:r>
      <w:r>
        <w:rPr>
          <w:sz w:val="20"/>
          <w:szCs w:val="20"/>
          <w:color w:val="auto"/>
        </w:rPr>
        <w:tab/>
      </w:r>
      <w:r>
        <w:rPr>
          <w:rFonts w:ascii="Arial" w:cs="Arial" w:eastAsia="Arial" w:hAnsi="Arial"/>
          <w:sz w:val="16"/>
          <w:szCs w:val="16"/>
          <w:color w:val="auto"/>
        </w:rPr>
        <w:t>1,936,300</w:t>
      </w:r>
    </w:p>
    <w:p>
      <w:pPr>
        <w:spacing w:after="0" w:line="43"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70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during the period</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4,830,690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5,810,461</w:t>
            </w:r>
          </w:p>
        </w:tc>
      </w:t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154,601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289,478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41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16</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3"/>
            <w:vMerge w:val="continue"/>
          </w:tcPr>
          <w:p>
            <w:pPr>
              <w:spacing w:after="0"/>
              <w:rPr>
                <w:sz w:val="12"/>
                <w:szCs w:val="12"/>
                <w:color w:val="auto"/>
              </w:rPr>
            </w:pPr>
          </w:p>
        </w:tc>
        <w:tc>
          <w:tcPr>
            <w:tcW w:w="412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120" w:type="dxa"/>
            <w:vAlign w:val="bottom"/>
            <w:gridSpan w:val="2"/>
          </w:tcPr>
          <w:p>
            <w:pPr>
              <w:ind w:left="1240"/>
              <w:spacing w:after="0"/>
              <w:rPr>
                <w:sz w:val="20"/>
                <w:szCs w:val="20"/>
                <w:color w:val="auto"/>
              </w:rPr>
            </w:pPr>
            <w:r>
              <w:rPr>
                <w:rFonts w:ascii="Arial" w:cs="Arial" w:eastAsia="Arial" w:hAnsi="Arial"/>
                <w:sz w:val="14"/>
                <w:szCs w:val="14"/>
                <w:b w:val="1"/>
                <w:bCs w:val="1"/>
                <w:color w:val="auto"/>
              </w:rPr>
              <w:t>Interest Rate¹ / Maturity</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8"/>
                <w:szCs w:val="18"/>
                <w:color w:val="auto"/>
                <w:vertAlign w:val="superscript"/>
              </w:rPr>
              <w:t>(8)(13)</w:t>
            </w:r>
          </w:p>
        </w:tc>
        <w:tc>
          <w:tcPr>
            <w:tcW w:w="140" w:type="dxa"/>
            <w:vAlign w:val="bottom"/>
            <w:tcBorders>
              <w:top w:val="single" w:sz="8" w:color="CCEEFF"/>
            </w:tcBorders>
            <w:shd w:val="clear" w:color="auto" w:fill="CCEEFF"/>
          </w:tcPr>
          <w:p>
            <w:pPr>
              <w:spacing w:after="0"/>
              <w:rPr>
                <w:sz w:val="13"/>
                <w:szCs w:val="13"/>
                <w:color w:val="auto"/>
              </w:rPr>
            </w:pPr>
          </w:p>
        </w:tc>
        <w:tc>
          <w:tcPr>
            <w:tcW w:w="3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Junior Secured Loan — Second Lien Notes</w:t>
            </w:r>
          </w:p>
        </w:tc>
        <w:tc>
          <w:tcPr>
            <w:tcW w:w="1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9.4% Cash, 10.0% PIK, 3 month LIBOR(2.41%) + 7.00%; LIBOR</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Consumer goods: Durable</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1.00% , Due 10/23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6/13/2012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955,491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955,490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394,355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Avalign Technologies, Inc.</w:t>
            </w:r>
            <w:r>
              <w:rPr>
                <w:rFonts w:ascii="Arial" w:cs="Arial" w:eastAsia="Arial" w:hAnsi="Arial"/>
                <w:sz w:val="18"/>
                <w:szCs w:val="18"/>
                <w:color w:val="auto"/>
                <w:vertAlign w:val="superscript"/>
              </w:rPr>
              <w:t>(8)(14)(15)</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 (First Lien)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w w:val="98"/>
              </w:rPr>
              <w:t>6.8% Cash, 1 month LIBOR(2.25%) + 4.50%; LIBOR Floor 1.00% ,</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860" w:type="dxa"/>
            <w:vAlign w:val="bottom"/>
            <w:gridSpan w:val="2"/>
            <w:vMerge w:val="continue"/>
            <w:shd w:val="clear" w:color="auto" w:fill="CCEEFF"/>
          </w:tcPr>
          <w:p>
            <w:pPr>
              <w:spacing w:after="0"/>
              <w:rPr>
                <w:sz w:val="6"/>
                <w:szCs w:val="6"/>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7/21</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7/16/2015</w:t>
            </w:r>
          </w:p>
        </w:tc>
        <w:tc>
          <w:tcPr>
            <w:tcW w:w="120" w:type="dxa"/>
            <w:vAlign w:val="bottom"/>
            <w:shd w:val="clear" w:color="auto" w:fill="CCEEFF"/>
          </w:tcPr>
          <w:p>
            <w:pPr>
              <w:spacing w:after="0"/>
              <w:rPr>
                <w:sz w:val="6"/>
                <w:szCs w:val="6"/>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1,004,411</w:t>
            </w:r>
          </w:p>
        </w:tc>
        <w:tc>
          <w:tcPr>
            <w:tcW w:w="100" w:type="dxa"/>
            <w:vAlign w:val="bottom"/>
            <w:shd w:val="clear" w:color="auto" w:fill="CCEEFF"/>
          </w:tcPr>
          <w:p>
            <w:pPr>
              <w:spacing w:after="0"/>
              <w:rPr>
                <w:sz w:val="6"/>
                <w:szCs w:val="6"/>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1,002,658</w:t>
            </w: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1,000,895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120" w:type="dxa"/>
            <w:vAlign w:val="bottom"/>
            <w:gridSpan w:val="2"/>
            <w:vMerge w:val="continue"/>
            <w:shd w:val="clear" w:color="auto" w:fill="CCEEFF"/>
          </w:tcPr>
          <w:p>
            <w:pPr>
              <w:spacing w:after="0"/>
              <w:rPr>
                <w:sz w:val="8"/>
                <w:szCs w:val="8"/>
                <w:color w:val="auto"/>
              </w:rPr>
            </w:pPr>
          </w:p>
        </w:tc>
        <w:tc>
          <w:tcPr>
            <w:tcW w:w="11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Avalign Technologies, Inc.</w:t>
            </w:r>
            <w:r>
              <w:rPr>
                <w:rFonts w:ascii="Arial" w:cs="Arial" w:eastAsia="Arial" w:hAnsi="Arial"/>
                <w:sz w:val="18"/>
                <w:szCs w:val="18"/>
                <w:color w:val="auto"/>
                <w:vertAlign w:val="superscript"/>
              </w:rPr>
              <w:t>(8)(14)(15)</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w w:val="98"/>
              </w:rPr>
              <w:t>10.6% Cash, 3 month LIBOR(2.31%) + 8.25%; LIBOR Floor 1.00%</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860" w:type="dxa"/>
            <w:vAlign w:val="bottom"/>
            <w:gridSpan w:val="2"/>
            <w:vMerge w:val="continue"/>
            <w:shd w:val="clear" w:color="auto" w:fill="CCEEFF"/>
          </w:tcPr>
          <w:p>
            <w:pPr>
              <w:spacing w:after="0"/>
              <w:rPr>
                <w:sz w:val="6"/>
                <w:szCs w:val="6"/>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Due 7/22</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7/16/2015</w:t>
            </w:r>
          </w:p>
        </w:tc>
        <w:tc>
          <w:tcPr>
            <w:tcW w:w="120" w:type="dxa"/>
            <w:vAlign w:val="bottom"/>
            <w:shd w:val="clear" w:color="auto" w:fill="CCEEFF"/>
          </w:tcPr>
          <w:p>
            <w:pPr>
              <w:spacing w:after="0"/>
              <w:rPr>
                <w:sz w:val="6"/>
                <w:szCs w:val="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1,490,789</w:t>
            </w: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1,474,200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120" w:type="dxa"/>
            <w:vAlign w:val="bottom"/>
            <w:gridSpan w:val="2"/>
            <w:vMerge w:val="continue"/>
            <w:shd w:val="clear" w:color="auto" w:fill="CCEEFF"/>
          </w:tcPr>
          <w:p>
            <w:pPr>
              <w:spacing w:after="0"/>
              <w:rPr>
                <w:sz w:val="8"/>
                <w:szCs w:val="8"/>
                <w:color w:val="auto"/>
              </w:rPr>
            </w:pPr>
          </w:p>
        </w:tc>
        <w:tc>
          <w:tcPr>
            <w:tcW w:w="11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81" w:lineRule="exact"/>
              <w:rPr>
                <w:sz w:val="20"/>
                <w:szCs w:val="20"/>
                <w:color w:val="auto"/>
              </w:rPr>
            </w:pPr>
            <w:r>
              <w:rPr>
                <w:rFonts w:ascii="Arial" w:cs="Arial" w:eastAsia="Arial" w:hAnsi="Arial"/>
                <w:sz w:val="13"/>
                <w:szCs w:val="13"/>
                <w:color w:val="auto"/>
              </w:rPr>
              <w:t>BMC Acquisition, Inc. (aka BenefitMall)</w:t>
            </w:r>
            <w:r>
              <w:rPr>
                <w:rFonts w:ascii="Arial" w:cs="Arial" w:eastAsia="Arial" w:hAnsi="Arial"/>
                <w:sz w:val="20"/>
                <w:szCs w:val="20"/>
                <w:color w:val="auto"/>
                <w:vertAlign w:val="superscript"/>
              </w:rPr>
              <w:t>(8)(14)</w:t>
            </w: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Senior Secured Loan — Initial Term Loan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2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(15)</w:t>
            </w:r>
          </w:p>
        </w:tc>
        <w:tc>
          <w:tcPr>
            <w:tcW w:w="140" w:type="dxa"/>
            <w:vAlign w:val="bottom"/>
            <w:shd w:val="clear" w:color="auto" w:fill="CCEEFF"/>
          </w:tcPr>
          <w:p>
            <w:pPr>
              <w:spacing w:after="0"/>
              <w:rPr>
                <w:sz w:val="10"/>
                <w:szCs w:val="10"/>
                <w:color w:val="auto"/>
              </w:rPr>
            </w:pPr>
          </w:p>
        </w:tc>
        <w:tc>
          <w:tcPr>
            <w:tcW w:w="4120" w:type="dxa"/>
            <w:vAlign w:val="bottom"/>
            <w:gridSpan w:val="2"/>
            <w:vMerge w:val="continue"/>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Banking, Finance, Insurance &amp; Real</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7.8% Cash, 6 month LIBOR(2.50%) + 5.25%; LIBOR Floor 1.00% ,</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Estate</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1/2/2018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2,977,500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2,975,935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2,950,405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line="211" w:lineRule="exact"/>
              <w:rPr>
                <w:sz w:val="20"/>
                <w:szCs w:val="20"/>
                <w:color w:val="auto"/>
              </w:rPr>
            </w:pPr>
            <w:r>
              <w:rPr>
                <w:rFonts w:ascii="Arial" w:cs="Arial" w:eastAsia="Arial" w:hAnsi="Arial"/>
                <w:sz w:val="14"/>
                <w:szCs w:val="14"/>
                <w:color w:val="auto"/>
              </w:rPr>
              <w:t>BW NHHC Holdco Inc.</w:t>
            </w:r>
            <w:r>
              <w:rPr>
                <w:rFonts w:ascii="Arial" w:cs="Arial" w:eastAsia="Arial" w:hAnsi="Arial"/>
                <w:sz w:val="23"/>
                <w:szCs w:val="23"/>
                <w:color w:val="auto"/>
                <w:vertAlign w:val="superscript"/>
              </w:rPr>
              <w:t>(8)(14)(15)</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 (First Lien)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7.2% Cash, 1 month LIBOR(2.16%) + 5.00% , Due 5/25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5/16/2018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1,995,000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1,966,602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1,965,075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Child Development Schools, Inc.</w:t>
            </w:r>
            <w:r>
              <w:rPr>
                <w:rFonts w:ascii="Arial" w:cs="Arial" w:eastAsia="Arial" w:hAnsi="Arial"/>
                <w:sz w:val="19"/>
                <w:szCs w:val="19"/>
                <w:color w:val="auto"/>
                <w:vertAlign w:val="superscript"/>
              </w:rPr>
              <w:t>(8)(14)(15)</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Term Loan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Services: Business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6.4% Cash, 3 month LIBOR(2.20%) + 4.25% , Due 5/23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6/6/2018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4,863,014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4,851,642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4,850,856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Community Care Health Network, Inc. (aka</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Closing Date Term Loan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198" w:lineRule="exact"/>
              <w:rPr>
                <w:sz w:val="20"/>
                <w:szCs w:val="20"/>
                <w:color w:val="auto"/>
              </w:rPr>
            </w:pPr>
            <w:r>
              <w:rPr>
                <w:rFonts w:ascii="Arial" w:cs="Arial" w:eastAsia="Arial" w:hAnsi="Arial"/>
                <w:sz w:val="14"/>
                <w:szCs w:val="14"/>
                <w:color w:val="auto"/>
              </w:rPr>
              <w:t>Matrix Medical Network)</w:t>
            </w:r>
            <w:r>
              <w:rPr>
                <w:rFonts w:ascii="Arial" w:cs="Arial" w:eastAsia="Arial" w:hAnsi="Arial"/>
                <w:sz w:val="22"/>
                <w:szCs w:val="22"/>
                <w:color w:val="auto"/>
                <w:vertAlign w:val="superscript"/>
              </w:rPr>
              <w:t>(8)(15)</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7.0% Cash, 3 month LIBOR(2.29%) + 4.75%; LIBOR Floor 1.00% ,</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2/25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2/9/2018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1,995,000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1,990,444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2,010,591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CSM Bakery Solutions Limited (fka CSM</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Term Loan (Second Lien)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Bakery Supplies Limited)</w:t>
            </w:r>
            <w:r>
              <w:rPr>
                <w:rFonts w:ascii="Arial" w:cs="Arial" w:eastAsia="Arial" w:hAnsi="Arial"/>
                <w:sz w:val="21"/>
                <w:szCs w:val="21"/>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10.1% Cash, 3 month LIBOR(2.34%) + 7.75%; LIBOR Floor 1.00%</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Beverage, Food and Tobacco</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Due 7/21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5/23/2013</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3,006,937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2,892,600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CT Technologies Intermediate Holdings, Inc.</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New Term Loan Facility</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(Smart Holdings Corp.) (aka HealthPort)</w:t>
            </w:r>
            <w:r>
              <w:rPr>
                <w:rFonts w:ascii="Arial" w:cs="Arial" w:eastAsia="Arial" w:hAnsi="Arial"/>
                <w:sz w:val="21"/>
                <w:szCs w:val="21"/>
                <w:color w:val="auto"/>
                <w:vertAlign w:val="superscript"/>
              </w:rPr>
              <w:t>(8)(15)</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6.5% Cash, 1 month LIBOR(2.24%) + 4.25%; LIBOR Floor 1.00% ,</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11/19/2014</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3,974,333</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3,967,730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3,750,776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Cyanco Intermediate 2 Corp.</w:t>
            </w:r>
            <w:r>
              <w:rPr>
                <w:rFonts w:ascii="Arial" w:cs="Arial" w:eastAsia="Arial" w:hAnsi="Arial"/>
                <w:sz w:val="19"/>
                <w:szCs w:val="19"/>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Chemicals, Plastics and Rubber</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9.7% Cash, 1 month LIBOR(2.24%) + 7.50%; , Due 3/26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3/9/2018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4,681,250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4,637,310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4,635,842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434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16</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3"/>
            <w:vMerge w:val="continue"/>
          </w:tcPr>
          <w:p>
            <w:pPr>
              <w:spacing w:after="0"/>
              <w:rPr>
                <w:sz w:val="12"/>
                <w:szCs w:val="12"/>
                <w:color w:val="auto"/>
              </w:rPr>
            </w:pPr>
          </w:p>
        </w:tc>
        <w:tc>
          <w:tcPr>
            <w:tcW w:w="434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340" w:type="dxa"/>
            <w:vAlign w:val="bottom"/>
            <w:gridSpan w:val="2"/>
          </w:tcPr>
          <w:p>
            <w:pPr>
              <w:ind w:left="1340"/>
              <w:spacing w:after="0"/>
              <w:rPr>
                <w:sz w:val="20"/>
                <w:szCs w:val="20"/>
                <w:color w:val="auto"/>
              </w:rPr>
            </w:pPr>
            <w:r>
              <w:rPr>
                <w:rFonts w:ascii="Arial" w:cs="Arial" w:eastAsia="Arial" w:hAnsi="Arial"/>
                <w:sz w:val="14"/>
                <w:szCs w:val="14"/>
                <w:b w:val="1"/>
                <w:bCs w:val="1"/>
                <w:color w:val="auto"/>
              </w:rPr>
              <w:t>Interest Rate¹ / Maturity</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2"/>
                <w:szCs w:val="12"/>
                <w:color w:val="auto"/>
              </w:rPr>
              <w:t>Decolin Inc.</w:t>
            </w:r>
            <w:r>
              <w:rPr>
                <w:rFonts w:ascii="Arial" w:cs="Arial" w:eastAsia="Arial" w:hAnsi="Arial"/>
                <w:sz w:val="18"/>
                <w:szCs w:val="18"/>
                <w:color w:val="auto"/>
                <w:vertAlign w:val="superscript"/>
              </w:rPr>
              <w:t>(3)(14)(15)</w:t>
            </w:r>
          </w:p>
        </w:tc>
        <w:tc>
          <w:tcPr>
            <w:tcW w:w="140" w:type="dxa"/>
            <w:vAlign w:val="bottom"/>
            <w:tcBorders>
              <w:top w:val="single" w:sz="8" w:color="CCEEFF"/>
            </w:tcBorders>
            <w:shd w:val="clear" w:color="auto" w:fill="CCEEFF"/>
          </w:tcPr>
          <w:p>
            <w:pPr>
              <w:spacing w:after="0"/>
              <w:rPr>
                <w:sz w:val="13"/>
                <w:szCs w:val="13"/>
                <w:color w:val="auto"/>
              </w:rPr>
            </w:pPr>
          </w:p>
        </w:tc>
        <w:tc>
          <w:tcPr>
            <w:tcW w:w="4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Senior Secured Loan — Initial Term Loan</w:t>
            </w: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Textiles and Leather</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6.7% Cash, 1 month LIBOR(2.21%) + 4.50%;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1/26/2018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2,190,363</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2,180,627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2,191,239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Drew Marine Group Inc.</w:t>
            </w:r>
            <w:r>
              <w:rPr>
                <w:rFonts w:ascii="Arial" w:cs="Arial" w:eastAsia="Arial" w:hAnsi="Arial"/>
                <w:sz w:val="18"/>
                <w:szCs w:val="18"/>
                <w:color w:val="auto"/>
                <w:vertAlign w:val="superscript"/>
              </w:rPr>
              <w:t>(8)(14)(15)</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Transportation: Cargo</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9.2% Cash, 1 month LIBOR(2.24%) + 7.00%;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5/21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11/19/2013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4,000,701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4,000,400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EagleTree-Carbide Acquisition Corp. (aka</w:t>
            </w:r>
          </w:p>
        </w:tc>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Term Loan (Second Lien)</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Corsair Components, Inc.)</w:t>
            </w:r>
            <w:r>
              <w:rPr>
                <w:rFonts w:ascii="Arial" w:cs="Arial" w:eastAsia="Arial" w:hAnsi="Arial"/>
                <w:sz w:val="21"/>
                <w:szCs w:val="21"/>
                <w:color w:val="auto"/>
                <w:vertAlign w:val="superscript"/>
              </w:rPr>
              <w:t>(8)(14)</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10.9% Cash, 3 month LIBOR(2.39%) + 8.50%; LIBOR Floor 1.00% ,</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High Tech Industries</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8/25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9/29/2017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4,934,137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5,003,000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EagleTree-Carbide Acquisition Corp. (aka</w:t>
            </w:r>
          </w:p>
        </w:tc>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Term Loan (First Lien)</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Corsair Components, Inc.)</w:t>
            </w:r>
            <w:r>
              <w:rPr>
                <w:rFonts w:ascii="Arial" w:cs="Arial" w:eastAsia="Arial" w:hAnsi="Arial"/>
                <w:sz w:val="21"/>
                <w:szCs w:val="21"/>
                <w:color w:val="auto"/>
                <w:vertAlign w:val="superscript"/>
              </w:rPr>
              <w:t>(8)(15)</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7.1% Cash, 3 month LIBOR(2.39%) + 4.75%; LIBOR Floor 1.00% ,</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High Tech Industries</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8/24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9/29/2017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994,981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990,374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994,981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Evergreen North America Acquisition, LLC</w:t>
            </w:r>
          </w:p>
        </w:tc>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Term Loan</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(f/k/a Industrial Services Acquisition, LLC)</w:t>
            </w:r>
            <w:r>
              <w:rPr>
                <w:rFonts w:ascii="Arial" w:cs="Arial" w:eastAsia="Arial" w:hAnsi="Arial"/>
                <w:sz w:val="21"/>
                <w:szCs w:val="21"/>
                <w:color w:val="auto"/>
                <w:vertAlign w:val="superscript"/>
              </w:rPr>
              <w:t>(8)</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7.4% Cash, 3 month LIBOR(2.44%) + 5.00%; LIBOR Floor 1.00% ,</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(14)(15)</w:t>
            </w: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6/22</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Environmental Industries</w:t>
            </w:r>
          </w:p>
        </w:tc>
        <w:tc>
          <w:tcPr>
            <w:tcW w:w="4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6/21/2016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1,119,774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1,124,156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1,119,774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First American Payment Systems, L.P.</w:t>
            </w:r>
            <w:r>
              <w:rPr>
                <w:rFonts w:ascii="Arial" w:cs="Arial" w:eastAsia="Arial" w:hAnsi="Arial"/>
                <w:sz w:val="18"/>
                <w:szCs w:val="18"/>
                <w:color w:val="auto"/>
                <w:vertAlign w:val="superscript"/>
              </w:rPr>
              <w:t>(8)(14)</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(15)</w:t>
            </w:r>
          </w:p>
        </w:tc>
        <w:tc>
          <w:tcPr>
            <w:tcW w:w="14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12.6% Cash, 1 month LIBOR(2.12%) + 10.50%;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Banking, Finance, Insurance &amp; Real</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7/24</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Estate</w:t>
            </w:r>
          </w:p>
        </w:tc>
        <w:tc>
          <w:tcPr>
            <w:tcW w:w="4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1,465,354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1,448,700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Flexera Software LLC (fka Flexera Software,</w:t>
            </w:r>
          </w:p>
        </w:tc>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Initial Term Loan (Second Lien)</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Inc.)</w:t>
            </w:r>
            <w:r>
              <w:rPr>
                <w:rFonts w:ascii="Arial" w:cs="Arial" w:eastAsia="Arial" w:hAnsi="Arial"/>
                <w:sz w:val="21"/>
                <w:szCs w:val="21"/>
                <w:color w:val="auto"/>
                <w:vertAlign w:val="superscript"/>
              </w:rPr>
              <w:t>(8)</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9.5% Cash, 1 month LIBOR(2.25%) + 7.25%; LIBOR Floor 1.00% ,</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High Tech Industries</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2/26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1/25/2018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99,536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97,180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GI Advo Opco, LLC</w:t>
            </w:r>
            <w:r>
              <w:rPr>
                <w:rFonts w:ascii="Arial" w:cs="Arial" w:eastAsia="Arial" w:hAnsi="Arial"/>
                <w:sz w:val="18"/>
                <w:szCs w:val="18"/>
                <w:color w:val="auto"/>
                <w:vertAlign w:val="superscript"/>
              </w:rPr>
              <w:t>(8)(14)(15)</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Term Loan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Healthcare &amp; Pharmaceuticals</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11.0% Cash, 1 month LIBOR(7.00%) + 4.00%;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11/19/2015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180,304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179,356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GK Holdings, Inc. (aka Global Knowledge)</w:t>
            </w:r>
            <w:r>
              <w:rPr>
                <w:rFonts w:ascii="Arial" w:cs="Arial" w:eastAsia="Arial" w:hAnsi="Arial"/>
                <w:sz w:val="18"/>
                <w:szCs w:val="18"/>
                <w:color w:val="auto"/>
                <w:vertAlign w:val="superscript"/>
              </w:rPr>
              <w:t>(8)</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12.6% Cash, 3 month LIBOR(2.39%) + 10.25%;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Services: Business</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1/30/2015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1,485,744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1,376,250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Global Tel*Link Corporation</w:t>
            </w:r>
            <w:r>
              <w:rPr>
                <w:rFonts w:ascii="Arial" w:cs="Arial" w:eastAsia="Arial" w:hAnsi="Arial"/>
                <w:sz w:val="18"/>
                <w:szCs w:val="18"/>
                <w:color w:val="auto"/>
                <w:vertAlign w:val="superscript"/>
              </w:rPr>
              <w:t>(8)(14)</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Telecommunications</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10.6% Cash, 3 month LIBOR(2.39%) + 8.25%; LIBOR Floor 1.25%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5/21/2013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4,972,904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4,960,500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Global Tel*Link Corporation</w:t>
            </w:r>
            <w:r>
              <w:rPr>
                <w:rFonts w:ascii="Arial" w:cs="Arial" w:eastAsia="Arial" w:hAnsi="Arial"/>
                <w:sz w:val="18"/>
                <w:szCs w:val="18"/>
                <w:color w:val="auto"/>
                <w:vertAlign w:val="superscript"/>
              </w:rPr>
              <w:t>(8)(14)(15)</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Term Loan (First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Telecommunications</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6.4% Cash, 3 month LIBOR(2.39%) + 4.00%; LIBOR Floor 1.25%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5/20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1,473,788</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1,471,308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1,477,473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434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16</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3"/>
            <w:vMerge w:val="continue"/>
          </w:tcPr>
          <w:p>
            <w:pPr>
              <w:spacing w:after="0"/>
              <w:rPr>
                <w:sz w:val="12"/>
                <w:szCs w:val="12"/>
                <w:color w:val="auto"/>
              </w:rPr>
            </w:pPr>
          </w:p>
        </w:tc>
        <w:tc>
          <w:tcPr>
            <w:tcW w:w="434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continue"/>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340" w:type="dxa"/>
            <w:vAlign w:val="bottom"/>
            <w:gridSpan w:val="2"/>
          </w:tcPr>
          <w:p>
            <w:pPr>
              <w:ind w:left="1340"/>
              <w:spacing w:after="0"/>
              <w:rPr>
                <w:sz w:val="20"/>
                <w:szCs w:val="20"/>
                <w:color w:val="auto"/>
              </w:rPr>
            </w:pPr>
            <w:r>
              <w:rPr>
                <w:rFonts w:ascii="Arial" w:cs="Arial" w:eastAsia="Arial" w:hAnsi="Arial"/>
                <w:sz w:val="14"/>
                <w:szCs w:val="14"/>
                <w:b w:val="1"/>
                <w:bCs w:val="1"/>
                <w:color w:val="auto"/>
              </w:rPr>
              <w:t>Interest Rate¹ / Maturity</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2"/>
                <w:szCs w:val="12"/>
                <w:color w:val="auto"/>
              </w:rPr>
              <w:t>Grupo HIMA San Pablo, Inc.</w:t>
            </w:r>
            <w:r>
              <w:rPr>
                <w:rFonts w:ascii="Arial" w:cs="Arial" w:eastAsia="Arial" w:hAnsi="Arial"/>
                <w:sz w:val="18"/>
                <w:szCs w:val="18"/>
                <w:color w:val="auto"/>
                <w:vertAlign w:val="superscript"/>
              </w:rPr>
              <w:t>(8)(14)</w:t>
            </w:r>
          </w:p>
        </w:tc>
        <w:tc>
          <w:tcPr>
            <w:tcW w:w="140" w:type="dxa"/>
            <w:vAlign w:val="bottom"/>
            <w:tcBorders>
              <w:top w:val="single" w:sz="8" w:color="CCEEFF"/>
            </w:tcBorders>
            <w:shd w:val="clear" w:color="auto" w:fill="CCEEFF"/>
          </w:tcPr>
          <w:p>
            <w:pPr>
              <w:spacing w:after="0"/>
              <w:rPr>
                <w:sz w:val="13"/>
                <w:szCs w:val="13"/>
                <w:color w:val="auto"/>
              </w:rPr>
            </w:pPr>
          </w:p>
        </w:tc>
        <w:tc>
          <w:tcPr>
            <w:tcW w:w="4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Senior Secured Loan — Term B Loan (First Lien)</w:t>
            </w: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Healthcare &amp; Pharmaceuticals</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9.3% Cash, 3 month LIBOR(2.34%) + 7.00%; LIBOR Floor 1.50%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2,850,000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2,750,250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Grupo HIMA San Pablo, Inc.</w:t>
            </w:r>
            <w:r>
              <w:rPr>
                <w:rFonts w:ascii="Arial" w:cs="Arial" w:eastAsia="Arial" w:hAnsi="Arial"/>
                <w:sz w:val="19"/>
                <w:szCs w:val="19"/>
                <w:color w:val="auto"/>
                <w:vertAlign w:val="superscript"/>
              </w:rPr>
              <w:t>(5)(8)(14)</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Healthcare &amp; Pharmaceuticals</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13.8% Cash, Due 7/18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7,191,667</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7,169,109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4,350,959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86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Harland Clarke Holdings Corp. (fka Clarke</w:t>
            </w:r>
          </w:p>
        </w:tc>
        <w:tc>
          <w:tcPr>
            <w:tcW w:w="43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Senior Secured Loan — Initial Term Loan</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American Corp.)</w:t>
            </w:r>
            <w:r>
              <w:rPr>
                <w:rFonts w:ascii="Arial" w:cs="Arial" w:eastAsia="Arial" w:hAnsi="Arial"/>
                <w:sz w:val="19"/>
                <w:szCs w:val="19"/>
                <w:color w:val="auto"/>
                <w:vertAlign w:val="superscript"/>
              </w:rPr>
              <w:t>(8)(14)(15)</w:t>
            </w:r>
          </w:p>
        </w:tc>
        <w:tc>
          <w:tcPr>
            <w:tcW w:w="434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Media: Advertising, Printing &amp;</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7.1% Cash, 3 month LIBOR(2.39%) + 4.75%;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Publishing</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6/18/2013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2,859,503</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2,880,231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2,754,059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Hoffmaster Group, Inc.</w:t>
            </w:r>
            <w:r>
              <w:rPr>
                <w:rFonts w:ascii="Arial" w:cs="Arial" w:eastAsia="Arial" w:hAnsi="Arial"/>
                <w:sz w:val="18"/>
                <w:szCs w:val="18"/>
                <w:color w:val="auto"/>
                <w:vertAlign w:val="superscript"/>
              </w:rPr>
              <w:t>(8)(14)(15)</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Forest Products &amp; Paper</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11.7% Cash, 1 month LIBOR(2.24%) + 9.50%;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5/6/2014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1,563,068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1,600,960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Infobase Holdings, Inc.</w:t>
            </w:r>
            <w:r>
              <w:rPr>
                <w:rFonts w:ascii="Arial" w:cs="Arial" w:eastAsia="Arial" w:hAnsi="Arial"/>
                <w:sz w:val="18"/>
                <w:szCs w:val="18"/>
                <w:color w:val="auto"/>
                <w:vertAlign w:val="superscript"/>
              </w:rPr>
              <w:t>(8)(14)(15)</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Term Loan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High Tech Industries</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6.9% Cash, 3 month LIBOR(2.39%) + 4.50%;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12/13/2017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1,962,500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1,945,775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1,962,500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Ivanti Software, Inc. (fka LANDesk Group,</w:t>
            </w:r>
          </w:p>
        </w:tc>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Loan (Second Lien)</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gridSpan w:val="2"/>
            <w:shd w:val="clear" w:color="auto" w:fill="CCEEFF"/>
          </w:tcPr>
          <w:p>
            <w:pPr>
              <w:spacing w:after="0" w:line="189" w:lineRule="exact"/>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(8)(14)</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11.1% Cash, 1 month LIBOR(2.08%) + 9.00%; LIBOR Floor 1.00% ,</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High Tech Industries</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3/10/2017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3,228,619</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3,228,619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3,174,378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Kellermeyer Bergensons Services, LLC</w:t>
            </w:r>
            <w:r>
              <w:rPr>
                <w:rFonts w:ascii="Arial" w:cs="Arial" w:eastAsia="Arial" w:hAnsi="Arial"/>
                <w:sz w:val="18"/>
                <w:szCs w:val="18"/>
                <w:color w:val="auto"/>
                <w:vertAlign w:val="superscript"/>
              </w:rPr>
              <w:t>(8)</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 (First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Services: Business</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7.3% Cash, 3 month LIBOR(2.32%) + 5.00%;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10/21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10/31/2014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992,268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992,268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992,466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MB Aerospace Holdings II Corp.</w:t>
            </w:r>
            <w:r>
              <w:rPr>
                <w:rFonts w:ascii="Arial" w:cs="Arial" w:eastAsia="Arial" w:hAnsi="Arial"/>
                <w:sz w:val="18"/>
                <w:szCs w:val="18"/>
                <w:color w:val="auto"/>
                <w:vertAlign w:val="superscript"/>
              </w:rPr>
              <w:t>(8)(14)(15)</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 (First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Aerospace and Defense</w:t>
            </w: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5.7% Cash, 1 month LIBOR(2.24%) + 3.50%; LIBOR Floor 1.00% ,</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5/10/2013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1,240,625</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1,235,005</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1,205,763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3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Due 1/25</w:t>
            </w:r>
          </w:p>
        </w:tc>
        <w:tc>
          <w:tcPr>
            <w:tcW w:w="94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Onex Carestream Finance LP</w:t>
            </w:r>
            <w:r>
              <w:rPr>
                <w:rFonts w:ascii="Arial" w:cs="Arial" w:eastAsia="Arial" w:hAnsi="Arial"/>
                <w:sz w:val="18"/>
                <w:szCs w:val="18"/>
                <w:color w:val="auto"/>
                <w:vertAlign w:val="superscript"/>
              </w:rPr>
              <w:t>(8)(14)</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Healthcare &amp; Pharmaceuticals</w:t>
            </w: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10.7% Cash, 1 month LIBOR(2.24%) + 8.50%; LIBOR Floor 1.00% ,</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10/7/2014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1,495,995</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1,495,995</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1,493,602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3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Due 12/19</w:t>
            </w:r>
          </w:p>
        </w:tc>
        <w:tc>
          <w:tcPr>
            <w:tcW w:w="94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PVHC Holding Corp</w:t>
            </w:r>
            <w:r>
              <w:rPr>
                <w:rFonts w:ascii="Arial" w:cs="Arial" w:eastAsia="Arial" w:hAnsi="Arial"/>
                <w:sz w:val="18"/>
                <w:szCs w:val="18"/>
                <w:color w:val="auto"/>
                <w:vertAlign w:val="superscript"/>
              </w:rPr>
              <w:t>(8)(14)(15)</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shd w:val="clear" w:color="auto" w:fill="CCEEFF"/>
          </w:tcPr>
          <w:p>
            <w:pPr>
              <w:ind w:left="320"/>
              <w:spacing w:after="0" w:line="157" w:lineRule="exact"/>
              <w:rPr>
                <w:sz w:val="20"/>
                <w:szCs w:val="20"/>
                <w:color w:val="auto"/>
              </w:rPr>
            </w:pPr>
            <w:r>
              <w:rPr>
                <w:rFonts w:ascii="Arial" w:cs="Arial" w:eastAsia="Arial" w:hAnsi="Arial"/>
                <w:sz w:val="14"/>
                <w:szCs w:val="14"/>
                <w:color w:val="auto"/>
              </w:rPr>
              <w:t>Chemicals, Plastics and Rubber</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7.1% Cash, 3 month LIBOR(2.39%) + 4.75%;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8/24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8/10/2018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2,865,898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2,865,600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6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Playpower, Inc.</w:t>
            </w:r>
            <w:r>
              <w:rPr>
                <w:rFonts w:ascii="Arial" w:cs="Arial" w:eastAsia="Arial" w:hAnsi="Arial"/>
                <w:sz w:val="18"/>
                <w:szCs w:val="18"/>
                <w:color w:val="auto"/>
                <w:vertAlign w:val="superscript"/>
              </w:rPr>
              <w:t>(8)(14)(15)</w:t>
            </w: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 (First Lien)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6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Construction &amp; Building</w:t>
            </w:r>
          </w:p>
        </w:tc>
        <w:tc>
          <w:tcPr>
            <w:tcW w:w="434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7.1% Cash, 3 month LIBOR(2.39%) + 4.75%; LIBOR Floor 1.00% ,</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860" w:type="dxa"/>
            <w:vAlign w:val="bottom"/>
            <w:gridSpan w:val="2"/>
            <w:vMerge w:val="continue"/>
            <w:shd w:val="clear" w:color="auto" w:fill="CCEEFF"/>
          </w:tcPr>
          <w:p>
            <w:pPr>
              <w:spacing w:after="0"/>
              <w:rPr>
                <w:sz w:val="6"/>
                <w:szCs w:val="6"/>
                <w:color w:val="auto"/>
              </w:rPr>
            </w:pPr>
          </w:p>
        </w:tc>
        <w:tc>
          <w:tcPr>
            <w:tcW w:w="43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6/21</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6/23/2015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1,397,347</w:t>
            </w:r>
          </w:p>
        </w:tc>
        <w:tc>
          <w:tcPr>
            <w:tcW w:w="200" w:type="dxa"/>
            <w:vAlign w:val="bottom"/>
            <w:shd w:val="clear" w:color="auto" w:fill="CCEEFF"/>
          </w:tcPr>
          <w:p>
            <w:pPr>
              <w:spacing w:after="0"/>
              <w:rPr>
                <w:sz w:val="6"/>
                <w:szCs w:val="6"/>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1,404,511</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1,397,347</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340" w:type="dxa"/>
            <w:vAlign w:val="bottom"/>
            <w:gridSpan w:val="2"/>
            <w:vMerge w:val="continue"/>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9" w:name="page10"/>
    <w:bookmarkEnd w:id="9"/>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jc w:val="center"/>
        <w:ind w:right="620"/>
        <w:spacing w:after="0" w:line="208" w:lineRule="auto"/>
        <w:rPr>
          <w:sz w:val="20"/>
          <w:szCs w:val="20"/>
          <w:color w:val="auto"/>
        </w:rPr>
      </w:pPr>
      <w:r>
        <w:rPr>
          <w:rFonts w:ascii="Arial" w:cs="Arial" w:eastAsia="Arial" w:hAnsi="Arial"/>
          <w:sz w:val="12"/>
          <w:szCs w:val="12"/>
          <w:color w:val="auto"/>
        </w:rPr>
        <w:t>PSC Industrial Holdings Corp.</w:t>
      </w:r>
      <w:r>
        <w:rPr>
          <w:rFonts w:ascii="Arial" w:cs="Arial" w:eastAsia="Arial" w:hAnsi="Arial"/>
          <w:sz w:val="19"/>
          <w:szCs w:val="19"/>
          <w:color w:val="auto"/>
          <w:vertAlign w:val="superscript"/>
        </w:rPr>
        <w:t>(8)(14)</w:t>
      </w:r>
    </w:p>
    <w:p>
      <w:pPr>
        <w:spacing w:after="0" w:line="1" w:lineRule="exact"/>
        <w:rPr>
          <w:sz w:val="20"/>
          <w:szCs w:val="20"/>
          <w:color w:val="auto"/>
        </w:rPr>
      </w:pPr>
    </w:p>
    <w:p>
      <w:pPr>
        <w:jc w:val="center"/>
        <w:ind w:right="620"/>
        <w:spacing w:after="0"/>
        <w:rPr>
          <w:sz w:val="20"/>
          <w:szCs w:val="20"/>
          <w:color w:val="auto"/>
        </w:rPr>
      </w:pPr>
      <w:r>
        <w:rPr>
          <w:rFonts w:ascii="Arial" w:cs="Arial" w:eastAsia="Arial" w:hAnsi="Arial"/>
          <w:sz w:val="14"/>
          <w:szCs w:val="14"/>
          <w:color w:val="auto"/>
        </w:rPr>
        <w:t>Environmental Industries</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Q Holding Company (fka Lexington Precision</w:t>
      </w:r>
    </w:p>
    <w:p>
      <w:pPr>
        <w:spacing w:after="0" w:line="181" w:lineRule="auto"/>
        <w:rPr>
          <w:sz w:val="20"/>
          <w:szCs w:val="20"/>
          <w:color w:val="auto"/>
        </w:rPr>
      </w:pPr>
      <w:r>
        <w:rPr>
          <w:rFonts w:ascii="Arial" w:cs="Arial" w:eastAsia="Arial" w:hAnsi="Arial"/>
          <w:sz w:val="14"/>
          <w:szCs w:val="14"/>
          <w:color w:val="auto"/>
        </w:rPr>
        <w:t>Corporation)</w:t>
      </w:r>
      <w:r>
        <w:rPr>
          <w:rFonts w:ascii="Arial" w:cs="Arial" w:eastAsia="Arial" w:hAnsi="Arial"/>
          <w:sz w:val="23"/>
          <w:szCs w:val="23"/>
          <w:color w:val="auto"/>
          <w:vertAlign w:val="superscript"/>
        </w:rPr>
        <w:t>(8)(15)</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Chemicals, Plastics and Rubber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Ravn Air Group, Inc.</w:t>
      </w:r>
      <w:r>
        <w:rPr>
          <w:rFonts w:ascii="Arial" w:cs="Arial" w:eastAsia="Arial" w:hAnsi="Arial"/>
          <w:sz w:val="23"/>
          <w:szCs w:val="23"/>
          <w:color w:val="auto"/>
          <w:vertAlign w:val="superscript"/>
        </w:rPr>
        <w:t>(8)(14)(15)</w:t>
      </w:r>
    </w:p>
    <w:p>
      <w:pPr>
        <w:ind w:left="340"/>
        <w:spacing w:after="0"/>
        <w:rPr>
          <w:sz w:val="20"/>
          <w:szCs w:val="20"/>
          <w:color w:val="auto"/>
        </w:rPr>
      </w:pPr>
      <w:r>
        <w:rPr>
          <w:rFonts w:ascii="Arial" w:cs="Arial" w:eastAsia="Arial" w:hAnsi="Arial"/>
          <w:sz w:val="14"/>
          <w:szCs w:val="14"/>
          <w:color w:val="auto"/>
        </w:rPr>
        <w:t>Aerospace and Defense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Robertshaw US Holding Corp. (fka Fox US</w:t>
      </w:r>
    </w:p>
    <w:p>
      <w:pPr>
        <w:spacing w:after="0" w:line="187" w:lineRule="auto"/>
        <w:rPr>
          <w:sz w:val="20"/>
          <w:szCs w:val="20"/>
          <w:color w:val="auto"/>
        </w:rPr>
      </w:pPr>
      <w:r>
        <w:rPr>
          <w:rFonts w:ascii="Arial" w:cs="Arial" w:eastAsia="Arial" w:hAnsi="Arial"/>
          <w:sz w:val="13"/>
          <w:szCs w:val="13"/>
          <w:color w:val="auto"/>
        </w:rPr>
        <w:t xml:space="preserve">Bidco Corp.) </w:t>
      </w:r>
      <w:r>
        <w:rPr>
          <w:rFonts w:ascii="Arial" w:cs="Arial" w:eastAsia="Arial" w:hAnsi="Arial"/>
          <w:sz w:val="21"/>
          <w:szCs w:val="21"/>
          <w:color w:val="auto"/>
          <w:vertAlign w:val="superscript"/>
        </w:rPr>
        <w:t>(8)(14)</w:t>
      </w:r>
    </w:p>
    <w:p>
      <w:pPr>
        <w:ind w:left="340"/>
        <w:spacing w:after="0"/>
        <w:rPr>
          <w:sz w:val="20"/>
          <w:szCs w:val="20"/>
          <w:color w:val="auto"/>
        </w:rPr>
      </w:pPr>
      <w:r>
        <w:rPr>
          <w:rFonts w:ascii="Arial" w:cs="Arial" w:eastAsia="Arial" w:hAnsi="Arial"/>
          <w:sz w:val="14"/>
          <w:szCs w:val="14"/>
          <w:color w:val="auto"/>
        </w:rPr>
        <w:t>Capital Equipment</w:t>
      </w:r>
    </w:p>
    <w:p>
      <w:pPr>
        <w:spacing w:after="0" w:line="134" w:lineRule="exact"/>
        <w:rPr>
          <w:sz w:val="20"/>
          <w:szCs w:val="20"/>
          <w:color w:val="auto"/>
        </w:rPr>
      </w:pPr>
    </w:p>
    <w:p>
      <w:pPr>
        <w:ind w:left="340" w:right="660" w:hanging="323"/>
        <w:spacing w:after="0" w:line="248" w:lineRule="auto"/>
        <w:rPr>
          <w:sz w:val="20"/>
          <w:szCs w:val="20"/>
          <w:color w:val="auto"/>
        </w:rPr>
      </w:pPr>
      <w:r>
        <w:rPr>
          <w:rFonts w:ascii="Arial" w:cs="Arial" w:eastAsia="Arial" w:hAnsi="Arial"/>
          <w:sz w:val="12"/>
          <w:szCs w:val="12"/>
          <w:color w:val="auto"/>
        </w:rPr>
        <w:t>Roscoe Medical, Inc.</w:t>
      </w:r>
      <w:r>
        <w:rPr>
          <w:rFonts w:ascii="Arial" w:cs="Arial" w:eastAsia="Arial" w:hAnsi="Arial"/>
          <w:sz w:val="19"/>
          <w:szCs w:val="19"/>
          <w:color w:val="auto"/>
          <w:vertAlign w:val="superscript"/>
        </w:rPr>
        <w:t>(8)(14)</w:t>
      </w:r>
      <w:r>
        <w:rPr>
          <w:rFonts w:ascii="Arial" w:cs="Arial" w:eastAsia="Arial" w:hAnsi="Arial"/>
          <w:sz w:val="12"/>
          <w:szCs w:val="12"/>
          <w:color w:val="auto"/>
        </w:rPr>
        <w:t xml:space="preserve"> Healthcare &amp; Pharmaceuticals</w:t>
      </w:r>
    </w:p>
    <w:p>
      <w:pPr>
        <w:spacing w:after="0" w:line="118" w:lineRule="exact"/>
        <w:rPr>
          <w:sz w:val="20"/>
          <w:szCs w:val="20"/>
          <w:color w:val="auto"/>
        </w:rPr>
      </w:pPr>
    </w:p>
    <w:p>
      <w:pPr>
        <w:ind w:left="340" w:right="660" w:hanging="323"/>
        <w:spacing w:after="0" w:line="248" w:lineRule="auto"/>
        <w:rPr>
          <w:sz w:val="20"/>
          <w:szCs w:val="20"/>
          <w:color w:val="auto"/>
        </w:rPr>
      </w:pPr>
      <w:r>
        <w:rPr>
          <w:rFonts w:ascii="Arial" w:cs="Arial" w:eastAsia="Arial" w:hAnsi="Arial"/>
          <w:sz w:val="12"/>
          <w:szCs w:val="12"/>
          <w:color w:val="auto"/>
        </w:rPr>
        <w:t>Roscoe Medical, Inc.</w:t>
      </w:r>
      <w:r>
        <w:rPr>
          <w:rFonts w:ascii="Arial" w:cs="Arial" w:eastAsia="Arial" w:hAnsi="Arial"/>
          <w:sz w:val="19"/>
          <w:szCs w:val="19"/>
          <w:color w:val="auto"/>
          <w:vertAlign w:val="superscript"/>
        </w:rPr>
        <w:t>(8)(14)(15)</w:t>
      </w:r>
      <w:r>
        <w:rPr>
          <w:rFonts w:ascii="Arial" w:cs="Arial" w:eastAsia="Arial" w:hAnsi="Arial"/>
          <w:sz w:val="12"/>
          <w:szCs w:val="12"/>
          <w:color w:val="auto"/>
        </w:rPr>
        <w:t xml:space="preserve"> Healthcare &amp; Pharmaceuticals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Salient CRGT Inc.</w:t>
      </w:r>
      <w:r>
        <w:rPr>
          <w:rFonts w:ascii="Arial" w:cs="Arial" w:eastAsia="Arial" w:hAnsi="Arial"/>
          <w:sz w:val="23"/>
          <w:szCs w:val="23"/>
          <w:color w:val="auto"/>
          <w:vertAlign w:val="superscript"/>
        </w:rPr>
        <w:t>(8)(14)(15)</w:t>
      </w:r>
    </w:p>
    <w:p>
      <w:pPr>
        <w:ind w:left="340"/>
        <w:spacing w:after="0"/>
        <w:rPr>
          <w:sz w:val="20"/>
          <w:szCs w:val="20"/>
          <w:color w:val="auto"/>
        </w:rPr>
      </w:pPr>
      <w:r>
        <w:rPr>
          <w:rFonts w:ascii="Arial" w:cs="Arial" w:eastAsia="Arial" w:hAnsi="Arial"/>
          <w:sz w:val="14"/>
          <w:szCs w:val="14"/>
          <w:color w:val="auto"/>
        </w:rPr>
        <w:t>High Tech Industries</w:t>
      </w:r>
    </w:p>
    <w:p>
      <w:pPr>
        <w:spacing w:after="0" w:line="134" w:lineRule="exact"/>
        <w:rPr>
          <w:sz w:val="20"/>
          <w:szCs w:val="20"/>
          <w:color w:val="auto"/>
        </w:rPr>
      </w:pPr>
    </w:p>
    <w:p>
      <w:pPr>
        <w:ind w:left="340" w:right="420" w:hanging="323"/>
        <w:spacing w:after="0" w:line="221" w:lineRule="auto"/>
        <w:rPr>
          <w:sz w:val="20"/>
          <w:szCs w:val="20"/>
          <w:color w:val="auto"/>
        </w:rPr>
      </w:pPr>
      <w:r>
        <w:rPr>
          <w:rFonts w:ascii="Arial" w:cs="Arial" w:eastAsia="Arial" w:hAnsi="Arial"/>
          <w:sz w:val="13"/>
          <w:szCs w:val="13"/>
          <w:color w:val="auto"/>
        </w:rPr>
        <w:t>SCSG EA Acquisition Company, Inc.</w:t>
      </w:r>
      <w:r>
        <w:rPr>
          <w:rFonts w:ascii="Arial" w:cs="Arial" w:eastAsia="Arial" w:hAnsi="Arial"/>
          <w:sz w:val="21"/>
          <w:szCs w:val="21"/>
          <w:color w:val="auto"/>
          <w:vertAlign w:val="superscript"/>
        </w:rPr>
        <w:t>(8)</w:t>
      </w:r>
      <w:r>
        <w:rPr>
          <w:rFonts w:ascii="Arial" w:cs="Arial" w:eastAsia="Arial" w:hAnsi="Arial"/>
          <w:sz w:val="13"/>
          <w:szCs w:val="13"/>
          <w:color w:val="auto"/>
        </w:rPr>
        <w:t xml:space="preserve"> Healthcare &amp; Pharmaceuticals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SCSG EA Acquisition Company, Inc.</w:t>
      </w:r>
      <w:r>
        <w:rPr>
          <w:rFonts w:ascii="Arial" w:cs="Arial" w:eastAsia="Arial" w:hAnsi="Arial"/>
          <w:sz w:val="22"/>
          <w:szCs w:val="22"/>
          <w:color w:val="auto"/>
          <w:vertAlign w:val="superscript"/>
        </w:rPr>
        <w:t>(8)(15)</w:t>
      </w:r>
    </w:p>
    <w:p>
      <w:pPr>
        <w:ind w:left="340"/>
        <w:spacing w:after="0"/>
        <w:rPr>
          <w:sz w:val="20"/>
          <w:szCs w:val="20"/>
          <w:color w:val="auto"/>
        </w:rPr>
      </w:pPr>
      <w:r>
        <w:rPr>
          <w:rFonts w:ascii="Arial" w:cs="Arial" w:eastAsia="Arial" w:hAnsi="Arial"/>
          <w:sz w:val="14"/>
          <w:szCs w:val="14"/>
          <w:color w:val="auto"/>
        </w:rPr>
        <w:t>Healthcare &amp; Pharmaceuticals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Sierra Enterprises, LLC (aka Lyons Magnus)</w:t>
      </w:r>
      <w:r>
        <w:rPr>
          <w:rFonts w:ascii="Arial" w:cs="Arial" w:eastAsia="Arial" w:hAnsi="Arial"/>
          <w:sz w:val="21"/>
          <w:szCs w:val="21"/>
          <w:color w:val="auto"/>
          <w:vertAlign w:val="superscript"/>
        </w:rPr>
        <w:t>(8)</w:t>
      </w:r>
    </w:p>
    <w:p>
      <w:pPr>
        <w:spacing w:after="0"/>
        <w:rPr>
          <w:sz w:val="20"/>
          <w:szCs w:val="20"/>
          <w:color w:val="auto"/>
        </w:rPr>
      </w:pPr>
      <w:r>
        <w:rPr>
          <w:rFonts w:ascii="Arial" w:cs="Arial" w:eastAsia="Arial" w:hAnsi="Arial"/>
          <w:sz w:val="12"/>
          <w:szCs w:val="12"/>
          <w:color w:val="auto"/>
        </w:rPr>
        <w:t>(14)(15)</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Beverage, Food and Tobacco</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Stafford Logistics, Inc.(dba Custom Ecology,</w:t>
      </w:r>
    </w:p>
    <w:p>
      <w:pPr>
        <w:spacing w:after="0" w:line="181" w:lineRule="auto"/>
        <w:rPr>
          <w:sz w:val="20"/>
          <w:szCs w:val="20"/>
          <w:color w:val="auto"/>
        </w:rPr>
      </w:pPr>
      <w:r>
        <w:rPr>
          <w:rFonts w:ascii="Arial" w:cs="Arial" w:eastAsia="Arial" w:hAnsi="Arial"/>
          <w:sz w:val="23"/>
          <w:szCs w:val="23"/>
          <w:color w:val="auto"/>
          <w:vertAlign w:val="subscript"/>
        </w:rPr>
        <w:t>Inc.)</w:t>
      </w:r>
      <w:r>
        <w:rPr>
          <w:rFonts w:ascii="Arial" w:cs="Arial" w:eastAsia="Arial" w:hAnsi="Arial"/>
          <w:sz w:val="11"/>
          <w:szCs w:val="11"/>
          <w:color w:val="auto"/>
        </w:rPr>
        <w:t>(8)(13)(14)</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Environmental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2"/>
            <w:vMerge w:val="restart"/>
          </w:tcPr>
          <w:p>
            <w:pPr>
              <w:ind w:left="19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16</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Amortized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2"/>
            <w:vMerge w:val="continue"/>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800" w:type="dxa"/>
            <w:vAlign w:val="bottom"/>
            <w:gridSpan w:val="2"/>
          </w:tcPr>
          <w:p>
            <w:pPr>
              <w:ind w:left="1580"/>
              <w:spacing w:after="0"/>
              <w:rPr>
                <w:sz w:val="20"/>
                <w:szCs w:val="20"/>
                <w:color w:val="auto"/>
              </w:rPr>
            </w:pPr>
            <w:r>
              <w:rPr>
                <w:rFonts w:ascii="Arial" w:cs="Arial" w:eastAsia="Arial" w:hAnsi="Arial"/>
                <w:sz w:val="14"/>
                <w:szCs w:val="14"/>
                <w:b w:val="1"/>
                <w:bCs w:val="1"/>
                <w:color w:val="auto"/>
              </w:rPr>
              <w:t>Interest Rate¹ / Maturity</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vMerge w:val="continue"/>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Junior Secured Loan — Initial Term Loan (Second Lien)</w:t>
            </w: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800" w:type="dxa"/>
            <w:vAlign w:val="bottom"/>
            <w:gridSpan w:val="2"/>
          </w:tcPr>
          <w:p>
            <w:pPr>
              <w:spacing w:after="0"/>
              <w:rPr>
                <w:sz w:val="20"/>
                <w:szCs w:val="20"/>
                <w:color w:val="auto"/>
              </w:rPr>
            </w:pPr>
            <w:r>
              <w:rPr>
                <w:rFonts w:ascii="Arial" w:cs="Arial" w:eastAsia="Arial" w:hAnsi="Arial"/>
                <w:sz w:val="14"/>
                <w:szCs w:val="14"/>
                <w:color w:val="auto"/>
              </w:rPr>
              <w:t>10.7% Cash, 1 month LIBOR(2.16%) + 8.50%; LIBOR Floor 1.00% , Due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10/5/2017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3,000,000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2,947,145</w:t>
            </w:r>
          </w:p>
        </w:tc>
        <w:tc>
          <w:tcPr>
            <w:tcW w:w="800" w:type="dxa"/>
            <w:vAlign w:val="bottom"/>
          </w:tcPr>
          <w:p>
            <w:pPr>
              <w:jc w:val="right"/>
              <w:spacing w:after="0"/>
              <w:rPr>
                <w:sz w:val="20"/>
                <w:szCs w:val="20"/>
                <w:color w:val="auto"/>
              </w:rPr>
            </w:pPr>
            <w:r>
              <w:rPr>
                <w:rFonts w:ascii="Arial" w:cs="Arial" w:eastAsia="Arial" w:hAnsi="Arial"/>
                <w:sz w:val="14"/>
                <w:szCs w:val="14"/>
                <w:color w:val="auto"/>
              </w:rPr>
              <w:t>2,943,000</w:t>
            </w:r>
          </w:p>
        </w:tc>
        <w:tc>
          <w:tcPr>
            <w:tcW w:w="0" w:type="dxa"/>
            <w:vAlign w:val="bottom"/>
          </w:tcPr>
          <w:p>
            <w:pPr>
              <w:spacing w:after="0"/>
              <w:rPr>
                <w:sz w:val="1"/>
                <w:szCs w:val="1"/>
                <w:color w:val="auto"/>
              </w:rPr>
            </w:pPr>
          </w:p>
        </w:tc>
      </w:tr>
      <w:tr>
        <w:trPr>
          <w:trHeight w:val="446"/>
        </w:trPr>
        <w:tc>
          <w:tcPr>
            <w:tcW w:w="4800" w:type="dxa"/>
            <w:vAlign w:val="bottom"/>
            <w:gridSpan w:val="2"/>
          </w:tcPr>
          <w:p>
            <w:pPr>
              <w:spacing w:after="0"/>
              <w:rPr>
                <w:sz w:val="20"/>
                <w:szCs w:val="20"/>
                <w:color w:val="auto"/>
              </w:rPr>
            </w:pPr>
            <w:r>
              <w:rPr>
                <w:rFonts w:ascii="Arial" w:cs="Arial" w:eastAsia="Arial" w:hAnsi="Arial"/>
                <w:sz w:val="14"/>
                <w:szCs w:val="14"/>
                <w:color w:val="auto"/>
              </w:rPr>
              <w:t>Senior Secured Loan — Term B Loan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spacing w:after="0"/>
              <w:rPr>
                <w:sz w:val="20"/>
                <w:szCs w:val="20"/>
                <w:color w:val="auto"/>
              </w:rPr>
            </w:pPr>
            <w:r>
              <w:rPr>
                <w:rFonts w:ascii="Arial" w:cs="Arial" w:eastAsia="Arial" w:hAnsi="Arial"/>
                <w:sz w:val="14"/>
                <w:szCs w:val="14"/>
                <w:color w:val="auto"/>
                <w:w w:val="98"/>
              </w:rPr>
              <w:t>7.2% Cash, 1 month LIBOR(2.24%) + 5.00%; LIBOR Floor 1.00% , Due 12/21</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12/16/2016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1,984,536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2,009,931</w:t>
            </w:r>
          </w:p>
        </w:tc>
        <w:tc>
          <w:tcPr>
            <w:tcW w:w="800" w:type="dxa"/>
            <w:vAlign w:val="bottom"/>
          </w:tcPr>
          <w:p>
            <w:pPr>
              <w:jc w:val="right"/>
              <w:spacing w:after="0"/>
              <w:rPr>
                <w:sz w:val="20"/>
                <w:szCs w:val="20"/>
                <w:color w:val="auto"/>
              </w:rPr>
            </w:pPr>
            <w:r>
              <w:rPr>
                <w:rFonts w:ascii="Arial" w:cs="Arial" w:eastAsia="Arial" w:hAnsi="Arial"/>
                <w:sz w:val="14"/>
                <w:szCs w:val="14"/>
                <w:color w:val="auto"/>
              </w:rPr>
              <w:t>1,985,727</w:t>
            </w:r>
          </w:p>
        </w:tc>
        <w:tc>
          <w:tcPr>
            <w:tcW w:w="0" w:type="dxa"/>
            <w:vAlign w:val="bottom"/>
          </w:tcPr>
          <w:p>
            <w:pPr>
              <w:spacing w:after="0"/>
              <w:rPr>
                <w:sz w:val="1"/>
                <w:szCs w:val="1"/>
                <w:color w:val="auto"/>
              </w:rPr>
            </w:pPr>
          </w:p>
        </w:tc>
      </w:tr>
      <w:tr>
        <w:trPr>
          <w:trHeight w:val="297"/>
        </w:trPr>
        <w:tc>
          <w:tcPr>
            <w:tcW w:w="480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spacing w:after="0"/>
              <w:rPr>
                <w:sz w:val="20"/>
                <w:szCs w:val="20"/>
                <w:color w:val="auto"/>
              </w:rPr>
            </w:pPr>
            <w:r>
              <w:rPr>
                <w:rFonts w:ascii="Arial" w:cs="Arial" w:eastAsia="Arial" w:hAnsi="Arial"/>
                <w:sz w:val="14"/>
                <w:szCs w:val="14"/>
                <w:color w:val="auto"/>
              </w:rPr>
              <w:t>7.4% Cash, 3 month LIBOR(2.39%) + 5.00%; LIBOR Floor 1.00% , Due 7/21</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7/29/2015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1,921,233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1,921,233</w:t>
            </w:r>
          </w:p>
        </w:tc>
        <w:tc>
          <w:tcPr>
            <w:tcW w:w="800" w:type="dxa"/>
            <w:vAlign w:val="bottom"/>
          </w:tcPr>
          <w:p>
            <w:pPr>
              <w:jc w:val="right"/>
              <w:spacing w:after="0"/>
              <w:rPr>
                <w:sz w:val="20"/>
                <w:szCs w:val="20"/>
                <w:color w:val="auto"/>
              </w:rPr>
            </w:pPr>
            <w:r>
              <w:rPr>
                <w:rFonts w:ascii="Arial" w:cs="Arial" w:eastAsia="Arial" w:hAnsi="Arial"/>
                <w:sz w:val="14"/>
                <w:szCs w:val="14"/>
                <w:color w:val="auto"/>
              </w:rPr>
              <w:t>1,880,119</w:t>
            </w:r>
          </w:p>
        </w:tc>
        <w:tc>
          <w:tcPr>
            <w:tcW w:w="0" w:type="dxa"/>
            <w:vAlign w:val="bottom"/>
          </w:tcPr>
          <w:p>
            <w:pPr>
              <w:spacing w:after="0"/>
              <w:rPr>
                <w:sz w:val="1"/>
                <w:szCs w:val="1"/>
                <w:color w:val="auto"/>
              </w:rPr>
            </w:pPr>
          </w:p>
        </w:tc>
      </w:tr>
      <w:tr>
        <w:trPr>
          <w:trHeight w:val="446"/>
        </w:trPr>
        <w:tc>
          <w:tcPr>
            <w:tcW w:w="480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spacing w:after="0"/>
              <w:rPr>
                <w:sz w:val="20"/>
                <w:szCs w:val="20"/>
                <w:color w:val="auto"/>
              </w:rPr>
            </w:pPr>
            <w:r>
              <w:rPr>
                <w:rFonts w:ascii="Arial" w:cs="Arial" w:eastAsia="Arial" w:hAnsi="Arial"/>
                <w:sz w:val="14"/>
                <w:szCs w:val="14"/>
                <w:color w:val="auto"/>
                <w:w w:val="98"/>
              </w:rPr>
              <w:t>10.3% Cash, 1 month LIBOR(2.25%) + 8.00%; LIBOR Floor 1.00% , Due 2/26</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2/15/2018</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3,000,000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2,972,150</w:t>
            </w:r>
          </w:p>
        </w:tc>
        <w:tc>
          <w:tcPr>
            <w:tcW w:w="800" w:type="dxa"/>
            <w:vAlign w:val="bottom"/>
          </w:tcPr>
          <w:p>
            <w:pPr>
              <w:jc w:val="right"/>
              <w:spacing w:after="0"/>
              <w:rPr>
                <w:sz w:val="20"/>
                <w:szCs w:val="20"/>
                <w:color w:val="auto"/>
              </w:rPr>
            </w:pPr>
            <w:r>
              <w:rPr>
                <w:rFonts w:ascii="Arial" w:cs="Arial" w:eastAsia="Arial" w:hAnsi="Arial"/>
                <w:sz w:val="14"/>
                <w:szCs w:val="14"/>
                <w:color w:val="auto"/>
              </w:rPr>
              <w:t>2,967,900</w:t>
            </w:r>
          </w:p>
        </w:tc>
        <w:tc>
          <w:tcPr>
            <w:tcW w:w="0" w:type="dxa"/>
            <w:vAlign w:val="bottom"/>
          </w:tcPr>
          <w:p>
            <w:pPr>
              <w:spacing w:after="0"/>
              <w:rPr>
                <w:sz w:val="1"/>
                <w:szCs w:val="1"/>
                <w:color w:val="auto"/>
              </w:rPr>
            </w:pPr>
          </w:p>
        </w:tc>
      </w:tr>
      <w:tr>
        <w:trPr>
          <w:trHeight w:val="297"/>
        </w:trPr>
        <w:tc>
          <w:tcPr>
            <w:tcW w:w="480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spacing w:after="0"/>
              <w:rPr>
                <w:sz w:val="20"/>
                <w:szCs w:val="20"/>
                <w:color w:val="auto"/>
              </w:rPr>
            </w:pPr>
            <w:r>
              <w:rPr>
                <w:rFonts w:ascii="Arial" w:cs="Arial" w:eastAsia="Arial" w:hAnsi="Arial"/>
                <w:sz w:val="14"/>
                <w:szCs w:val="14"/>
                <w:color w:val="auto"/>
              </w:rPr>
              <w:t>11.25% Cash, Due 9/19</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3/26/2014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1,700,000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1,696,955</w:t>
            </w:r>
          </w:p>
        </w:tc>
        <w:tc>
          <w:tcPr>
            <w:tcW w:w="800" w:type="dxa"/>
            <w:vAlign w:val="bottom"/>
          </w:tcPr>
          <w:p>
            <w:pPr>
              <w:jc w:val="right"/>
              <w:spacing w:after="0"/>
              <w:rPr>
                <w:sz w:val="20"/>
                <w:szCs w:val="20"/>
                <w:color w:val="auto"/>
              </w:rPr>
            </w:pPr>
            <w:r>
              <w:rPr>
                <w:rFonts w:ascii="Arial" w:cs="Arial" w:eastAsia="Arial" w:hAnsi="Arial"/>
                <w:sz w:val="14"/>
                <w:szCs w:val="14"/>
                <w:color w:val="auto"/>
              </w:rPr>
              <w:t>1,598,000</w:t>
            </w:r>
          </w:p>
        </w:tc>
        <w:tc>
          <w:tcPr>
            <w:tcW w:w="0" w:type="dxa"/>
            <w:vAlign w:val="bottom"/>
          </w:tcPr>
          <w:p>
            <w:pPr>
              <w:spacing w:after="0"/>
              <w:rPr>
                <w:sz w:val="1"/>
                <w:szCs w:val="1"/>
                <w:color w:val="auto"/>
              </w:rPr>
            </w:pPr>
          </w:p>
        </w:tc>
      </w:tr>
      <w:tr>
        <w:trPr>
          <w:trHeight w:val="297"/>
        </w:trPr>
        <w:tc>
          <w:tcPr>
            <w:tcW w:w="480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spacing w:after="0"/>
              <w:rPr>
                <w:sz w:val="20"/>
                <w:szCs w:val="20"/>
                <w:color w:val="auto"/>
              </w:rPr>
            </w:pPr>
            <w:r>
              <w:rPr>
                <w:rFonts w:ascii="Arial" w:cs="Arial" w:eastAsia="Arial" w:hAnsi="Arial"/>
                <w:sz w:val="14"/>
                <w:szCs w:val="14"/>
                <w:color w:val="auto"/>
              </w:rPr>
              <w:t>11.25% Cash, Due 9/19</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3/26/2014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5,000,000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4,991,060</w:t>
            </w:r>
          </w:p>
        </w:tc>
        <w:tc>
          <w:tcPr>
            <w:tcW w:w="800" w:type="dxa"/>
            <w:vAlign w:val="bottom"/>
          </w:tcPr>
          <w:p>
            <w:pPr>
              <w:jc w:val="right"/>
              <w:spacing w:after="0"/>
              <w:rPr>
                <w:sz w:val="20"/>
                <w:szCs w:val="20"/>
                <w:color w:val="auto"/>
              </w:rPr>
            </w:pPr>
            <w:r>
              <w:rPr>
                <w:rFonts w:ascii="Arial" w:cs="Arial" w:eastAsia="Arial" w:hAnsi="Arial"/>
                <w:sz w:val="14"/>
                <w:szCs w:val="14"/>
                <w:color w:val="auto"/>
              </w:rPr>
              <w:t>4,700,000</w:t>
            </w:r>
          </w:p>
        </w:tc>
        <w:tc>
          <w:tcPr>
            <w:tcW w:w="0" w:type="dxa"/>
            <w:vAlign w:val="bottom"/>
          </w:tcPr>
          <w:p>
            <w:pPr>
              <w:spacing w:after="0"/>
              <w:rPr>
                <w:sz w:val="1"/>
                <w:szCs w:val="1"/>
                <w:color w:val="auto"/>
              </w:rPr>
            </w:pPr>
          </w:p>
        </w:tc>
      </w:tr>
      <w:tr>
        <w:trPr>
          <w:trHeight w:val="297"/>
        </w:trPr>
        <w:tc>
          <w:tcPr>
            <w:tcW w:w="480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spacing w:after="0"/>
              <w:rPr>
                <w:sz w:val="20"/>
                <w:szCs w:val="20"/>
                <w:color w:val="auto"/>
              </w:rPr>
            </w:pPr>
            <w:r>
              <w:rPr>
                <w:rFonts w:ascii="Arial" w:cs="Arial" w:eastAsia="Arial" w:hAnsi="Arial"/>
                <w:sz w:val="14"/>
                <w:szCs w:val="14"/>
                <w:color w:val="auto"/>
              </w:rPr>
              <w:t>8.0% Cash, 1 month LIBOR(2.24%) + 5.75%; LIBOR Floor 1.00% , Due 2/22</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2/27/2017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1,854,534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1,873,765</w:t>
            </w:r>
          </w:p>
        </w:tc>
        <w:tc>
          <w:tcPr>
            <w:tcW w:w="800" w:type="dxa"/>
            <w:vAlign w:val="bottom"/>
          </w:tcPr>
          <w:p>
            <w:pPr>
              <w:jc w:val="right"/>
              <w:spacing w:after="0"/>
              <w:rPr>
                <w:sz w:val="20"/>
                <w:szCs w:val="20"/>
                <w:color w:val="auto"/>
              </w:rPr>
            </w:pPr>
            <w:r>
              <w:rPr>
                <w:rFonts w:ascii="Arial" w:cs="Arial" w:eastAsia="Arial" w:hAnsi="Arial"/>
                <w:sz w:val="14"/>
                <w:szCs w:val="14"/>
                <w:color w:val="auto"/>
              </w:rPr>
              <w:t>1,822,822</w:t>
            </w:r>
          </w:p>
        </w:tc>
        <w:tc>
          <w:tcPr>
            <w:tcW w:w="0" w:type="dxa"/>
            <w:vAlign w:val="bottom"/>
          </w:tcPr>
          <w:p>
            <w:pPr>
              <w:spacing w:after="0"/>
              <w:rPr>
                <w:sz w:val="1"/>
                <w:szCs w:val="1"/>
                <w:color w:val="auto"/>
              </w:rPr>
            </w:pPr>
          </w:p>
        </w:tc>
      </w:tr>
      <w:tr>
        <w:trPr>
          <w:trHeight w:val="297"/>
        </w:trPr>
        <w:tc>
          <w:tcPr>
            <w:tcW w:w="480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spacing w:after="0"/>
              <w:rPr>
                <w:sz w:val="20"/>
                <w:szCs w:val="20"/>
                <w:color w:val="auto"/>
              </w:rPr>
            </w:pPr>
            <w:r>
              <w:rPr>
                <w:rFonts w:ascii="Arial" w:cs="Arial" w:eastAsia="Arial" w:hAnsi="Arial"/>
                <w:sz w:val="14"/>
                <w:szCs w:val="14"/>
                <w:color w:val="auto"/>
                <w:w w:val="98"/>
              </w:rPr>
              <w:t>10.6% Cash, 3 month LIBOR(2.34%) + 8.25%; LIBOR Floor 1.00% , Due 9/24</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8/18/2017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1,000,000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990,804</w:t>
            </w:r>
          </w:p>
        </w:tc>
        <w:tc>
          <w:tcPr>
            <w:tcW w:w="800" w:type="dxa"/>
            <w:vAlign w:val="bottom"/>
          </w:tcPr>
          <w:p>
            <w:pPr>
              <w:jc w:val="right"/>
              <w:spacing w:after="0"/>
              <w:rPr>
                <w:sz w:val="20"/>
                <w:szCs w:val="20"/>
                <w:color w:val="auto"/>
              </w:rPr>
            </w:pPr>
            <w:r>
              <w:rPr>
                <w:rFonts w:ascii="Arial" w:cs="Arial" w:eastAsia="Arial" w:hAnsi="Arial"/>
                <w:sz w:val="14"/>
                <w:szCs w:val="14"/>
                <w:color w:val="auto"/>
              </w:rPr>
              <w:t>990,600</w:t>
            </w:r>
          </w:p>
        </w:tc>
        <w:tc>
          <w:tcPr>
            <w:tcW w:w="0" w:type="dxa"/>
            <w:vAlign w:val="bottom"/>
          </w:tcPr>
          <w:p>
            <w:pPr>
              <w:spacing w:after="0"/>
              <w:rPr>
                <w:sz w:val="1"/>
                <w:szCs w:val="1"/>
                <w:color w:val="auto"/>
              </w:rPr>
            </w:pPr>
          </w:p>
        </w:tc>
      </w:tr>
      <w:tr>
        <w:trPr>
          <w:trHeight w:val="297"/>
        </w:trPr>
        <w:tc>
          <w:tcPr>
            <w:tcW w:w="480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spacing w:after="0"/>
              <w:rPr>
                <w:sz w:val="20"/>
                <w:szCs w:val="20"/>
                <w:color w:val="auto"/>
              </w:rPr>
            </w:pPr>
            <w:r>
              <w:rPr>
                <w:rFonts w:ascii="Arial" w:cs="Arial" w:eastAsia="Arial" w:hAnsi="Arial"/>
                <w:sz w:val="14"/>
                <w:szCs w:val="14"/>
                <w:color w:val="auto"/>
                <w:w w:val="98"/>
              </w:rPr>
              <w:t>10.6% Cash, 3 month LIBOR(2.34%) + 8.25%; LIBOR Floor 1.00% , Due 9/24</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8/18/2017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5,000,000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4,957,642</w:t>
            </w:r>
          </w:p>
        </w:tc>
        <w:tc>
          <w:tcPr>
            <w:tcW w:w="800" w:type="dxa"/>
            <w:vAlign w:val="bottom"/>
          </w:tcPr>
          <w:p>
            <w:pPr>
              <w:jc w:val="right"/>
              <w:spacing w:after="0"/>
              <w:rPr>
                <w:sz w:val="20"/>
                <w:szCs w:val="20"/>
                <w:color w:val="auto"/>
              </w:rPr>
            </w:pPr>
            <w:r>
              <w:rPr>
                <w:rFonts w:ascii="Arial" w:cs="Arial" w:eastAsia="Arial" w:hAnsi="Arial"/>
                <w:sz w:val="14"/>
                <w:szCs w:val="14"/>
                <w:color w:val="auto"/>
              </w:rPr>
              <w:t>4,953,000</w:t>
            </w:r>
          </w:p>
        </w:tc>
        <w:tc>
          <w:tcPr>
            <w:tcW w:w="0" w:type="dxa"/>
            <w:vAlign w:val="bottom"/>
          </w:tcPr>
          <w:p>
            <w:pPr>
              <w:spacing w:after="0"/>
              <w:rPr>
                <w:sz w:val="1"/>
                <w:szCs w:val="1"/>
                <w:color w:val="auto"/>
              </w:rPr>
            </w:pPr>
          </w:p>
        </w:tc>
      </w:tr>
      <w:tr>
        <w:trPr>
          <w:trHeight w:val="459"/>
        </w:trPr>
        <w:tc>
          <w:tcPr>
            <w:tcW w:w="4800" w:type="dxa"/>
            <w:vAlign w:val="bottom"/>
            <w:gridSpan w:val="2"/>
          </w:tcPr>
          <w:p>
            <w:pPr>
              <w:spacing w:after="0"/>
              <w:rPr>
                <w:sz w:val="20"/>
                <w:szCs w:val="20"/>
                <w:color w:val="auto"/>
              </w:rPr>
            </w:pPr>
            <w:r>
              <w:rPr>
                <w:rFonts w:ascii="Arial" w:cs="Arial" w:eastAsia="Arial" w:hAnsi="Arial"/>
                <w:sz w:val="14"/>
                <w:szCs w:val="14"/>
                <w:color w:val="auto"/>
              </w:rPr>
              <w:t>Senior Secured Loan — Tranche B-1 Term Loan (First Lien)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spacing w:after="0"/>
              <w:rPr>
                <w:sz w:val="20"/>
                <w:szCs w:val="20"/>
                <w:color w:val="auto"/>
              </w:rPr>
            </w:pPr>
            <w:r>
              <w:rPr>
                <w:rFonts w:ascii="Arial" w:cs="Arial" w:eastAsia="Arial" w:hAnsi="Arial"/>
                <w:sz w:val="14"/>
                <w:szCs w:val="14"/>
                <w:color w:val="auto"/>
                <w:w w:val="98"/>
              </w:rPr>
              <w:t>6.0% Cash, 1 month LIBOR(2.24%) + 3.75%; LIBOR Floor 1.00% , Due 11/24</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11/3/2017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2,977,538</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2,963,917</w:t>
            </w:r>
          </w:p>
        </w:tc>
        <w:tc>
          <w:tcPr>
            <w:tcW w:w="800" w:type="dxa"/>
            <w:vAlign w:val="bottom"/>
          </w:tcPr>
          <w:p>
            <w:pPr>
              <w:jc w:val="right"/>
              <w:spacing w:after="0"/>
              <w:rPr>
                <w:sz w:val="20"/>
                <w:szCs w:val="20"/>
                <w:color w:val="auto"/>
              </w:rPr>
            </w:pPr>
            <w:r>
              <w:rPr>
                <w:rFonts w:ascii="Arial" w:cs="Arial" w:eastAsia="Arial" w:hAnsi="Arial"/>
                <w:sz w:val="14"/>
                <w:szCs w:val="14"/>
                <w:color w:val="auto"/>
              </w:rPr>
              <w:t>2,996,296</w:t>
            </w:r>
          </w:p>
        </w:tc>
        <w:tc>
          <w:tcPr>
            <w:tcW w:w="0" w:type="dxa"/>
            <w:vAlign w:val="bottom"/>
          </w:tcPr>
          <w:p>
            <w:pPr>
              <w:spacing w:after="0"/>
              <w:rPr>
                <w:sz w:val="1"/>
                <w:szCs w:val="1"/>
                <w:color w:val="auto"/>
              </w:rPr>
            </w:pPr>
          </w:p>
        </w:tc>
      </w:tr>
      <w:tr>
        <w:trPr>
          <w:trHeight w:val="297"/>
        </w:trPr>
        <w:tc>
          <w:tcPr>
            <w:tcW w:w="4800" w:type="dxa"/>
            <w:vAlign w:val="bottom"/>
            <w:gridSpan w:val="2"/>
          </w:tcPr>
          <w:p>
            <w:pPr>
              <w:spacing w:after="0"/>
              <w:rPr>
                <w:sz w:val="20"/>
                <w:szCs w:val="20"/>
                <w:color w:val="auto"/>
              </w:rPr>
            </w:pPr>
            <w:r>
              <w:rPr>
                <w:rFonts w:ascii="Arial" w:cs="Arial" w:eastAsia="Arial" w:hAnsi="Arial"/>
                <w:sz w:val="14"/>
                <w:szCs w:val="14"/>
                <w:color w:val="auto"/>
              </w:rPr>
              <w:t>Junior Secured Loan — Restructured Term Loan</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spacing w:after="0"/>
              <w:rPr>
                <w:sz w:val="20"/>
                <w:szCs w:val="20"/>
                <w:color w:val="auto"/>
              </w:rPr>
            </w:pPr>
            <w:r>
              <w:rPr>
                <w:rFonts w:ascii="Arial" w:cs="Arial" w:eastAsia="Arial" w:hAnsi="Arial"/>
                <w:sz w:val="14"/>
                <w:szCs w:val="14"/>
                <w:color w:val="auto"/>
              </w:rPr>
              <w:t>1.0% Cash, 7.8% PIK, Due 10/22</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6/25/2013</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1,955,980</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1,935,721</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779,067</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-3387725</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-2984500</wp:posOffset>
            </wp:positionV>
            <wp:extent cx="724662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-2675890</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-2272665</wp:posOffset>
            </wp:positionV>
            <wp:extent cx="72466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-1964055</wp:posOffset>
            </wp:positionV>
            <wp:extent cx="72466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-1655445</wp:posOffset>
            </wp:positionV>
            <wp:extent cx="72466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-1346835</wp:posOffset>
            </wp:positionV>
            <wp:extent cx="72466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-1038225</wp:posOffset>
            </wp:positionV>
            <wp:extent cx="724662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-728980</wp:posOffset>
            </wp:positionV>
            <wp:extent cx="7246620"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-317500</wp:posOffset>
            </wp:positionV>
            <wp:extent cx="724662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-3799205</wp:posOffset>
            </wp:positionV>
            <wp:extent cx="7246620"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167"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740" w:space="140"/>
            <w:col w:w="8440"/>
          </w:cols>
          <w:pgMar w:left="240" w:top="88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4720" w:type="dxa"/>
            <w:vAlign w:val="bottom"/>
            <w:gridSpan w:val="2"/>
            <w:vMerge w:val="restart"/>
          </w:tcPr>
          <w:p>
            <w:pPr>
              <w:ind w:left="1880"/>
              <w:spacing w:after="0"/>
              <w:rPr>
                <w:sz w:val="20"/>
                <w:szCs w:val="20"/>
                <w:color w:val="auto"/>
              </w:rPr>
            </w:pPr>
            <w:r>
              <w:rPr>
                <w:rFonts w:ascii="Arial" w:cs="Arial" w:eastAsia="Arial" w:hAnsi="Arial"/>
                <w:sz w:val="14"/>
                <w:szCs w:val="14"/>
                <w:b w:val="1"/>
                <w:bCs w:val="1"/>
                <w:color w:val="auto"/>
              </w:rPr>
              <w:t xml:space="preserve">Investment </w:t>
            </w:r>
            <w:r>
              <w:rPr>
                <w:rFonts w:ascii="Arial" w:cs="Arial" w:eastAsia="Arial" w:hAnsi="Arial"/>
                <w:sz w:val="23"/>
                <w:szCs w:val="23"/>
                <w:b w:val="1"/>
                <w:bCs w:val="1"/>
                <w:color w:val="auto"/>
                <w:vertAlign w:val="superscript"/>
              </w:rPr>
              <w:t>16</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Initial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gridSpan w:val="3"/>
            <w:vMerge w:val="continue"/>
          </w:tcPr>
          <w:p>
            <w:pPr>
              <w:spacing w:after="0"/>
              <w:rPr>
                <w:sz w:val="12"/>
                <w:szCs w:val="12"/>
                <w:color w:val="auto"/>
              </w:rPr>
            </w:pPr>
          </w:p>
        </w:tc>
        <w:tc>
          <w:tcPr>
            <w:tcW w:w="472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1060" w:type="dxa"/>
            <w:vAlign w:val="bottom"/>
            <w:gridSpan w:val="2"/>
            <w:vMerge w:val="continue"/>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720" w:type="dxa"/>
            <w:vAlign w:val="bottom"/>
            <w:gridSpan w:val="2"/>
          </w:tcPr>
          <w:p>
            <w:pPr>
              <w:ind w:left="1540"/>
              <w:spacing w:after="0"/>
              <w:rPr>
                <w:sz w:val="20"/>
                <w:szCs w:val="20"/>
                <w:color w:val="auto"/>
              </w:rPr>
            </w:pPr>
            <w:r>
              <w:rPr>
                <w:rFonts w:ascii="Arial" w:cs="Arial" w:eastAsia="Arial" w:hAnsi="Arial"/>
                <w:sz w:val="14"/>
                <w:szCs w:val="14"/>
                <w:b w:val="1"/>
                <w:bCs w:val="1"/>
                <w:color w:val="auto"/>
              </w:rPr>
              <w:t>Interest Rate¹ / Maturity</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gridSpan w:val="2"/>
            <w:vMerge w:val="continue"/>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96"/>
              </w:rPr>
              <w:t>Stafford Logistics, Inc.(dba Custom Ecology,</w:t>
            </w:r>
          </w:p>
        </w:tc>
        <w:tc>
          <w:tcPr>
            <w:tcW w:w="120" w:type="dxa"/>
            <w:vAlign w:val="bottom"/>
            <w:tcBorders>
              <w:top w:val="single" w:sz="8" w:color="CCEEFF"/>
            </w:tcBorders>
            <w:shd w:val="clear" w:color="auto" w:fill="CCEEFF"/>
          </w:tcPr>
          <w:p>
            <w:pPr>
              <w:spacing w:after="0"/>
              <w:rPr>
                <w:sz w:val="10"/>
                <w:szCs w:val="10"/>
                <w:color w:val="auto"/>
              </w:rPr>
            </w:pPr>
          </w:p>
        </w:tc>
        <w:tc>
          <w:tcPr>
            <w:tcW w:w="46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Senior Secured Loan — Term Loan</w:t>
            </w: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gridSpan w:val="2"/>
            <w:shd w:val="clear" w:color="auto" w:fill="CCEEFF"/>
          </w:tcPr>
          <w:p>
            <w:pPr>
              <w:spacing w:after="0" w:line="189" w:lineRule="exact"/>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(8)(14)</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14.3% Cash, Due 10/22</w:t>
            </w: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Environmental Industries</w:t>
            </w:r>
          </w:p>
        </w:tc>
        <w:tc>
          <w:tcPr>
            <w:tcW w:w="4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6/25/2013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339,788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339,788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339,788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0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8"/>
                <w:szCs w:val="18"/>
                <w:color w:val="auto"/>
                <w:vertAlign w:val="superscript"/>
              </w:rPr>
              <w:t>(8)(13)(14)</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Loan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Energy: Oil &amp; Gas</w:t>
            </w: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 Cash, 12.5% PIK, 1 month PRIME(5.00%) + 10.5%; PRIME Floor</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8/28/2014</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14,653,914</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13,859,091</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10,250,413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7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3.00% , Due 8/19</w:t>
            </w:r>
          </w:p>
        </w:tc>
        <w:tc>
          <w:tcPr>
            <w:tcW w:w="820" w:type="dxa"/>
            <w:vAlign w:val="bottom"/>
            <w:gridSpan w:val="2"/>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Tex-Tech Industries, Inc.</w:t>
            </w:r>
            <w:r>
              <w:rPr>
                <w:rFonts w:ascii="Arial" w:cs="Arial" w:eastAsia="Arial" w:hAnsi="Arial"/>
                <w:sz w:val="19"/>
                <w:szCs w:val="19"/>
                <w:color w:val="auto"/>
                <w:vertAlign w:val="superscript"/>
              </w:rPr>
              <w:t>(8)(14)</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Textiles and Leather</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11.1% Cash, 1 month LIBOR(2.08%) + 9.00%; LIBOR Floor 1.00% , Due 8/24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8/24/2017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8,008,000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7,957,406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7,947,940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800" w:type="dxa"/>
            <w:vAlign w:val="bottom"/>
            <w:gridSpan w:val="2"/>
            <w:shd w:val="clear" w:color="auto" w:fill="CCEEFF"/>
          </w:tcPr>
          <w:p>
            <w:pPr>
              <w:spacing w:after="0" w:line="181" w:lineRule="exact"/>
              <w:rPr>
                <w:sz w:val="20"/>
                <w:szCs w:val="20"/>
                <w:color w:val="auto"/>
              </w:rPr>
            </w:pPr>
            <w:r>
              <w:rPr>
                <w:rFonts w:ascii="Arial" w:cs="Arial" w:eastAsia="Arial" w:hAnsi="Arial"/>
                <w:sz w:val="13"/>
                <w:szCs w:val="13"/>
                <w:color w:val="auto"/>
              </w:rPr>
              <w:t>Time Manufacturing Acquisition, LLC</w:t>
            </w:r>
            <w:r>
              <w:rPr>
                <w:rFonts w:ascii="Arial" w:cs="Arial" w:eastAsia="Arial" w:hAnsi="Arial"/>
                <w:sz w:val="20"/>
                <w:szCs w:val="20"/>
                <w:color w:val="auto"/>
                <w:vertAlign w:val="superscript"/>
              </w:rPr>
              <w:t>(8)(14)</w:t>
            </w:r>
          </w:p>
        </w:tc>
        <w:tc>
          <w:tcPr>
            <w:tcW w:w="4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3"/>
                <w:szCs w:val="13"/>
                <w:color w:val="auto"/>
              </w:rPr>
            </w:pPr>
          </w:p>
        </w:tc>
        <w:tc>
          <w:tcPr>
            <w:tcW w:w="472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Senior Secured Loan — Term Loan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Capital Equipment</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7.6% Cash, 6 month LIBOR(2.63%) + 5.00%; LIBOR Floor 1.00% , Due 2/23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2/3/2017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1,979,912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1,982,187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1,970,012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Trimaran Advisors, L.L.C.</w:t>
            </w:r>
            <w:r>
              <w:rPr>
                <w:rFonts w:ascii="Arial" w:cs="Arial" w:eastAsia="Arial" w:hAnsi="Arial"/>
                <w:sz w:val="19"/>
                <w:szCs w:val="19"/>
                <w:color w:val="auto"/>
                <w:vertAlign w:val="superscript"/>
              </w:rPr>
              <w:t>(8)(9)(14)</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Unsecured Loan — Term Loan Series 1</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Related Party Loan</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 Cash, Due 4/30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10/30/2017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6,277,283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6,277,283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6,277,283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TronAir Parent Inc.</w:t>
            </w:r>
            <w:r>
              <w:rPr>
                <w:rFonts w:ascii="Arial" w:cs="Arial" w:eastAsia="Arial" w:hAnsi="Arial"/>
                <w:sz w:val="19"/>
                <w:szCs w:val="19"/>
                <w:color w:val="auto"/>
                <w:vertAlign w:val="superscript"/>
              </w:rPr>
              <w:t>(8)(14)(15)</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 (First Lien)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Aerospace and Defense</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7.6% Cash, 12 month LIBOR(2.82%) + 4.75%; LIBOR Floor 1.00% , Due 9/23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9/30/2016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989,899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987,748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989,404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TRSO I, Inc.</w:t>
            </w:r>
            <w:r>
              <w:rPr>
                <w:rFonts w:ascii="Arial" w:cs="Arial" w:eastAsia="Arial" w:hAnsi="Arial"/>
                <w:sz w:val="19"/>
                <w:szCs w:val="19"/>
                <w:color w:val="auto"/>
                <w:vertAlign w:val="superscript"/>
              </w:rPr>
              <w:t>(8)(14)</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Energy: Oil &amp; Gas</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14.0% Cash, Due 12/19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12/24/2012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996,487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Verdesian Life Sciences, LLC</w:t>
            </w:r>
            <w:r>
              <w:rPr>
                <w:rFonts w:ascii="Arial" w:cs="Arial" w:eastAsia="Arial" w:hAnsi="Arial"/>
                <w:sz w:val="19"/>
                <w:szCs w:val="19"/>
                <w:color w:val="auto"/>
                <w:vertAlign w:val="superscript"/>
              </w:rPr>
              <w:t>(8)(14)(15)</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Environmental Industries</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7.3% Cash, 3 month LIBOR(2.34%) + 5.00%; LIBOR Floor 1.00% , Due 7/20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6/25/2014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2,108,735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2,058,968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2,044,419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Weiman Products, LLC</w:t>
            </w:r>
            <w:r>
              <w:rPr>
                <w:rFonts w:ascii="Arial" w:cs="Arial" w:eastAsia="Arial" w:hAnsi="Arial"/>
                <w:sz w:val="19"/>
                <w:szCs w:val="19"/>
                <w:color w:val="auto"/>
                <w:vertAlign w:val="superscript"/>
              </w:rPr>
              <w:t>(8)(14)(15)</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Term Loan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Consumer goods: Non-durable</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6.6% Cash, 3 month LIBOR(2.39%) + 4.25%; LIBOR Floor 1.00% , Due 11/21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11/22/2013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1,601,066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1,593,869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1,593,061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 xml:space="preserve">WireCo WorldGroup Inc. </w:t>
            </w:r>
            <w:r>
              <w:rPr>
                <w:rFonts w:ascii="Arial" w:cs="Arial" w:eastAsia="Arial" w:hAnsi="Arial"/>
                <w:sz w:val="19"/>
                <w:szCs w:val="19"/>
                <w:color w:val="auto"/>
                <w:vertAlign w:val="superscript"/>
              </w:rPr>
              <w:t>(8)(14)</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Capital Equipment</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11.2% Cash, 1 month LIBOR(2.24%) + 9.00%; LIBOR Floor 1.00% , Due 9/24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8/9/2016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2,966,200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2,981,250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800" w:type="dxa"/>
            <w:vAlign w:val="bottom"/>
            <w:gridSpan w:val="2"/>
            <w:shd w:val="clear" w:color="auto" w:fill="CCEEFF"/>
          </w:tcPr>
          <w:p>
            <w:pPr>
              <w:spacing w:after="0" w:line="171" w:lineRule="exact"/>
              <w:rPr>
                <w:sz w:val="20"/>
                <w:szCs w:val="20"/>
                <w:color w:val="auto"/>
              </w:rPr>
            </w:pPr>
            <w:r>
              <w:rPr>
                <w:rFonts w:ascii="Arial" w:cs="Arial" w:eastAsia="Arial" w:hAnsi="Arial"/>
                <w:sz w:val="12"/>
                <w:szCs w:val="12"/>
                <w:color w:val="auto"/>
              </w:rPr>
              <w:t>Zest Acquisition Corp.</w:t>
            </w:r>
            <w:r>
              <w:rPr>
                <w:rFonts w:ascii="Arial" w:cs="Arial" w:eastAsia="Arial" w:hAnsi="Arial"/>
                <w:sz w:val="19"/>
                <w:szCs w:val="19"/>
                <w:color w:val="auto"/>
                <w:vertAlign w:val="superscript"/>
              </w:rPr>
              <w:t>(8)</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Healthcare &amp; Pharmaceuticals</w:t>
            </w:r>
          </w:p>
        </w:tc>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9.8% Cash, 3 month LIBOR(2.34%) + 7.50%; LIBOR Floor 1.00% , Due 3/26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3/8/2018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3,479,032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3,465,700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Debt Securities</w:t>
            </w:r>
          </w:p>
        </w:tc>
        <w:tc>
          <w:tcPr>
            <w:tcW w:w="4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(80% of net asset value at fair value)</w:t>
            </w:r>
          </w:p>
        </w:tc>
        <w:tc>
          <w:tcPr>
            <w:tcW w:w="4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w w:val="91"/>
              </w:rPr>
              <w:t>$ 150,556,151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w w:val="91"/>
              </w:rPr>
              <w:t>$ 149,138,595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1"/>
              </w:rPr>
              <w:t>$ 139,799,027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Equity Securities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Initial</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60" w:type="dxa"/>
            <w:vAlign w:val="bottom"/>
          </w:tcPr>
          <w:p>
            <w:pPr>
              <w:spacing w:after="0"/>
              <w:rPr>
                <w:sz w:val="22"/>
                <w:szCs w:val="22"/>
                <w:color w:val="auto"/>
              </w:rPr>
            </w:pPr>
          </w:p>
        </w:tc>
        <w:tc>
          <w:tcPr>
            <w:tcW w:w="240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16</w:t>
            </w: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Acquisition</w:t>
            </w:r>
          </w:p>
        </w:tc>
        <w:tc>
          <w:tcPr>
            <w:tcW w:w="40" w:type="dxa"/>
            <w:vAlign w:val="bottom"/>
          </w:tcPr>
          <w:p>
            <w:pPr>
              <w:spacing w:after="0"/>
              <w:rPr>
                <w:sz w:val="22"/>
                <w:szCs w:val="22"/>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22"/>
                <w:szCs w:val="22"/>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2"/>
                <w:szCs w:val="22"/>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Ownership/Shares</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tcBorders>
              <w:top w:val="single" w:sz="8" w:color="auto"/>
            </w:tcBorders>
            <w:shd w:val="clear" w:color="auto" w:fill="CCEEFF"/>
          </w:tcPr>
          <w:p>
            <w:pPr>
              <w:spacing w:after="0" w:line="164"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8"/>
                <w:szCs w:val="18"/>
                <w:color w:val="auto"/>
                <w:vertAlign w:val="superscript"/>
              </w:rPr>
              <w:t>(8)(14)</w:t>
            </w:r>
          </w:p>
        </w:tc>
        <w:tc>
          <w:tcPr>
            <w:tcW w:w="60" w:type="dxa"/>
            <w:vAlign w:val="bottom"/>
            <w:tcBorders>
              <w:top w:val="single" w:sz="8" w:color="CCEEFF"/>
            </w:tcBorders>
            <w:shd w:val="clear" w:color="auto" w:fill="CCEEFF"/>
          </w:tcPr>
          <w:p>
            <w:pPr>
              <w:spacing w:after="0"/>
              <w:rPr>
                <w:sz w:val="14"/>
                <w:szCs w:val="14"/>
                <w:color w:val="auto"/>
              </w:rPr>
            </w:pPr>
          </w:p>
        </w:tc>
        <w:tc>
          <w:tcPr>
            <w:tcW w:w="2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Consumer goods: Durable</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Warrants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6/13/2012</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9"/>
                <w:szCs w:val="19"/>
                <w:color w:val="auto"/>
                <w:vertAlign w:val="superscript"/>
              </w:rPr>
              <w:t>(8)(14)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Consumer goods: Durable</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Membership Interests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6/13/2012</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0.40%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181,999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(8)(14)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Aerospace and Defense</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Partnership Interests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2/28/2007</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892,283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(8)(14)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Aerospace and Defense</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Series A Preferred Interests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10/23/2008</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250,961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(8)(14)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Services: Business</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Membership Units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7/2/2007</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1,079,617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FP WRCA Coinvestment Fund VII, Ltd.</w:t>
            </w:r>
            <w:r>
              <w:rPr>
                <w:rFonts w:ascii="Arial" w:cs="Arial" w:eastAsia="Arial" w:hAnsi="Arial"/>
                <w:sz w:val="19"/>
                <w:szCs w:val="19"/>
                <w:color w:val="auto"/>
                <w:vertAlign w:val="superscript"/>
              </w:rPr>
              <w:t>(3)(14)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Capital Equipment</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Class A Shares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2/2/2007</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0.41%</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1,500,000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655,500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New Millennium Holdco, Inc. (Millennium Health, LLC)</w:t>
            </w:r>
            <w:r>
              <w:rPr>
                <w:rFonts w:ascii="Arial" w:cs="Arial" w:eastAsia="Arial" w:hAnsi="Arial"/>
                <w:sz w:val="19"/>
                <w:szCs w:val="19"/>
                <w:color w:val="auto"/>
                <w:vertAlign w:val="superscript"/>
              </w:rPr>
              <w:t>(14)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Healthcare &amp; Pharmaceuticals</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Common</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10/7/2014</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1,953,299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Hotel, Gaming &amp; Leisure</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Common</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4/5/2007</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0.19%</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Roscoe Investors, LLC</w:t>
            </w:r>
            <w:r>
              <w:rPr>
                <w:rFonts w:ascii="Arial" w:cs="Arial" w:eastAsia="Arial" w:hAnsi="Arial"/>
                <w:sz w:val="19"/>
                <w:szCs w:val="19"/>
                <w:color w:val="auto"/>
                <w:vertAlign w:val="superscript"/>
              </w:rPr>
              <w:t>(8)(14)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Healthcare &amp; Pharmaceuticals</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Class A Units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3/26/2014</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1,086,000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Stafford Logistics, Inc.(dba Custom Ecology, Inc.)</w:t>
            </w:r>
            <w:r>
              <w:rPr>
                <w:rFonts w:ascii="Arial" w:cs="Arial" w:eastAsia="Arial" w:hAnsi="Arial"/>
                <w:sz w:val="19"/>
                <w:szCs w:val="19"/>
                <w:color w:val="auto"/>
                <w:vertAlign w:val="superscript"/>
              </w:rPr>
              <w:t>(8)(14)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Environmental Industries</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Class B Units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6/25/2013</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Stafford Logistics, Inc.(dba Custom Ecology, Inc.)</w:t>
            </w:r>
            <w:r>
              <w:rPr>
                <w:rFonts w:ascii="Arial" w:cs="Arial" w:eastAsia="Arial" w:hAnsi="Arial"/>
                <w:sz w:val="19"/>
                <w:szCs w:val="19"/>
                <w:color w:val="auto"/>
                <w:vertAlign w:val="superscript"/>
              </w:rPr>
              <w:t>(8)(14)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Environmental Industries</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Class B Equity</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6/25/2013</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(8)(10)(14)</w:t>
            </w:r>
            <w:r>
              <w:rPr>
                <w:rFonts w:ascii="Arial" w:cs="Arial" w:eastAsia="Arial" w:hAnsi="Arial"/>
                <w:sz w:val="12"/>
                <w:szCs w:val="12"/>
                <w:color w:val="auto"/>
              </w:rPr>
              <w:t xml:space="preserve"> Energy:</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Oil &amp; Gas</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Unit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8/28/2014</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10.68%</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(8)(14)</w:t>
            </w:r>
            <w:r>
              <w:rPr>
                <w:rFonts w:ascii="Arial" w:cs="Arial" w:eastAsia="Arial" w:hAnsi="Arial"/>
                <w:sz w:val="12"/>
                <w:szCs w:val="12"/>
                <w:color w:val="auto"/>
              </w:rPr>
              <w:t xml:space="preserve"> Energy:</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Oil &amp; Gas</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Warrants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8/28/2014</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185,205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(8)(14)</w:t>
            </w:r>
            <w:r>
              <w:rPr>
                <w:rFonts w:ascii="Arial" w:cs="Arial" w:eastAsia="Arial" w:hAnsi="Arial"/>
                <w:sz w:val="12"/>
                <w:szCs w:val="12"/>
                <w:color w:val="auto"/>
              </w:rPr>
              <w:t xml:space="preserve"> Energy:</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Oil &amp; Gas</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Common Stock</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10/23/2008</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1,680,161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1,029,417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Caribe Media Inc. (fka Caribe Information Investments Incorporated)</w:t>
            </w:r>
            <w:r>
              <w:rPr>
                <w:rFonts w:ascii="Arial" w:cs="Arial" w:eastAsia="Arial" w:hAnsi="Arial"/>
                <w:sz w:val="19"/>
                <w:szCs w:val="19"/>
                <w:color w:val="auto"/>
                <w:vertAlign w:val="superscript"/>
              </w:rPr>
              <w:t>(8)(14)</w:t>
            </w:r>
          </w:p>
        </w:tc>
        <w:tc>
          <w:tcPr>
            <w:tcW w:w="6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Media: Advertising, Printing &amp; Publishing</w:t>
            </w:r>
          </w:p>
        </w:tc>
        <w:tc>
          <w:tcPr>
            <w:tcW w:w="24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Common</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7/2/2007</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359,765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157,136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3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Equity Securities</w:t>
            </w:r>
          </w:p>
        </w:tc>
        <w:tc>
          <w:tcPr>
            <w:tcW w:w="60" w:type="dxa"/>
            <w:vAlign w:val="bottom"/>
            <w:shd w:val="clear" w:color="auto" w:fill="CCEEFF"/>
          </w:tcPr>
          <w:p>
            <w:pPr>
              <w:spacing w:after="0"/>
              <w:rPr>
                <w:sz w:val="10"/>
                <w:szCs w:val="10"/>
                <w:color w:val="auto"/>
              </w:rPr>
            </w:pPr>
          </w:p>
        </w:tc>
        <w:tc>
          <w:tcPr>
            <w:tcW w:w="2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(2% of net asset value at fair value)</w:t>
            </w:r>
          </w:p>
        </w:tc>
        <w:tc>
          <w:tcPr>
            <w:tcW w:w="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6"/>
              </w:rPr>
              <w:t>10,571,007</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4,079,336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378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16,11</w:t>
            </w:r>
          </w:p>
        </w:tc>
        <w:tc>
          <w:tcPr>
            <w:tcW w:w="120" w:type="dxa"/>
            <w:vAlign w:val="bottom"/>
            <w:vMerge w:val="restart"/>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20" w:type="dxa"/>
            <w:vAlign w:val="bottom"/>
            <w:gridSpan w:val="2"/>
            <w:vMerge w:val="continue"/>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2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Ownership</w:t>
            </w:r>
          </w:p>
        </w:tc>
        <w:tc>
          <w:tcPr>
            <w:tcW w:w="2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(3)(12)(14)</w:t>
            </w:r>
          </w:p>
        </w:tc>
        <w:tc>
          <w:tcPr>
            <w:tcW w:w="120" w:type="dxa"/>
            <w:vAlign w:val="bottom"/>
            <w:vMerge w:val="continue"/>
            <w:shd w:val="clear" w:color="auto" w:fill="CCEEFF"/>
          </w:tcPr>
          <w:p>
            <w:pPr>
              <w:spacing w:after="0"/>
              <w:rPr>
                <w:sz w:val="15"/>
                <w:szCs w:val="15"/>
                <w:color w:val="auto"/>
              </w:rPr>
            </w:pPr>
          </w:p>
        </w:tc>
        <w:tc>
          <w:tcPr>
            <w:tcW w:w="378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Subordinated Securities, effective interest N/M,</w:t>
            </w:r>
            <w:r>
              <w:rPr>
                <w:rFonts w:ascii="Arial" w:cs="Arial" w:eastAsia="Arial" w:hAnsi="Arial"/>
                <w:sz w:val="21"/>
                <w:szCs w:val="21"/>
                <w:color w:val="auto"/>
                <w:vertAlign w:val="superscript"/>
              </w:rPr>
              <w:t>17</w:t>
            </w:r>
            <w:r>
              <w:rPr>
                <w:rFonts w:ascii="Arial" w:cs="Arial" w:eastAsia="Arial" w:hAnsi="Arial"/>
                <w:sz w:val="13"/>
                <w:szCs w:val="13"/>
                <w:color w:val="auto"/>
              </w:rPr>
              <w:t xml:space="preserve"> 1/21 maturity</w:t>
            </w:r>
          </w:p>
        </w:tc>
        <w:tc>
          <w:tcPr>
            <w:tcW w:w="12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3/13/2007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22.2%</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2,485,886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(3)(12)(14)</w:t>
            </w:r>
          </w:p>
        </w:tc>
        <w:tc>
          <w:tcPr>
            <w:tcW w:w="3900" w:type="dxa"/>
            <w:vAlign w:val="bottom"/>
            <w:gridSpan w:val="2"/>
          </w:tcPr>
          <w:p>
            <w:pPr>
              <w:spacing w:after="0" w:line="189" w:lineRule="exact"/>
              <w:rPr>
                <w:sz w:val="20"/>
                <w:szCs w:val="20"/>
                <w:color w:val="auto"/>
              </w:rPr>
            </w:pPr>
            <w:r>
              <w:rPr>
                <w:rFonts w:ascii="Arial" w:cs="Arial" w:eastAsia="Arial" w:hAnsi="Arial"/>
                <w:sz w:val="13"/>
                <w:szCs w:val="13"/>
                <w:color w:val="auto"/>
              </w:rPr>
              <w:t>Subordinated Securities, effective interest N/M,</w:t>
            </w:r>
            <w:r>
              <w:rPr>
                <w:rFonts w:ascii="Arial" w:cs="Arial" w:eastAsia="Arial" w:hAnsi="Arial"/>
                <w:sz w:val="21"/>
                <w:szCs w:val="21"/>
                <w:color w:val="auto"/>
                <w:vertAlign w:val="superscript"/>
              </w:rPr>
              <w:t>17</w:t>
            </w:r>
            <w:r>
              <w:rPr>
                <w:rFonts w:ascii="Arial" w:cs="Arial" w:eastAsia="Arial" w:hAnsi="Arial"/>
                <w:sz w:val="13"/>
                <w:szCs w:val="13"/>
                <w:color w:val="auto"/>
              </w:rPr>
              <w:t xml:space="preserve"> 5/15 maturity</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12/11/2006</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23.1%</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1,287,155</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369,280</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(3)(6)(12)(14)</w:t>
            </w:r>
          </w:p>
        </w:tc>
        <w:tc>
          <w:tcPr>
            <w:tcW w:w="39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Subordinated Securities, effective interest N/M,</w:t>
            </w:r>
            <w:r>
              <w:rPr>
                <w:rFonts w:ascii="Arial" w:cs="Arial" w:eastAsia="Arial" w:hAnsi="Arial"/>
                <w:sz w:val="21"/>
                <w:szCs w:val="21"/>
                <w:color w:val="auto"/>
                <w:vertAlign w:val="superscript"/>
              </w:rPr>
              <w:t>17</w:t>
            </w:r>
            <w:r>
              <w:rPr>
                <w:rFonts w:ascii="Arial" w:cs="Arial" w:eastAsia="Arial" w:hAnsi="Arial"/>
                <w:sz w:val="13"/>
                <w:szCs w:val="13"/>
                <w:color w:val="auto"/>
              </w:rPr>
              <w:t xml:space="preserve"> 4/22 maturity</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1/23/2008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10,309,141</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(3)(6)(12)(14)</w:t>
            </w:r>
          </w:p>
        </w:tc>
        <w:tc>
          <w:tcPr>
            <w:tcW w:w="3900" w:type="dxa"/>
            <w:vAlign w:val="bottom"/>
            <w:gridSpan w:val="2"/>
          </w:tcPr>
          <w:p>
            <w:pPr>
              <w:spacing w:after="0" w:line="189" w:lineRule="exact"/>
              <w:rPr>
                <w:sz w:val="20"/>
                <w:szCs w:val="20"/>
                <w:color w:val="auto"/>
              </w:rPr>
            </w:pPr>
            <w:r>
              <w:rPr>
                <w:rFonts w:ascii="Arial" w:cs="Arial" w:eastAsia="Arial" w:hAnsi="Arial"/>
                <w:sz w:val="13"/>
                <w:szCs w:val="13"/>
                <w:color w:val="auto"/>
              </w:rPr>
              <w:t>Subordinated Securities, effective interest N/M,</w:t>
            </w:r>
            <w:r>
              <w:rPr>
                <w:rFonts w:ascii="Arial" w:cs="Arial" w:eastAsia="Arial" w:hAnsi="Arial"/>
                <w:sz w:val="21"/>
                <w:szCs w:val="21"/>
                <w:color w:val="auto"/>
                <w:vertAlign w:val="superscript"/>
              </w:rPr>
              <w:t>17</w:t>
            </w:r>
            <w:r>
              <w:rPr>
                <w:rFonts w:ascii="Arial" w:cs="Arial" w:eastAsia="Arial" w:hAnsi="Arial"/>
                <w:sz w:val="13"/>
                <w:szCs w:val="13"/>
                <w:color w:val="auto"/>
              </w:rPr>
              <w:t xml:space="preserve"> 6/21 maturity</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2/29/2012</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10.5%</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379,830</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Catamaran CLO 2012-1 Ltd.</w:t>
            </w:r>
            <w:r>
              <w:rPr>
                <w:rFonts w:ascii="Arial" w:cs="Arial" w:eastAsia="Arial" w:hAnsi="Arial"/>
                <w:sz w:val="21"/>
                <w:szCs w:val="21"/>
                <w:color w:val="auto"/>
                <w:vertAlign w:val="superscript"/>
              </w:rPr>
              <w:t>(3)(6)(12)(14)</w:t>
            </w:r>
          </w:p>
        </w:tc>
        <w:tc>
          <w:tcPr>
            <w:tcW w:w="39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Subordinated Securities, effective interest N/M,</w:t>
            </w:r>
            <w:r>
              <w:rPr>
                <w:rFonts w:ascii="Arial" w:cs="Arial" w:eastAsia="Arial" w:hAnsi="Arial"/>
                <w:sz w:val="21"/>
                <w:szCs w:val="21"/>
                <w:color w:val="auto"/>
                <w:vertAlign w:val="superscript"/>
              </w:rPr>
              <w:t>17</w:t>
            </w:r>
            <w:r>
              <w:rPr>
                <w:rFonts w:ascii="Arial" w:cs="Arial" w:eastAsia="Arial" w:hAnsi="Arial"/>
                <w:sz w:val="13"/>
                <w:szCs w:val="13"/>
                <w:color w:val="auto"/>
              </w:rPr>
              <w:t xml:space="preserve"> 12/23 maturity</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12/20/2012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24.9%</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3,534,069</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2013- 1 Ltd.</w:t>
            </w:r>
            <w:r>
              <w:rPr>
                <w:rFonts w:ascii="Arial" w:cs="Arial" w:eastAsia="Arial" w:hAnsi="Arial"/>
                <w:sz w:val="21"/>
                <w:szCs w:val="21"/>
                <w:color w:val="auto"/>
                <w:vertAlign w:val="superscript"/>
              </w:rPr>
              <w:t>(3)(6)(14)</w:t>
            </w:r>
          </w:p>
        </w:tc>
        <w:tc>
          <w:tcPr>
            <w:tcW w:w="3900" w:type="dxa"/>
            <w:vAlign w:val="bottom"/>
            <w:gridSpan w:val="2"/>
          </w:tcPr>
          <w:p>
            <w:pPr>
              <w:spacing w:after="0"/>
              <w:rPr>
                <w:sz w:val="20"/>
                <w:szCs w:val="20"/>
                <w:color w:val="auto"/>
              </w:rPr>
            </w:pPr>
            <w:r>
              <w:rPr>
                <w:rFonts w:ascii="Arial" w:cs="Arial" w:eastAsia="Arial" w:hAnsi="Arial"/>
                <w:sz w:val="14"/>
                <w:szCs w:val="14"/>
                <w:color w:val="auto"/>
                <w:w w:val="99"/>
              </w:rPr>
              <w:t>Subordinated Securities, effective interest 21.3%, 1/28 maturity</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6/4/2013</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18.3%</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4,976,307</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6,072,051</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Catamaran CLO 2014-1 Ltd.</w:t>
            </w:r>
            <w:r>
              <w:rPr>
                <w:rFonts w:ascii="Arial" w:cs="Arial" w:eastAsia="Arial" w:hAnsi="Arial"/>
                <w:sz w:val="21"/>
                <w:szCs w:val="21"/>
                <w:color w:val="auto"/>
                <w:vertAlign w:val="superscript"/>
              </w:rPr>
              <w:t>(3)(6)(14)</w:t>
            </w: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Subordinated Securities, effective interest 13.3%, 4/30 maturity</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5/6/2014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9,863,503</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9,709,699</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color w:val="auto"/>
              </w:rPr>
              <w:t>Dryden 30 Senior Loan Fund</w:t>
            </w:r>
            <w:r>
              <w:rPr>
                <w:rFonts w:ascii="Arial" w:cs="Arial" w:eastAsia="Arial" w:hAnsi="Arial"/>
                <w:sz w:val="21"/>
                <w:szCs w:val="21"/>
                <w:color w:val="auto"/>
                <w:vertAlign w:val="superscript"/>
              </w:rPr>
              <w:t>(3)(14)</w:t>
            </w:r>
          </w:p>
        </w:tc>
        <w:tc>
          <w:tcPr>
            <w:tcW w:w="3900" w:type="dxa"/>
            <w:vAlign w:val="bottom"/>
            <w:gridSpan w:val="2"/>
          </w:tcPr>
          <w:p>
            <w:pPr>
              <w:spacing w:after="0"/>
              <w:rPr>
                <w:sz w:val="20"/>
                <w:szCs w:val="20"/>
                <w:color w:val="auto"/>
              </w:rPr>
            </w:pPr>
            <w:r>
              <w:rPr>
                <w:rFonts w:ascii="Arial" w:cs="Arial" w:eastAsia="Arial" w:hAnsi="Arial"/>
                <w:sz w:val="14"/>
                <w:szCs w:val="14"/>
                <w:color w:val="auto"/>
                <w:w w:val="97"/>
              </w:rPr>
              <w:t>Subordinated Securities, effective interest 27.2%, 12/29 maturity</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10/10/2013</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6.8%</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1,415,721</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2,082,593</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Catamaran CLO 2014-2 Ltd.</w:t>
            </w:r>
            <w:r>
              <w:rPr>
                <w:rFonts w:ascii="Arial" w:cs="Arial" w:eastAsia="Arial" w:hAnsi="Arial"/>
                <w:sz w:val="21"/>
                <w:szCs w:val="21"/>
                <w:color w:val="auto"/>
                <w:vertAlign w:val="superscript"/>
              </w:rPr>
              <w:t>(3)(6)(14)</w:t>
            </w: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Subordinated Securities, effective interest 7.8%, 11/25 maturity</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8/15/2014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24.9%</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6,372,132</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4,262,959</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color w:val="auto"/>
              </w:rPr>
              <w:t>Catamaran CLO 2015-1 Ltd.</w:t>
            </w:r>
            <w:r>
              <w:rPr>
                <w:rFonts w:ascii="Arial" w:cs="Arial" w:eastAsia="Arial" w:hAnsi="Arial"/>
                <w:sz w:val="21"/>
                <w:szCs w:val="21"/>
                <w:color w:val="auto"/>
                <w:vertAlign w:val="superscript"/>
              </w:rPr>
              <w:t>(3)(6)(14)</w:t>
            </w:r>
          </w:p>
        </w:tc>
        <w:tc>
          <w:tcPr>
            <w:tcW w:w="3900" w:type="dxa"/>
            <w:vAlign w:val="bottom"/>
            <w:gridSpan w:val="2"/>
          </w:tcPr>
          <w:p>
            <w:pPr>
              <w:spacing w:after="0"/>
              <w:rPr>
                <w:sz w:val="20"/>
                <w:szCs w:val="20"/>
                <w:color w:val="auto"/>
              </w:rPr>
            </w:pPr>
            <w:r>
              <w:rPr>
                <w:rFonts w:ascii="Arial" w:cs="Arial" w:eastAsia="Arial" w:hAnsi="Arial"/>
                <w:sz w:val="14"/>
                <w:szCs w:val="14"/>
                <w:color w:val="auto"/>
                <w:w w:val="97"/>
              </w:rPr>
              <w:t>Subordinated Securities, effective interest 10.4%, 10/26 maturity</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5/5/2015</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9.9%</w:t>
            </w:r>
          </w:p>
        </w:tc>
        <w:tc>
          <w:tcPr>
            <w:tcW w:w="2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4,414,389</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3,492,190</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Catamaran CLO 2016-1 Ltd.</w:t>
            </w:r>
            <w:r>
              <w:rPr>
                <w:rFonts w:ascii="Arial" w:cs="Arial" w:eastAsia="Arial" w:hAnsi="Arial"/>
                <w:sz w:val="21"/>
                <w:szCs w:val="21"/>
                <w:color w:val="auto"/>
                <w:vertAlign w:val="superscript"/>
              </w:rPr>
              <w:t>(3)(6)(14)</w:t>
            </w: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Securities, effective interest 8.7%, 4/27 maturity</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12/21/2016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24.9%</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9,835,446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8,132,726</w:t>
            </w:r>
          </w:p>
        </w:tc>
        <w:tc>
          <w:tcPr>
            <w:tcW w:w="0" w:type="dxa"/>
            <w:vAlign w:val="bottom"/>
          </w:tcPr>
          <w:p>
            <w:pPr>
              <w:spacing w:after="0"/>
              <w:rPr>
                <w:sz w:val="1"/>
                <w:szCs w:val="1"/>
                <w:color w:val="auto"/>
              </w:rPr>
            </w:pPr>
          </w:p>
        </w:tc>
      </w:tr>
      <w:tr>
        <w:trPr>
          <w:trHeight w:val="203"/>
        </w:trPr>
        <w:tc>
          <w:tcPr>
            <w:tcW w:w="3340" w:type="dxa"/>
            <w:vAlign w:val="bottom"/>
            <w:gridSpan w:val="2"/>
          </w:tcPr>
          <w:p>
            <w:pPr>
              <w:spacing w:after="0" w:line="202" w:lineRule="exact"/>
              <w:rPr>
                <w:sz w:val="20"/>
                <w:szCs w:val="20"/>
                <w:color w:val="auto"/>
              </w:rPr>
            </w:pPr>
            <w:r>
              <w:rPr>
                <w:rFonts w:ascii="Arial" w:cs="Arial" w:eastAsia="Arial" w:hAnsi="Arial"/>
                <w:sz w:val="14"/>
                <w:szCs w:val="14"/>
                <w:color w:val="auto"/>
              </w:rPr>
              <w:t>Catamaran CLO 2018-1 Ltd.</w:t>
            </w:r>
            <w:r>
              <w:rPr>
                <w:rFonts w:ascii="Arial" w:cs="Arial" w:eastAsia="Arial" w:hAnsi="Arial"/>
                <w:sz w:val="23"/>
                <w:szCs w:val="23"/>
                <w:color w:val="auto"/>
                <w:vertAlign w:val="superscript"/>
              </w:rPr>
              <w:t>(3)(6)(14)</w:t>
            </w:r>
          </w:p>
        </w:tc>
        <w:tc>
          <w:tcPr>
            <w:tcW w:w="3900" w:type="dxa"/>
            <w:vAlign w:val="bottom"/>
            <w:gridSpan w:val="2"/>
          </w:tcPr>
          <w:p>
            <w:pPr>
              <w:spacing w:after="0"/>
              <w:rPr>
                <w:sz w:val="20"/>
                <w:szCs w:val="20"/>
                <w:color w:val="auto"/>
              </w:rPr>
            </w:pPr>
            <w:r>
              <w:rPr>
                <w:rFonts w:ascii="Arial" w:cs="Arial" w:eastAsia="Arial" w:hAnsi="Arial"/>
                <w:sz w:val="14"/>
                <w:szCs w:val="14"/>
                <w:color w:val="auto"/>
                <w:w w:val="97"/>
              </w:rPr>
              <w:t>Subordinated Securities, effective interest 15.0%, 10/31 maturity</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9/27/2018</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24.8%</w:t>
            </w:r>
          </w:p>
        </w:tc>
        <w:tc>
          <w:tcPr>
            <w:tcW w:w="2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9,500,000</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9,000,000</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Investment in CLO Subordinated Securities</w:t>
            </w:r>
          </w:p>
        </w:tc>
        <w:tc>
          <w:tcPr>
            <w:tcW w:w="37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64,373,579</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43,292,498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Rated-Note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Portfolio Company</w:t>
            </w:r>
          </w:p>
        </w:tc>
        <w:tc>
          <w:tcPr>
            <w:tcW w:w="370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16</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3700" w:type="dxa"/>
            <w:vAlign w:val="bottom"/>
            <w:gridSpan w:val="2"/>
            <w:vMerge w:val="continue"/>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Ownership</w:t>
            </w:r>
          </w:p>
        </w:tc>
        <w:tc>
          <w:tcPr>
            <w:tcW w:w="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tcBorders>
              <w:top w:val="single" w:sz="8" w:color="auto"/>
            </w:tcBorders>
            <w:shd w:val="clear" w:color="auto" w:fill="CCEEFF"/>
          </w:tcPr>
          <w:p>
            <w:pPr>
              <w:spacing w:after="0" w:line="164" w:lineRule="exact"/>
              <w:rPr>
                <w:sz w:val="20"/>
                <w:szCs w:val="20"/>
                <w:color w:val="auto"/>
              </w:rPr>
            </w:pPr>
            <w:r>
              <w:rPr>
                <w:rFonts w:ascii="Arial" w:cs="Arial" w:eastAsia="Arial" w:hAnsi="Arial"/>
                <w:sz w:val="12"/>
                <w:szCs w:val="12"/>
                <w:color w:val="auto"/>
              </w:rPr>
              <w:t>KCAP F3C Senior Funding LLC</w:t>
            </w:r>
            <w:r>
              <w:rPr>
                <w:rFonts w:ascii="Arial" w:cs="Arial" w:eastAsia="Arial" w:hAnsi="Arial"/>
                <w:sz w:val="18"/>
                <w:szCs w:val="18"/>
                <w:color w:val="auto"/>
                <w:vertAlign w:val="superscript"/>
              </w:rPr>
              <w:t>(6)(14)</w:t>
            </w:r>
          </w:p>
        </w:tc>
        <w:tc>
          <w:tcPr>
            <w:tcW w:w="36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Class E Notes, 9.8% Cash, 3 month LIBOR</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37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(2.34%) + 7.50%, Due 12/29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10/24/2017</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4,395,666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4,691,433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4"/>
                <w:szCs w:val="14"/>
                <w:color w:val="auto"/>
              </w:rPr>
              <w:t>Total Investment in CLO Rated-Note</w:t>
            </w:r>
          </w:p>
        </w:tc>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4,395,666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4,691,433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4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CLO Fund Securities</w:t>
            </w:r>
          </w:p>
        </w:tc>
        <w:tc>
          <w:tcPr>
            <w:tcW w:w="3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(28% of net asset value at fair value)</w:t>
            </w:r>
          </w:p>
        </w:tc>
        <w:tc>
          <w:tcPr>
            <w:tcW w:w="3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68,769,245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47,983,931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Asset Manager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Initial</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16</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Ownership</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1"/>
                <w:szCs w:val="21"/>
                <w:color w:val="auto"/>
                <w:vertAlign w:val="superscript"/>
              </w:rPr>
              <w:t>(8)(9)(14)</w:t>
            </w:r>
          </w:p>
        </w:tc>
        <w:tc>
          <w:tcPr>
            <w:tcW w:w="120" w:type="dxa"/>
            <w:vAlign w:val="bottom"/>
            <w:vMerge w:val="continue"/>
            <w:shd w:val="clear" w:color="auto" w:fill="CCEEFF"/>
          </w:tcPr>
          <w:p>
            <w:pPr>
              <w:spacing w:after="0"/>
              <w:rPr>
                <w:sz w:val="15"/>
                <w:szCs w:val="15"/>
                <w:color w:val="auto"/>
              </w:rPr>
            </w:pPr>
          </w:p>
        </w:tc>
        <w:tc>
          <w:tcPr>
            <w:tcW w:w="28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 Management Company</w:t>
            </w:r>
          </w:p>
        </w:tc>
        <w:tc>
          <w:tcPr>
            <w:tcW w:w="120" w:type="dxa"/>
            <w:vAlign w:val="bottom"/>
            <w:tcBorders>
              <w:right w:val="single" w:sz="8" w:color="CCEEFF"/>
            </w:tcBorders>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12/11/2006</w:t>
            </w:r>
          </w:p>
        </w:tc>
        <w:tc>
          <w:tcPr>
            <w:tcW w:w="120" w:type="dxa"/>
            <w:vAlign w:val="bottom"/>
            <w:tcBorders>
              <w:right w:val="single" w:sz="8" w:color="CCEEFF"/>
            </w:tcBorders>
            <w:shd w:val="clear" w:color="auto" w:fill="CCEEFF"/>
          </w:tcPr>
          <w:p>
            <w:pPr>
              <w:spacing w:after="0"/>
              <w:rPr>
                <w:sz w:val="15"/>
                <w:szCs w:val="15"/>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51,591,230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35,818,000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Asset Manager Affiliates</w:t>
            </w:r>
          </w:p>
        </w:tc>
        <w:tc>
          <w:tcPr>
            <w:tcW w:w="288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51,591,230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35,818,000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(21% of net asset value at fair value)</w:t>
            </w:r>
          </w:p>
        </w:tc>
        <w:tc>
          <w:tcPr>
            <w:tcW w:w="288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Joint Ventures</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16</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Ownership</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KCAP Freedom 3 LLC</w:t>
            </w:r>
            <w:r>
              <w:rPr>
                <w:rFonts w:ascii="Arial" w:cs="Arial" w:eastAsia="Arial" w:hAnsi="Arial"/>
                <w:sz w:val="22"/>
                <w:szCs w:val="22"/>
                <w:color w:val="auto"/>
                <w:vertAlign w:val="superscript"/>
              </w:rPr>
              <w:t>(9)(14)</w:t>
            </w:r>
          </w:p>
        </w:tc>
        <w:tc>
          <w:tcPr>
            <w:tcW w:w="120" w:type="dxa"/>
            <w:vAlign w:val="bottom"/>
            <w:vMerge w:val="continue"/>
            <w:shd w:val="clear" w:color="auto" w:fill="CCEEFF"/>
          </w:tcPr>
          <w:p>
            <w:pPr>
              <w:spacing w:after="0"/>
              <w:rPr>
                <w:sz w:val="17"/>
                <w:szCs w:val="17"/>
                <w:color w:val="auto"/>
              </w:rPr>
            </w:pPr>
          </w:p>
        </w:tc>
        <w:tc>
          <w:tcPr>
            <w:tcW w:w="28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Joint Venture</w:t>
            </w:r>
          </w:p>
        </w:tc>
        <w:tc>
          <w:tcPr>
            <w:tcW w:w="12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7/19/2017</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24,914,858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21,373,570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Joint Ventures</w:t>
            </w:r>
          </w:p>
        </w:tc>
        <w:tc>
          <w:tcPr>
            <w:tcW w:w="288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(12% of net asset value at fair value)</w:t>
            </w:r>
          </w:p>
        </w:tc>
        <w:tc>
          <w:tcPr>
            <w:tcW w:w="28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24,914,858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21,373,570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Short-term Investments</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Initial</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 /Amortized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Short-term Investments</w:t>
            </w:r>
          </w:p>
        </w:tc>
        <w:tc>
          <w:tcPr>
            <w:tcW w:w="3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16</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Acquisition</w:t>
            </w: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Yield</w:t>
            </w: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US Bank Money Market Account</w:t>
            </w:r>
            <w:r>
              <w:rPr>
                <w:rFonts w:ascii="Arial" w:cs="Arial" w:eastAsia="Arial" w:hAnsi="Arial"/>
                <w:sz w:val="22"/>
                <w:szCs w:val="22"/>
                <w:color w:val="auto"/>
                <w:vertAlign w:val="superscript"/>
              </w:rPr>
              <w:t>(7)(8)</w:t>
            </w:r>
          </w:p>
        </w:tc>
        <w:tc>
          <w:tcPr>
            <w:tcW w:w="120" w:type="dxa"/>
            <w:vAlign w:val="bottom"/>
            <w:vMerge w:val="continue"/>
            <w:shd w:val="clear" w:color="auto" w:fill="CCEEFF"/>
          </w:tcPr>
          <w:p>
            <w:pPr>
              <w:spacing w:after="0"/>
              <w:rPr>
                <w:sz w:val="17"/>
                <w:szCs w:val="17"/>
                <w:color w:val="auto"/>
              </w:rPr>
            </w:pPr>
          </w:p>
        </w:tc>
        <w:tc>
          <w:tcPr>
            <w:tcW w:w="28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Money Market Account</w:t>
            </w:r>
          </w:p>
        </w:tc>
        <w:tc>
          <w:tcPr>
            <w:tcW w:w="12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24,431,512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24,431,512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Short-term Investments</w:t>
            </w:r>
          </w:p>
        </w:tc>
        <w:tc>
          <w:tcPr>
            <w:tcW w:w="288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2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(14% of net asset value at fair value)</w:t>
            </w:r>
          </w:p>
        </w:tc>
        <w:tc>
          <w:tcPr>
            <w:tcW w:w="28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24,431,512</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24,431,512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tcPr>
          <w:p>
            <w:pPr>
              <w:spacing w:after="0" w:line="197" w:lineRule="exact"/>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22"/>
                <w:szCs w:val="22"/>
                <w:b w:val="1"/>
                <w:bCs w:val="1"/>
                <w:color w:val="auto"/>
                <w:vertAlign w:val="superscript"/>
              </w:rPr>
              <w:t>4</w:t>
            </w: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329,416,447</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273,485,375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80" w:hanging="352"/>
        <w:spacing w:after="0" w:line="224" w:lineRule="auto"/>
        <w:tabs>
          <w:tab w:leader="none" w:pos="36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September 30, 2018. As noted in the table above, 77% (based on par) of debt securities contain floors which range between 1.00% and 3.00%.</w:t>
      </w:r>
    </w:p>
    <w:p>
      <w:pPr>
        <w:spacing w:after="0" w:line="8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September 30, 2018, as determined by the Company’s Board of Directors.</w:t>
      </w:r>
    </w:p>
    <w:p>
      <w:pPr>
        <w:spacing w:after="0" w:line="8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202" w:lineRule="exact"/>
        <w:rPr>
          <w:sz w:val="20"/>
          <w:szCs w:val="20"/>
          <w:color w:val="auto"/>
        </w:rPr>
      </w:pPr>
    </w:p>
    <w:p>
      <w:pPr>
        <w:ind w:left="360" w:right="620" w:hanging="352"/>
        <w:spacing w:after="0" w:line="209" w:lineRule="auto"/>
        <w:tabs>
          <w:tab w:leader="none" w:pos="36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$329 million. The aggregate gross unrealized appreciation is approximately $0.3 million, the aggregate gross unrealized depreciation is approximately $56.2 million, and the net unrealized depreciation is approximately $55.9 million.</w:t>
      </w:r>
    </w:p>
    <w:p>
      <w:pPr>
        <w:spacing w:after="0" w:line="8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Loan or debt security is on non-accrual status and therefore is considered non-income producing.</w:t>
      </w:r>
    </w:p>
    <w:p>
      <w:pPr>
        <w:spacing w:after="0" w:line="11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87" w:lineRule="exact"/>
        <w:rPr>
          <w:sz w:val="20"/>
          <w:szCs w:val="20"/>
          <w:color w:val="auto"/>
        </w:rPr>
      </w:pPr>
    </w:p>
    <w:p>
      <w:pPr>
        <w:ind w:left="360" w:hanging="352"/>
        <w:spacing w:after="0"/>
        <w:tabs>
          <w:tab w:leader="none" w:pos="3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Money market account.</w:t>
      </w:r>
    </w:p>
    <w:p>
      <w:pPr>
        <w:spacing w:after="0" w:line="202" w:lineRule="exact"/>
        <w:rPr>
          <w:sz w:val="20"/>
          <w:szCs w:val="20"/>
          <w:color w:val="auto"/>
        </w:rPr>
      </w:pPr>
    </w:p>
    <w:p>
      <w:pPr>
        <w:ind w:left="360" w:right="680" w:hanging="352"/>
        <w:spacing w:after="0" w:line="194" w:lineRule="auto"/>
        <w:tabs>
          <w:tab w:leader="none" w:pos="3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 as amended (the “1940 Act”). Qualifying assets represent approximately 74% of the total investments at September 30,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352" w:hanging="352"/>
        <w:spacing w:after="0" w:line="218" w:lineRule="auto"/>
        <w:tabs>
          <w:tab w:leader="none" w:pos="352"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88" w:lineRule="exact"/>
        <w:rPr>
          <w:sz w:val="20"/>
          <w:szCs w:val="20"/>
          <w:color w:val="auto"/>
        </w:rPr>
      </w:pPr>
    </w:p>
    <w:p>
      <w:pPr>
        <w:ind w:left="352" w:hanging="352"/>
        <w:spacing w:after="0"/>
        <w:tabs>
          <w:tab w:leader="none" w:pos="3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Non-voting.</w:t>
      </w:r>
    </w:p>
    <w:p>
      <w:pPr>
        <w:spacing w:after="0" w:line="201" w:lineRule="exact"/>
        <w:rPr>
          <w:rFonts w:ascii="Arial" w:cs="Arial" w:eastAsia="Arial" w:hAnsi="Arial"/>
          <w:sz w:val="30"/>
          <w:szCs w:val="30"/>
          <w:color w:val="auto"/>
          <w:vertAlign w:val="superscript"/>
        </w:rPr>
      </w:pPr>
    </w:p>
    <w:p>
      <w:pPr>
        <w:jc w:val="both"/>
        <w:ind w:left="352" w:right="140" w:hanging="352"/>
        <w:spacing w:after="0" w:line="218" w:lineRule="auto"/>
        <w:tabs>
          <w:tab w:leader="none" w:pos="3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88" w:lineRule="exact"/>
        <w:rPr>
          <w:rFonts w:ascii="Arial" w:cs="Arial" w:eastAsia="Arial" w:hAnsi="Arial"/>
          <w:sz w:val="30"/>
          <w:szCs w:val="30"/>
          <w:color w:val="auto"/>
          <w:vertAlign w:val="superscript"/>
        </w:rPr>
      </w:pPr>
    </w:p>
    <w:p>
      <w:pPr>
        <w:ind w:left="352" w:hanging="352"/>
        <w:spacing w:after="0"/>
        <w:tabs>
          <w:tab w:leader="none" w:pos="3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Notice of redemption has been received for this security.</w:t>
      </w:r>
    </w:p>
    <w:p>
      <w:pPr>
        <w:spacing w:after="0" w:line="163" w:lineRule="exact"/>
        <w:rPr>
          <w:rFonts w:ascii="Arial" w:cs="Arial" w:eastAsia="Arial" w:hAnsi="Arial"/>
          <w:sz w:val="30"/>
          <w:szCs w:val="30"/>
          <w:color w:val="auto"/>
          <w:vertAlign w:val="superscript"/>
        </w:rPr>
      </w:pPr>
    </w:p>
    <w:p>
      <w:pPr>
        <w:ind w:left="352" w:hanging="352"/>
        <w:spacing w:after="0" w:line="186" w:lineRule="auto"/>
        <w:tabs>
          <w:tab w:leader="none" w:pos="3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Loan or security was on partial nonaccrual status, whereby we have recognized income on a portion of contractual PIK amounts due.</w:t>
      </w:r>
    </w:p>
    <w:p>
      <w:pPr>
        <w:spacing w:after="0" w:line="164" w:lineRule="exact"/>
        <w:rPr>
          <w:rFonts w:ascii="Arial" w:cs="Arial" w:eastAsia="Arial" w:hAnsi="Arial"/>
          <w:sz w:val="30"/>
          <w:szCs w:val="30"/>
          <w:color w:val="auto"/>
          <w:vertAlign w:val="superscript"/>
        </w:rPr>
      </w:pPr>
    </w:p>
    <w:p>
      <w:pPr>
        <w:ind w:left="352" w:hanging="352"/>
        <w:spacing w:after="0" w:line="186" w:lineRule="auto"/>
        <w:tabs>
          <w:tab w:leader="none" w:pos="3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Fair value of this investment was determined using significant unobservable inputs.</w:t>
      </w:r>
    </w:p>
    <w:p>
      <w:pPr>
        <w:spacing w:after="0" w:line="203" w:lineRule="exact"/>
        <w:rPr>
          <w:rFonts w:ascii="Arial" w:cs="Arial" w:eastAsia="Arial" w:hAnsi="Arial"/>
          <w:sz w:val="30"/>
          <w:szCs w:val="30"/>
          <w:color w:val="auto"/>
          <w:vertAlign w:val="superscript"/>
        </w:rPr>
      </w:pPr>
    </w:p>
    <w:p>
      <w:pPr>
        <w:ind w:left="352" w:right="200" w:hanging="352"/>
        <w:spacing w:after="0" w:line="238" w:lineRule="auto"/>
        <w:tabs>
          <w:tab w:leader="none" w:pos="352"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As of September 30, 2018, this investment is owned by KCAP Funding I, LLC and was pledged to secure KCAP Funding I, LLC’s debt obligation pursuant to its senior secured revolving credit facility (the “Revolving Credit Facility”) with the Company, as the servicer, certain institutional lenders, State Bank and Trust Company, as the administrative agent, lead arranger and bookrunner, and CIBC Bank USA, as documentation agent.</w:t>
      </w:r>
    </w:p>
    <w:p>
      <w:pPr>
        <w:spacing w:after="0" w:line="202" w:lineRule="exact"/>
        <w:rPr>
          <w:rFonts w:ascii="Arial" w:cs="Arial" w:eastAsia="Arial" w:hAnsi="Arial"/>
          <w:sz w:val="26"/>
          <w:szCs w:val="26"/>
          <w:color w:val="auto"/>
          <w:vertAlign w:val="superscript"/>
        </w:rPr>
      </w:pPr>
    </w:p>
    <w:p>
      <w:pPr>
        <w:ind w:left="352" w:right="20" w:hanging="352"/>
        <w:spacing w:after="0" w:line="209" w:lineRule="auto"/>
        <w:tabs>
          <w:tab w:leader="none" w:pos="3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203" w:lineRule="exact"/>
        <w:rPr>
          <w:rFonts w:ascii="Arial" w:cs="Arial" w:eastAsia="Arial" w:hAnsi="Arial"/>
          <w:sz w:val="30"/>
          <w:szCs w:val="30"/>
          <w:color w:val="auto"/>
          <w:vertAlign w:val="superscript"/>
        </w:rPr>
      </w:pPr>
    </w:p>
    <w:p>
      <w:pPr>
        <w:ind w:left="352" w:right="100" w:hanging="352"/>
        <w:spacing w:after="0" w:line="218" w:lineRule="auto"/>
        <w:tabs>
          <w:tab w:leader="none" w:pos="352"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The remaining collateral in these CLO Fund portfolios are illiquid and not producing meaningful cash flows, and thus, the Company’s investment in the CLO Subordinated securities are not currently receiving periodic cash distributions. Accordingly, the Company is no longer recording any investment income from these investments, and has thus noted the effective interest as not meaningful, or N/M. The fair value of the investment reflects the Company’s estimated share of the fair value of the underlying collateral.</w:t>
      </w: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420"/>
          </w:cols>
          <w:pgMar w:left="240" w:top="93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178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8" w:lineRule="exact"/>
        <w:rPr>
          <w:sz w:val="20"/>
          <w:szCs w:val="20"/>
          <w:color w:val="auto"/>
        </w:rPr>
      </w:pPr>
    </w:p>
    <w:p>
      <w:pPr>
        <w:ind w:left="180" w:hanging="161"/>
        <w:spacing w:after="0" w:line="224" w:lineRule="auto"/>
        <w:rPr>
          <w:sz w:val="20"/>
          <w:szCs w:val="20"/>
          <w:color w:val="auto"/>
        </w:rPr>
      </w:pPr>
      <w:r>
        <w:rPr>
          <w:rFonts w:ascii="Arial" w:cs="Arial" w:eastAsia="Arial" w:hAnsi="Arial"/>
          <w:sz w:val="17"/>
          <w:szCs w:val="17"/>
          <w:color w:val="auto"/>
        </w:rPr>
        <w:t>Advanced Lighting Technologies, Inc.</w:t>
      </w:r>
      <w:r>
        <w:rPr>
          <w:rFonts w:ascii="Arial" w:cs="Arial" w:eastAsia="Arial" w:hAnsi="Arial"/>
          <w:sz w:val="28"/>
          <w:szCs w:val="28"/>
          <w:color w:val="auto"/>
          <w:vertAlign w:val="superscript"/>
        </w:rPr>
        <w:t>(8)(14)</w:t>
      </w:r>
      <w:r>
        <w:rPr>
          <w:rFonts w:ascii="Arial" w:cs="Arial" w:eastAsia="Arial" w:hAnsi="Arial"/>
          <w:sz w:val="17"/>
          <w:szCs w:val="17"/>
          <w:color w:val="auto"/>
        </w:rPr>
        <w:t xml:space="preserve"> Consumer goods: Durable</w:t>
      </w:r>
    </w:p>
    <w:p>
      <w:pPr>
        <w:spacing w:after="0" w:line="200" w:lineRule="exact"/>
        <w:rPr>
          <w:sz w:val="20"/>
          <w:szCs w:val="20"/>
          <w:color w:val="auto"/>
        </w:rPr>
      </w:pPr>
    </w:p>
    <w:p>
      <w:pPr>
        <w:spacing w:after="0" w:line="397" w:lineRule="exact"/>
        <w:rPr>
          <w:sz w:val="20"/>
          <w:szCs w:val="20"/>
          <w:color w:val="auto"/>
        </w:rPr>
      </w:pPr>
    </w:p>
    <w:p>
      <w:pPr>
        <w:ind w:left="180" w:right="260" w:hanging="161"/>
        <w:spacing w:after="0" w:line="210" w:lineRule="auto"/>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(8)(14)</w:t>
      </w:r>
      <w:r>
        <w:rPr>
          <w:rFonts w:ascii="Arial" w:cs="Arial" w:eastAsia="Arial" w:hAnsi="Arial"/>
          <w:sz w:val="18"/>
          <w:szCs w:val="18"/>
          <w:color w:val="auto"/>
        </w:rPr>
        <w:t xml:space="preserve"> Services: Business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b w:val="1"/>
                <w:bCs w:val="1"/>
                <w:color w:val="auto"/>
                <w:w w:val="94"/>
                <w:vertAlign w:val="superscript"/>
              </w:rPr>
              <w:t>2</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Second Lien Notes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8.7% Cash, 10.0% PIK, 3 month</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LIBOR(1.70%) + 17.00%;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1.00% , Due 10/23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889,340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889,338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803,598</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7.9% Cash, 3 month LIBOR(1.38%) + 6.50%;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LIBOR Floor 1.00% , Due 7/22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1,001,438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-1234440</wp:posOffset>
            </wp:positionV>
            <wp:extent cx="7246620" cy="548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-548005</wp:posOffset>
            </wp:positionV>
            <wp:extent cx="7246620" cy="548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200" w:space="360"/>
            <w:col w:w="7860"/>
          </w:cols>
          <w:pgMar w:left="240" w:top="931" w:right="239" w:bottom="144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API Technologies Corp.</w:t>
            </w:r>
            <w:r>
              <w:rPr>
                <w:rFonts w:ascii="Arial" w:cs="Arial" w:eastAsia="Arial" w:hAnsi="Arial"/>
                <w:sz w:val="30"/>
                <w:szCs w:val="30"/>
                <w:color w:val="auto"/>
                <w:vertAlign w:val="superscript"/>
              </w:rPr>
              <w:t>(8)</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Initial Term Loan</w:t>
            </w:r>
          </w:p>
        </w:tc>
        <w:tc>
          <w:tcPr>
            <w:tcW w:w="1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8.2% Cash, 3 month LIBOR(1.69%) + 6.50%;</w:t>
            </w:r>
          </w:p>
        </w:tc>
        <w:tc>
          <w:tcPr>
            <w:tcW w:w="1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3,080,305</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3,110,759</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3,111,108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4/22</w:t>
            </w:r>
          </w:p>
        </w:tc>
        <w:tc>
          <w:tcPr>
            <w:tcW w:w="14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Avalign Technologies, Inc.</w:t>
            </w:r>
            <w:r>
              <w:rPr>
                <w:rFonts w:ascii="Arial" w:cs="Arial" w:eastAsia="Arial" w:hAnsi="Arial"/>
                <w:sz w:val="23"/>
                <w:szCs w:val="23"/>
                <w:color w:val="auto"/>
                <w:vertAlign w:val="superscript"/>
              </w:rPr>
              <w:t>(8)</w:t>
            </w:r>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Senior Secured Loan — Initial Term Loan</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(First Lien)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6.1% Cash, 1 month LIBOR(1.57%) + 4.50%;</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7/21</w:t>
            </w: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1,065,342</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1,062,983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Avalign Technologies, Inc.</w:t>
            </w:r>
            <w:r>
              <w:rPr>
                <w:rFonts w:ascii="Arial" w:cs="Arial" w:eastAsia="Arial" w:hAnsi="Arial"/>
                <w:sz w:val="23"/>
                <w:szCs w:val="23"/>
                <w:color w:val="auto"/>
                <w:vertAlign w:val="superscript"/>
              </w:rPr>
              <w:t>(8)(14)</w:t>
            </w:r>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Junior Secured Loan — Initial Term Loan</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(Second Lien)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9.7% Cash, 6 month LIBOR(1.46%) + 8.25%;</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7/22</w:t>
            </w: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1,488,964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1,467,300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BMC Acquisition, Inc. (aka BenefitMall)</w:t>
            </w:r>
            <w:r>
              <w:rPr>
                <w:rFonts w:ascii="Arial" w:cs="Arial" w:eastAsia="Arial" w:hAnsi="Arial"/>
                <w:sz w:val="23"/>
                <w:szCs w:val="23"/>
                <w:color w:val="auto"/>
                <w:vertAlign w:val="superscript"/>
              </w:rPr>
              <w:t>(8)(14)</w:t>
            </w:r>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Senior Secured Loan — Initial Term Loan</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Banking, Finance, Insurance &amp; Real Estate</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7.0% Cash, 3 month LIBOR(1.84%) + 5.17%;</w:t>
            </w:r>
          </w:p>
        </w:tc>
        <w:tc>
          <w:tcPr>
            <w:tcW w:w="1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3,000,000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2,998,125</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12/24</w:t>
            </w:r>
          </w:p>
        </w:tc>
        <w:tc>
          <w:tcPr>
            <w:tcW w:w="14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Carolina Beverage Group LLC</w:t>
            </w:r>
            <w:r>
              <w:rPr>
                <w:rFonts w:ascii="Arial" w:cs="Arial" w:eastAsia="Arial" w:hAnsi="Arial"/>
                <w:sz w:val="23"/>
                <w:szCs w:val="23"/>
                <w:color w:val="auto"/>
                <w:vertAlign w:val="superscript"/>
              </w:rPr>
              <w:t>(8)(14)</w:t>
            </w:r>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Senior Secured Bond — 10.625% - 08/2018 -</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Food and Tobacco</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143818AA0 144A</w:t>
            </w:r>
          </w:p>
        </w:tc>
        <w:tc>
          <w:tcPr>
            <w:tcW w:w="1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1,500,000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1,502,374</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1,518,750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10.6% Cash, Due 8/18</w:t>
            </w:r>
          </w:p>
        </w:tc>
        <w:tc>
          <w:tcPr>
            <w:tcW w:w="14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CSM Bakery Solutions Limited (fka CSM</w:t>
            </w:r>
          </w:p>
        </w:tc>
        <w:tc>
          <w:tcPr>
            <w:tcW w:w="38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Junior Secured Loan — Term Loan (Second</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Bakery Supplies Limited)</w:t>
            </w:r>
            <w:r>
              <w:rPr>
                <w:rFonts w:ascii="Arial" w:cs="Arial" w:eastAsia="Arial" w:hAnsi="Arial"/>
                <w:sz w:val="25"/>
                <w:szCs w:val="25"/>
                <w:color w:val="auto"/>
                <w:vertAlign w:val="superscript"/>
              </w:rPr>
              <w:t>(8)(14)</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Food and Tobacco</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9.1% Cash, 3 month LIBOR(1.33%) + 7.75%;</w:t>
            </w:r>
          </w:p>
        </w:tc>
        <w:tc>
          <w:tcPr>
            <w:tcW w:w="1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3,000,000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3,008,816</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2,914,800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7/21</w:t>
            </w:r>
          </w:p>
        </w:tc>
        <w:tc>
          <w:tcPr>
            <w:tcW w:w="14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DigiCert, Inc.</w:t>
            </w:r>
            <w:r>
              <w:rPr>
                <w:rFonts w:ascii="Arial" w:cs="Arial" w:eastAsia="Arial" w:hAnsi="Arial"/>
                <w:sz w:val="23"/>
                <w:szCs w:val="23"/>
                <w:color w:val="auto"/>
                <w:vertAlign w:val="superscript"/>
              </w:rPr>
              <w:t>(8)</w:t>
            </w:r>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Junior Secured Loan — Initial Loan (Second</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9.4% Cash, 3 month LIBOR(1.38%) + 8.00%;</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10/25</w:t>
            </w: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995,059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979,100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Drew Marine Group Inc.</w:t>
            </w:r>
            <w:r>
              <w:rPr>
                <w:rFonts w:ascii="Arial" w:cs="Arial" w:eastAsia="Arial" w:hAnsi="Arial"/>
                <w:sz w:val="23"/>
                <w:szCs w:val="23"/>
                <w:color w:val="auto"/>
                <w:vertAlign w:val="superscript"/>
              </w:rPr>
              <w:t>(8)</w:t>
            </w:r>
          </w:p>
        </w:tc>
        <w:tc>
          <w:tcPr>
            <w:tcW w:w="38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Junior Secured Loan — Term Loan (Second</w:t>
            </w:r>
          </w:p>
        </w:tc>
        <w:tc>
          <w:tcPr>
            <w:tcW w:w="1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Cargo</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8.6% Cash, 1 month LIBOR(1.57%) + 7.00%;</w:t>
            </w:r>
          </w:p>
        </w:tc>
        <w:tc>
          <w:tcPr>
            <w:tcW w:w="1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5/21</w:t>
            </w: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4,000,901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4,010,000</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16</w:t>
            </w:r>
          </w:p>
        </w:tc>
        <w:tc>
          <w:tcPr>
            <w:tcW w:w="1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type w:val="continuous"/>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3560" w:type="dxa"/>
            <w:vAlign w:val="bottom"/>
            <w:gridSpan w:val="2"/>
          </w:tcPr>
          <w:p>
            <w:pPr>
              <w:ind w:left="124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5</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Principal Business</w:t>
            </w:r>
          </w:p>
        </w:tc>
        <w:tc>
          <w:tcPr>
            <w:tcW w:w="3560" w:type="dxa"/>
            <w:vAlign w:val="bottom"/>
            <w:gridSpan w:val="2"/>
          </w:tcPr>
          <w:p>
            <w:pPr>
              <w:ind w:left="820"/>
              <w:spacing w:after="0"/>
              <w:rPr>
                <w:sz w:val="20"/>
                <w:szCs w:val="20"/>
                <w:color w:val="auto"/>
              </w:rPr>
            </w:pPr>
            <w:r>
              <w:rPr>
                <w:rFonts w:ascii="Arial" w:cs="Arial" w:eastAsia="Arial" w:hAnsi="Arial"/>
                <w:sz w:val="18"/>
                <w:szCs w:val="18"/>
                <w:b w:val="1"/>
                <w:bCs w:val="1"/>
                <w:color w:val="auto"/>
              </w:rPr>
              <w:t>Interest Rate¹/Maturity</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Principal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Cost</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EagleTree-Carbide Acquisition Corp. (aka</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line="217" w:lineRule="exact"/>
              <w:rPr>
                <w:sz w:val="20"/>
                <w:szCs w:val="20"/>
                <w:color w:val="auto"/>
              </w:rPr>
            </w:pPr>
            <w:r>
              <w:rPr>
                <w:rFonts w:ascii="Arial" w:cs="Arial" w:eastAsia="Arial" w:hAnsi="Arial"/>
                <w:sz w:val="16"/>
                <w:szCs w:val="16"/>
                <w:color w:val="auto"/>
              </w:rPr>
              <w:t>Corsair Components, Inc.)</w:t>
            </w:r>
            <w:r>
              <w:rPr>
                <w:rFonts w:ascii="Arial" w:cs="Arial" w:eastAsia="Arial" w:hAnsi="Arial"/>
                <w:sz w:val="25"/>
                <w:szCs w:val="25"/>
                <w:color w:val="auto"/>
                <w:vertAlign w:val="superscript"/>
              </w:rPr>
              <w:t>(8)(14)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 Cash, 3 month LIBOR(1.69%) +</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4,927,010</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4,997,500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8.50%; LIBOR Floor 1.00% , Due 8/25</w:t>
            </w:r>
          </w:p>
        </w:tc>
        <w:tc>
          <w:tcPr>
            <w:tcW w:w="12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First American Payment Systems, L.P.</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Banking, Finance, Insurance &amp; Real Estate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 Cash, 1 month LIBOR(1.39%) +</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10.50%; LIBOR Floor 1.00% , Due 7/24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1,460,837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Flexera Software LLC (fka Flexera Software,</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Term Loan (First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line="217" w:lineRule="exact"/>
              <w:rPr>
                <w:sz w:val="20"/>
                <w:szCs w:val="20"/>
                <w:color w:val="auto"/>
              </w:rPr>
            </w:pPr>
            <w:r>
              <w:rPr>
                <w:rFonts w:ascii="Arial" w:cs="Arial" w:eastAsia="Arial" w:hAnsi="Arial"/>
                <w:sz w:val="16"/>
                <w:szCs w:val="16"/>
                <w:color w:val="auto"/>
              </w:rPr>
              <w:t>Inc.)</w:t>
            </w:r>
            <w:r>
              <w:rPr>
                <w:rFonts w:ascii="Arial" w:cs="Arial" w:eastAsia="Arial" w:hAnsi="Arial"/>
                <w:sz w:val="25"/>
                <w:szCs w:val="25"/>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5.1% Cash, 1 month LIBOR(1.57%) + 3.50%;</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1,995,443</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4/20</w:t>
            </w:r>
          </w:p>
        </w:tc>
        <w:tc>
          <w:tcPr>
            <w:tcW w:w="12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GI Advo Opco, LLC</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6.2% Cash, 3 month LIBOR(1.69%) + 4.50%;</w:t>
            </w: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230,756</w:t>
            </w: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229,252</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230,732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11/21</w:t>
            </w:r>
          </w:p>
        </w:tc>
        <w:tc>
          <w:tcPr>
            <w:tcW w:w="1500" w:type="dxa"/>
            <w:vAlign w:val="bottom"/>
            <w:gridSpan w:val="2"/>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GK Holdings, Inc. (aka Global Knowledge)</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 Cash, 3 month LIBOR(1.69%) +</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10.25%; LIBOR Floor 1.00% , Due 1/22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1,482,520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Global Tel*Link Corporation</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Telecommunications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5.7% Cash, 3 month LIBOR(1.69%) + 4.00%;</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1.25% , Due 5/20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1,495,689</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1,492,021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1,491,949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Global Tel*Link Corporation</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Telecommunications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9.9% Cash, 3 month LIBOR(1.69%) + 8.25%;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1.25% , Due 11/20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4,963,469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B Loan (First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8.5% Cash, 3 month LIBOR(1.50%) + 7.00%;</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1.50% , Due 1/18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2,849,063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7,191,667</w:t>
            </w:r>
          </w:p>
        </w:tc>
        <w:tc>
          <w:tcPr>
            <w:tcW w:w="24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7,174,676</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4,566,708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13.8% Cash, Due 7/18</w:t>
            </w:r>
          </w:p>
        </w:tc>
        <w:tc>
          <w:tcPr>
            <w:tcW w:w="12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American Corp.)</w:t>
            </w:r>
            <w:r>
              <w:rPr>
                <w:rFonts w:ascii="Arial" w:cs="Arial" w:eastAsia="Arial" w:hAnsi="Arial"/>
                <w:sz w:val="29"/>
                <w:szCs w:val="29"/>
                <w:color w:val="auto"/>
                <w:vertAlign w:val="superscript"/>
              </w:rPr>
              <w:t>(8)(14)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6.4% Cash, 3 month LIBOR(1.69%) + 4.75%;</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Media: Advertising, Printing &amp; Publishing</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11/23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2,986,482</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3,011,321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Forest Products &amp; Paper</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11.2% Cash, 3 month LIBOR(1.69%) + 9.50%;</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11/24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1,558,556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Industrial Services Acquisition, LLC (aka</w:t>
            </w:r>
          </w:p>
        </w:tc>
        <w:tc>
          <w:tcPr>
            <w:tcW w:w="3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Evergreen / NAIC)</w:t>
            </w:r>
            <w:r>
              <w:rPr>
                <w:rFonts w:ascii="Arial" w:cs="Arial" w:eastAsia="Arial" w:hAnsi="Arial"/>
                <w:sz w:val="29"/>
                <w:szCs w:val="29"/>
                <w:color w:val="auto"/>
                <w:vertAlign w:val="superscript"/>
              </w:rPr>
              <w:t>(8)(14)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6.6% Cash, 1 month LIBOR(1.63%) + 5.00%;</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6/22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1,167,909</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1,173,405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1,167,909</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3"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3560" w:type="dxa"/>
            <w:vAlign w:val="bottom"/>
            <w:gridSpan w:val="2"/>
          </w:tcPr>
          <w:p>
            <w:pPr>
              <w:ind w:left="124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5</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Principal Business</w:t>
            </w:r>
          </w:p>
        </w:tc>
        <w:tc>
          <w:tcPr>
            <w:tcW w:w="3560" w:type="dxa"/>
            <w:vAlign w:val="bottom"/>
            <w:gridSpan w:val="2"/>
          </w:tcPr>
          <w:p>
            <w:pPr>
              <w:ind w:left="820"/>
              <w:spacing w:after="0"/>
              <w:rPr>
                <w:sz w:val="20"/>
                <w:szCs w:val="20"/>
                <w:color w:val="auto"/>
              </w:rPr>
            </w:pPr>
            <w:r>
              <w:rPr>
                <w:rFonts w:ascii="Arial" w:cs="Arial" w:eastAsia="Arial" w:hAnsi="Arial"/>
                <w:sz w:val="18"/>
                <w:szCs w:val="18"/>
                <w:b w:val="1"/>
                <w:bCs w:val="1"/>
                <w:color w:val="auto"/>
              </w:rPr>
              <w:t>Interest Rate¹/Maturity</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Principal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Cost</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Infobase Holdings, Inc.</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 Cash, Prime LIBOR(0.00%) + 8.00%;</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1,980,000</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0.00% , Due 12/22</w:t>
            </w:r>
          </w:p>
        </w:tc>
        <w:tc>
          <w:tcPr>
            <w:tcW w:w="12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Ivanti Software, Inc. (fka LANDesk Group,</w:t>
            </w:r>
          </w:p>
        </w:tc>
        <w:tc>
          <w:tcPr>
            <w:tcW w:w="3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Junior Secured Loan — Loan (Second Lien)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Inc.)</w:t>
            </w:r>
            <w:r>
              <w:rPr>
                <w:rFonts w:ascii="Arial" w:cs="Arial" w:eastAsia="Arial" w:hAnsi="Arial"/>
                <w:sz w:val="29"/>
                <w:szCs w:val="29"/>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10.6% Cash, 1 month LIBOR(1.57%) +</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9.00%; LIBOR Floor 1.00% , Due 1/25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3,228,619</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3,228,619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MB Aerospace ACP Holdings II Corp.</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7.1% Cash, 1 month LIBOR(1.63%) + 5.50%;</w:t>
            </w: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980,000</w:t>
            </w: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981,158</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12/22</w:t>
            </w:r>
          </w:p>
        </w:tc>
        <w:tc>
          <w:tcPr>
            <w:tcW w:w="1500" w:type="dxa"/>
            <w:vAlign w:val="bottom"/>
            <w:gridSpan w:val="2"/>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MB Aerospace ACP Holdings III Corp.</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5.1% Cash, 1 month LIBOR(1.58%) + 3.50%;</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4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1,243,750</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1,243,750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1/25</w:t>
            </w:r>
          </w:p>
        </w:tc>
        <w:tc>
          <w:tcPr>
            <w:tcW w:w="12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National Home Health Care Corp.</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 Cash, 1 month LIBOR(1.43%) +</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9.00%; LIBOR Floor 1.00% , Due 12/22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1,500,728</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1,482,044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 Cash, 3 month LIBOR(1.69%) +</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8.50%; LIBOR Floor 1.00% , Due 12/19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1,495,995</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1,495,995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1,487,618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Playpower, Inc.</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Construction &amp; Building</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6.4% Cash, 3 month LIBOR(1.69%) + 4.75%;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6/21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994,898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1,004,093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PSC Industrial Holdings Corp.</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Cash, 1 month LIBOR(1.46%) +</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8.50%; LIBOR Floor 1.00% , Due 10/25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2,941,524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RESIC Enterprises, LLC (aka Lyons Magnus)</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Beverage, Food and Tobacco</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5.7% Cash, 1 month LIBOR(1.43%) + 4.25%;</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11/24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2,985,247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Roscoe Medical, Inc.</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6,700,000</w:t>
            </w:r>
          </w:p>
        </w:tc>
        <w:tc>
          <w:tcPr>
            <w:tcW w:w="24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6,678,900</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6,468,850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11.3% Cash, Due 9/19</w:t>
            </w:r>
          </w:p>
        </w:tc>
        <w:tc>
          <w:tcPr>
            <w:tcW w:w="12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Salient CRGT Inc.</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7.3% Cash, 1 month LIBOR(1.57%) + 5.75%;</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1,967,742</w:t>
            </w:r>
          </w:p>
        </w:tc>
        <w:tc>
          <w:tcPr>
            <w:tcW w:w="240" w:type="dxa"/>
            <w:vAlign w:val="bottom"/>
            <w:shd w:val="clear" w:color="auto" w:fill="CCEEFF"/>
          </w:tcPr>
          <w:p>
            <w:pPr>
              <w:spacing w:after="0"/>
              <w:rPr>
                <w:sz w:val="18"/>
                <w:szCs w:val="18"/>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1,992,339</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1,992,339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2/22</w:t>
            </w:r>
          </w:p>
        </w:tc>
        <w:tc>
          <w:tcPr>
            <w:tcW w:w="12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3"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3560" w:type="dxa"/>
            <w:vAlign w:val="bottom"/>
            <w:gridSpan w:val="2"/>
          </w:tcPr>
          <w:p>
            <w:pPr>
              <w:ind w:left="124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5</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Principal Business</w:t>
            </w:r>
          </w:p>
        </w:tc>
        <w:tc>
          <w:tcPr>
            <w:tcW w:w="3560" w:type="dxa"/>
            <w:vAlign w:val="bottom"/>
            <w:gridSpan w:val="2"/>
          </w:tcPr>
          <w:p>
            <w:pPr>
              <w:ind w:left="820"/>
              <w:spacing w:after="0"/>
              <w:rPr>
                <w:sz w:val="20"/>
                <w:szCs w:val="20"/>
                <w:color w:val="auto"/>
              </w:rPr>
            </w:pPr>
            <w:r>
              <w:rPr>
                <w:rFonts w:ascii="Arial" w:cs="Arial" w:eastAsia="Arial" w:hAnsi="Arial"/>
                <w:sz w:val="18"/>
                <w:szCs w:val="18"/>
                <w:b w:val="1"/>
                <w:bCs w:val="1"/>
                <w:color w:val="auto"/>
              </w:rPr>
              <w:t>Interest Rate¹/Maturity</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Principal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Cost</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SCSG EA Acquisition Company, Inc.</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9.7% Cash, 3 month LIBOR(1.48%) + 8.25%;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9/24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4,952,274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Stafford Logistics, Inc.(dba Custom Ecology,</w:t>
            </w:r>
          </w:p>
        </w:tc>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Junior Secured Loan — Restructured Term</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line="217" w:lineRule="exact"/>
              <w:rPr>
                <w:sz w:val="20"/>
                <w:szCs w:val="20"/>
                <w:color w:val="auto"/>
              </w:rPr>
            </w:pPr>
            <w:r>
              <w:rPr>
                <w:rFonts w:ascii="Arial" w:cs="Arial" w:eastAsia="Arial" w:hAnsi="Arial"/>
                <w:sz w:val="25"/>
                <w:szCs w:val="25"/>
                <w:color w:val="auto"/>
                <w:vertAlign w:val="subscript"/>
              </w:rPr>
              <w:t>Inc.)</w:t>
            </w:r>
            <w:r>
              <w:rPr>
                <w:rFonts w:ascii="Arial" w:cs="Arial" w:eastAsia="Arial" w:hAnsi="Arial"/>
                <w:sz w:val="12"/>
                <w:szCs w:val="12"/>
                <w:color w:val="auto"/>
              </w:rPr>
              <w:t>(8)(13)(14)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 Cash, 7.2% PIK, 3 month</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LIBOR(1.57%) + 6.62%; LIBOR Floor 1.00%</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Due 10/22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1,883,914</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1,875,914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Stafford Logistics, Inc.(dba Custom Ecology,</w:t>
            </w:r>
          </w:p>
        </w:tc>
        <w:tc>
          <w:tcPr>
            <w:tcW w:w="3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line="253" w:lineRule="exact"/>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(8)(14)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13.7% Cash, 3 month LIBOR(1.69%) +</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LIBOR Floor 1.00% , Due 10/22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339,788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339,788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Tank Partners Holdings, LLC</w:t>
            </w:r>
            <w:r>
              <w:rPr>
                <w:rFonts w:ascii="Arial" w:cs="Arial" w:eastAsia="Arial" w:hAnsi="Arial"/>
                <w:sz w:val="23"/>
                <w:szCs w:val="23"/>
                <w:color w:val="auto"/>
                <w:vertAlign w:val="superscript"/>
              </w:rPr>
              <w:t>(8)(13)</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2.0% Cash, 12.8% PIK, Base Rate (4.25%) +</w:t>
            </w: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12,739,078</w:t>
            </w: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12,258,031</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9,153,028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 , Due 8/19</w:t>
            </w:r>
          </w:p>
        </w:tc>
        <w:tc>
          <w:tcPr>
            <w:tcW w:w="1500" w:type="dxa"/>
            <w:vAlign w:val="bottom"/>
            <w:gridSpan w:val="2"/>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Tex-Tech Industries, Inc.</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Textiles and Leather</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10.6% Cash, 1 month LIBOR(1.57%) +</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9.00%; LIBOR Floor 1.00% , Due 8/24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7,950,994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7,947,940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Time Manufacturing Acquisition, LLC</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Equipment</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6.8% Cash, 3 month LIBOR(1.75%) + 5.00%;</w:t>
            </w: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994,987</w:t>
            </w: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992,633</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999,962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2/23</w:t>
            </w:r>
          </w:p>
        </w:tc>
        <w:tc>
          <w:tcPr>
            <w:tcW w:w="1500" w:type="dxa"/>
            <w:vAlign w:val="bottom"/>
            <w:gridSpan w:val="2"/>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Trimaran Advisors, L.L.C.</w:t>
            </w:r>
            <w:r>
              <w:rPr>
                <w:rFonts w:ascii="Arial" w:cs="Arial" w:eastAsia="Arial" w:hAnsi="Arial"/>
                <w:sz w:val="28"/>
                <w:szCs w:val="28"/>
                <w:color w:val="auto"/>
                <w:vertAlign w:val="superscript"/>
              </w:rPr>
              <w:t>(8)(9)(14)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Unsecured Loan — Term Loan Series 1</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Related Party Loan</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 Cash, Due 4/30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8,359,051</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8,359,051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8,359,051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Trimaran Advisors, L.L.C.</w:t>
            </w:r>
            <w:r>
              <w:rPr>
                <w:rFonts w:ascii="Arial" w:cs="Arial" w:eastAsia="Arial" w:hAnsi="Arial"/>
                <w:sz w:val="28"/>
                <w:szCs w:val="28"/>
                <w:color w:val="auto"/>
                <w:vertAlign w:val="superscript"/>
              </w:rPr>
              <w:t>(8)(9)(14)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Unsecured Loan — Term Loan Series 2</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Related Party Loan</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 Cash, Due 1/28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4,418,232</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4,418,232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TronAir Parent Inc.</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6.2% Cash, 1 month LIBOR(1.41%) + 4.75%;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9/23</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997,475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994,981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TRSO I, Inc.</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14.0% Cash, 3 month LIBOR(1.00%) +</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13.00%; LIBOR Floor 1.00% , Due 12/19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994,351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Weiman Products, LLC</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(2013)</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Consumer goods: Non-durable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6.2% Cash, 3 month LIBOR(1.69%) + 4.50%;</w:t>
            </w: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694,662</w:t>
            </w: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691,234</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694,662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Floor 1.00% , Due 11/21</w:t>
            </w:r>
          </w:p>
        </w:tc>
        <w:tc>
          <w:tcPr>
            <w:tcW w:w="1500" w:type="dxa"/>
            <w:vAlign w:val="bottom"/>
            <w:gridSpan w:val="2"/>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3"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3560" w:type="dxa"/>
            <w:vAlign w:val="bottom"/>
            <w:gridSpan w:val="2"/>
          </w:tcPr>
          <w:p>
            <w:pPr>
              <w:ind w:left="124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5</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Principal Business</w:t>
            </w:r>
          </w:p>
        </w:tc>
        <w:tc>
          <w:tcPr>
            <w:tcW w:w="3560" w:type="dxa"/>
            <w:vAlign w:val="bottom"/>
            <w:gridSpan w:val="2"/>
          </w:tcPr>
          <w:p>
            <w:pPr>
              <w:ind w:left="820"/>
              <w:spacing w:after="0"/>
              <w:rPr>
                <w:sz w:val="20"/>
                <w:szCs w:val="20"/>
                <w:color w:val="auto"/>
              </w:rPr>
            </w:pPr>
            <w:r>
              <w:rPr>
                <w:rFonts w:ascii="Arial" w:cs="Arial" w:eastAsia="Arial" w:hAnsi="Arial"/>
                <w:sz w:val="18"/>
                <w:szCs w:val="18"/>
                <w:b w:val="1"/>
                <w:bCs w:val="1"/>
                <w:color w:val="auto"/>
              </w:rPr>
              <w:t>Interest Rate¹/Maturity</w:t>
            </w:r>
          </w:p>
        </w:tc>
        <w:tc>
          <w:tcPr>
            <w:tcW w:w="1500" w:type="dxa"/>
            <w:vAlign w:val="bottom"/>
            <w:gridSpan w:val="2"/>
          </w:tcPr>
          <w:p>
            <w:pPr>
              <w:ind w:left="280"/>
              <w:spacing w:after="0"/>
              <w:rPr>
                <w:sz w:val="20"/>
                <w:szCs w:val="20"/>
                <w:color w:val="auto"/>
              </w:rPr>
            </w:pPr>
            <w:r>
              <w:rPr>
                <w:rFonts w:ascii="Arial" w:cs="Arial" w:eastAsia="Arial" w:hAnsi="Arial"/>
                <w:sz w:val="18"/>
                <w:szCs w:val="18"/>
                <w:b w:val="1"/>
                <w:bCs w:val="1"/>
                <w:color w:val="auto"/>
              </w:rPr>
              <w:t>Principal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Cost</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WireCo WorldGroup Inc. </w:t>
            </w:r>
            <w:r>
              <w:rPr>
                <w:rFonts w:ascii="Arial" w:cs="Arial" w:eastAsia="Arial" w:hAnsi="Arial"/>
                <w:sz w:val="23"/>
                <w:szCs w:val="23"/>
                <w:color w:val="auto"/>
                <w:vertAlign w:val="superscript"/>
              </w:rPr>
              <w:t>(8)(14)</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Equipment</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 Cash, 3 month LIBOR(1.48%) +</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9.00%; LIBOR Floor 1.00% , Due 9/24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2,961,988</w:t>
            </w:r>
          </w:p>
        </w:tc>
        <w:tc>
          <w:tcPr>
            <w:tcW w:w="2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2,991,600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Debt Securities (65% of</w:t>
            </w:r>
          </w:p>
        </w:tc>
        <w:tc>
          <w:tcPr>
            <w:tcW w:w="2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asset value at fair value)</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126,110,659</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125,179,470</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118,197,479</w:t>
            </w:r>
          </w:p>
        </w:tc>
      </w:tr>
      <w:tr>
        <w:trPr>
          <w:trHeight w:val="642"/>
        </w:trPr>
        <w:tc>
          <w:tcPr>
            <w:tcW w:w="4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43"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Principal Business</w:t>
            </w:r>
          </w:p>
        </w:tc>
        <w:tc>
          <w:tcPr>
            <w:tcW w:w="100" w:type="dxa"/>
            <w:vAlign w:val="bottom"/>
          </w:tcPr>
          <w:p>
            <w:pPr>
              <w:spacing w:after="0"/>
              <w:rPr>
                <w:sz w:val="20"/>
                <w:szCs w:val="20"/>
                <w:color w:val="auto"/>
              </w:rPr>
            </w:pPr>
          </w:p>
        </w:tc>
        <w:tc>
          <w:tcPr>
            <w:tcW w:w="2120" w:type="dxa"/>
            <w:vAlign w:val="bottom"/>
          </w:tcPr>
          <w:p>
            <w:pPr>
              <w:ind w:left="1240"/>
              <w:spacing w:after="0"/>
              <w:rPr>
                <w:sz w:val="20"/>
                <w:szCs w:val="20"/>
                <w:color w:val="auto"/>
              </w:rPr>
            </w:pPr>
            <w:r>
              <w:rPr>
                <w:rFonts w:ascii="Arial" w:cs="Arial" w:eastAsia="Arial" w:hAnsi="Arial"/>
                <w:sz w:val="18"/>
                <w:szCs w:val="18"/>
                <w:b w:val="1"/>
                <w:bCs w:val="1"/>
                <w:color w:val="auto"/>
                <w:w w:val="90"/>
              </w:rPr>
              <w:t>Investment</w:t>
            </w:r>
          </w:p>
        </w:tc>
        <w:tc>
          <w:tcPr>
            <w:tcW w:w="1220" w:type="dxa"/>
            <w:vAlign w:val="bottom"/>
          </w:tcPr>
          <w:p>
            <w:pPr>
              <w:spacing w:after="0"/>
              <w:rPr>
                <w:sz w:val="20"/>
                <w:szCs w:val="20"/>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Ownership/Shares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Partnership Interests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Series A Preferred Interests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Membership Units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w w:val="95"/>
              </w:rPr>
              <w:t>FP WRCA Coinvestment Fund VII, Ltd.</w:t>
            </w:r>
            <w:r>
              <w:rPr>
                <w:rFonts w:ascii="Arial" w:cs="Arial" w:eastAsia="Arial" w:hAnsi="Arial"/>
                <w:sz w:val="28"/>
                <w:szCs w:val="28"/>
                <w:color w:val="auto"/>
                <w:w w:val="95"/>
                <w:vertAlign w:val="superscript"/>
              </w:rPr>
              <w:t>(3)(14)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Equipment</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Shares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Health, LLC)</w:t>
            </w:r>
            <w:r>
              <w:rPr>
                <w:rFonts w:ascii="Arial" w:cs="Arial" w:eastAsia="Arial" w:hAnsi="Arial"/>
                <w:sz w:val="29"/>
                <w:szCs w:val="29"/>
                <w:color w:val="auto"/>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1,953,299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Hotel, Gaming &amp; Leisure</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2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Units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4"/>
              </w:rPr>
              <w:t>Stafford Logistics, Inc.(dba Custom Ecology,</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60" w:type="dxa"/>
            <w:vAlign w:val="bottom"/>
            <w:shd w:val="clear" w:color="auto" w:fill="CCEEFF"/>
          </w:tcPr>
          <w:p>
            <w:pPr>
              <w:spacing w:after="0" w:line="253" w:lineRule="exact"/>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Equity</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4"/>
              </w:rPr>
              <w:t>Stafford Logistics, Inc.(dba Custom Ecology,</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60" w:type="dxa"/>
            <w:vAlign w:val="bottom"/>
            <w:shd w:val="clear" w:color="auto" w:fill="CCEEFF"/>
          </w:tcPr>
          <w:p>
            <w:pPr>
              <w:spacing w:after="0" w:line="253" w:lineRule="exact"/>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B Units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(8)(10)(14)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1,680,161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w w:val="98"/>
              </w:rPr>
              <w:t>Advanced Lighting Technologies, Inc,</w:t>
            </w:r>
            <w:r>
              <w:rPr>
                <w:rFonts w:ascii="Arial" w:cs="Arial" w:eastAsia="Arial" w:hAnsi="Arial"/>
                <w:sz w:val="28"/>
                <w:szCs w:val="28"/>
                <w:color w:val="auto"/>
                <w:w w:val="98"/>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goods: Durable</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w w:val="98"/>
              </w:rPr>
              <w:t>Advanced Lighting Technologies, Inc.</w:t>
            </w:r>
            <w:r>
              <w:rPr>
                <w:rFonts w:ascii="Arial" w:cs="Arial" w:eastAsia="Arial" w:hAnsi="Arial"/>
                <w:sz w:val="28"/>
                <w:szCs w:val="28"/>
                <w:color w:val="auto"/>
                <w:w w:val="98"/>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goods: Durable</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Membership Interests</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6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Investments Incorporated)</w:t>
            </w:r>
            <w:r>
              <w:rPr>
                <w:rFonts w:ascii="Arial" w:cs="Arial" w:eastAsia="Arial" w:hAnsi="Arial"/>
                <w:sz w:val="29"/>
                <w:szCs w:val="29"/>
                <w:color w:val="auto"/>
                <w:vertAlign w:val="superscript"/>
              </w:rPr>
              <w:t>(8)(14)</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Media: Advertising, Printing &amp; Publishing</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2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Total Investment in Equity Securities (2%</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of net asset value at fair value)</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10,571,007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4,414,684</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21</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00" w:lineRule="exact"/>
        <w:rPr>
          <w:sz w:val="20"/>
          <w:szCs w:val="20"/>
          <w:color w:val="auto"/>
        </w:rPr>
      </w:pPr>
    </w:p>
    <w:p>
      <w:pPr>
        <w:spacing w:after="0" w:line="241" w:lineRule="exact"/>
        <w:rPr>
          <w:sz w:val="20"/>
          <w:szCs w:val="20"/>
          <w:color w:val="auto"/>
        </w:rPr>
      </w:pPr>
    </w:p>
    <w:p>
      <w:pPr>
        <w:ind w:right="380" w:firstLine="978"/>
        <w:spacing w:after="0" w:line="352" w:lineRule="auto"/>
        <w:rPr>
          <w:sz w:val="20"/>
          <w:szCs w:val="20"/>
          <w:color w:val="auto"/>
        </w:rPr>
      </w:pPr>
      <w:r>
        <w:rPr>
          <w:rFonts w:ascii="Arial" w:cs="Arial" w:eastAsia="Arial" w:hAnsi="Arial"/>
          <w:sz w:val="16"/>
          <w:szCs w:val="16"/>
          <w:b w:val="1"/>
          <w:bCs w:val="1"/>
          <w:color w:val="auto"/>
        </w:rPr>
        <w:t xml:space="preserve">Portfolio Company </w:t>
      </w:r>
      <w:r>
        <w:rPr>
          <w:rFonts w:ascii="Arial" w:cs="Arial" w:eastAsia="Arial" w:hAnsi="Arial"/>
          <w:sz w:val="16"/>
          <w:szCs w:val="16"/>
          <w:color w:val="auto"/>
        </w:rPr>
        <w:t>Grant Grove CLO, Ltd.</w:t>
      </w:r>
      <w:r>
        <w:rPr>
          <w:rFonts w:ascii="Arial" w:cs="Arial" w:eastAsia="Arial" w:hAnsi="Arial"/>
          <w:sz w:val="26"/>
          <w:szCs w:val="26"/>
          <w:color w:val="auto"/>
          <w:vertAlign w:val="superscript"/>
        </w:rPr>
        <w:t>(3)(12)(14)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(3)(12)(14)</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Katonah 2007-I CLO Ltd.</w:t>
      </w:r>
      <w:r>
        <w:rPr>
          <w:rFonts w:ascii="Arial" w:cs="Arial" w:eastAsia="Arial" w:hAnsi="Arial"/>
          <w:sz w:val="24"/>
          <w:szCs w:val="24"/>
          <w:color w:val="auto"/>
          <w:vertAlign w:val="superscript"/>
        </w:rPr>
        <w:t>(3)(6)(12)(14)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Trimaran CLO VII, Ltd.</w:t>
      </w:r>
      <w:r>
        <w:rPr>
          <w:rFonts w:ascii="Arial" w:cs="Arial" w:eastAsia="Arial" w:hAnsi="Arial"/>
          <w:sz w:val="26"/>
          <w:szCs w:val="26"/>
          <w:color w:val="auto"/>
          <w:vertAlign w:val="superscript"/>
        </w:rPr>
        <w:t>(3)(6)(12)(14)</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2012-1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Catamaran CLO 2013- 1 Ltd.</w:t>
      </w:r>
      <w:r>
        <w:rPr>
          <w:rFonts w:ascii="Arial" w:cs="Arial" w:eastAsia="Arial" w:hAnsi="Arial"/>
          <w:sz w:val="24"/>
          <w:szCs w:val="24"/>
          <w:color w:val="auto"/>
          <w:vertAlign w:val="superscript"/>
        </w:rPr>
        <w:t>(3)(6)(14)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2014-1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Dryden 30 Senior Loan Fund</w:t>
      </w:r>
      <w:r>
        <w:rPr>
          <w:rFonts w:ascii="Arial" w:cs="Arial" w:eastAsia="Arial" w:hAnsi="Arial"/>
          <w:sz w:val="27"/>
          <w:szCs w:val="27"/>
          <w:color w:val="auto"/>
          <w:vertAlign w:val="superscript"/>
        </w:rPr>
        <w:t>(3)(14)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2014-2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2015-1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2016-1 Ltd.</w:t>
      </w:r>
      <w:r>
        <w:rPr>
          <w:rFonts w:ascii="Arial" w:cs="Arial" w:eastAsia="Arial" w:hAnsi="Arial"/>
          <w:sz w:val="25"/>
          <w:szCs w:val="25"/>
          <w:color w:val="auto"/>
          <w:vertAlign w:val="superscript"/>
        </w:rPr>
        <w:t>(3)(6)(14)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(11)</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gridSpan w:val="2"/>
            <w:vMerge w:val="continue"/>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4"/>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Subordinated Securities, effective interest</w:t>
            </w: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Arial" w:cs="Arial" w:eastAsia="Arial" w:hAnsi="Arial"/>
                <w:sz w:val="18"/>
                <w:szCs w:val="18"/>
                <w:color w:val="auto"/>
              </w:rPr>
              <w:t>N/M, 1/21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2,485,886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N/M, 5/15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369,280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9.2%, 4/22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20,524,908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10,770,486</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N/M, 6/21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379,830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15.5%, 12/23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5,847,802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2,320,783</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25.1%, 1/28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5,017,307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6,923,699</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28.4%, 4/30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9,858,073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8,230,178</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28.7%, 12/29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1,353,852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1,820,000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11.5%, 11/25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6,642,805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4,500,962</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11.8%, 10/26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4,418,647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3,569,600</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Subordinated Securities, effective interest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0"/>
                <w:szCs w:val="20"/>
                <w:color w:val="auto"/>
              </w:rPr>
            </w:pPr>
            <w:r>
              <w:rPr>
                <w:rFonts w:ascii="Arial" w:cs="Arial" w:eastAsia="Arial" w:hAnsi="Arial"/>
                <w:sz w:val="18"/>
                <w:szCs w:val="18"/>
                <w:color w:val="auto"/>
              </w:rPr>
              <w:t>9.6%, 4/27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10,086,802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-2717800</wp:posOffset>
            </wp:positionV>
            <wp:extent cx="724662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-2117725</wp:posOffset>
            </wp:positionV>
            <wp:extent cx="724662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-1517015</wp:posOffset>
            </wp:positionV>
            <wp:extent cx="724662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-916940</wp:posOffset>
            </wp:positionV>
            <wp:extent cx="72466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-316865</wp:posOffset>
            </wp:positionV>
            <wp:extent cx="724662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-3326765</wp:posOffset>
            </wp:positionV>
            <wp:extent cx="72466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840" w:space="720"/>
            <w:col w:w="7760"/>
          </w:cols>
          <w:pgMar w:left="240" w:top="904" w:right="339" w:bottom="1440" w:gutter="0" w:footer="0" w:header="0"/>
        </w:sectPr>
      </w:pPr>
    </w:p>
    <w:p>
      <w:pPr>
        <w:spacing w:after="0"/>
        <w:tabs>
          <w:tab w:leader="none" w:pos="8600" w:val="left"/>
          <w:tab w:leader="none" w:pos="9020" w:val="left"/>
          <w:tab w:leader="none" w:pos="10040" w:val="left"/>
          <w:tab w:leader="none" w:pos="10480" w:val="left"/>
        </w:tabs>
        <w:rPr>
          <w:sz w:val="20"/>
          <w:szCs w:val="20"/>
          <w:color w:val="auto"/>
        </w:rPr>
      </w:pPr>
      <w:r>
        <w:rPr>
          <w:rFonts w:ascii="Arial" w:cs="Arial" w:eastAsia="Arial" w:hAnsi="Arial"/>
          <w:sz w:val="18"/>
          <w:szCs w:val="18"/>
          <w:b w:val="1"/>
          <w:bCs w:val="1"/>
          <w:color w:val="auto"/>
        </w:rPr>
        <w:t>Total Investment in CLO Subordinated Securities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67,903,067</w:t>
        <w:tab/>
        <w:t>$</w:t>
      </w:r>
      <w:r>
        <w:rPr>
          <w:sz w:val="20"/>
          <w:szCs w:val="20"/>
          <w:color w:val="auto"/>
        </w:rPr>
        <w:tab/>
      </w:r>
      <w:r>
        <w:rPr>
          <w:rFonts w:ascii="Arial" w:cs="Arial" w:eastAsia="Arial" w:hAnsi="Arial"/>
          <w:sz w:val="16"/>
          <w:szCs w:val="16"/>
          <w:b w:val="1"/>
          <w:bCs w:val="1"/>
          <w:color w:val="auto"/>
        </w:rPr>
        <w:t>47,046,673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Rated-Note Investment</w:t>
      </w:r>
    </w:p>
    <w:p>
      <w:pPr>
        <w:sectPr>
          <w:pgSz w:w="11900" w:h="16838" w:orient="portrait"/>
          <w:cols w:equalWidth="0" w:num="1">
            <w:col w:w="11320"/>
          </w:cols>
          <w:pgMar w:left="240" w:top="904"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Portfolio Company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KCAP F3C Senior Funding LLC</w:t>
      </w:r>
      <w:r>
        <w:rPr>
          <w:rFonts w:ascii="Arial" w:cs="Arial" w:eastAsia="Arial" w:hAnsi="Arial"/>
          <w:sz w:val="28"/>
          <w:szCs w:val="28"/>
          <w:color w:val="auto"/>
          <w:vertAlign w:val="superscript"/>
        </w:rPr>
        <w:t>(3)(6)(14)</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 in CLO Rated-Note</w:t>
      </w:r>
    </w:p>
    <w:p>
      <w:pPr>
        <w:spacing w:after="0" w:line="248" w:lineRule="exact"/>
        <w:rPr>
          <w:sz w:val="20"/>
          <w:szCs w:val="20"/>
          <w:color w:val="auto"/>
        </w:rPr>
      </w:pPr>
    </w:p>
    <w:p>
      <w:pPr>
        <w:ind w:left="220" w:hanging="206"/>
        <w:spacing w:after="0" w:line="347" w:lineRule="auto"/>
        <w:rPr>
          <w:sz w:val="20"/>
          <w:szCs w:val="20"/>
          <w:color w:val="auto"/>
        </w:rPr>
      </w:pPr>
      <w:r>
        <w:rPr>
          <w:rFonts w:ascii="Arial" w:cs="Arial" w:eastAsia="Arial" w:hAnsi="Arial"/>
          <w:sz w:val="16"/>
          <w:szCs w:val="16"/>
          <w:b w:val="1"/>
          <w:bCs w:val="1"/>
          <w:color w:val="auto"/>
        </w:rPr>
        <w:t>Total Investment in CLO Fund Securities (28% of net asset value at fair value)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r>
      <w:tr>
        <w:trPr>
          <w:trHeight w:val="224"/>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Class E Notes, 8.9% Cash, 3 month LIBOR</w:t>
            </w: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56"/>
        </w:trPr>
        <w:tc>
          <w:tcPr>
            <w:tcW w:w="3540" w:type="dxa"/>
            <w:vAlign w:val="bottom"/>
            <w:gridSpan w:val="2"/>
          </w:tcPr>
          <w:p>
            <w:pPr>
              <w:spacing w:after="0"/>
              <w:rPr>
                <w:sz w:val="20"/>
                <w:szCs w:val="20"/>
                <w:color w:val="auto"/>
              </w:rPr>
            </w:pPr>
            <w:r>
              <w:rPr>
                <w:rFonts w:ascii="Arial" w:cs="Arial" w:eastAsia="Arial" w:hAnsi="Arial"/>
                <w:sz w:val="18"/>
                <w:szCs w:val="18"/>
                <w:color w:val="auto"/>
              </w:rPr>
              <w:t>(1.40%) + 7.50%, Due 12/29</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4,435,965</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4,632,000</w:t>
            </w:r>
          </w:p>
        </w:tc>
      </w:tr>
      <w:tr>
        <w:trPr>
          <w:trHeight w:val="439"/>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4,435,965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4,632,000</w:t>
            </w: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655"/>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72,339,032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51,678,673</w:t>
            </w: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-582295</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-290830</wp:posOffset>
            </wp:positionV>
            <wp:extent cx="7246620" cy="2832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-1045845</wp:posOffset>
            </wp:positionV>
            <wp:extent cx="7246620" cy="31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3180" w:space="380"/>
            <w:col w:w="7760"/>
          </w:cols>
          <w:pgMar w:left="240" w:top="904" w:right="339" w:bottom="1440" w:gutter="0" w:footer="0" w:header="0"/>
          <w:type w:val="continuous"/>
        </w:sectPr>
      </w:pP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w w:val="86"/>
              </w:rPr>
              <w:t>Percentage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Fair Value</w:t>
            </w:r>
            <w:r>
              <w:rPr>
                <w:rFonts w:ascii="Arial" w:cs="Arial" w:eastAsia="Arial" w:hAnsi="Arial"/>
                <w:sz w:val="30"/>
                <w:szCs w:val="30"/>
                <w:b w:val="1"/>
                <w:bCs w:val="1"/>
                <w:color w:val="auto"/>
                <w:w w:val="92"/>
                <w:vertAlign w:val="superscript"/>
              </w:rPr>
              <w:t>2</w:t>
            </w: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Principal Business</w:t>
            </w:r>
          </w:p>
        </w:tc>
        <w:tc>
          <w:tcPr>
            <w:tcW w:w="120" w:type="dxa"/>
            <w:vAlign w:val="bottom"/>
          </w:tcPr>
          <w:p>
            <w:pPr>
              <w:spacing w:after="0"/>
              <w:rPr>
                <w:sz w:val="20"/>
                <w:szCs w:val="20"/>
                <w:color w:val="auto"/>
              </w:rPr>
            </w:pPr>
          </w:p>
        </w:tc>
        <w:tc>
          <w:tcPr>
            <w:tcW w:w="3540" w:type="dxa"/>
            <w:vAlign w:val="bottom"/>
            <w:gridSpan w:val="4"/>
          </w:tcPr>
          <w:p>
            <w:pPr>
              <w:ind w:left="1280"/>
              <w:spacing w:after="0"/>
              <w:rPr>
                <w:sz w:val="20"/>
                <w:szCs w:val="20"/>
                <w:color w:val="auto"/>
              </w:rPr>
            </w:pPr>
            <w:r>
              <w:rPr>
                <w:rFonts w:ascii="Arial" w:cs="Arial" w:eastAsia="Arial" w:hAnsi="Arial"/>
                <w:sz w:val="18"/>
                <w:szCs w:val="18"/>
                <w:b w:val="1"/>
                <w:bCs w:val="1"/>
                <w:color w:val="auto"/>
              </w:rPr>
              <w:t>Investment</w:t>
            </w: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w w:val="90"/>
              </w:rPr>
              <w:t>Ownership</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tcBorders>
              <w:right w:val="single" w:sz="8" w:color="CCEEFF"/>
            </w:tcBorders>
            <w:shd w:val="clear" w:color="auto" w:fill="CCEEFF"/>
          </w:tcPr>
          <w:p>
            <w:pPr>
              <w:spacing w:after="0" w:line="264"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(8)(9)(14)</w:t>
            </w:r>
          </w:p>
        </w:tc>
        <w:tc>
          <w:tcPr>
            <w:tcW w:w="120" w:type="dxa"/>
            <w:vAlign w:val="bottom"/>
            <w:shd w:val="clear" w:color="auto" w:fill="CCEEFF"/>
          </w:tcPr>
          <w:p>
            <w:pPr>
              <w:spacing w:after="0"/>
              <w:rPr>
                <w:sz w:val="22"/>
                <w:szCs w:val="22"/>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00" w:type="dxa"/>
            <w:vAlign w:val="bottom"/>
            <w:shd w:val="clear" w:color="auto" w:fill="CCEEFF"/>
          </w:tcPr>
          <w:p>
            <w:pPr>
              <w:spacing w:after="0"/>
              <w:rPr>
                <w:sz w:val="22"/>
                <w:szCs w:val="22"/>
                <w:color w:val="auto"/>
              </w:rPr>
            </w:pPr>
          </w:p>
        </w:tc>
        <w:tc>
          <w:tcPr>
            <w:tcW w:w="15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52,591,230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38,849,000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Asset Manager</w:t>
            </w: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Affiliates (21% of net asset value at fair</w:t>
            </w:r>
          </w:p>
        </w:tc>
        <w:tc>
          <w:tcPr>
            <w:tcW w:w="1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value)</w:t>
            </w:r>
          </w:p>
        </w:tc>
        <w:tc>
          <w:tcPr>
            <w:tcW w:w="1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52,591,230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38,849,000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Joint Ventures</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w w:val="86"/>
              </w:rPr>
              <w:t>Percentage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Principal Business</w:t>
            </w:r>
          </w:p>
        </w:tc>
        <w:tc>
          <w:tcPr>
            <w:tcW w:w="120" w:type="dxa"/>
            <w:vAlign w:val="bottom"/>
          </w:tcPr>
          <w:p>
            <w:pPr>
              <w:spacing w:after="0"/>
              <w:rPr>
                <w:sz w:val="20"/>
                <w:szCs w:val="20"/>
                <w:color w:val="auto"/>
              </w:rPr>
            </w:pPr>
          </w:p>
        </w:tc>
        <w:tc>
          <w:tcPr>
            <w:tcW w:w="3540" w:type="dxa"/>
            <w:vAlign w:val="bottom"/>
            <w:gridSpan w:val="4"/>
          </w:tcPr>
          <w:p>
            <w:pPr>
              <w:ind w:left="1280"/>
              <w:spacing w:after="0"/>
              <w:rPr>
                <w:sz w:val="20"/>
                <w:szCs w:val="20"/>
                <w:color w:val="auto"/>
              </w:rPr>
            </w:pPr>
            <w:r>
              <w:rPr>
                <w:rFonts w:ascii="Arial" w:cs="Arial" w:eastAsia="Arial" w:hAnsi="Arial"/>
                <w:sz w:val="18"/>
                <w:szCs w:val="18"/>
                <w:b w:val="1"/>
                <w:bCs w:val="1"/>
                <w:color w:val="auto"/>
              </w:rPr>
              <w:t>Investment</w:t>
            </w: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w w:val="90"/>
              </w:rPr>
              <w:t>Ownership</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tcBorders>
              <w:right w:val="single" w:sz="8" w:color="CCEEFF"/>
            </w:tcBorders>
            <w:shd w:val="clear" w:color="auto" w:fill="CCEEFF"/>
          </w:tcPr>
          <w:p>
            <w:pPr>
              <w:spacing w:after="0" w:line="264" w:lineRule="exact"/>
              <w:rPr>
                <w:sz w:val="20"/>
                <w:szCs w:val="20"/>
                <w:color w:val="auto"/>
              </w:rPr>
            </w:pPr>
            <w:r>
              <w:rPr>
                <w:rFonts w:ascii="Arial" w:cs="Arial" w:eastAsia="Arial" w:hAnsi="Arial"/>
                <w:sz w:val="18"/>
                <w:szCs w:val="18"/>
                <w:color w:val="auto"/>
              </w:rPr>
              <w:t>KCAP Freedom 3 LLC</w:t>
            </w:r>
            <w:r>
              <w:rPr>
                <w:rFonts w:ascii="Arial" w:cs="Arial" w:eastAsia="Arial" w:hAnsi="Arial"/>
                <w:sz w:val="30"/>
                <w:szCs w:val="30"/>
                <w:color w:val="auto"/>
                <w:vertAlign w:val="superscript"/>
              </w:rPr>
              <w:t>(9)(14)</w:t>
            </w:r>
          </w:p>
        </w:tc>
        <w:tc>
          <w:tcPr>
            <w:tcW w:w="120" w:type="dxa"/>
            <w:vAlign w:val="bottom"/>
            <w:shd w:val="clear" w:color="auto" w:fill="CCEEFF"/>
          </w:tcPr>
          <w:p>
            <w:pPr>
              <w:spacing w:after="0"/>
              <w:rPr>
                <w:sz w:val="22"/>
                <w:szCs w:val="22"/>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60%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24,914,858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Total Investment in Joint Ventures (12% of</w:t>
            </w: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asset value at fair value)</w:t>
            </w:r>
          </w:p>
        </w:tc>
        <w:tc>
          <w:tcPr>
            <w:tcW w:w="1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24,914,858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21,516,000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tcPr>
          <w:p>
            <w:pPr>
              <w:spacing w:after="0"/>
              <w:rPr>
                <w:sz w:val="24"/>
                <w:szCs w:val="24"/>
                <w:color w:val="auto"/>
              </w:rPr>
            </w:pPr>
          </w:p>
        </w:tc>
        <w:tc>
          <w:tcPr>
            <w:tcW w:w="3540" w:type="dxa"/>
            <w:vAlign w:val="bottom"/>
            <w:gridSpan w:val="4"/>
          </w:tcPr>
          <w:p>
            <w:pPr>
              <w:ind w:left="1060"/>
              <w:spacing w:after="0"/>
              <w:rPr>
                <w:sz w:val="20"/>
                <w:szCs w:val="20"/>
                <w:color w:val="auto"/>
              </w:rPr>
            </w:pPr>
            <w:r>
              <w:rPr>
                <w:rFonts w:ascii="Arial" w:cs="Arial" w:eastAsia="Arial" w:hAnsi="Arial"/>
                <w:sz w:val="18"/>
                <w:szCs w:val="18"/>
                <w:b w:val="1"/>
                <w:bCs w:val="1"/>
                <w:color w:val="auto"/>
              </w:rPr>
              <w:t>Investment</w:t>
            </w: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Yield</w:t>
            </w:r>
          </w:p>
        </w:tc>
        <w:tc>
          <w:tcPr>
            <w:tcW w:w="1900" w:type="dxa"/>
            <w:vAlign w:val="bottom"/>
            <w:gridSpan w:val="5"/>
          </w:tcPr>
          <w:p>
            <w:pPr>
              <w:ind w:left="120"/>
              <w:spacing w:after="0"/>
              <w:rPr>
                <w:sz w:val="20"/>
                <w:szCs w:val="20"/>
                <w:color w:val="auto"/>
              </w:rPr>
            </w:pPr>
            <w:r>
              <w:rPr>
                <w:rFonts w:ascii="Arial" w:cs="Arial" w:eastAsia="Arial" w:hAnsi="Arial"/>
                <w:sz w:val="18"/>
                <w:szCs w:val="18"/>
                <w:b w:val="1"/>
                <w:bCs w:val="1"/>
                <w:color w:val="auto"/>
              </w:rPr>
              <w:t>Par /Amortized Cost</w:t>
            </w: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r>
              <w:rPr>
                <w:rFonts w:ascii="Arial" w:cs="Arial" w:eastAsia="Arial" w:hAnsi="Arial"/>
                <w:sz w:val="30"/>
                <w:szCs w:val="30"/>
                <w:b w:val="1"/>
                <w:bCs w:val="1"/>
                <w:color w:val="auto"/>
                <w:w w:val="92"/>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right w:val="single" w:sz="8" w:color="auto"/>
            </w:tcBorders>
            <w:shd w:val="clear" w:color="auto" w:fill="000000"/>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20" w:type="dxa"/>
            <w:vAlign w:val="bottom"/>
            <w:tcBorders>
              <w:right w:val="single" w:sz="8" w:color="CCEEFF"/>
            </w:tcBorders>
            <w:shd w:val="clear" w:color="auto" w:fill="CCEEFF"/>
          </w:tcPr>
          <w:p>
            <w:pPr>
              <w:spacing w:after="0" w:line="250" w:lineRule="exact"/>
              <w:rPr>
                <w:sz w:val="20"/>
                <w:szCs w:val="20"/>
                <w:color w:val="auto"/>
              </w:rPr>
            </w:pPr>
            <w:r>
              <w:rPr>
                <w:rFonts w:ascii="Arial" w:cs="Arial" w:eastAsia="Arial" w:hAnsi="Arial"/>
                <w:sz w:val="17"/>
                <w:szCs w:val="17"/>
                <w:color w:val="auto"/>
              </w:rPr>
              <w:t>US Bank Money Market Account</w:t>
            </w:r>
            <w:r>
              <w:rPr>
                <w:rFonts w:ascii="Arial" w:cs="Arial" w:eastAsia="Arial" w:hAnsi="Arial"/>
                <w:sz w:val="28"/>
                <w:szCs w:val="28"/>
                <w:color w:val="auto"/>
                <w:vertAlign w:val="superscript"/>
              </w:rPr>
              <w:t>(7)(8)</w:t>
            </w: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spacing w:after="0"/>
              <w:rPr>
                <w:sz w:val="21"/>
                <w:szCs w:val="21"/>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0.20%</w:t>
            </w:r>
          </w:p>
        </w:tc>
        <w:tc>
          <w:tcPr>
            <w:tcW w:w="46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52,293,570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52,293,570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3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3420" w:type="dxa"/>
            <w:vAlign w:val="bottom"/>
            <w:tcBorders>
              <w:right w:val="single" w:sz="8" w:color="CCEEFF"/>
            </w:tcBorders>
            <w:shd w:val="clear" w:color="auto" w:fill="CCEEFF"/>
          </w:tcPr>
          <w:p>
            <w:pPr>
              <w:spacing w:after="0" w:line="269" w:lineRule="exact"/>
              <w:rPr>
                <w:sz w:val="20"/>
                <w:szCs w:val="20"/>
                <w:color w:val="auto"/>
              </w:rPr>
            </w:pPr>
            <w:r>
              <w:rPr>
                <w:rFonts w:ascii="Arial" w:cs="Arial" w:eastAsia="Arial" w:hAnsi="Arial"/>
                <w:sz w:val="18"/>
                <w:szCs w:val="18"/>
                <w:color w:val="auto"/>
                <w:w w:val="96"/>
              </w:rPr>
              <w:t>U.S Treasury Bills - CUSIP: 912796MLO</w:t>
            </w:r>
            <w:r>
              <w:rPr>
                <w:rFonts w:ascii="Arial" w:cs="Arial" w:eastAsia="Arial" w:hAnsi="Arial"/>
                <w:sz w:val="30"/>
                <w:szCs w:val="30"/>
                <w:color w:val="auto"/>
                <w:w w:val="96"/>
                <w:vertAlign w:val="superscript"/>
              </w:rPr>
              <w:t>(8)</w:t>
            </w:r>
          </w:p>
        </w:tc>
        <w:tc>
          <w:tcPr>
            <w:tcW w:w="3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U.S. Government Obligation</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1.04%</w:t>
            </w:r>
          </w:p>
        </w:tc>
        <w:tc>
          <w:tcPr>
            <w:tcW w:w="180" w:type="dxa"/>
            <w:vAlign w:val="bottom"/>
            <w:tcBorders>
              <w:right w:val="single" w:sz="8" w:color="CCEEFF"/>
            </w:tcBorders>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25,006,750</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25,006,750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Total Short-term Investments (43% of net</w:t>
            </w:r>
          </w:p>
        </w:tc>
        <w:tc>
          <w:tcPr>
            <w:tcW w:w="1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value at fair value)</w:t>
            </w:r>
          </w:p>
        </w:tc>
        <w:tc>
          <w:tcPr>
            <w:tcW w:w="12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77,300,320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77,300,320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tcPr>
          <w:p>
            <w:pPr>
              <w:spacing w:after="0" w:line="284" w:lineRule="exact"/>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362,895,917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311,956,156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24"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2017. As noted in the table above, 74% (based on par) of debt securities contain LIBOR floors which range between 1.00% and 3.0%.</w:t>
      </w:r>
    </w:p>
    <w:p>
      <w:pPr>
        <w:spacing w:after="0" w:line="74" w:lineRule="exact"/>
        <w:rPr>
          <w:sz w:val="20"/>
          <w:szCs w:val="20"/>
          <w:color w:val="auto"/>
        </w:rPr>
      </w:pPr>
    </w:p>
    <w:p>
      <w:pPr>
        <w:ind w:left="360" w:hanging="298"/>
        <w:spacing w:after="0"/>
        <w:tabs>
          <w:tab w:leader="none" w:pos="3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December 31, 2017, as determined by the Company’s Board of Directors.</w:t>
      </w:r>
    </w:p>
    <w:p>
      <w:pPr>
        <w:spacing w:after="0" w:line="87"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188" w:lineRule="exact"/>
        <w:rPr>
          <w:sz w:val="20"/>
          <w:szCs w:val="20"/>
          <w:color w:val="auto"/>
        </w:rPr>
      </w:pPr>
    </w:p>
    <w:p>
      <w:pPr>
        <w:ind w:left="300" w:right="680" w:hanging="292"/>
        <w:spacing w:after="0" w:line="209" w:lineRule="auto"/>
        <w:tabs>
          <w:tab w:leader="none" w:pos="30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$363 million. The aggregate gross unrealized appreciation is approximately $1.1 million, the aggregate gross unrealized depreciation is approximately $52.0 million, and the net unrealized depreciation is approximately $50.9 million.</w:t>
      </w:r>
    </w:p>
    <w:p>
      <w:pPr>
        <w:spacing w:after="0" w:line="75" w:lineRule="exact"/>
        <w:rPr>
          <w:sz w:val="20"/>
          <w:szCs w:val="20"/>
          <w:color w:val="auto"/>
        </w:rPr>
      </w:pPr>
    </w:p>
    <w:p>
      <w:pPr>
        <w:ind w:left="300" w:hanging="292"/>
        <w:spacing w:after="0"/>
        <w:tabs>
          <w:tab w:leader="none" w:pos="30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No loan or debt securities were on non-accrual status as of December 31, 2017.</w:t>
      </w:r>
    </w:p>
    <w:p>
      <w:pPr>
        <w:spacing w:after="0" w:line="97"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74"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Money market account holding cash.</w:t>
      </w:r>
    </w:p>
    <w:p>
      <w:pPr>
        <w:spacing w:after="0" w:line="74"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 as amended (the “1940 Act”).</w:t>
      </w:r>
    </w:p>
    <w:p>
      <w:pPr>
        <w:spacing w:after="0" w:line="188" w:lineRule="exact"/>
        <w:rPr>
          <w:sz w:val="20"/>
          <w:szCs w:val="20"/>
          <w:color w:val="auto"/>
        </w:rPr>
      </w:pPr>
    </w:p>
    <w:p>
      <w:pPr>
        <w:ind w:left="300" w:right="80" w:hanging="292"/>
        <w:spacing w:after="0" w:line="218" w:lineRule="auto"/>
        <w:tabs>
          <w:tab w:leader="none" w:pos="30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88"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Non-voting.</w:t>
      </w:r>
    </w:p>
    <w:p>
      <w:pPr>
        <w:spacing w:after="0" w:line="201" w:lineRule="exact"/>
        <w:rPr>
          <w:rFonts w:ascii="Arial" w:cs="Arial" w:eastAsia="Arial" w:hAnsi="Arial"/>
          <w:sz w:val="30"/>
          <w:szCs w:val="30"/>
          <w:color w:val="auto"/>
          <w:vertAlign w:val="superscript"/>
        </w:rPr>
      </w:pPr>
    </w:p>
    <w:p>
      <w:pPr>
        <w:jc w:val="both"/>
        <w:ind w:left="300" w:right="220" w:hanging="292"/>
        <w:spacing w:after="0" w:line="218" w:lineRule="auto"/>
        <w:tabs>
          <w:tab w:leader="none" w:pos="30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88" w:lineRule="exact"/>
        <w:rPr>
          <w:rFonts w:ascii="Arial" w:cs="Arial" w:eastAsia="Arial" w:hAnsi="Arial"/>
          <w:sz w:val="30"/>
          <w:szCs w:val="30"/>
          <w:color w:val="auto"/>
          <w:vertAlign w:val="superscript"/>
        </w:rPr>
      </w:pPr>
    </w:p>
    <w:p>
      <w:pPr>
        <w:ind w:left="300" w:hanging="292"/>
        <w:spacing w:after="0"/>
        <w:tabs>
          <w:tab w:leader="none" w:pos="30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Notice of redemption has been received for this security.</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Loan or security was on partial nonaccrual status, whereby we have recognized income on a portion of contractual PIK amounts due.</w:t>
      </w:r>
    </w:p>
    <w:p>
      <w:pPr>
        <w:spacing w:after="0" w:line="164" w:lineRule="exact"/>
        <w:rPr>
          <w:rFonts w:ascii="Arial" w:cs="Arial" w:eastAsia="Arial" w:hAnsi="Arial"/>
          <w:sz w:val="30"/>
          <w:szCs w:val="30"/>
          <w:color w:val="auto"/>
          <w:vertAlign w:val="superscript"/>
        </w:rPr>
      </w:pPr>
    </w:p>
    <w:p>
      <w:pPr>
        <w:ind w:left="300" w:hanging="292"/>
        <w:spacing w:after="0" w:line="186" w:lineRule="auto"/>
        <w:tabs>
          <w:tab w:leader="none" w:pos="30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Fair value of this investment was determined using significant unobservable inputs.</w:t>
      </w:r>
    </w:p>
    <w:p>
      <w:pPr>
        <w:sectPr>
          <w:pgSz w:w="11900" w:h="16838" w:orient="portrait"/>
          <w:cols w:equalWidth="0" w:num="1">
            <w:col w:w="11420"/>
          </w:cols>
          <w:pgMar w:left="240" w:top="904" w:right="239" w:bottom="37" w:gutter="0" w:footer="0" w:header="0"/>
        </w:sectPr>
      </w:pPr>
    </w:p>
    <w:bookmarkStart w:id="23" w:name="page24"/>
    <w:bookmarkEnd w:id="23"/>
    <w:p>
      <w:pPr>
        <w:jc w:val="center"/>
        <w:ind w:right="-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color w:val="auto"/>
              </w:rPr>
              <w:t>Net asset value, at beginning of period</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4.87</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tcPr>
          <w:p>
            <w:pPr>
              <w:ind w:left="160"/>
              <w:spacing w:after="0" w:line="256" w:lineRule="exact"/>
              <w:rPr>
                <w:sz w:val="20"/>
                <w:szCs w:val="20"/>
                <w:color w:val="auto"/>
              </w:rPr>
            </w:pPr>
            <w:r>
              <w:rPr>
                <w:rFonts w:ascii="Arial" w:cs="Arial" w:eastAsia="Arial" w:hAnsi="Arial"/>
                <w:sz w:val="18"/>
                <w:szCs w:val="18"/>
                <w:color w:val="auto"/>
              </w:rPr>
              <w:t>Net realized gains (losses) from investments</w:t>
            </w:r>
            <w:r>
              <w:rPr>
                <w:rFonts w:ascii="Arial" w:cs="Arial" w:eastAsia="Arial" w:hAnsi="Arial"/>
                <w:sz w:val="29"/>
                <w:szCs w:val="29"/>
                <w:color w:val="auto"/>
                <w:vertAlign w:val="superscript"/>
              </w:rPr>
              <w:t>1</w:t>
            </w: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Realized losses from extinguishment of debt</w:t>
            </w:r>
            <w:r>
              <w:rPr>
                <w:rFonts w:ascii="Arial" w:cs="Arial" w:eastAsia="Arial" w:hAnsi="Arial"/>
                <w:sz w:val="29"/>
                <w:szCs w:val="29"/>
                <w:color w:val="auto"/>
                <w:vertAlign w:val="superscript"/>
              </w:rPr>
              <w:t>1</w:t>
            </w: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20" w:type="dxa"/>
            <w:vAlign w:val="bottom"/>
          </w:tcPr>
          <w:p>
            <w:pPr>
              <w:ind w:left="160"/>
              <w:spacing w:after="0" w:line="269" w:lineRule="exact"/>
              <w:rPr>
                <w:sz w:val="20"/>
                <w:szCs w:val="20"/>
                <w:color w:val="auto"/>
              </w:rPr>
            </w:pPr>
            <w:r>
              <w:rPr>
                <w:rFonts w:ascii="Arial" w:cs="Arial" w:eastAsia="Arial" w:hAnsi="Arial"/>
                <w:sz w:val="18"/>
                <w:szCs w:val="18"/>
                <w:color w:val="auto"/>
              </w:rPr>
              <w:t>Net change in unrealized depreciation on investments</w:t>
            </w:r>
            <w:r>
              <w:rPr>
                <w:rFonts w:ascii="Arial" w:cs="Arial" w:eastAsia="Arial" w:hAnsi="Arial"/>
                <w:sz w:val="30"/>
                <w:szCs w:val="30"/>
                <w:color w:val="auto"/>
                <w:vertAlign w:val="superscript"/>
              </w:rPr>
              <w:t>1</w:t>
            </w: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tcBorders>
              <w:top w:val="single" w:sz="8" w:color="CCEEFF"/>
            </w:tcBorders>
            <w:shd w:val="clear" w:color="auto" w:fill="CCEEFF"/>
          </w:tcPr>
          <w:p>
            <w:pPr>
              <w:ind w:left="320"/>
              <w:spacing w:after="0" w:line="236" w:lineRule="exact"/>
              <w:rPr>
                <w:sz w:val="20"/>
                <w:szCs w:val="20"/>
                <w:color w:val="auto"/>
              </w:rPr>
            </w:pPr>
            <w:r>
              <w:rPr>
                <w:rFonts w:ascii="Arial" w:cs="Arial" w:eastAsia="Arial" w:hAnsi="Arial"/>
                <w:sz w:val="17"/>
                <w:szCs w:val="17"/>
                <w:color w:val="auto"/>
              </w:rPr>
              <w:t>Net increase in net assets resulting from operations</w:t>
            </w:r>
            <w:r>
              <w:rPr>
                <w:rFonts w:ascii="Arial" w:cs="Arial" w:eastAsia="Arial" w:hAnsi="Arial"/>
                <w:sz w:val="27"/>
                <w:szCs w:val="27"/>
                <w:color w:val="auto"/>
                <w:vertAlign w:val="superscript"/>
              </w:rPr>
              <w:t>4</w:t>
            </w:r>
          </w:p>
        </w:tc>
        <w:tc>
          <w:tcPr>
            <w:tcW w:w="15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2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relating to stock-based transactions: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Dividend reinvestment plan</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based compensation</w:t>
            </w:r>
          </w:p>
        </w:tc>
        <w:tc>
          <w:tcPr>
            <w:tcW w:w="1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20" w:type="dxa"/>
            <w:vAlign w:val="bottom"/>
            <w:shd w:val="clear" w:color="auto" w:fill="CCEEFF"/>
          </w:tcPr>
          <w:p>
            <w:pPr>
              <w:ind w:left="320"/>
              <w:spacing w:after="0" w:line="236" w:lineRule="exact"/>
              <w:rPr>
                <w:sz w:val="20"/>
                <w:szCs w:val="20"/>
                <w:color w:val="auto"/>
              </w:rPr>
            </w:pPr>
            <w:r>
              <w:rPr>
                <w:rFonts w:ascii="Arial" w:cs="Arial" w:eastAsia="Arial" w:hAnsi="Arial"/>
                <w:sz w:val="17"/>
                <w:szCs w:val="17"/>
                <w:color w:val="auto"/>
              </w:rPr>
              <w:t>Net increase in net assets relating to stock-based transactions</w:t>
            </w:r>
            <w:r>
              <w:rPr>
                <w:rFonts w:ascii="Arial" w:cs="Arial" w:eastAsia="Arial" w:hAnsi="Arial"/>
                <w:sz w:val="27"/>
                <w:szCs w:val="27"/>
                <w:color w:val="auto"/>
                <w:vertAlign w:val="superscript"/>
              </w:rPr>
              <w:t>4</w:t>
            </w:r>
          </w:p>
        </w:tc>
        <w:tc>
          <w:tcPr>
            <w:tcW w:w="1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2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Net asset value, end of period</w:t>
            </w:r>
            <w:r>
              <w:rPr>
                <w:rFonts w:ascii="Arial" w:cs="Arial" w:eastAsia="Arial" w:hAnsi="Arial"/>
                <w:sz w:val="30"/>
                <w:szCs w:val="30"/>
                <w:color w:val="auto"/>
                <w:vertAlign w:val="superscript"/>
              </w:rPr>
              <w:t>4</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bottom w:val="single" w:sz="8" w:color="CCEEFF"/>
            </w:tcBorders>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1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3.31</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37,349,224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37,317,815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173,908,505</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184,785,444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6</w:t>
            </w: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105,719,241</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144,298,499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Asset coverage ratio</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ind w:left="340" w:hanging="332"/>
        <w:spacing w:after="0" w:line="207"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ind w:left="340" w:hanging="332"/>
        <w:spacing w:after="0" w:line="181"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Total net asset value return (not annualized) equals the change in the net asset value per share over the beginning of period net asset value per share plus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divided by the beginning net asset value per share.</w:t>
      </w:r>
    </w:p>
    <w:p>
      <w:pPr>
        <w:spacing w:after="0" w:line="7" w:lineRule="exact"/>
        <w:rPr>
          <w:sz w:val="20"/>
          <w:szCs w:val="20"/>
          <w:color w:val="auto"/>
        </w:rPr>
      </w:pPr>
    </w:p>
    <w:p>
      <w:pPr>
        <w:ind w:left="340" w:hanging="332"/>
        <w:spacing w:after="0" w:line="187"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Total market return (not annualized) equals the change in the ending market price, over the beginning of period price per share plus distributions, divided by the beginning market price.</w:t>
      </w:r>
    </w:p>
    <w:p>
      <w:pPr>
        <w:ind w:left="340" w:hanging="332"/>
        <w:spacing w:after="0" w:line="182"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Totals may not sum due to rounding.</w:t>
      </w:r>
    </w:p>
    <w:p>
      <w:pPr>
        <w:ind w:left="340" w:hanging="332"/>
        <w:spacing w:after="0" w:line="180"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color w:val="auto"/>
        </w:rPr>
        <w:t>Annualized.</w:t>
      </w:r>
    </w:p>
    <w:p>
      <w:pPr>
        <w:spacing w:after="0" w:line="2" w:lineRule="exact"/>
        <w:rPr>
          <w:sz w:val="20"/>
          <w:szCs w:val="20"/>
          <w:color w:val="auto"/>
        </w:rPr>
      </w:pPr>
    </w:p>
    <w:p>
      <w:pPr>
        <w:ind w:left="3500" w:right="2560" w:hanging="3492"/>
        <w:spacing w:after="0" w:line="398" w:lineRule="auto"/>
        <w:tabs>
          <w:tab w:leader="none" w:pos="34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Portfolio turnover rate equals the year-to-date sales and paydowns over the average of the invested assets at fair value. See accompanying 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(“CLO”) funds (“CLO Funds”) managed by Katonah Debt Advisors and two other asset managers.</w:t>
      </w:r>
    </w:p>
    <w:p>
      <w:pPr>
        <w:spacing w:after="0" w:line="1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an asset manager similar to Katonah Debt Advisors,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September 30, 2018, Katonah Debt Advisors and Trimaran Advisors, as well as affiliated management companies Katonah 2007-1 Management, L.L.C., Trimaran Advisors Management, L.L.C. and KCAP Management, L.L.C. (collectively the “Asset Manager Affiliates”), had approximately $3.2 billion of par value assets under management. Katonah Debt Advisors and Trimaran Advisors are registered under the Investment Advisers Act of 1940, as amended, and are each managed independently from the Company by a separate management team (however, certain of the Company’s executive officers also act in similar capacities for one or more of the Asset Manager Affiliates). The Asset Manager Affiliates provide investment management services to CLO Funds, making day-to-day investment decisions concerning the assets of the CLO Funds. The Asset Manager Affiliates, either directly or through their subsidiaries, may make investments in the CLO Funds they manage. In addition, the Company holds investments in a portion of the securities issued by the CLO Funds managed by the Asset Manager Affiliates.</w:t>
      </w:r>
    </w:p>
    <w:p>
      <w:pPr>
        <w:spacing w:after="0" w:line="1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During the third quarter of 2017, the Company formed a joint venture with Freedom 3 Opportunities LLC (“Freedom 3 Opportunities”), an affiliate of Freedom 3 Capital LLC, to create KCAP Freedom 3 LLC (the "Joint Venture"). The Company and Freedom 3 Opportunities LLC contributed approximately $37 million and $25 million, respectively, in assets to the Joint Venture, which in turn used the assets to capitalize a new fund (KCAP F3C Senior Funding, L.L.C. or the "Fund") managed by KCAP Management, LLC, one of the Company's indirectly wholly-owned Asset Manager Affiliate subsidiaries.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26" w:name="page27"/>
    <w:bookmarkEnd w:id="26"/>
    <w:p>
      <w:pPr>
        <w:ind w:right="100" w:firstLine="324"/>
        <w:spacing w:after="0" w:line="264"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privately-held middle market companies.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81"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The Company may also invest in other investments such as loans to publicly-traded companies, high-yield bonds, joint venture and distressed debt securities. The Company may also receive warrants or options to purchase common stock in connection with its debt investments.</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March 29, 2018, the Company’s Board of Directors,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will be changed from 200% to 150%, effective as of March 29, 2019. However, despite the SBCA, we will continue to be prohibited by the indentures governing our 7.375% Notes and 6.125% Notes (each, as defined and discussed in Note 6- “Borrowings” below) from making distributions on our common stock if our asset coverage, as defined in the 1940 Act, falls below 200%. In any such event, we would be prohibited from making distributions required in order to maintain our status as a RIC.</w:t>
      </w:r>
    </w:p>
    <w:p>
      <w:pPr>
        <w:spacing w:after="0" w:line="174" w:lineRule="exact"/>
        <w:rPr>
          <w:sz w:val="20"/>
          <w:szCs w:val="20"/>
          <w:color w:val="auto"/>
        </w:rPr>
      </w:pPr>
    </w:p>
    <w:p>
      <w:pPr>
        <w:ind w:left="340" w:right="7680" w:hanging="332"/>
        <w:spacing w:after="0" w:line="503" w:lineRule="auto"/>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2017, as filed with the U.S. Securities and Exchange Commission (the “Commission” or the “SEC”).</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20" w:firstLine="324"/>
        <w:spacing w:after="0" w:line="276"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KCAP Senior Funding I Holdings, LLC and KCAP Funding I, LLC in its consolidated financial statements as they are operated solely for investment activities of the Company. The creditors of KCAP Funding I, LLC received security interests in the assets which owned by KCAP Funding I, LLC and such assets are not intended to be available to the creditors of the Company, or any other affiliate. All of the borrowings of KCAP Funding, Kolhberg Capital Funding LLC I, and KCAP Senior Funding I, LLC have been fully repaid.</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366"/>
        <w:spacing w:after="0" w:line="257"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Company’s required disclosures relating to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is set forth in Note 5 to these consolidated financial statements.</w:t>
      </w:r>
    </w:p>
    <w:p>
      <w:pPr>
        <w:spacing w:after="0" w:line="147"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quarter ended September 30, 2018, the Company provided approximately $66.0 million to portfolio companies to support their growth objectives. None of this support was contractually obligated. See also Note 8 – Commitments and Contingencies. As of September 30, 2018, the Company held loans it has made to 47 investee companies with aggregate principal amounts of approximately $150.6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nine months ended September 30, 2018, the Company did not engage in any such or similar activities.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Financial Accounting Standards Board (the “FASB”)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Management has concluded that the majority of its revenues associated with the financial instruments are scoped out of ASC 606, and therefore, there was no material impact from adoption.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i w:val="1"/>
          <w:iCs w:val="1"/>
          <w:color w:val="auto"/>
        </w:rPr>
        <w:t>Pending accounting pronouncements</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 March 2017, the FASB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At this time, management is evaluating the implications of these changes on the financial statements.</w:t>
      </w:r>
    </w:p>
    <w:p>
      <w:pPr>
        <w:spacing w:after="0" w:line="15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August 2018, the FASB issued Accounting Standards Update 2018-13, Fair Value Measurement (Topic 820): Disclosure Framework—Changes to the Disclosure Requirements for Fair Value Measurement (“ASU 2018-13”)</w:t>
      </w:r>
      <w:r>
        <w:rPr>
          <w:rFonts w:ascii="Arial" w:cs="Arial" w:eastAsia="Arial" w:hAnsi="Arial"/>
          <w:sz w:val="17"/>
          <w:szCs w:val="17"/>
          <w:i w:val="1"/>
          <w:iCs w:val="1"/>
          <w:color w:val="auto"/>
        </w:rPr>
        <w:t>.</w:t>
      </w:r>
      <w:r>
        <w:rPr>
          <w:rFonts w:ascii="Arial" w:cs="Arial" w:eastAsia="Arial" w:hAnsi="Arial"/>
          <w:sz w:val="17"/>
          <w:szCs w:val="17"/>
          <w:color w:val="auto"/>
        </w:rPr>
        <w:t xml:space="preserve"> The standard will modify the disclosure requirements for fair value measurements by removing, modifying, or adding certain disclosures. ASU 2018-13 is effective for annual reporting periods beginning after December 15, 2019, including interim periods within that reporting period. Early adoption is permitted upon issuance of this ASU 2018-13. We are permitted to early adopt any removed or modified disclosures upon issuance of ASU 2018-13 and delay adoption of the additional disclosures until their effective date. We are currently evaluating the impact of adopting ASU 2018-13 on our consolidated financial statements.</w:t>
      </w:r>
    </w:p>
    <w:p>
      <w:pPr>
        <w:spacing w:after="0" w:line="1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February 2016, the FASB issued ASU 2016-02, Leases, and several amendments (collectively, “ASU 2016-02”), which requires lessees to recognize assets and liabilities arising from most operating leases on the consolidated statements of financial condition. For operating leases, a lessee is required to do the following: (a) 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Early application is permitted. The Company is currently evaluating the impact of this guidance and expects to record assets and liabilities for its current operating leases upon adoption of ASU 2016-02. The Company does not expect the adoption of ASU 2016-02 to have a material impact on its results of operations or cash flows.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17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9" w:name="page30"/>
    <w:bookmarkEnd w:id="29"/>
    <w:p>
      <w:pPr>
        <w:ind w:right="340" w:firstLine="32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 course</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78"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18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is primarily determined utilizing the discounted cash flow approach ,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jc w:val="both"/>
        <w:ind w:right="160" w:firstLine="32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18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Joint Venture</w:t>
      </w:r>
      <w:r>
        <w:rPr>
          <w:rFonts w:ascii="Arial" w:cs="Arial" w:eastAsia="Arial" w:hAnsi="Arial"/>
          <w:sz w:val="18"/>
          <w:szCs w:val="18"/>
          <w:color w:val="auto"/>
        </w:rPr>
        <w:t>. The Company carries investments in joint ventures at fair value based upon the fair value of the investments held by the joint venture.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4 below, for more information regarding the Joint Venture.</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i w:val="1"/>
          <w:iCs w:val="1"/>
          <w:color w:val="auto"/>
        </w:rPr>
        <w:t>Restricted Cash</w:t>
      </w:r>
      <w:r>
        <w:rPr>
          <w:rFonts w:ascii="Arial" w:cs="Arial" w:eastAsia="Arial" w:hAnsi="Arial"/>
          <w:sz w:val="17"/>
          <w:szCs w:val="17"/>
          <w:color w:val="auto"/>
        </w:rPr>
        <w:t>. Restricted cash and cash equivalents (e.g. money market funds) consists of cash held for reinvestment and quarterly interest and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distribution (if any) to holders of notes issued by KCAP Funding I, LLC and/or KCAP Senior Funding I, LLC.</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Short-term investments are generally comprised of money market accounts, time deposits, and U.S. treasury bills.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including the amortization of premium and accretion of discount and accrual of payment-in-kind (“PIK”)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September 30, 2018, one of our investments was on non-accrual status, and three of our investments were on partial non-accrual status, whereby we have recognized income on a portion of contractual PIK amounts due.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ind w:firstLine="324"/>
        <w:spacing w:after="0" w:line="255"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full-year.</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KCAP F3C Senior Funding, LLC, interest is earned at a fixed spread relative to the LIBOR index.</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Investment in Joint Venture. </w:t>
      </w:r>
      <w:r>
        <w:rPr>
          <w:rFonts w:ascii="Arial" w:cs="Arial" w:eastAsia="Arial" w:hAnsi="Arial"/>
          <w:sz w:val="18"/>
          <w:szCs w:val="18"/>
          <w:color w:val="auto"/>
        </w:rPr>
        <w:t>For the three months and nine months ended September 30, 2018, the Company recognized $750,000 and $2.2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from its investment in the Joint Venture. As of September 30, 2018 and December 31, 2017, the fair value of the Company’s investment in the Joint Venture was approximately $21.4 and $21.5 million, respectively. For interim periods, the Company recognizes investment income on its investment in the Joint Venture based upon its share of the estimated tax-basis earnings and profits of the Joint Venture. Any distributions in excess of tax-basis earnings and profits are recognized as a return of capital (adjustment to the Company’s cost basis in the investment). The final determination of the tax attributes of distributions from the Joint Venture is made on an annual (full calendar year) basis at year-end based upon taxable income and distributions for the full year. Therefore, any estimate of tax attributes of distributions made on an interim basis may not be representative of the actual tax attributes of distributions for the full year.</w:t>
      </w:r>
    </w:p>
    <w:p>
      <w:pPr>
        <w:spacing w:after="0" w:line="19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and amortized using the effective interest method over the expected term of the borrowing.</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Extinguishment of debt</w:t>
      </w:r>
      <w:r>
        <w:rPr>
          <w:rFonts w:ascii="Arial" w:cs="Arial" w:eastAsia="Arial" w:hAnsi="Arial"/>
          <w:sz w:val="17"/>
          <w:szCs w:val="17"/>
          <w:color w:val="auto"/>
        </w:rPr>
        <w:t>. The Company must derecognize a liability if and only if it has been extinguished through delivery of cash, delivery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right="60" w:firstLine="32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Board of Directors each quarter.</w:t>
      </w:r>
    </w:p>
    <w:p>
      <w:pPr>
        <w:spacing w:after="0" w:line="170"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7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(LOSSES) PER SHARE</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nine months ended September 30,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2720" w:type="dxa"/>
            <w:vAlign w:val="bottom"/>
            <w:gridSpan w:val="7"/>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1,348,849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(669,449)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2,646,472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6"/>
              </w:rPr>
              <w:t>Net (increase) decrease in net assets allocated to unvested share awards</w:t>
            </w: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(10,133)</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(18,094)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8"/>
              </w:rPr>
              <w:t>Net increase (decrease) in net assets available to common stockholders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1,338,716</w:t>
            </w:r>
          </w:p>
        </w:tc>
        <w:tc>
          <w:tcPr>
            <w:tcW w:w="280" w:type="dxa"/>
            <w:vAlign w:val="bottom"/>
          </w:tcPr>
          <w:p>
            <w:pPr>
              <w:spacing w:after="0"/>
              <w:rPr>
                <w:sz w:val="24"/>
                <w:szCs w:val="24"/>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(666,189)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2,628,866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2,219,736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w w:val="93"/>
              </w:rPr>
              <w:t>Weighted average number of common and common stock equivalent shares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5720" w:type="dxa"/>
            <w:vAlign w:val="bottom"/>
            <w:gridSpan w:val="2"/>
          </w:tcPr>
          <w:p>
            <w:pPr>
              <w:spacing w:after="0"/>
              <w:rPr>
                <w:sz w:val="20"/>
                <w:szCs w:val="20"/>
                <w:color w:val="auto"/>
              </w:rPr>
            </w:pPr>
            <w:r>
              <w:rPr>
                <w:rFonts w:ascii="Arial" w:cs="Arial" w:eastAsia="Arial" w:hAnsi="Arial"/>
                <w:sz w:val="18"/>
                <w:szCs w:val="18"/>
                <w:color w:val="auto"/>
              </w:rPr>
              <w:t>outstanding for diluted shares computation</w:t>
            </w:r>
          </w:p>
        </w:tc>
        <w:tc>
          <w:tcPr>
            <w:tcW w:w="26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37,349,904</w:t>
            </w:r>
          </w:p>
        </w:tc>
        <w:tc>
          <w:tcPr>
            <w:tcW w:w="3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37,196,621</w:t>
            </w:r>
          </w:p>
        </w:tc>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37,354,449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37,202,011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increase (decrease) in net assets per basic common shares: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from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increase (decrease) in net assets per diluted shares: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from operations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There were 30,000 options to purchase shares of common stock considered for the computation of the diluted per share information for the three and nine months ended September 30, 2018. There were 50,000 options to purchase shares of common stock considered for the computation of the diluted per share information for the three and nine months ended September 30, 2017. Since the effects are anti-dilutive for both periods, the options were not included in the computation.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Company’s portfolio by security type at September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w w:val="94"/>
              </w:rPr>
              <w:t>September 30, 2018 (unaudited)</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00" w:type="dxa"/>
            <w:vAlign w:val="bottom"/>
          </w:tcPr>
          <w:p>
            <w:pPr>
              <w:spacing w:after="0"/>
              <w:rPr>
                <w:sz w:val="16"/>
                <w:szCs w:val="16"/>
                <w:color w:val="auto"/>
              </w:rPr>
            </w:pPr>
          </w:p>
        </w:tc>
        <w:tc>
          <w:tcPr>
            <w:tcW w:w="16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Cost/Amortized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Fair Value</w:t>
            </w: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investments²</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24,431,512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24,431,512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77,300,320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77,300,320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Senior Secured Loan</w:t>
            </w:r>
          </w:p>
        </w:tc>
        <w:tc>
          <w:tcPr>
            <w:tcW w:w="1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66,465,014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62,292,360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48,337,900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44,960,146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76,396,298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71,229,383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62,561,913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58,941,300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Senior Unsecured Loan</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6,277,283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6,277,283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12,777,283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12,777,283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1,502,374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1,518,750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CLO Fund Securities</w:t>
            </w:r>
          </w:p>
        </w:tc>
        <w:tc>
          <w:tcPr>
            <w:tcW w:w="1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68,769,245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47,983,931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72,339,032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51,678,673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10,571,007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4,079,336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10,571,007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4,414,684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Asset Manager Affiliates³</w:t>
            </w:r>
          </w:p>
        </w:tc>
        <w:tc>
          <w:tcPr>
            <w:tcW w:w="1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51,591,230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35,818,000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52,591,230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38,849,000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24,914,858</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21,373,570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24,914,858</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21,516,000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329,416,447</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273,485,375</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362,895,917</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311,956,156</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ind w:right="3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September 30, 2018 and December 31, 2017,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ind w:left="760"/>
              <w:spacing w:after="0"/>
              <w:rPr>
                <w:sz w:val="20"/>
                <w:szCs w:val="20"/>
                <w:color w:val="auto"/>
              </w:rPr>
            </w:pPr>
            <w:r>
              <w:rPr>
                <w:rFonts w:ascii="Arial" w:cs="Arial" w:eastAsia="Arial" w:hAnsi="Arial"/>
                <w:sz w:val="18"/>
                <w:szCs w:val="18"/>
                <w:b w:val="1"/>
                <w:bCs w:val="1"/>
                <w:color w:val="auto"/>
                <w:w w:val="93"/>
              </w:rPr>
              <w:t>September 30, 2018 (unaudited)</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00" w:type="dxa"/>
            <w:vAlign w:val="bottom"/>
          </w:tcPr>
          <w:p>
            <w:pPr>
              <w:spacing w:after="0"/>
              <w:rPr>
                <w:sz w:val="16"/>
                <w:szCs w:val="16"/>
                <w:color w:val="auto"/>
              </w:rPr>
            </w:pPr>
          </w:p>
        </w:tc>
        <w:tc>
          <w:tcPr>
            <w:tcW w:w="16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Cost/Amortized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Cost/Amortized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gridSpan w:val="2"/>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5,394,947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5,217,569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5,636,056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4,115,487</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29"/>
                <w:szCs w:val="29"/>
                <w:b w:val="1"/>
                <w:bCs w:val="1"/>
                <w:color w:val="auto"/>
                <w:vertAlign w:val="superscript"/>
              </w:rPr>
              <w:t>2</w:t>
            </w:r>
          </w:p>
        </w:tc>
        <w:tc>
          <w:tcPr>
            <w:tcW w:w="100" w:type="dxa"/>
            <w:vAlign w:val="bottom"/>
          </w:tcPr>
          <w:p>
            <w:pPr>
              <w:spacing w:after="0"/>
              <w:rPr>
                <w:sz w:val="22"/>
                <w:szCs w:val="22"/>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51,591,230</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35,818,000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52,591,230</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38,849,000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Banking, Finance, Insurance &amp; Real</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Estate</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4,441,289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4,399,103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4,458,962</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4,418,391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5,970,854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5,888,896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7,496,438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7,435,050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9,420,537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8,574,662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5,454,621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4,680,821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9,513,138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9,487,169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68,769,245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47,983,931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72,339,032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51,678,673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1,404,511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1,397,347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1,004,093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999,872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396,355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1,071,340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805,607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1,593,869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1,593,061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691,234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694,662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Energy: Oil &amp; Gas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17,700,944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12,281,830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14,932,542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11,433,777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8,405,778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7,228,048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6,330,630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5,766,437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Forest Products &amp; Paper</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1,600,960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1,558,556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1,600,960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41,181,476</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35,770,898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30,367,449</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25,512,654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13,072,205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13,054,861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18,229,229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18,260,577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24,914,858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21,373,570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24,914,858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21,516,000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Media: Advertising, Printing &amp;</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Publishing</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3,239,996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2,911,195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3,371,086</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3,318,296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Loans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6,277,283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6,277,283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12,777,283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12,777,283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Services: Business</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8,409,271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7,220,573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3,563,574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2,366,400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6,444,211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6,437,973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6,455,489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6,466,949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Textiles and Leather</w:t>
            </w:r>
          </w:p>
        </w:tc>
        <w:tc>
          <w:tcPr>
            <w:tcW w:w="1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10,138,033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10,139,179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7,950,994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7,947,940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24,431,512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24,431,512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52,293,570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52,293,570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Transportation: Cargo</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4,000,701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4,000,400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4,000,901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4,010,000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Obligations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25,006,750</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25,006,750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329,416,447</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273,485,375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362,895,917</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311,956,156</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202"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Company may invest up to 30% of its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At September 30, 2018 and December 31, 2017, the total amount of non-qualifying assets was approximately 26% and 23% of total assets, respectively. The majority of non-qualifying assets were foreign investments which were approximately 18% and 16%, respectively, of the Company’s total assets (including the Company’s investments in CLO Funds, which are typically domiciled outside the U.S. and represented approximately 17% and 16% of its total assets on such dates,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6"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2016, the Company sold $7.0 million par value of the Subordinated Notes of Catamaran 2015-1 for $4.2 million.</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December 2016, the Company purchased $10.1 million of the par value of the Subordinated Notes of Catamaran 2016-1 CLO (“Catamaran 2016-1”) managed by Trimaran Advisors.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October 31, 2017, the Company purchased an additional $4.3 million of notional amount of Subordinated Notes issued by Catamaran CLO 2014-1 at a cost of $5.4 million.</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December 2017, the Company purchased an additional $201,000 of notional amount of Subordinated Notes issued by Catamaran CLO 2013-1 at a cost of $201,000.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December 2017, the Company sold $5.0 million par value of the Subordinated Notes of Catamaran CLO 2014-1 for $3.0 million.</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January 2018, the trustees of Catamaran CLO 2012-1, Ltd received notice that the holders of a majority of the income notes issued by Catamaran CLO 2012-1, Ltd had exercised their right of optional redemption.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September 2018, the Company purchased $10 million par value of the Subordinated Notes of Catamaran CLO 2018-1 at a cost of $9.5 million.</w:t>
      </w:r>
    </w:p>
    <w:p>
      <w:pPr>
        <w:spacing w:after="0" w:line="237"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exercised its right to cause Katonah 2007-1 to redeem all of its outstanding indebtedness through the sale of its investments and otherwise wind up its business. As of September 30, 2018, Katonah 2007-1 had paid off all of its outstanding indebtedness and had approximately $319,000 in total assets. It is expected that Katonah 2007-1 will be fully liquidated and dissolved in 2018. The Company received approximately $10.5 million on its investment in Katonah 2007-1 during the first quarter of 2018 in connection with the continuing liquidation of Katonah 2007-1. The Company expects to record a realized loss during 2018 of approximately $10 million on its investment in Katonah 2007-1 and a corresponding unrealized gain of the same amount in order to reverse the previously recorded unrealized depreciation with respect to the investment.</w:t>
      </w:r>
    </w:p>
    <w:p>
      <w:pPr>
        <w:spacing w:after="0" w:line="17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Except for Katonah 2007-1 CLO Ltd, (“Katonah 2007-1”), Trimaran VII CLO Ltd, and Catamaran 2012-1 CLO, Ltd, all of which have been called, CLO Funds managed by the Asset Manager Affiliates are currently making quarterly distributions to the Company with respect to its interests in the CLO Funds and are paying all senior and subordinate management fees to the Asset Manager Affiliates. With the exception of Katonah III, Ltd. and Grant Grove CLO, Ltd. (both of which have been called), the remaining third-party managed CLO Fund is making distributions to the Company.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Affiliate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investments in affiliates at September 30, 2018 (unaudited) and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6"/>
              </w:rPr>
              <w:t>Fair Value at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Purchases/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Fair Value at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(Sales) of or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Realized</w:t>
            </w: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December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Advances/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31, 2017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(Distributions)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Accretion</w:t>
            </w: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Asset Manager Affiliates</w:t>
            </w:r>
            <w:r>
              <w:rPr>
                <w:rFonts w:ascii="Arial" w:cs="Arial" w:eastAsia="Arial" w:hAnsi="Arial"/>
                <w:sz w:val="23"/>
                <w:szCs w:val="23"/>
                <w:color w:val="auto"/>
                <w:vertAlign w:val="superscript"/>
              </w:rPr>
              <w:t>(4)(5)(6)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Asset Management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Company</w:t>
            </w: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38,849,000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(1,000,000)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(2,031,000)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35,818,000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60" w:type="dxa"/>
            <w:vAlign w:val="bottom"/>
          </w:tcPr>
          <w:p>
            <w:pPr>
              <w:ind w:left="180"/>
              <w:spacing w:after="0" w:line="140" w:lineRule="exact"/>
              <w:rPr>
                <w:sz w:val="20"/>
                <w:szCs w:val="20"/>
                <w:color w:val="auto"/>
              </w:rPr>
            </w:pPr>
            <w:r>
              <w:rPr>
                <w:rFonts w:ascii="Arial" w:cs="Arial" w:eastAsia="Arial" w:hAnsi="Arial"/>
                <w:sz w:val="14"/>
                <w:szCs w:val="14"/>
                <w:color w:val="auto"/>
                <w:w w:val="96"/>
              </w:rPr>
              <w:t>Trimaran Advisors, LLC Revolving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180"/>
              <w:spacing w:after="0" w:line="198" w:lineRule="exact"/>
              <w:rPr>
                <w:sz w:val="20"/>
                <w:szCs w:val="20"/>
                <w:color w:val="auto"/>
              </w:rPr>
            </w:pPr>
            <w:r>
              <w:rPr>
                <w:rFonts w:ascii="Arial" w:cs="Arial" w:eastAsia="Arial" w:hAnsi="Arial"/>
                <w:sz w:val="14"/>
                <w:szCs w:val="14"/>
                <w:color w:val="auto"/>
              </w:rPr>
              <w:t>Credit Facility</w:t>
            </w:r>
            <w:r>
              <w:rPr>
                <w:rFonts w:ascii="Arial" w:cs="Arial" w:eastAsia="Arial" w:hAnsi="Arial"/>
                <w:sz w:val="22"/>
                <w:szCs w:val="22"/>
                <w:color w:val="auto"/>
                <w:vertAlign w:val="superscript"/>
              </w:rPr>
              <w:t>(4)(5)(6)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Related Party Loans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1,151,339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Trimaran Advisors, LLC Related</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ind w:left="180"/>
              <w:spacing w:after="0" w:line="198" w:lineRule="exact"/>
              <w:rPr>
                <w:sz w:val="20"/>
                <w:szCs w:val="20"/>
                <w:color w:val="auto"/>
              </w:rPr>
            </w:pPr>
            <w:r>
              <w:rPr>
                <w:rFonts w:ascii="Arial" w:cs="Arial" w:eastAsia="Arial" w:hAnsi="Arial"/>
                <w:sz w:val="14"/>
                <w:szCs w:val="14"/>
                <w:color w:val="auto"/>
              </w:rPr>
              <w:t xml:space="preserve">Party Loan </w:t>
            </w:r>
            <w:r>
              <w:rPr>
                <w:rFonts w:ascii="Arial" w:cs="Arial" w:eastAsia="Arial" w:hAnsi="Arial"/>
                <w:sz w:val="22"/>
                <w:szCs w:val="22"/>
                <w:color w:val="auto"/>
                <w:vertAlign w:val="superscript"/>
              </w:rPr>
              <w:t>(4)(5)(6)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Related Party Loans</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8,359,051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(2,081,769)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6,277,282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621,761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260" w:type="dxa"/>
            <w:vAlign w:val="bottom"/>
          </w:tcPr>
          <w:p>
            <w:pPr>
              <w:ind w:left="180"/>
              <w:spacing w:after="0" w:line="140" w:lineRule="exact"/>
              <w:rPr>
                <w:sz w:val="20"/>
                <w:szCs w:val="20"/>
                <w:color w:val="auto"/>
              </w:rPr>
            </w:pPr>
            <w:r>
              <w:rPr>
                <w:rFonts w:ascii="Arial" w:cs="Arial" w:eastAsia="Arial" w:hAnsi="Arial"/>
                <w:sz w:val="14"/>
                <w:szCs w:val="14"/>
                <w:color w:val="auto"/>
              </w:rPr>
              <w:t>Trimaran Advisors, LLC 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180"/>
              <w:spacing w:after="0" w:line="198" w:lineRule="exact"/>
              <w:rPr>
                <w:sz w:val="20"/>
                <w:szCs w:val="20"/>
                <w:color w:val="auto"/>
              </w:rPr>
            </w:pPr>
            <w:r>
              <w:rPr>
                <w:rFonts w:ascii="Arial" w:cs="Arial" w:eastAsia="Arial" w:hAnsi="Arial"/>
                <w:sz w:val="14"/>
                <w:szCs w:val="14"/>
                <w:color w:val="auto"/>
              </w:rPr>
              <w:t xml:space="preserve">Party Loan </w:t>
            </w:r>
            <w:r>
              <w:rPr>
                <w:rFonts w:ascii="Arial" w:cs="Arial" w:eastAsia="Arial" w:hAnsi="Arial"/>
                <w:sz w:val="22"/>
                <w:szCs w:val="22"/>
                <w:color w:val="auto"/>
                <w:vertAlign w:val="superscript"/>
              </w:rPr>
              <w:t>(4)(5)(6)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Related Party Loans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4,418,232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(4,418,232)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229,380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80"/>
              <w:spacing w:after="0" w:line="181" w:lineRule="exact"/>
              <w:rPr>
                <w:sz w:val="20"/>
                <w:szCs w:val="20"/>
                <w:color w:val="auto"/>
              </w:rPr>
            </w:pPr>
            <w:r>
              <w:rPr>
                <w:rFonts w:ascii="Arial" w:cs="Arial" w:eastAsia="Arial" w:hAnsi="Arial"/>
                <w:sz w:val="13"/>
                <w:szCs w:val="13"/>
                <w:color w:val="auto"/>
              </w:rPr>
              <w:t xml:space="preserve">Katonah 2007-I CLO, Ltd. </w:t>
            </w:r>
            <w:r>
              <w:rPr>
                <w:rFonts w:ascii="Arial" w:cs="Arial" w:eastAsia="Arial" w:hAnsi="Arial"/>
                <w:sz w:val="20"/>
                <w:szCs w:val="20"/>
                <w:color w:val="auto"/>
                <w:vertAlign w:val="superscript"/>
              </w:rPr>
              <w:t>(1)(2)(3)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10,770,486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(10,487,425)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271,657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(404,718)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271,658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180"/>
              <w:spacing w:after="0" w:line="189" w:lineRule="exact"/>
              <w:rPr>
                <w:sz w:val="20"/>
                <w:szCs w:val="20"/>
                <w:color w:val="auto"/>
              </w:rPr>
            </w:pPr>
            <w:r>
              <w:rPr>
                <w:rFonts w:ascii="Arial" w:cs="Arial" w:eastAsia="Arial" w:hAnsi="Arial"/>
                <w:sz w:val="13"/>
                <w:szCs w:val="13"/>
                <w:color w:val="auto"/>
              </w:rPr>
              <w:t xml:space="preserve">Trimaran CLO VII, Ltd. </w:t>
            </w:r>
            <w:r>
              <w:rPr>
                <w:rFonts w:ascii="Arial" w:cs="Arial" w:eastAsia="Arial" w:hAnsi="Arial"/>
                <w:sz w:val="21"/>
                <w:szCs w:val="21"/>
                <w:color w:val="auto"/>
                <w:vertAlign w:val="superscript"/>
              </w:rPr>
              <w:t>(1)(2)(3)(4)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80"/>
              <w:spacing w:after="0" w:line="181" w:lineRule="exact"/>
              <w:rPr>
                <w:sz w:val="20"/>
                <w:szCs w:val="20"/>
                <w:color w:val="auto"/>
              </w:rPr>
            </w:pPr>
            <w:r>
              <w:rPr>
                <w:rFonts w:ascii="Arial" w:cs="Arial" w:eastAsia="Arial" w:hAnsi="Arial"/>
                <w:sz w:val="13"/>
                <w:szCs w:val="13"/>
                <w:color w:val="auto"/>
              </w:rPr>
              <w:t xml:space="preserve">Catamaran CLO 2012-1, Ltd. </w:t>
            </w:r>
            <w:r>
              <w:rPr>
                <w:rFonts w:ascii="Arial" w:cs="Arial" w:eastAsia="Arial" w:hAnsi="Arial"/>
                <w:sz w:val="20"/>
                <w:szCs w:val="20"/>
                <w:color w:val="auto"/>
                <w:vertAlign w:val="superscript"/>
              </w:rPr>
              <w:t>(1)(2)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2,320,783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(2,578,480)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264,748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2,949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264,748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60" w:type="dxa"/>
            <w:vAlign w:val="bottom"/>
          </w:tcPr>
          <w:p>
            <w:pPr>
              <w:ind w:left="180"/>
              <w:spacing w:after="0" w:line="181" w:lineRule="exact"/>
              <w:rPr>
                <w:sz w:val="20"/>
                <w:szCs w:val="20"/>
                <w:color w:val="auto"/>
              </w:rPr>
            </w:pPr>
            <w:r>
              <w:rPr>
                <w:rFonts w:ascii="Arial" w:cs="Arial" w:eastAsia="Arial" w:hAnsi="Arial"/>
                <w:sz w:val="13"/>
                <w:szCs w:val="13"/>
                <w:color w:val="auto"/>
              </w:rPr>
              <w:t xml:space="preserve">Catamaran CLO 2013-1, Ltd. </w:t>
            </w:r>
            <w:r>
              <w:rPr>
                <w:rFonts w:ascii="Arial" w:cs="Arial" w:eastAsia="Arial" w:hAnsi="Arial"/>
                <w:sz w:val="20"/>
                <w:szCs w:val="20"/>
                <w:color w:val="auto"/>
                <w:vertAlign w:val="superscript"/>
              </w:rPr>
              <w:t>(1)(2)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6,923,699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(982,527)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941,526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(810,647)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6,072,051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941,526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80"/>
              <w:spacing w:after="0" w:line="181" w:lineRule="exact"/>
              <w:rPr>
                <w:sz w:val="20"/>
                <w:szCs w:val="20"/>
                <w:color w:val="auto"/>
              </w:rPr>
            </w:pPr>
            <w:r>
              <w:rPr>
                <w:rFonts w:ascii="Arial" w:cs="Arial" w:eastAsia="Arial" w:hAnsi="Arial"/>
                <w:sz w:val="13"/>
                <w:szCs w:val="13"/>
                <w:color w:val="auto"/>
              </w:rPr>
              <w:t xml:space="preserve">Catamaran CLO 2014-1, Ltd. </w:t>
            </w:r>
            <w:r>
              <w:rPr>
                <w:rFonts w:ascii="Arial" w:cs="Arial" w:eastAsia="Arial" w:hAnsi="Arial"/>
                <w:sz w:val="20"/>
                <w:szCs w:val="20"/>
                <w:color w:val="auto"/>
                <w:vertAlign w:val="superscript"/>
              </w:rPr>
              <w:t>(1)(2)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8,230,178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(1,006,933)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1,012,363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1,474,091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9,709,699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1,012,363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60" w:type="dxa"/>
            <w:vAlign w:val="bottom"/>
          </w:tcPr>
          <w:p>
            <w:pPr>
              <w:ind w:left="180"/>
              <w:spacing w:after="0" w:line="181" w:lineRule="exact"/>
              <w:rPr>
                <w:sz w:val="20"/>
                <w:szCs w:val="20"/>
                <w:color w:val="auto"/>
              </w:rPr>
            </w:pPr>
            <w:r>
              <w:rPr>
                <w:rFonts w:ascii="Arial" w:cs="Arial" w:eastAsia="Arial" w:hAnsi="Arial"/>
                <w:sz w:val="13"/>
                <w:szCs w:val="13"/>
                <w:color w:val="auto"/>
              </w:rPr>
              <w:t xml:space="preserve">Catamaran CLO 2014-2, Ltd. </w:t>
            </w:r>
            <w:r>
              <w:rPr>
                <w:rFonts w:ascii="Arial" w:cs="Arial" w:eastAsia="Arial" w:hAnsi="Arial"/>
                <w:sz w:val="20"/>
                <w:szCs w:val="20"/>
                <w:color w:val="auto"/>
                <w:vertAlign w:val="superscript"/>
              </w:rPr>
              <w:t>(1)(2)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4,500,962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(762,433)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491,759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32,671</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4,262,959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491,759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80"/>
              <w:spacing w:after="0" w:line="181" w:lineRule="exact"/>
              <w:rPr>
                <w:sz w:val="20"/>
                <w:szCs w:val="20"/>
                <w:color w:val="auto"/>
              </w:rPr>
            </w:pPr>
            <w:r>
              <w:rPr>
                <w:rFonts w:ascii="Arial" w:cs="Arial" w:eastAsia="Arial" w:hAnsi="Arial"/>
                <w:sz w:val="13"/>
                <w:szCs w:val="13"/>
                <w:color w:val="auto"/>
              </w:rPr>
              <w:t xml:space="preserve">Catamaran CLO 2015-1, Ltd. </w:t>
            </w:r>
            <w:r>
              <w:rPr>
                <w:rFonts w:ascii="Arial" w:cs="Arial" w:eastAsia="Arial" w:hAnsi="Arial"/>
                <w:sz w:val="20"/>
                <w:szCs w:val="20"/>
                <w:color w:val="auto"/>
                <w:vertAlign w:val="superscript"/>
              </w:rPr>
              <w:t>(1)(2)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3,569,600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(386,595)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382,338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(73,153)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3,492,190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382,338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60" w:type="dxa"/>
            <w:vAlign w:val="bottom"/>
          </w:tcPr>
          <w:p>
            <w:pPr>
              <w:ind w:left="180"/>
              <w:spacing w:after="0" w:line="181" w:lineRule="exact"/>
              <w:rPr>
                <w:sz w:val="20"/>
                <w:szCs w:val="20"/>
                <w:color w:val="auto"/>
              </w:rPr>
            </w:pPr>
            <w:r>
              <w:rPr>
                <w:rFonts w:ascii="Arial" w:cs="Arial" w:eastAsia="Arial" w:hAnsi="Arial"/>
                <w:sz w:val="13"/>
                <w:szCs w:val="13"/>
                <w:color w:val="auto"/>
              </w:rPr>
              <w:t xml:space="preserve">Catamaran CLO 2016-1, Ltd. </w:t>
            </w:r>
            <w:r>
              <w:rPr>
                <w:rFonts w:ascii="Arial" w:cs="Arial" w:eastAsia="Arial" w:hAnsi="Arial"/>
                <w:sz w:val="20"/>
                <w:szCs w:val="20"/>
                <w:color w:val="auto"/>
                <w:vertAlign w:val="superscript"/>
              </w:rPr>
              <w:t>(1)(2)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8,530,685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(939,746)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688,390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(146,603)</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8,132,726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688,391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80"/>
              <w:spacing w:after="0" w:line="181" w:lineRule="exact"/>
              <w:rPr>
                <w:sz w:val="20"/>
                <w:szCs w:val="20"/>
                <w:color w:val="auto"/>
              </w:rPr>
            </w:pPr>
            <w:r>
              <w:rPr>
                <w:rFonts w:ascii="Arial" w:cs="Arial" w:eastAsia="Arial" w:hAnsi="Arial"/>
                <w:sz w:val="13"/>
                <w:szCs w:val="13"/>
                <w:color w:val="auto"/>
              </w:rPr>
              <w:t xml:space="preserve">Catamaran CLO 2018-1, Ltd. </w:t>
            </w:r>
            <w:r>
              <w:rPr>
                <w:rFonts w:ascii="Arial" w:cs="Arial" w:eastAsia="Arial" w:hAnsi="Arial"/>
                <w:sz w:val="20"/>
                <w:szCs w:val="20"/>
                <w:color w:val="auto"/>
                <w:vertAlign w:val="superscript"/>
              </w:rPr>
              <w:t>(1)(2)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9,500,000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9,000,000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260" w:type="dxa"/>
            <w:vAlign w:val="bottom"/>
          </w:tcPr>
          <w:p>
            <w:pPr>
              <w:ind w:left="180"/>
              <w:spacing w:after="0" w:line="140" w:lineRule="exact"/>
              <w:rPr>
                <w:sz w:val="20"/>
                <w:szCs w:val="20"/>
                <w:color w:val="auto"/>
              </w:rPr>
            </w:pPr>
            <w:r>
              <w:rPr>
                <w:rFonts w:ascii="Arial" w:cs="Arial" w:eastAsia="Arial" w:hAnsi="Arial"/>
                <w:sz w:val="14"/>
                <w:szCs w:val="14"/>
                <w:color w:val="auto"/>
                <w:w w:val="98"/>
              </w:rPr>
              <w:t>KCAP F3C Senior Funding Rated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180"/>
              <w:spacing w:after="0" w:line="198" w:lineRule="exact"/>
              <w:rPr>
                <w:sz w:val="20"/>
                <w:szCs w:val="20"/>
                <w:color w:val="auto"/>
              </w:rPr>
            </w:pPr>
            <w:r>
              <w:rPr>
                <w:rFonts w:ascii="Arial" w:cs="Arial" w:eastAsia="Arial" w:hAnsi="Arial"/>
                <w:sz w:val="22"/>
                <w:szCs w:val="22"/>
                <w:color w:val="auto"/>
                <w:vertAlign w:val="subscript"/>
              </w:rPr>
              <w:t>Notes</w:t>
            </w:r>
            <w:r>
              <w:rPr>
                <w:rFonts w:ascii="Arial" w:cs="Arial" w:eastAsia="Arial" w:hAnsi="Arial"/>
                <w:sz w:val="10"/>
                <w:szCs w:val="10"/>
                <w:color w:val="auto"/>
              </w:rPr>
              <w:t>(2)(4)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4,632,000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27,897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31,536</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4,691,433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375,252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180"/>
              <w:spacing w:after="0" w:line="202" w:lineRule="exact"/>
              <w:rPr>
                <w:sz w:val="20"/>
                <w:szCs w:val="20"/>
                <w:color w:val="auto"/>
              </w:rPr>
            </w:pPr>
            <w:r>
              <w:rPr>
                <w:rFonts w:ascii="Arial" w:cs="Arial" w:eastAsia="Arial" w:hAnsi="Arial"/>
                <w:sz w:val="14"/>
                <w:szCs w:val="14"/>
                <w:color w:val="auto"/>
              </w:rPr>
              <w:t xml:space="preserve">KCAP Freedom 3, LLC </w:t>
            </w:r>
            <w:r>
              <w:rPr>
                <w:rFonts w:ascii="Arial" w:cs="Arial" w:eastAsia="Arial" w:hAnsi="Arial"/>
                <w:sz w:val="23"/>
                <w:szCs w:val="23"/>
                <w:color w:val="auto"/>
                <w:vertAlign w:val="superscript"/>
              </w:rPr>
              <w:t>(4)(6)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Joint Venture</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9"/>
              </w:rPr>
              <w:t>21,516,000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(142,430)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21,373,570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2,150,000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Affiliated Investments</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60" w:type="dxa"/>
            <w:vAlign w:val="bottom"/>
            <w:gridSpan w:val="6"/>
            <w:shd w:val="clear" w:color="auto" w:fill="CCEEFF"/>
          </w:tcPr>
          <w:p>
            <w:pPr>
              <w:jc w:val="right"/>
              <w:ind w:right="140"/>
              <w:spacing w:after="0"/>
              <w:rPr>
                <w:sz w:val="20"/>
                <w:szCs w:val="20"/>
                <w:color w:val="auto"/>
              </w:rPr>
            </w:pPr>
            <w:r>
              <w:rPr>
                <w:rFonts w:ascii="Arial" w:cs="Arial" w:eastAsia="Arial" w:hAnsi="Arial"/>
                <w:sz w:val="14"/>
                <w:szCs w:val="14"/>
                <w:color w:val="auto"/>
              </w:rPr>
              <w:t>$ 122,630,676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2"/>
                <w:szCs w:val="12"/>
                <w:color w:val="auto"/>
              </w:rPr>
              <w:t>(15,144,140</w:t>
            </w:r>
            <w:r>
              <w:rPr>
                <w:rFonts w:ascii="Arial" w:cs="Arial" w:eastAsia="Arial" w:hAnsi="Arial"/>
                <w:sz w:val="20"/>
                <w:szCs w:val="20"/>
                <w:color w:val="auto"/>
                <w:vertAlign w:val="superscript"/>
              </w:rPr>
              <w:t>)</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$ 4,080,678</w:t>
            </w:r>
          </w:p>
        </w:tc>
        <w:tc>
          <w:tcPr>
            <w:tcW w:w="80" w:type="dxa"/>
            <w:vAlign w:val="bottom"/>
            <w:shd w:val="clear" w:color="auto" w:fill="CCEEFF"/>
          </w:tcPr>
          <w:p>
            <w:pPr>
              <w:spacing w:after="0"/>
              <w:rPr>
                <w:sz w:val="15"/>
                <w:szCs w:val="15"/>
                <w:color w:val="auto"/>
              </w:rPr>
            </w:pPr>
          </w:p>
        </w:tc>
        <w:tc>
          <w:tcPr>
            <w:tcW w:w="1020" w:type="dxa"/>
            <w:vAlign w:val="bottom"/>
            <w:gridSpan w:val="4"/>
            <w:shd w:val="clear" w:color="auto" w:fill="CCEEFF"/>
          </w:tcPr>
          <w:p>
            <w:pPr>
              <w:jc w:val="right"/>
              <w:ind w:right="140"/>
              <w:spacing w:after="0" w:line="176" w:lineRule="exact"/>
              <w:rPr>
                <w:sz w:val="20"/>
                <w:szCs w:val="20"/>
                <w:color w:val="auto"/>
              </w:rPr>
            </w:pPr>
            <w:r>
              <w:rPr>
                <w:rFonts w:ascii="Arial" w:cs="Arial" w:eastAsia="Arial" w:hAnsi="Arial"/>
                <w:sz w:val="12"/>
                <w:szCs w:val="12"/>
                <w:color w:val="auto"/>
              </w:rPr>
              <w:t>$ (2,567,304</w:t>
            </w:r>
            <w:r>
              <w:rPr>
                <w:rFonts w:ascii="Arial" w:cs="Arial" w:eastAsia="Arial" w:hAnsi="Arial"/>
                <w:sz w:val="20"/>
                <w:szCs w:val="20"/>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108,999,910</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$ 6,430,515</w:t>
            </w:r>
          </w:p>
        </w:tc>
        <w:tc>
          <w:tcPr>
            <w:tcW w:w="8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3,070,000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Purchases/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at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(Sales) of or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2"/>
                <w:szCs w:val="12"/>
                <w:color w:val="auto"/>
              </w:rPr>
            </w:pPr>
          </w:p>
        </w:tc>
        <w:tc>
          <w:tcPr>
            <w:tcW w:w="9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Realized</w:t>
            </w: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6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Advances/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(Distributions)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Accretion</w:t>
            </w:r>
          </w:p>
        </w:tc>
        <w:tc>
          <w:tcPr>
            <w:tcW w:w="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4"/>
                <w:szCs w:val="14"/>
                <w:color w:val="auto"/>
              </w:rPr>
            </w:pPr>
          </w:p>
        </w:tc>
        <w:tc>
          <w:tcPr>
            <w:tcW w:w="84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Asset Manager Affiliates</w:t>
            </w:r>
            <w:r>
              <w:rPr>
                <w:rFonts w:ascii="Arial" w:cs="Arial" w:eastAsia="Arial" w:hAnsi="Arial"/>
                <w:sz w:val="23"/>
                <w:szCs w:val="23"/>
                <w:color w:val="auto"/>
                <w:vertAlign w:val="superscript"/>
              </w:rPr>
              <w:t>(4)(5)(6)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Asset Management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vMerge w:val="continue"/>
            <w:shd w:val="clear" w:color="auto" w:fill="CCEEFF"/>
          </w:tcPr>
          <w:p>
            <w:pPr>
              <w:spacing w:after="0"/>
              <w:rPr>
                <w:sz w:val="14"/>
                <w:szCs w:val="14"/>
                <w:color w:val="auto"/>
              </w:rPr>
            </w:pPr>
          </w:p>
        </w:tc>
        <w:tc>
          <w:tcPr>
            <w:tcW w:w="14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Company</w:t>
            </w:r>
          </w:p>
        </w:tc>
        <w:tc>
          <w:tcPr>
            <w:tcW w:w="2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40,198,000</w:t>
            </w:r>
          </w:p>
        </w:tc>
        <w:tc>
          <w:tcPr>
            <w:tcW w:w="1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(2,750,000)</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1,401,000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38,849,000</w:t>
            </w: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460,000</w:t>
            </w:r>
          </w:p>
        </w:tc>
        <w:tc>
          <w:tcPr>
            <w:tcW w:w="0" w:type="dxa"/>
            <w:vAlign w:val="bottom"/>
          </w:tcPr>
          <w:p>
            <w:pPr>
              <w:spacing w:after="0"/>
              <w:rPr>
                <w:sz w:val="1"/>
                <w:szCs w:val="1"/>
                <w:color w:val="auto"/>
              </w:rPr>
            </w:pPr>
          </w:p>
        </w:tc>
      </w:tr>
      <w:tr>
        <w:trPr>
          <w:trHeight w:val="140"/>
        </w:trPr>
        <w:tc>
          <w:tcPr>
            <w:tcW w:w="2260" w:type="dxa"/>
            <w:vAlign w:val="bottom"/>
          </w:tcPr>
          <w:p>
            <w:pPr>
              <w:ind w:left="180"/>
              <w:spacing w:after="0" w:line="140" w:lineRule="exact"/>
              <w:rPr>
                <w:sz w:val="20"/>
                <w:szCs w:val="20"/>
                <w:color w:val="auto"/>
              </w:rPr>
            </w:pPr>
            <w:r>
              <w:rPr>
                <w:rFonts w:ascii="Arial" w:cs="Arial" w:eastAsia="Arial" w:hAnsi="Arial"/>
                <w:sz w:val="14"/>
                <w:szCs w:val="14"/>
                <w:color w:val="auto"/>
              </w:rPr>
              <w:t>Trimaran Advisors, LLC</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180"/>
              <w:spacing w:after="0" w:line="198" w:lineRule="exact"/>
              <w:rPr>
                <w:sz w:val="20"/>
                <w:szCs w:val="20"/>
                <w:color w:val="auto"/>
              </w:rPr>
            </w:pPr>
            <w:r>
              <w:rPr>
                <w:rFonts w:ascii="Arial" w:cs="Arial" w:eastAsia="Arial" w:hAnsi="Arial"/>
                <w:sz w:val="14"/>
                <w:szCs w:val="14"/>
                <w:color w:val="auto"/>
              </w:rPr>
              <w:t>Revolving Credit Facility</w:t>
            </w:r>
            <w:r>
              <w:rPr>
                <w:rFonts w:ascii="Arial" w:cs="Arial" w:eastAsia="Arial" w:hAnsi="Arial"/>
                <w:sz w:val="22"/>
                <w:szCs w:val="22"/>
                <w:color w:val="auto"/>
                <w:vertAlign w:val="superscript"/>
              </w:rPr>
              <w:t>(4)(5)(6)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Related Party Loans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916,765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180"/>
              <w:spacing w:after="0" w:line="140" w:lineRule="exact"/>
              <w:rPr>
                <w:sz w:val="20"/>
                <w:szCs w:val="20"/>
                <w:color w:val="auto"/>
              </w:rPr>
            </w:pPr>
            <w:r>
              <w:rPr>
                <w:rFonts w:ascii="Arial" w:cs="Arial" w:eastAsia="Arial" w:hAnsi="Arial"/>
                <w:sz w:val="14"/>
                <w:szCs w:val="14"/>
                <w:color w:val="auto"/>
              </w:rPr>
              <w:t>Trimaran Advisors, LLC Related</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ind w:left="180"/>
              <w:spacing w:after="0" w:line="198" w:lineRule="exact"/>
              <w:rPr>
                <w:sz w:val="20"/>
                <w:szCs w:val="20"/>
                <w:color w:val="auto"/>
              </w:rPr>
            </w:pPr>
            <w:r>
              <w:rPr>
                <w:rFonts w:ascii="Arial" w:cs="Arial" w:eastAsia="Arial" w:hAnsi="Arial"/>
                <w:sz w:val="14"/>
                <w:szCs w:val="14"/>
                <w:color w:val="auto"/>
              </w:rPr>
              <w:t xml:space="preserve">Party Loan </w:t>
            </w:r>
            <w:r>
              <w:rPr>
                <w:rFonts w:ascii="Arial" w:cs="Arial" w:eastAsia="Arial" w:hAnsi="Arial"/>
                <w:sz w:val="22"/>
                <w:szCs w:val="22"/>
                <w:color w:val="auto"/>
                <w:vertAlign w:val="superscript"/>
              </w:rPr>
              <w:t>(4)(5)(6)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Related Party Loans</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8,359,051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8,359,051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148,721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260" w:type="dxa"/>
            <w:vAlign w:val="bottom"/>
          </w:tcPr>
          <w:p>
            <w:pPr>
              <w:ind w:left="180"/>
              <w:spacing w:after="0" w:line="140" w:lineRule="exact"/>
              <w:rPr>
                <w:sz w:val="20"/>
                <w:szCs w:val="20"/>
                <w:color w:val="auto"/>
              </w:rPr>
            </w:pPr>
            <w:r>
              <w:rPr>
                <w:rFonts w:ascii="Arial" w:cs="Arial" w:eastAsia="Arial" w:hAnsi="Arial"/>
                <w:sz w:val="14"/>
                <w:szCs w:val="14"/>
                <w:color w:val="auto"/>
              </w:rPr>
              <w:t>Trimaran Advisors, LLC Related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180"/>
              <w:spacing w:after="0" w:line="198" w:lineRule="exact"/>
              <w:rPr>
                <w:sz w:val="20"/>
                <w:szCs w:val="20"/>
                <w:color w:val="auto"/>
              </w:rPr>
            </w:pPr>
            <w:r>
              <w:rPr>
                <w:rFonts w:ascii="Arial" w:cs="Arial" w:eastAsia="Arial" w:hAnsi="Arial"/>
                <w:sz w:val="22"/>
                <w:szCs w:val="22"/>
                <w:color w:val="auto"/>
                <w:vertAlign w:val="subscript"/>
              </w:rPr>
              <w:t>Party Loan</w:t>
            </w:r>
            <w:r>
              <w:rPr>
                <w:rFonts w:ascii="Arial" w:cs="Arial" w:eastAsia="Arial" w:hAnsi="Arial"/>
                <w:sz w:val="10"/>
                <w:szCs w:val="10"/>
                <w:color w:val="auto"/>
              </w:rPr>
              <w:t xml:space="preserve"> (4)(5)(6)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Related Party Loans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4,418,232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4,418,232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16,752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80"/>
              <w:spacing w:after="0" w:line="181" w:lineRule="exact"/>
              <w:rPr>
                <w:sz w:val="20"/>
                <w:szCs w:val="20"/>
                <w:color w:val="auto"/>
              </w:rPr>
            </w:pPr>
            <w:r>
              <w:rPr>
                <w:rFonts w:ascii="Arial" w:cs="Arial" w:eastAsia="Arial" w:hAnsi="Arial"/>
                <w:sz w:val="13"/>
                <w:szCs w:val="13"/>
                <w:color w:val="auto"/>
              </w:rPr>
              <w:t xml:space="preserve">Katonah 2007-I CLO, Ltd. </w:t>
            </w:r>
            <w:r>
              <w:rPr>
                <w:rFonts w:ascii="Arial" w:cs="Arial" w:eastAsia="Arial" w:hAnsi="Arial"/>
                <w:sz w:val="20"/>
                <w:szCs w:val="20"/>
                <w:color w:val="auto"/>
                <w:vertAlign w:val="superscript"/>
              </w:rPr>
              <w:t>(1)(2)(3)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20,453,099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(13,157,760)</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5,660,026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(2,184,878)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10,770,486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9"/>
              </w:rPr>
              <w:t>5,660,026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60" w:type="dxa"/>
            <w:vAlign w:val="bottom"/>
          </w:tcPr>
          <w:p>
            <w:pPr>
              <w:ind w:left="180"/>
              <w:spacing w:after="0" w:line="189" w:lineRule="exact"/>
              <w:rPr>
                <w:sz w:val="20"/>
                <w:szCs w:val="20"/>
                <w:color w:val="auto"/>
              </w:rPr>
            </w:pPr>
            <w:r>
              <w:rPr>
                <w:rFonts w:ascii="Arial" w:cs="Arial" w:eastAsia="Arial" w:hAnsi="Arial"/>
                <w:sz w:val="13"/>
                <w:szCs w:val="13"/>
                <w:color w:val="auto"/>
              </w:rPr>
              <w:t xml:space="preserve">Trimaran CLO VII, Ltd. </w:t>
            </w:r>
            <w:r>
              <w:rPr>
                <w:rFonts w:ascii="Arial" w:cs="Arial" w:eastAsia="Arial" w:hAnsi="Arial"/>
                <w:sz w:val="21"/>
                <w:szCs w:val="21"/>
                <w:color w:val="auto"/>
                <w:vertAlign w:val="superscript"/>
              </w:rPr>
              <w:t>(1)(2)(3)(4)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1,195,152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(1,264,090)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78,938</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80"/>
              <w:spacing w:after="0" w:line="181" w:lineRule="exact"/>
              <w:rPr>
                <w:sz w:val="20"/>
                <w:szCs w:val="20"/>
                <w:color w:val="auto"/>
              </w:rPr>
            </w:pPr>
            <w:r>
              <w:rPr>
                <w:rFonts w:ascii="Arial" w:cs="Arial" w:eastAsia="Arial" w:hAnsi="Arial"/>
                <w:sz w:val="13"/>
                <w:szCs w:val="13"/>
                <w:color w:val="auto"/>
              </w:rPr>
              <w:t xml:space="preserve">Catamaran CLO 2012-1, Ltd. </w:t>
            </w:r>
            <w:r>
              <w:rPr>
                <w:rFonts w:ascii="Arial" w:cs="Arial" w:eastAsia="Arial" w:hAnsi="Arial"/>
                <w:sz w:val="20"/>
                <w:szCs w:val="20"/>
                <w:color w:val="auto"/>
                <w:vertAlign w:val="superscript"/>
              </w:rPr>
              <w:t>(1)(2)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2,819,412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(771,743)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699,611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(426,497)</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2,320,783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699,611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60" w:type="dxa"/>
            <w:vAlign w:val="bottom"/>
          </w:tcPr>
          <w:p>
            <w:pPr>
              <w:ind w:left="180"/>
              <w:spacing w:after="0" w:line="181" w:lineRule="exact"/>
              <w:rPr>
                <w:sz w:val="20"/>
                <w:szCs w:val="20"/>
                <w:color w:val="auto"/>
              </w:rPr>
            </w:pPr>
            <w:r>
              <w:rPr>
                <w:rFonts w:ascii="Arial" w:cs="Arial" w:eastAsia="Arial" w:hAnsi="Arial"/>
                <w:sz w:val="13"/>
                <w:szCs w:val="13"/>
                <w:color w:val="auto"/>
              </w:rPr>
              <w:t xml:space="preserve">Catamaran CLO 2013-1, Ltd. </w:t>
            </w:r>
            <w:r>
              <w:rPr>
                <w:rFonts w:ascii="Arial" w:cs="Arial" w:eastAsia="Arial" w:hAnsi="Arial"/>
                <w:sz w:val="20"/>
                <w:szCs w:val="20"/>
                <w:color w:val="auto"/>
                <w:vertAlign w:val="superscript"/>
              </w:rPr>
              <w:t>(1)(2)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4,918,807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(1,054,362)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834,448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2,224,807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6,923,699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834,448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80"/>
              <w:spacing w:after="0" w:line="181" w:lineRule="exact"/>
              <w:rPr>
                <w:sz w:val="20"/>
                <w:szCs w:val="20"/>
                <w:color w:val="auto"/>
              </w:rPr>
            </w:pPr>
            <w:r>
              <w:rPr>
                <w:rFonts w:ascii="Arial" w:cs="Arial" w:eastAsia="Arial" w:hAnsi="Arial"/>
                <w:sz w:val="13"/>
                <w:szCs w:val="13"/>
                <w:color w:val="auto"/>
              </w:rPr>
              <w:t xml:space="preserve">Catamaran CLO 2014-1, Ltd. </w:t>
            </w:r>
            <w:r>
              <w:rPr>
                <w:rFonts w:ascii="Arial" w:cs="Arial" w:eastAsia="Arial" w:hAnsi="Arial"/>
                <w:sz w:val="20"/>
                <w:szCs w:val="20"/>
                <w:color w:val="auto"/>
                <w:vertAlign w:val="superscript"/>
              </w:rPr>
              <w:t>(1)(2)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4,546,682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2,319,047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1,079,850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1,643,907</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(1,359,309)</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8,230,178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9"/>
              </w:rPr>
              <w:t>1,079,850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60" w:type="dxa"/>
            <w:vAlign w:val="bottom"/>
          </w:tcPr>
          <w:p>
            <w:pPr>
              <w:ind w:left="180"/>
              <w:spacing w:after="0" w:line="181" w:lineRule="exact"/>
              <w:rPr>
                <w:sz w:val="20"/>
                <w:szCs w:val="20"/>
                <w:color w:val="auto"/>
              </w:rPr>
            </w:pPr>
            <w:r>
              <w:rPr>
                <w:rFonts w:ascii="Arial" w:cs="Arial" w:eastAsia="Arial" w:hAnsi="Arial"/>
                <w:sz w:val="13"/>
                <w:szCs w:val="13"/>
                <w:color w:val="auto"/>
              </w:rPr>
              <w:t xml:space="preserve">Catamaran CLO 2014-2, Ltd. </w:t>
            </w:r>
            <w:r>
              <w:rPr>
                <w:rFonts w:ascii="Arial" w:cs="Arial" w:eastAsia="Arial" w:hAnsi="Arial"/>
                <w:sz w:val="20"/>
                <w:szCs w:val="20"/>
                <w:color w:val="auto"/>
                <w:vertAlign w:val="superscript"/>
              </w:rPr>
              <w:t>(1)(2)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5,092,087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(1,130,813)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806,058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(266,370)</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4,500,962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806,058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80"/>
              <w:spacing w:after="0" w:line="181" w:lineRule="exact"/>
              <w:rPr>
                <w:sz w:val="20"/>
                <w:szCs w:val="20"/>
                <w:color w:val="auto"/>
              </w:rPr>
            </w:pPr>
            <w:r>
              <w:rPr>
                <w:rFonts w:ascii="Arial" w:cs="Arial" w:eastAsia="Arial" w:hAnsi="Arial"/>
                <w:sz w:val="13"/>
                <w:szCs w:val="13"/>
                <w:color w:val="auto"/>
              </w:rPr>
              <w:t xml:space="preserve">Catamaran CLO 2015-1, Ltd. </w:t>
            </w:r>
            <w:r>
              <w:rPr>
                <w:rFonts w:ascii="Arial" w:cs="Arial" w:eastAsia="Arial" w:hAnsi="Arial"/>
                <w:sz w:val="20"/>
                <w:szCs w:val="20"/>
                <w:color w:val="auto"/>
                <w:vertAlign w:val="superscript"/>
              </w:rPr>
              <w:t>(1)(2)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3,223,255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(571,562)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446,893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471,017</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3,569,600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446,893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260" w:type="dxa"/>
            <w:vAlign w:val="bottom"/>
          </w:tcPr>
          <w:p>
            <w:pPr>
              <w:ind w:left="180"/>
              <w:spacing w:after="0" w:line="181" w:lineRule="exact"/>
              <w:rPr>
                <w:sz w:val="20"/>
                <w:szCs w:val="20"/>
                <w:color w:val="auto"/>
              </w:rPr>
            </w:pPr>
            <w:r>
              <w:rPr>
                <w:rFonts w:ascii="Arial" w:cs="Arial" w:eastAsia="Arial" w:hAnsi="Arial"/>
                <w:sz w:val="13"/>
                <w:szCs w:val="13"/>
                <w:color w:val="auto"/>
              </w:rPr>
              <w:t xml:space="preserve">Catamaran CLO 2016-1, Ltd. </w:t>
            </w:r>
            <w:r>
              <w:rPr>
                <w:rFonts w:ascii="Arial" w:cs="Arial" w:eastAsia="Arial" w:hAnsi="Arial"/>
                <w:sz w:val="20"/>
                <w:szCs w:val="20"/>
                <w:color w:val="auto"/>
                <w:vertAlign w:val="superscript"/>
              </w:rPr>
              <w:t>(1)(2)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60" w:type="dxa"/>
            <w:vAlign w:val="bottom"/>
          </w:tcPr>
          <w:p>
            <w:pPr>
              <w:ind w:left="180"/>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8,350,290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(1,146,242)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1,093,043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233,593</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8,530,685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1,093,043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color w:val="auto"/>
              </w:rPr>
              <w:t xml:space="preserve">CRMN 2014-1A </w:t>
            </w:r>
            <w:r>
              <w:rPr>
                <w:rFonts w:ascii="Arial" w:cs="Arial" w:eastAsia="Arial" w:hAnsi="Arial"/>
                <w:sz w:val="21"/>
                <w:szCs w:val="21"/>
                <w:color w:val="auto"/>
                <w:vertAlign w:val="superscript"/>
              </w:rPr>
              <w:t>(1)(2)(4)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1,310,000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(1,545,506)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9,259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131,727</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94,520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97,885</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260" w:type="dxa"/>
            <w:vAlign w:val="bottom"/>
          </w:tcPr>
          <w:p>
            <w:pPr>
              <w:ind w:left="180"/>
              <w:spacing w:after="0" w:line="140" w:lineRule="exact"/>
              <w:rPr>
                <w:sz w:val="20"/>
                <w:szCs w:val="20"/>
                <w:color w:val="auto"/>
              </w:rPr>
            </w:pPr>
            <w:r>
              <w:rPr>
                <w:rFonts w:ascii="Arial" w:cs="Arial" w:eastAsia="Arial" w:hAnsi="Arial"/>
                <w:sz w:val="14"/>
                <w:szCs w:val="14"/>
                <w:color w:val="auto"/>
                <w:w w:val="98"/>
              </w:rPr>
              <w:t>KCAP F3C Senior Funding Rated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180"/>
              <w:spacing w:after="0" w:line="198" w:lineRule="exact"/>
              <w:rPr>
                <w:sz w:val="20"/>
                <w:szCs w:val="20"/>
                <w:color w:val="auto"/>
              </w:rPr>
            </w:pPr>
            <w:r>
              <w:rPr>
                <w:rFonts w:ascii="Arial" w:cs="Arial" w:eastAsia="Arial" w:hAnsi="Arial"/>
                <w:sz w:val="22"/>
                <w:szCs w:val="22"/>
                <w:color w:val="auto"/>
                <w:vertAlign w:val="subscript"/>
              </w:rPr>
              <w:t>Notes</w:t>
            </w:r>
            <w:r>
              <w:rPr>
                <w:rFonts w:ascii="Arial" w:cs="Arial" w:eastAsia="Arial" w:hAnsi="Arial"/>
                <w:sz w:val="10"/>
                <w:szCs w:val="10"/>
                <w:color w:val="auto"/>
              </w:rPr>
              <w:t>(2)(4)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4,346,290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89,676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196,035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4,632,000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89,676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180"/>
              <w:spacing w:after="0" w:line="202" w:lineRule="exact"/>
              <w:rPr>
                <w:sz w:val="20"/>
                <w:szCs w:val="20"/>
                <w:color w:val="auto"/>
              </w:rPr>
            </w:pPr>
            <w:r>
              <w:rPr>
                <w:rFonts w:ascii="Arial" w:cs="Arial" w:eastAsia="Arial" w:hAnsi="Arial"/>
                <w:sz w:val="14"/>
                <w:szCs w:val="14"/>
                <w:color w:val="auto"/>
              </w:rPr>
              <w:t xml:space="preserve">KCAP Freedom 3, LLC </w:t>
            </w:r>
            <w:r>
              <w:rPr>
                <w:rFonts w:ascii="Arial" w:cs="Arial" w:eastAsia="Arial" w:hAnsi="Arial"/>
                <w:sz w:val="23"/>
                <w:szCs w:val="23"/>
                <w:color w:val="auto"/>
                <w:vertAlign w:val="superscript"/>
              </w:rPr>
              <w:t>(4)(6)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Joint Venture</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24,914,858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(3,398,858)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21,516,000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949,037</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Affiliated Investments</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92,106,784</w:t>
            </w:r>
          </w:p>
        </w:tc>
        <w:tc>
          <w:tcPr>
            <w:tcW w:w="14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20,965,400</w:t>
            </w:r>
          </w:p>
        </w:tc>
        <w:tc>
          <w:tcPr>
            <w:tcW w:w="100" w:type="dxa"/>
            <w:vAlign w:val="bottom"/>
            <w:shd w:val="clear" w:color="auto" w:fill="CCEEFF"/>
          </w:tcPr>
          <w:p>
            <w:pPr>
              <w:spacing w:after="0"/>
              <w:rPr>
                <w:sz w:val="15"/>
                <w:szCs w:val="15"/>
                <w:color w:val="auto"/>
              </w:rPr>
            </w:pPr>
          </w:p>
        </w:tc>
        <w:tc>
          <w:tcPr>
            <w:tcW w:w="880" w:type="dxa"/>
            <w:vAlign w:val="bottom"/>
            <w:gridSpan w:val="6"/>
            <w:shd w:val="clear" w:color="auto" w:fill="CCEEFF"/>
          </w:tcPr>
          <w:p>
            <w:pPr>
              <w:jc w:val="right"/>
              <w:ind w:right="80"/>
              <w:spacing w:after="0"/>
              <w:rPr>
                <w:sz w:val="20"/>
                <w:szCs w:val="20"/>
                <w:color w:val="auto"/>
              </w:rPr>
            </w:pPr>
            <w:r>
              <w:rPr>
                <w:rFonts w:ascii="Arial" w:cs="Arial" w:eastAsia="Arial" w:hAnsi="Arial"/>
                <w:sz w:val="14"/>
                <w:szCs w:val="14"/>
                <w:color w:val="auto"/>
                <w:w w:val="95"/>
              </w:rPr>
              <w:t>$ 10,718,864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104,421</w:t>
            </w:r>
          </w:p>
        </w:tc>
        <w:tc>
          <w:tcPr>
            <w:tcW w:w="920" w:type="dxa"/>
            <w:vAlign w:val="bottom"/>
            <w:gridSpan w:val="3"/>
            <w:shd w:val="clear" w:color="auto" w:fill="CCEEFF"/>
          </w:tcPr>
          <w:p>
            <w:pPr>
              <w:spacing w:after="0" w:line="176" w:lineRule="exact"/>
              <w:rPr>
                <w:sz w:val="20"/>
                <w:szCs w:val="20"/>
                <w:color w:val="auto"/>
              </w:rPr>
            </w:pPr>
            <w:r>
              <w:rPr>
                <w:rFonts w:ascii="Arial" w:cs="Arial" w:eastAsia="Arial" w:hAnsi="Arial"/>
                <w:sz w:val="12"/>
                <w:szCs w:val="12"/>
                <w:color w:val="auto"/>
              </w:rPr>
              <w:t>$ (1,264,789</w:t>
            </w:r>
            <w:r>
              <w:rPr>
                <w:rFonts w:ascii="Arial" w:cs="Arial" w:eastAsia="Arial" w:hAnsi="Arial"/>
                <w:sz w:val="20"/>
                <w:szCs w:val="20"/>
                <w:color w:val="auto"/>
                <w:vertAlign w:val="superscript"/>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122,630,676</w:t>
            </w:r>
          </w:p>
        </w:tc>
        <w:tc>
          <w:tcPr>
            <w:tcW w:w="900" w:type="dxa"/>
            <w:vAlign w:val="bottom"/>
            <w:gridSpan w:val="6"/>
            <w:shd w:val="clear" w:color="auto" w:fill="CCEEFF"/>
          </w:tcPr>
          <w:p>
            <w:pPr>
              <w:jc w:val="right"/>
              <w:ind w:right="80"/>
              <w:spacing w:after="0"/>
              <w:rPr>
                <w:sz w:val="20"/>
                <w:szCs w:val="20"/>
                <w:color w:val="auto"/>
              </w:rPr>
            </w:pPr>
            <w:r>
              <w:rPr>
                <w:rFonts w:ascii="Arial" w:cs="Arial" w:eastAsia="Arial" w:hAnsi="Arial"/>
                <w:sz w:val="14"/>
                <w:szCs w:val="14"/>
                <w:color w:val="auto"/>
                <w:w w:val="97"/>
              </w:rPr>
              <w:t>$ 11,889,728</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3"/>
              </w:rPr>
              <w:t>1,409,037</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ind w:left="300" w:hanging="292"/>
        <w:spacing w:after="0" w:line="180" w:lineRule="auto"/>
        <w:tabs>
          <w:tab w:leader="none" w:pos="30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00" w:hanging="292"/>
        <w:spacing w:after="0" w:line="180" w:lineRule="auto"/>
        <w:tabs>
          <w:tab w:leader="none" w:pos="300"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Notice of redemption has been received for this security.</w:t>
      </w:r>
    </w:p>
    <w:p>
      <w:pPr>
        <w:ind w:left="300" w:hanging="292"/>
        <w:spacing w:after="0" w:line="181" w:lineRule="auto"/>
        <w:tabs>
          <w:tab w:leader="none" w:pos="30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color w:val="auto"/>
        </w:rPr>
        <w:t>Fair value of this investment was determined using significant unobservable inputs.</w:t>
      </w:r>
    </w:p>
    <w:p>
      <w:pPr>
        <w:ind w:left="300" w:hanging="292"/>
        <w:spacing w:after="0" w:line="180" w:lineRule="auto"/>
        <w:tabs>
          <w:tab w:leader="none" w:pos="30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1940 Act.</w:t>
      </w:r>
    </w:p>
    <w:p>
      <w:pPr>
        <w:spacing w:after="0" w:line="2" w:lineRule="exact"/>
        <w:rPr>
          <w:sz w:val="20"/>
          <w:szCs w:val="20"/>
          <w:color w:val="auto"/>
        </w:rPr>
      </w:pPr>
    </w:p>
    <w:p>
      <w:pPr>
        <w:ind w:left="300" w:right="80" w:hanging="292"/>
        <w:spacing w:after="0" w:line="214" w:lineRule="auto"/>
        <w:tabs>
          <w:tab w:leader="none" w:pos="30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 in Joint Venture</w:t>
      </w:r>
    </w:p>
    <w:p>
      <w:pPr>
        <w:sectPr>
          <w:pgSz w:w="11900" w:h="16838" w:orient="portrait"/>
          <w:cols w:equalWidth="0" w:num="1">
            <w:col w:w="11420"/>
          </w:cols>
          <w:pgMar w:left="240" w:top="904" w:right="239" w:bottom="0" w:gutter="0" w:footer="0" w:header="0"/>
        </w:sectPr>
      </w:pPr>
    </w:p>
    <w:bookmarkStart w:id="37" w:name="page38"/>
    <w:bookmarkEnd w:id="37"/>
    <w:p>
      <w:pPr>
        <w:ind w:firstLine="324"/>
        <w:spacing w:after="0" w:line="255" w:lineRule="auto"/>
        <w:rPr>
          <w:sz w:val="20"/>
          <w:szCs w:val="20"/>
          <w:color w:val="auto"/>
        </w:rPr>
      </w:pPr>
      <w:r>
        <w:rPr>
          <w:rFonts w:ascii="Arial" w:cs="Arial" w:eastAsia="Arial" w:hAnsi="Arial"/>
          <w:sz w:val="18"/>
          <w:szCs w:val="18"/>
          <w:color w:val="auto"/>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KCAP F3C Senior Funding, L.L.C. (the “Fund”) managed by KCAP Management, LLC, one of the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ind w:right="40" w:firstLine="324"/>
        <w:spacing w:after="0" w:line="297"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Approximately $11.2 million of this distribution was a reduction in the cost basis of the Company’s investment in the Joint Venture.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58"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determined that the Joint Venture is an investment company under Accounting Standards Codification (“ASC”), Financial</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18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95"/>
              </w:rPr>
              <w:t>KCAP Freedom 3 LLC</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540" w:type="dxa"/>
            <w:vAlign w:val="bottom"/>
            <w:gridSpan w:val="7"/>
          </w:tcPr>
          <w:p>
            <w:pPr>
              <w:jc w:val="center"/>
              <w:ind w:right="80"/>
              <w:spacing w:after="0"/>
              <w:rPr>
                <w:sz w:val="20"/>
                <w:szCs w:val="20"/>
                <w:color w:val="auto"/>
              </w:rPr>
            </w:pPr>
            <w:r>
              <w:rPr>
                <w:rFonts w:ascii="Arial" w:cs="Arial" w:eastAsia="Arial" w:hAnsi="Arial"/>
                <w:sz w:val="18"/>
                <w:szCs w:val="18"/>
                <w:color w:val="auto"/>
                <w:w w:val="91"/>
              </w:rPr>
              <w:t>Summarized Statement of Financial Condition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of</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9"/>
              </w:rPr>
              <w:t>September 30, 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8"/>
              </w:rPr>
              <w:t>As of</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7"/>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Investment at fair value</w:t>
            </w: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rPr>
              <w:t>37,861,178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5"/>
          </w:tcPr>
          <w:p>
            <w:pPr>
              <w:jc w:val="right"/>
              <w:ind w:right="80"/>
              <w:spacing w:after="0"/>
              <w:rPr>
                <w:sz w:val="20"/>
                <w:szCs w:val="20"/>
                <w:color w:val="auto"/>
              </w:rPr>
            </w:pPr>
            <w:r>
              <w:rPr>
                <w:rFonts w:ascii="Arial" w:cs="Arial" w:eastAsia="Arial" w:hAnsi="Arial"/>
                <w:sz w:val="18"/>
                <w:szCs w:val="18"/>
                <w:color w:val="auto"/>
              </w:rPr>
              <w:t>37,080,000</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37,861,178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2,238,561</w:t>
            </w: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1,221,916</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14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35,622,617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35,859,801</w:t>
            </w:r>
          </w:p>
        </w:tc>
        <w:tc>
          <w:tcPr>
            <w:tcW w:w="80" w:type="dxa"/>
            <w:vAlign w:val="bottom"/>
            <w:tcBorders>
              <w:bottom w:val="single" w:sz="8" w:color="CCEEFF"/>
            </w:tcBorders>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4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37,861,178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18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95"/>
              </w:rPr>
              <w:t>KCAP Freedom 3 LLC</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180" w:type="dxa"/>
            <w:vAlign w:val="bottom"/>
            <w:gridSpan w:val="5"/>
          </w:tcPr>
          <w:p>
            <w:pPr>
              <w:jc w:val="center"/>
              <w:ind w:left="190"/>
              <w:spacing w:after="0"/>
              <w:rPr>
                <w:sz w:val="20"/>
                <w:szCs w:val="20"/>
                <w:color w:val="auto"/>
              </w:rPr>
            </w:pPr>
            <w:r>
              <w:rPr>
                <w:rFonts w:ascii="Arial" w:cs="Arial" w:eastAsia="Arial" w:hAnsi="Arial"/>
                <w:sz w:val="18"/>
                <w:szCs w:val="18"/>
                <w:color w:val="auto"/>
                <w:w w:val="89"/>
              </w:rPr>
              <w:t>Summarized Statement of Operations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200" w:type="dxa"/>
            <w:vAlign w:val="bottom"/>
            <w:gridSpan w:val="3"/>
          </w:tcPr>
          <w:p>
            <w:pPr>
              <w:jc w:val="center"/>
              <w:ind w:left="1170"/>
              <w:spacing w:after="0"/>
              <w:rPr>
                <w:sz w:val="20"/>
                <w:szCs w:val="20"/>
                <w:color w:val="auto"/>
              </w:rPr>
            </w:pPr>
            <w:r>
              <w:rPr>
                <w:rFonts w:ascii="Arial" w:cs="Arial" w:eastAsia="Arial" w:hAnsi="Arial"/>
                <w:sz w:val="18"/>
                <w:szCs w:val="18"/>
                <w:color w:val="auto"/>
                <w:w w:val="90"/>
              </w:rPr>
              <w:t>(unaudited)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0"/>
              </w:rPr>
              <w:t>For the three</w:t>
            </w:r>
          </w:p>
        </w:tc>
        <w:tc>
          <w:tcPr>
            <w:tcW w:w="40" w:type="dxa"/>
            <w:vAlign w:val="bottom"/>
          </w:tcPr>
          <w:p>
            <w:pPr>
              <w:spacing w:after="0"/>
              <w:rPr>
                <w:sz w:val="24"/>
                <w:szCs w:val="24"/>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For the nine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 nine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For the three</w:t>
            </w:r>
          </w:p>
        </w:tc>
        <w:tc>
          <w:tcPr>
            <w:tcW w:w="14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7"/>
              </w:rPr>
              <w:t>months ended</w:t>
            </w:r>
          </w:p>
        </w:tc>
        <w:tc>
          <w:tcPr>
            <w:tcW w:w="40" w:type="dxa"/>
            <w:vAlign w:val="bottom"/>
          </w:tcPr>
          <w:p>
            <w:pPr>
              <w:spacing w:after="0"/>
              <w:rPr>
                <w:sz w:val="18"/>
                <w:szCs w:val="18"/>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6"/>
              </w:rPr>
              <w:t>months ended</w:t>
            </w:r>
          </w:p>
        </w:tc>
        <w:tc>
          <w:tcPr>
            <w:tcW w:w="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7"/>
              </w:rPr>
              <w:t>months ended</w:t>
            </w:r>
          </w:p>
        </w:tc>
        <w:tc>
          <w:tcPr>
            <w:tcW w:w="142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8"/>
                <w:szCs w:val="18"/>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20" w:type="dxa"/>
            <w:vAlign w:val="bottom"/>
            <w:gridSpan w:val="4"/>
          </w:tcPr>
          <w:p>
            <w:pPr>
              <w:spacing w:after="0"/>
              <w:rPr>
                <w:sz w:val="20"/>
                <w:szCs w:val="20"/>
                <w:color w:val="auto"/>
              </w:rPr>
            </w:pPr>
            <w:r>
              <w:rPr>
                <w:rFonts w:ascii="Arial" w:cs="Arial" w:eastAsia="Arial" w:hAnsi="Arial"/>
                <w:sz w:val="18"/>
                <w:szCs w:val="18"/>
                <w:b w:val="1"/>
                <w:bCs w:val="1"/>
                <w:color w:val="auto"/>
              </w:rPr>
              <w:t>September 30, 2018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2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1,148,571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1,026,962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3,566,385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56,512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110,273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1,092,059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1,016,962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3,456,112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1"/>
              </w:rPr>
              <w:t>Unrealized appreciation (depreciation) on investments</w:t>
            </w: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529,662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79,258</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(35,274)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1,621,721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1,096,220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3,420,838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left="1430"/>
              <w:spacing w:after="0"/>
              <w:rPr>
                <w:sz w:val="20"/>
                <w:szCs w:val="20"/>
                <w:color w:val="auto"/>
              </w:rPr>
            </w:pPr>
            <w:r>
              <w:rPr>
                <w:rFonts w:ascii="Arial" w:cs="Arial" w:eastAsia="Arial" w:hAnsi="Arial"/>
                <w:sz w:val="18"/>
                <w:szCs w:val="18"/>
                <w:color w:val="auto"/>
                <w:w w:val="89"/>
              </w:rPr>
              <w:t>38</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Ownership</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by Joint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Venture</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KCAP F3C Senior Funding, LLC</w:t>
            </w:r>
            <w:r>
              <w:rPr>
                <w:rFonts w:ascii="Arial" w:cs="Arial" w:eastAsia="Arial" w:hAnsi="Arial"/>
                <w:sz w:val="27"/>
                <w:szCs w:val="27"/>
                <w:color w:val="auto"/>
                <w:vertAlign w:val="superscript"/>
              </w:rPr>
              <w:t>(1)(2)</w:t>
            </w:r>
          </w:p>
        </w:tc>
        <w:tc>
          <w:tcPr>
            <w:tcW w:w="120" w:type="dxa"/>
            <w:vAlign w:val="bottom"/>
            <w:tcBorders>
              <w:top w:val="single" w:sz="8" w:color="CCEEFF"/>
            </w:tcBorders>
            <w:shd w:val="clear" w:color="auto" w:fill="CCEEFF"/>
          </w:tcPr>
          <w:p>
            <w:pPr>
              <w:spacing w:after="0"/>
              <w:rPr>
                <w:sz w:val="20"/>
                <w:szCs w:val="20"/>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4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3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10.7%, 12/29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42,959,706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37,861,178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42,959,706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37,861,178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right="260" w:firstLine="8"/>
        <w:spacing w:after="0" w:line="261"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Ownership</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by Joint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Venture</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KCAP F3C Senior Funding, LLC</w:t>
            </w:r>
            <w:r>
              <w:rPr>
                <w:rFonts w:ascii="Arial" w:cs="Arial" w:eastAsia="Arial" w:hAnsi="Arial"/>
                <w:sz w:val="27"/>
                <w:szCs w:val="27"/>
                <w:color w:val="auto"/>
                <w:vertAlign w:val="superscript"/>
              </w:rPr>
              <w:t>(1)(2)</w:t>
            </w:r>
          </w:p>
        </w:tc>
        <w:tc>
          <w:tcPr>
            <w:tcW w:w="120" w:type="dxa"/>
            <w:vAlign w:val="bottom"/>
            <w:tcBorders>
              <w:top w:val="single" w:sz="8" w:color="CCEEFF"/>
            </w:tcBorders>
            <w:shd w:val="clear" w:color="auto" w:fill="CCEEFF"/>
          </w:tcPr>
          <w:p>
            <w:pPr>
              <w:spacing w:after="0"/>
              <w:rPr>
                <w:sz w:val="20"/>
                <w:szCs w:val="20"/>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4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shd w:val="clear" w:color="auto" w:fill="CCEEFF"/>
          </w:tcPr>
          <w:p>
            <w:pPr>
              <w:spacing w:after="0"/>
              <w:rPr>
                <w:sz w:val="21"/>
                <w:szCs w:val="21"/>
                <w:color w:val="auto"/>
              </w:rPr>
            </w:pPr>
          </w:p>
        </w:tc>
        <w:tc>
          <w:tcPr>
            <w:tcW w:w="36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12.1%, 12/29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42,143,254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42,143,254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37,080,000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a third party broker quote.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right="18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340" w:right="260" w:firstLine="32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340" w:right="20" w:firstLine="32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340" w:firstLine="32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2" w:name="page43"/>
    <w:bookmarkEnd w:id="42"/>
    <w:p>
      <w:pPr>
        <w:ind w:left="340"/>
        <w:spacing w:after="0"/>
        <w:rPr>
          <w:sz w:val="20"/>
          <w:szCs w:val="20"/>
          <w:color w:val="auto"/>
        </w:rPr>
      </w:pPr>
      <w:r>
        <w:rPr>
          <w:rFonts w:ascii="Arial" w:cs="Arial" w:eastAsia="Arial" w:hAnsi="Arial"/>
          <w:sz w:val="16"/>
          <w:szCs w:val="16"/>
          <w:color w:val="auto"/>
        </w:rPr>
        <w:t>The following table summarizes the fair value of investments by the above ASC 820: Fair Value hierarchy levels as of September 30, 2018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December 31, 2017,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80" w:type="dxa"/>
            <w:vAlign w:val="bottom"/>
            <w:gridSpan w:val="7"/>
          </w:tcPr>
          <w:p>
            <w:pPr>
              <w:ind w:left="140"/>
              <w:spacing w:after="0"/>
              <w:rPr>
                <w:sz w:val="20"/>
                <w:szCs w:val="20"/>
                <w:color w:val="auto"/>
              </w:rPr>
            </w:pPr>
            <w:r>
              <w:rPr>
                <w:rFonts w:ascii="Arial" w:cs="Arial" w:eastAsia="Arial" w:hAnsi="Arial"/>
                <w:sz w:val="18"/>
                <w:szCs w:val="18"/>
                <w:b w:val="1"/>
                <w:bCs w:val="1"/>
                <w:color w:val="auto"/>
                <w:w w:val="94"/>
              </w:rPr>
              <w:t>As of September 30, 2018 (unaudited)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18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III</w:t>
            </w:r>
          </w:p>
        </w:tc>
        <w:tc>
          <w:tcPr>
            <w:tcW w:w="2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980" w:type="dxa"/>
            <w:vAlign w:val="bottom"/>
            <w:tcBorders>
              <w:top w:val="single" w:sz="8" w:color="auto"/>
            </w:tcBorders>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24,431,512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24,431,512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Debt securities</w:t>
            </w:r>
          </w:p>
        </w:tc>
        <w:tc>
          <w:tcPr>
            <w:tcW w:w="98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28,572,507</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111,226,520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139,799,027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47,983,931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47,983,931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1,142,283</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2,937,053</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4,079,336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35,818,000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35,818,000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Joint Venture</w:t>
            </w:r>
          </w:p>
        </w:tc>
        <w:tc>
          <w:tcPr>
            <w:tcW w:w="9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21,373,570</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21,373,570</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54,146,302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219,339,074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273,485,376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December 31, 2017</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18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III</w:t>
            </w:r>
          </w:p>
        </w:tc>
        <w:tc>
          <w:tcPr>
            <w:tcW w:w="2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25,006,750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52,293,570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77,300,320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48,312,024</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69,885,455</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118,197,479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51,678,673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51,678,673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4,414,684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4,414,684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38,849,000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38,849,000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Joint Venture</w:t>
            </w: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21,516,000</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21,516,000</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25,006,750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100,605,594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186,343,812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311,956,156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2"/>
              </w:rPr>
              <w:t>Nine Months Ended September 30, 2018</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Debt Securities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CLO Fund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14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Asset Manager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Joint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Securities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Affiliate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Venture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2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69,885,455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51,678,673</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4,414,684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38,849,000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21,516,000</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186,343,812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Transfers out of Level III¹</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(694,662)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(1,142,283)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(1,836,945)</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Transfers into Level III²</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20,941,778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20,941,778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Net accretion</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135,616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4,305,175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4,440,791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34,761,038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9,500,000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44,261,038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Sales/Paydowns/Return of Capital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(8,641,522)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(17,374,962)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(27,016,484)</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realized loss included in earnings</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(56,873)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(56,873)</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Change in unrealized loss included in earnings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(5,104,310)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(124,955)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(335,348)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(2,031,000)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(142,430)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(7,738,043)</w:t>
            </w:r>
          </w:p>
        </w:tc>
        <w:tc>
          <w:tcPr>
            <w:tcW w:w="0" w:type="dxa"/>
            <w:vAlign w:val="bottom"/>
          </w:tcPr>
          <w:p>
            <w:pPr>
              <w:spacing w:after="0"/>
              <w:rPr>
                <w:sz w:val="1"/>
                <w:szCs w:val="1"/>
                <w:color w:val="auto"/>
              </w:rPr>
            </w:pPr>
          </w:p>
        </w:tc>
      </w:tr>
      <w:tr>
        <w:trPr>
          <w:trHeight w:val="156"/>
        </w:trPr>
        <w:tc>
          <w:tcPr>
            <w:tcW w:w="37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September 30, 2018</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111,226,520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47,983,931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2,937,053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35,818,000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21,373,570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219,339,074</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line="123" w:lineRule="exact"/>
              <w:rPr>
                <w:sz w:val="20"/>
                <w:szCs w:val="20"/>
                <w:color w:val="auto"/>
              </w:rPr>
            </w:pPr>
            <w:r>
              <w:rPr>
                <w:rFonts w:ascii="Arial" w:cs="Arial" w:eastAsia="Arial" w:hAnsi="Arial"/>
                <w:sz w:val="14"/>
                <w:szCs w:val="14"/>
                <w:color w:val="auto"/>
                <w:w w:val="99"/>
              </w:rPr>
              <w:t>Changes in unrealized losses included in earnings related to</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7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740" w:type="dxa"/>
            <w:vAlign w:val="bottom"/>
          </w:tcPr>
          <w:p>
            <w:pPr>
              <w:spacing w:after="0"/>
              <w:rPr>
                <w:sz w:val="20"/>
                <w:szCs w:val="20"/>
                <w:color w:val="auto"/>
              </w:rPr>
            </w:pPr>
            <w:r>
              <w:rPr>
                <w:rFonts w:ascii="Arial" w:cs="Arial" w:eastAsia="Arial" w:hAnsi="Arial"/>
                <w:sz w:val="14"/>
                <w:szCs w:val="14"/>
                <w:color w:val="auto"/>
              </w:rPr>
              <w:t>investments still held at reporting date</w:t>
            </w:r>
          </w:p>
        </w:tc>
        <w:tc>
          <w:tcPr>
            <w:tcW w:w="4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94" w:lineRule="exact"/>
              <w:rPr>
                <w:sz w:val="20"/>
                <w:szCs w:val="20"/>
                <w:color w:val="auto"/>
              </w:rPr>
            </w:pPr>
            <w:r>
              <w:rPr>
                <w:rFonts w:ascii="Arial" w:cs="Arial" w:eastAsia="Arial" w:hAnsi="Arial"/>
                <w:sz w:val="12"/>
                <w:szCs w:val="12"/>
                <w:color w:val="auto"/>
              </w:rPr>
              <w:t>(1,693,491</w:t>
            </w:r>
            <w:r>
              <w:rPr>
                <w:rFonts w:ascii="Arial" w:cs="Arial" w:eastAsia="Arial" w:hAnsi="Arial"/>
                <w:sz w:val="22"/>
                <w:szCs w:val="22"/>
                <w:color w:val="auto"/>
                <w:vertAlign w:val="superscript"/>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
              <w:spacing w:after="0" w:line="194" w:lineRule="exact"/>
              <w:rPr>
                <w:sz w:val="20"/>
                <w:szCs w:val="20"/>
                <w:color w:val="auto"/>
              </w:rPr>
            </w:pPr>
            <w:r>
              <w:rPr>
                <w:rFonts w:ascii="Arial" w:cs="Arial" w:eastAsia="Arial" w:hAnsi="Arial"/>
                <w:sz w:val="12"/>
                <w:szCs w:val="12"/>
                <w:color w:val="auto"/>
              </w:rPr>
              <w:t>(124,955</w:t>
            </w:r>
            <w:r>
              <w:rPr>
                <w:rFonts w:ascii="Arial" w:cs="Arial" w:eastAsia="Arial" w:hAnsi="Arial"/>
                <w:sz w:val="22"/>
                <w:szCs w:val="22"/>
                <w:color w:val="auto"/>
                <w:vertAlign w:val="superscript"/>
              </w:rPr>
              <w:t>)</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line="194" w:lineRule="exact"/>
              <w:rPr>
                <w:sz w:val="20"/>
                <w:szCs w:val="20"/>
                <w:color w:val="auto"/>
              </w:rPr>
            </w:pPr>
            <w:r>
              <w:rPr>
                <w:rFonts w:ascii="Arial" w:cs="Arial" w:eastAsia="Arial" w:hAnsi="Arial"/>
                <w:sz w:val="12"/>
                <w:szCs w:val="12"/>
                <w:color w:val="auto"/>
              </w:rPr>
              <w:t>(335,348</w:t>
            </w:r>
            <w:r>
              <w:rPr>
                <w:rFonts w:ascii="Arial" w:cs="Arial" w:eastAsia="Arial" w:hAnsi="Arial"/>
                <w:sz w:val="22"/>
                <w:szCs w:val="22"/>
                <w:color w:val="auto"/>
                <w:vertAlign w:val="superscript"/>
              </w:rPr>
              <w:t>)</w:t>
            </w:r>
          </w:p>
        </w:tc>
        <w:tc>
          <w:tcPr>
            <w:tcW w:w="2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94" w:lineRule="exact"/>
              <w:rPr>
                <w:sz w:val="20"/>
                <w:szCs w:val="20"/>
                <w:color w:val="auto"/>
              </w:rPr>
            </w:pPr>
            <w:r>
              <w:rPr>
                <w:rFonts w:ascii="Arial" w:cs="Arial" w:eastAsia="Arial" w:hAnsi="Arial"/>
                <w:sz w:val="12"/>
                <w:szCs w:val="12"/>
                <w:color w:val="auto"/>
              </w:rPr>
              <w:t>(2,031,000</w:t>
            </w:r>
            <w:r>
              <w:rPr>
                <w:rFonts w:ascii="Arial" w:cs="Arial" w:eastAsia="Arial" w:hAnsi="Arial"/>
                <w:sz w:val="22"/>
                <w:szCs w:val="22"/>
                <w:color w:val="auto"/>
                <w:vertAlign w:val="superscript"/>
              </w:rPr>
              <w:t>)</w:t>
            </w: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94" w:lineRule="exact"/>
              <w:rPr>
                <w:sz w:val="20"/>
                <w:szCs w:val="20"/>
                <w:color w:val="auto"/>
              </w:rPr>
            </w:pPr>
            <w:r>
              <w:rPr>
                <w:rFonts w:ascii="Arial" w:cs="Arial" w:eastAsia="Arial" w:hAnsi="Arial"/>
                <w:sz w:val="12"/>
                <w:szCs w:val="12"/>
                <w:color w:val="auto"/>
              </w:rPr>
              <w:t>(142,430</w:t>
            </w:r>
            <w:r>
              <w:rPr>
                <w:rFonts w:ascii="Arial" w:cs="Arial" w:eastAsia="Arial" w:hAnsi="Arial"/>
                <w:sz w:val="22"/>
                <w:szCs w:val="22"/>
                <w:color w:val="auto"/>
                <w:vertAlign w:val="superscript"/>
              </w:rPr>
              <w:t>)</w:t>
            </w:r>
          </w:p>
        </w:tc>
        <w:tc>
          <w:tcPr>
            <w:tcW w:w="180" w:type="dxa"/>
            <w:vAlign w:val="bottom"/>
            <w:gridSpan w:val="2"/>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gridSpan w:val="3"/>
          </w:tcPr>
          <w:p>
            <w:pPr>
              <w:jc w:val="right"/>
              <w:ind w:right="60"/>
              <w:spacing w:after="0" w:line="194" w:lineRule="exact"/>
              <w:rPr>
                <w:sz w:val="20"/>
                <w:szCs w:val="20"/>
                <w:color w:val="auto"/>
              </w:rPr>
            </w:pPr>
            <w:r>
              <w:rPr>
                <w:rFonts w:ascii="Arial" w:cs="Arial" w:eastAsia="Arial" w:hAnsi="Arial"/>
                <w:sz w:val="12"/>
                <w:szCs w:val="12"/>
                <w:color w:val="auto"/>
              </w:rPr>
              <w:t>(4,327,224</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¹Transfers out of Level III represent a transfer of $1,836,945 relating to securities for which pricing inputs, other than their quoted prices in active markets were observable as of September 30, 2018.</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²Transfers into Level III represent a transfer of $20,941,778 relating to debt securities for which pricing inputs, other than their quoted prices in active markets were unobservable as of September,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2"/>
              </w:rPr>
              <w:t>Year Ended December 31, 2017</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Debt Securities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CLO Fund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14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Asset Manager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Joint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Affiliate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Venture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2016</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153,741,745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54,174,350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5,056,355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40,198,000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253,170,450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4"/>
                <w:szCs w:val="14"/>
                <w:color w:val="auto"/>
              </w:rPr>
              <w:t>Transfers out of Level III¹</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(3,867,400)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(3,867,400)</w:t>
            </w: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Transfers into Level III²</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2,477,500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2,477,500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4"/>
                <w:szCs w:val="14"/>
                <w:color w:val="auto"/>
              </w:rPr>
              <w:t>Net accretion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246,238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11,139,633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11,385,871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53,219,762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11,211,368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182,000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36,738,873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101,352,003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4"/>
                <w:szCs w:val="14"/>
                <w:color w:val="auto"/>
              </w:rPr>
              <w:t>Sales/Paydowns/Return of Capital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(136,020,685)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(25,598,497)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(11,824,015)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(176,193,197)</w:t>
            </w:r>
          </w:p>
        </w:tc>
        <w:tc>
          <w:tcPr>
            <w:tcW w:w="0" w:type="dxa"/>
            <w:vAlign w:val="bottom"/>
          </w:tcPr>
          <w:p>
            <w:pPr>
              <w:spacing w:after="0"/>
              <w:rPr>
                <w:sz w:val="1"/>
                <w:szCs w:val="1"/>
                <w:color w:val="auto"/>
              </w:rPr>
            </w:pPr>
          </w:p>
        </w:tc>
      </w:tr>
      <w:tr>
        <w:trPr>
          <w:trHeight w:val="149"/>
        </w:trPr>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realized gain included in earnings</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(2,121,907)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(1,264,789)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(3,386,696)</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Total unrealized gain (loss) included in earnings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2,210,202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2,016,608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(823,671)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1,401,000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(3,398,858)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1,405,281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December 31, 2017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69,885,455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51,678,673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4,414,684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0"/>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38,849,000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21,516,000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186,343,812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line="123" w:lineRule="exact"/>
              <w:rPr>
                <w:sz w:val="20"/>
                <w:szCs w:val="20"/>
                <w:color w:val="auto"/>
              </w:rPr>
            </w:pPr>
            <w:r>
              <w:rPr>
                <w:rFonts w:ascii="Arial" w:cs="Arial" w:eastAsia="Arial" w:hAnsi="Arial"/>
                <w:sz w:val="14"/>
                <w:szCs w:val="14"/>
                <w:color w:val="auto"/>
                <w:w w:val="93"/>
              </w:rPr>
              <w:t>Changes in unrealized gains (losses) included in earnings related to</w:t>
            </w: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39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rPr>
                <w:sz w:val="20"/>
                <w:szCs w:val="20"/>
                <w:color w:val="auto"/>
              </w:rPr>
            </w:pPr>
            <w:r>
              <w:rPr>
                <w:rFonts w:ascii="Arial" w:cs="Arial" w:eastAsia="Arial" w:hAnsi="Arial"/>
                <w:sz w:val="14"/>
                <w:szCs w:val="14"/>
                <w:color w:val="auto"/>
              </w:rPr>
              <w:t>investments still held at reporting date</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94" w:lineRule="exact"/>
              <w:rPr>
                <w:sz w:val="20"/>
                <w:szCs w:val="20"/>
                <w:color w:val="auto"/>
              </w:rPr>
            </w:pPr>
            <w:r>
              <w:rPr>
                <w:rFonts w:ascii="Arial" w:cs="Arial" w:eastAsia="Arial" w:hAnsi="Arial"/>
                <w:sz w:val="12"/>
                <w:szCs w:val="12"/>
                <w:color w:val="auto"/>
              </w:rPr>
              <w:t>(479,087</w:t>
            </w:r>
            <w:r>
              <w:rPr>
                <w:rFonts w:ascii="Arial" w:cs="Arial" w:eastAsia="Arial" w:hAnsi="Arial"/>
                <w:sz w:val="22"/>
                <w:szCs w:val="22"/>
                <w:color w:val="auto"/>
                <w:vertAlign w:val="superscript"/>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2,016,608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line="194" w:lineRule="exact"/>
              <w:rPr>
                <w:sz w:val="20"/>
                <w:szCs w:val="20"/>
                <w:color w:val="auto"/>
              </w:rPr>
            </w:pPr>
            <w:r>
              <w:rPr>
                <w:rFonts w:ascii="Arial" w:cs="Arial" w:eastAsia="Arial" w:hAnsi="Arial"/>
                <w:sz w:val="12"/>
                <w:szCs w:val="12"/>
                <w:color w:val="auto"/>
              </w:rPr>
              <w:t>(823,671</w:t>
            </w:r>
            <w:r>
              <w:rPr>
                <w:rFonts w:ascii="Arial" w:cs="Arial" w:eastAsia="Arial" w:hAnsi="Arial"/>
                <w:sz w:val="22"/>
                <w:szCs w:val="22"/>
                <w:color w:val="auto"/>
                <w:vertAlign w:val="superscript"/>
              </w:rPr>
              <w:t>)</w:t>
            </w:r>
          </w:p>
        </w:tc>
        <w:tc>
          <w:tcPr>
            <w:tcW w:w="24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1,401,000</w:t>
            </w:r>
          </w:p>
        </w:tc>
        <w:tc>
          <w:tcPr>
            <w:tcW w:w="2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94" w:lineRule="exact"/>
              <w:rPr>
                <w:sz w:val="20"/>
                <w:szCs w:val="20"/>
                <w:color w:val="auto"/>
              </w:rPr>
            </w:pPr>
            <w:r>
              <w:rPr>
                <w:rFonts w:ascii="Arial" w:cs="Arial" w:eastAsia="Arial" w:hAnsi="Arial"/>
                <w:sz w:val="12"/>
                <w:szCs w:val="12"/>
                <w:color w:val="auto"/>
              </w:rPr>
              <w:t>(3,398,858</w:t>
            </w:r>
            <w:r>
              <w:rPr>
                <w:rFonts w:ascii="Arial" w:cs="Arial" w:eastAsia="Arial" w:hAnsi="Arial"/>
                <w:sz w:val="22"/>
                <w:szCs w:val="22"/>
                <w:color w:val="auto"/>
                <w:vertAlign w:val="superscript"/>
              </w:rPr>
              <w:t>)</w:t>
            </w: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960" w:type="dxa"/>
            <w:vAlign w:val="bottom"/>
            <w:gridSpan w:val="3"/>
          </w:tcPr>
          <w:p>
            <w:pPr>
              <w:jc w:val="right"/>
              <w:ind w:right="60"/>
              <w:spacing w:after="0" w:line="194" w:lineRule="exact"/>
              <w:rPr>
                <w:sz w:val="20"/>
                <w:szCs w:val="20"/>
                <w:color w:val="auto"/>
              </w:rPr>
            </w:pPr>
            <w:r>
              <w:rPr>
                <w:rFonts w:ascii="Arial" w:cs="Arial" w:eastAsia="Arial" w:hAnsi="Arial"/>
                <w:sz w:val="12"/>
                <w:szCs w:val="12"/>
                <w:color w:val="auto"/>
              </w:rPr>
              <w:t>(1,284,008</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¹Transfers out of Level III represent a transfer of $3,867,400 relating to debt securities for which pricing inputs, other than their quoted prices in active markets were observable as of December 31, 2017.</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²Transfers into Level III represent a transfer of $2,477,500 relating to debt securities for which pricing inputs, other than their quoted prices in active markets were unobservable as of December 31, 2017.</w:t>
      </w:r>
    </w:p>
    <w:p>
      <w:pPr>
        <w:spacing w:after="0" w:line="184"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As of September 30, 2018 and December 31, 2017,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As of September 30, 2018,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6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1720" w:type="dxa"/>
            <w:vAlign w:val="bottom"/>
            <w:tcBorders>
              <w:top w:val="single" w:sz="8" w:color="auto"/>
              <w:right w:val="single" w:sz="8" w:color="auto"/>
            </w:tcBorders>
            <w:shd w:val="clear" w:color="auto" w:fill="DAEEF3"/>
          </w:tcPr>
          <w:p>
            <w:pPr>
              <w:spacing w:after="0"/>
              <w:rPr>
                <w:sz w:val="18"/>
                <w:szCs w:val="18"/>
                <w:color w:val="auto"/>
              </w:rPr>
            </w:pPr>
          </w:p>
        </w:tc>
        <w:tc>
          <w:tcPr>
            <w:tcW w:w="2160" w:type="dxa"/>
            <w:vAlign w:val="bottom"/>
            <w:tcBorders>
              <w:top w:val="single" w:sz="8" w:color="auto"/>
              <w:right w:val="single" w:sz="8" w:color="auto"/>
            </w:tcBorders>
            <w:shd w:val="clear" w:color="auto" w:fill="DAEEF3"/>
          </w:tcPr>
          <w:p>
            <w:pPr>
              <w:ind w:left="340"/>
              <w:spacing w:after="0"/>
              <w:rPr>
                <w:sz w:val="20"/>
                <w:szCs w:val="20"/>
                <w:color w:val="auto"/>
              </w:rPr>
            </w:pPr>
            <w:r>
              <w:rPr>
                <w:rFonts w:ascii="Arial" w:cs="Arial" w:eastAsia="Arial" w:hAnsi="Arial"/>
                <w:sz w:val="18"/>
                <w:szCs w:val="18"/>
                <w:b w:val="1"/>
                <w:bCs w:val="1"/>
                <w:color w:val="auto"/>
              </w:rPr>
              <w:t>Primary Valuation</w:t>
            </w:r>
          </w:p>
        </w:tc>
        <w:tc>
          <w:tcPr>
            <w:tcW w:w="2380" w:type="dxa"/>
            <w:vAlign w:val="bottom"/>
            <w:tcBorders>
              <w:top w:val="single" w:sz="8" w:color="auto"/>
              <w:right w:val="single" w:sz="8" w:color="auto"/>
            </w:tcBorders>
            <w:shd w:val="clear" w:color="auto" w:fill="DAEEF3"/>
          </w:tcPr>
          <w:p>
            <w:pPr>
              <w:ind w:left="640"/>
              <w:spacing w:after="0"/>
              <w:rPr>
                <w:sz w:val="20"/>
                <w:szCs w:val="20"/>
                <w:color w:val="auto"/>
              </w:rPr>
            </w:pPr>
            <w:r>
              <w:rPr>
                <w:rFonts w:ascii="Arial" w:cs="Arial" w:eastAsia="Arial" w:hAnsi="Arial"/>
                <w:sz w:val="18"/>
                <w:szCs w:val="18"/>
                <w:b w:val="1"/>
                <w:bCs w:val="1"/>
                <w:color w:val="auto"/>
              </w:rPr>
              <w:t>Unobservable</w:t>
            </w:r>
          </w:p>
        </w:tc>
        <w:tc>
          <w:tcPr>
            <w:tcW w:w="2500" w:type="dxa"/>
            <w:vAlign w:val="bottom"/>
            <w:tcBorders>
              <w:top w:val="single" w:sz="8" w:color="auto"/>
              <w:right w:val="single" w:sz="8" w:color="auto"/>
            </w:tcBorders>
            <w:shd w:val="clear" w:color="auto" w:fill="DAEEF3"/>
          </w:tcPr>
          <w:p>
            <w:pPr>
              <w:ind w:left="62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234"/>
        </w:trPr>
        <w:tc>
          <w:tcPr>
            <w:tcW w:w="266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1720" w:type="dxa"/>
            <w:vAlign w:val="bottom"/>
            <w:tcBorders>
              <w:bottom w:val="single" w:sz="8" w:color="auto"/>
              <w:right w:val="single" w:sz="8" w:color="auto"/>
            </w:tcBorders>
            <w:shd w:val="clear" w:color="auto" w:fill="DAEEF3"/>
          </w:tcPr>
          <w:p>
            <w:pPr>
              <w:jc w:val="right"/>
              <w:ind w:right="370"/>
              <w:spacing w:after="0"/>
              <w:rPr>
                <w:sz w:val="20"/>
                <w:szCs w:val="20"/>
                <w:color w:val="auto"/>
              </w:rPr>
            </w:pPr>
            <w:r>
              <w:rPr>
                <w:rFonts w:ascii="Arial" w:cs="Arial" w:eastAsia="Arial" w:hAnsi="Arial"/>
                <w:sz w:val="18"/>
                <w:szCs w:val="18"/>
                <w:b w:val="1"/>
                <w:bCs w:val="1"/>
                <w:color w:val="auto"/>
              </w:rPr>
              <w:t>Fair Value</w:t>
            </w:r>
          </w:p>
        </w:tc>
        <w:tc>
          <w:tcPr>
            <w:tcW w:w="2160" w:type="dxa"/>
            <w:vAlign w:val="bottom"/>
            <w:tcBorders>
              <w:bottom w:val="single" w:sz="8" w:color="auto"/>
              <w:right w:val="single" w:sz="8" w:color="auto"/>
            </w:tcBorders>
            <w:shd w:val="clear" w:color="auto" w:fill="DAEEF3"/>
          </w:tcPr>
          <w:p>
            <w:pPr>
              <w:ind w:left="560"/>
              <w:spacing w:after="0"/>
              <w:rPr>
                <w:sz w:val="20"/>
                <w:szCs w:val="20"/>
                <w:color w:val="auto"/>
              </w:rPr>
            </w:pPr>
            <w:r>
              <w:rPr>
                <w:rFonts w:ascii="Arial" w:cs="Arial" w:eastAsia="Arial" w:hAnsi="Arial"/>
                <w:sz w:val="18"/>
                <w:szCs w:val="18"/>
                <w:b w:val="1"/>
                <w:bCs w:val="1"/>
                <w:color w:val="auto"/>
              </w:rPr>
              <w:t>Methodology</w:t>
            </w:r>
          </w:p>
        </w:tc>
        <w:tc>
          <w:tcPr>
            <w:tcW w:w="2380" w:type="dxa"/>
            <w:vAlign w:val="bottom"/>
            <w:tcBorders>
              <w:bottom w:val="single" w:sz="8" w:color="auto"/>
              <w:right w:val="single" w:sz="8" w:color="auto"/>
            </w:tcBorders>
            <w:shd w:val="clear" w:color="auto" w:fill="DAEEF3"/>
          </w:tcPr>
          <w:p>
            <w:pPr>
              <w:ind w:left="920"/>
              <w:spacing w:after="0"/>
              <w:rPr>
                <w:sz w:val="20"/>
                <w:szCs w:val="20"/>
                <w:color w:val="auto"/>
              </w:rPr>
            </w:pPr>
            <w:r>
              <w:rPr>
                <w:rFonts w:ascii="Arial" w:cs="Arial" w:eastAsia="Arial" w:hAnsi="Arial"/>
                <w:sz w:val="18"/>
                <w:szCs w:val="18"/>
                <w:b w:val="1"/>
                <w:bCs w:val="1"/>
                <w:color w:val="auto"/>
              </w:rPr>
              <w:t>Inputs</w:t>
            </w:r>
          </w:p>
        </w:tc>
        <w:tc>
          <w:tcPr>
            <w:tcW w:w="2500" w:type="dxa"/>
            <w:vAlign w:val="bottom"/>
            <w:tcBorders>
              <w:bottom w:val="single" w:sz="8" w:color="auto"/>
              <w:right w:val="single" w:sz="8" w:color="auto"/>
            </w:tcBorders>
            <w:shd w:val="clear" w:color="auto" w:fill="DAEEF3"/>
          </w:tcPr>
          <w:p>
            <w:pPr>
              <w:ind w:left="4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$ 11,763,622</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Enterprise Value</w:t>
            </w:r>
          </w:p>
        </w:tc>
        <w:tc>
          <w:tcPr>
            <w:tcW w:w="2380" w:type="dxa"/>
            <w:vAlign w:val="bottom"/>
            <w:tcBorders>
              <w:bottom w:val="single" w:sz="8" w:color="808080"/>
              <w:right w:val="single" w:sz="8" w:color="auto"/>
            </w:tcBorders>
          </w:tcPr>
          <w:p>
            <w:pPr>
              <w:ind w:left="40"/>
              <w:spacing w:after="0"/>
              <w:rPr>
                <w:sz w:val="20"/>
                <w:szCs w:val="20"/>
                <w:color w:val="auto"/>
              </w:rPr>
            </w:pPr>
            <w:r>
              <w:rPr>
                <w:rFonts w:ascii="Arial" w:cs="Arial" w:eastAsia="Arial" w:hAnsi="Arial"/>
                <w:sz w:val="18"/>
                <w:szCs w:val="18"/>
                <w:color w:val="auto"/>
              </w:rPr>
              <w:t>Average EBITDA Multiple</w:t>
            </w:r>
          </w:p>
        </w:tc>
        <w:tc>
          <w:tcPr>
            <w:tcW w:w="250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8"/>
                <w:szCs w:val="18"/>
                <w:color w:val="auto"/>
              </w:rPr>
              <w:t>5.8x– 8.3x (5.9x)</w:t>
            </w:r>
          </w:p>
        </w:tc>
        <w:tc>
          <w:tcPr>
            <w:tcW w:w="0" w:type="dxa"/>
            <w:vAlign w:val="bottom"/>
          </w:tcPr>
          <w:p>
            <w:pPr>
              <w:spacing w:after="0"/>
              <w:rPr>
                <w:sz w:val="1"/>
                <w:szCs w:val="1"/>
                <w:color w:val="auto"/>
              </w:rPr>
            </w:pPr>
          </w:p>
        </w:tc>
      </w:tr>
      <w:tr>
        <w:trPr>
          <w:trHeight w:val="88"/>
        </w:trPr>
        <w:tc>
          <w:tcPr>
            <w:tcW w:w="2660" w:type="dxa"/>
            <w:vAlign w:val="bottom"/>
            <w:tcBorders>
              <w:left w:val="single" w:sz="8" w:color="auto"/>
              <w:right w:val="single" w:sz="8" w:color="auto"/>
            </w:tcBorders>
            <w:vMerge w:val="continue"/>
          </w:tcPr>
          <w:p>
            <w:pPr>
              <w:spacing w:after="0"/>
              <w:rPr>
                <w:sz w:val="7"/>
                <w:szCs w:val="7"/>
                <w:color w:val="auto"/>
              </w:rPr>
            </w:pPr>
          </w:p>
        </w:tc>
        <w:tc>
          <w:tcPr>
            <w:tcW w:w="1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99,462,898</w:t>
            </w:r>
          </w:p>
        </w:tc>
        <w:tc>
          <w:tcPr>
            <w:tcW w:w="2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Income Approach</w:t>
            </w:r>
          </w:p>
        </w:tc>
        <w:tc>
          <w:tcPr>
            <w:tcW w:w="2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Implied Discount Rate</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7.0% – 27.3% (12.0%)</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vMerge w:val="continue"/>
          </w:tcPr>
          <w:p>
            <w:pPr>
              <w:spacing w:after="0"/>
              <w:rPr>
                <w:sz w:val="10"/>
                <w:szCs w:val="10"/>
                <w:color w:val="auto"/>
              </w:rPr>
            </w:pPr>
          </w:p>
        </w:tc>
        <w:tc>
          <w:tcPr>
            <w:tcW w:w="2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2,928,053</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Enterprise Value</w:t>
            </w: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Average EBITDA Multiple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4.5x – 11.3x (10.0x)</w:t>
            </w:r>
          </w:p>
        </w:tc>
        <w:tc>
          <w:tcPr>
            <w:tcW w:w="0" w:type="dxa"/>
            <w:vAlign w:val="bottom"/>
          </w:tcPr>
          <w:p>
            <w:pPr>
              <w:spacing w:after="0"/>
              <w:rPr>
                <w:sz w:val="1"/>
                <w:szCs w:val="1"/>
                <w:color w:val="auto"/>
              </w:rPr>
            </w:pPr>
          </w:p>
        </w:tc>
      </w:tr>
      <w:tr>
        <w:trPr>
          <w:trHeight w:val="115"/>
        </w:trPr>
        <w:tc>
          <w:tcPr>
            <w:tcW w:w="266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9,000</w:t>
            </w:r>
          </w:p>
        </w:tc>
        <w:tc>
          <w:tcPr>
            <w:tcW w:w="2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Options Value</w:t>
            </w:r>
          </w:p>
        </w:tc>
        <w:tc>
          <w:tcPr>
            <w:tcW w:w="2380" w:type="dxa"/>
            <w:vAlign w:val="bottom"/>
            <w:tcBorders>
              <w:right w:val="single" w:sz="8" w:color="auto"/>
            </w:tcBorders>
            <w:vMerge w:val="restart"/>
          </w:tcPr>
          <w:p>
            <w:pPr>
              <w:ind w:left="4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Borders>
              <w:left w:val="single" w:sz="8" w:color="auto"/>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2380" w:type="dxa"/>
            <w:vAlign w:val="bottom"/>
            <w:tcBorders>
              <w:bottom w:val="single" w:sz="8" w:color="auto"/>
              <w:right w:val="single" w:sz="8" w:color="auto"/>
            </w:tcBorders>
            <w:vMerge w:val="continue"/>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10.4%-12.0% (11.80%)</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38,443,651</w:t>
            </w:r>
          </w:p>
        </w:tc>
        <w:tc>
          <w:tcPr>
            <w:tcW w:w="2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Discounted Cash Flow</w:t>
            </w: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Probability of Default</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vMerge w:val="continue"/>
          </w:tcPr>
          <w:p>
            <w:pPr>
              <w:spacing w:after="0"/>
              <w:rPr>
                <w:sz w:val="18"/>
                <w:szCs w:val="18"/>
                <w:color w:val="auto"/>
              </w:rPr>
            </w:pPr>
          </w:p>
        </w:tc>
        <w:tc>
          <w:tcPr>
            <w:tcW w:w="2160" w:type="dxa"/>
            <w:vAlign w:val="bottom"/>
            <w:tcBorders>
              <w:right w:val="single" w:sz="8" w:color="auto"/>
            </w:tcBorders>
            <w:vMerge w:val="continue"/>
          </w:tcPr>
          <w:p>
            <w:pPr>
              <w:spacing w:after="0"/>
              <w:rPr>
                <w:sz w:val="18"/>
                <w:szCs w:val="18"/>
                <w:color w:val="auto"/>
              </w:rPr>
            </w:pP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Severity</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17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Recovery Rate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Prepayment Rate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0"/>
        </w:trPr>
        <w:tc>
          <w:tcPr>
            <w:tcW w:w="266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9,000,000</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Market Approach</w:t>
            </w:r>
          </w:p>
        </w:tc>
        <w:tc>
          <w:tcPr>
            <w:tcW w:w="2380" w:type="dxa"/>
            <w:vAlign w:val="bottom"/>
            <w:tcBorders>
              <w:bottom w:val="single" w:sz="8" w:color="auto"/>
              <w:right w:val="single" w:sz="8" w:color="auto"/>
            </w:tcBorders>
          </w:tcPr>
          <w:p>
            <w:pPr>
              <w:ind w:left="40"/>
              <w:spacing w:after="0" w:line="250" w:lineRule="exact"/>
              <w:rPr>
                <w:sz w:val="20"/>
                <w:szCs w:val="20"/>
                <w:color w:val="auto"/>
              </w:rPr>
            </w:pPr>
            <w:r>
              <w:rPr>
                <w:rFonts w:ascii="Arial" w:cs="Arial" w:eastAsia="Arial" w:hAnsi="Arial"/>
                <w:sz w:val="17"/>
                <w:szCs w:val="17"/>
                <w:color w:val="auto"/>
              </w:rPr>
              <w:t>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Party Quote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540,280</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Liquidation Value</w:t>
            </w:r>
          </w:p>
        </w:tc>
        <w:tc>
          <w:tcPr>
            <w:tcW w:w="2380" w:type="dxa"/>
            <w:vAlign w:val="bottom"/>
            <w:tcBorders>
              <w:bottom w:val="single" w:sz="8" w:color="auto"/>
              <w:right w:val="single" w:sz="8" w:color="auto"/>
            </w:tcBorders>
          </w:tcPr>
          <w:p>
            <w:pPr>
              <w:ind w:left="4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(2)</w:t>
            </w: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35,818,000</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Discounted Cash Flow</w:t>
            </w: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3.33% - 12.0% (7.14%)</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Joint Venture</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21,373,570</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Enterprise Value</w:t>
            </w: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Underlying NAV of the CLO</w:t>
            </w:r>
          </w:p>
        </w:tc>
        <w:tc>
          <w:tcPr>
            <w:tcW w:w="2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2"/>
              </w:rPr>
              <w:t>Total Level III Investments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$ 219,339,074</w:t>
            </w:r>
          </w:p>
        </w:tc>
        <w:tc>
          <w:tcPr>
            <w:tcW w:w="2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8"/>
        <w:spacing w:after="0" w:line="256" w:lineRule="auto"/>
        <w:tabs>
          <w:tab w:leader="none" w:pos="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rPr>
          <w:rFonts w:ascii="Arial" w:cs="Arial" w:eastAsia="Arial" w:hAnsi="Arial"/>
          <w:sz w:val="18"/>
          <w:szCs w:val="18"/>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qualitative inputs used in the fair value measurements include the value of the pledged collateral.</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As of December 31, 2017,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6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1720" w:type="dxa"/>
            <w:vAlign w:val="bottom"/>
            <w:tcBorders>
              <w:top w:val="single" w:sz="8" w:color="auto"/>
              <w:right w:val="single" w:sz="8" w:color="auto"/>
            </w:tcBorders>
            <w:shd w:val="clear" w:color="auto" w:fill="DAEEF3"/>
          </w:tcPr>
          <w:p>
            <w:pPr>
              <w:spacing w:after="0"/>
              <w:rPr>
                <w:sz w:val="18"/>
                <w:szCs w:val="18"/>
                <w:color w:val="auto"/>
              </w:rPr>
            </w:pPr>
          </w:p>
        </w:tc>
        <w:tc>
          <w:tcPr>
            <w:tcW w:w="2160" w:type="dxa"/>
            <w:vAlign w:val="bottom"/>
            <w:tcBorders>
              <w:top w:val="single" w:sz="8" w:color="auto"/>
              <w:right w:val="single" w:sz="8" w:color="auto"/>
            </w:tcBorders>
            <w:shd w:val="clear" w:color="auto" w:fill="DAEEF3"/>
          </w:tcPr>
          <w:p>
            <w:pPr>
              <w:ind w:left="340"/>
              <w:spacing w:after="0"/>
              <w:rPr>
                <w:sz w:val="20"/>
                <w:szCs w:val="20"/>
                <w:color w:val="auto"/>
              </w:rPr>
            </w:pPr>
            <w:r>
              <w:rPr>
                <w:rFonts w:ascii="Arial" w:cs="Arial" w:eastAsia="Arial" w:hAnsi="Arial"/>
                <w:sz w:val="18"/>
                <w:szCs w:val="18"/>
                <w:b w:val="1"/>
                <w:bCs w:val="1"/>
                <w:color w:val="auto"/>
              </w:rPr>
              <w:t>Primary Valuation</w:t>
            </w:r>
          </w:p>
        </w:tc>
        <w:tc>
          <w:tcPr>
            <w:tcW w:w="2380" w:type="dxa"/>
            <w:vAlign w:val="bottom"/>
            <w:tcBorders>
              <w:top w:val="single" w:sz="8" w:color="auto"/>
              <w:right w:val="single" w:sz="8" w:color="auto"/>
            </w:tcBorders>
            <w:shd w:val="clear" w:color="auto" w:fill="DAEEF3"/>
          </w:tcPr>
          <w:p>
            <w:pPr>
              <w:ind w:left="640"/>
              <w:spacing w:after="0"/>
              <w:rPr>
                <w:sz w:val="20"/>
                <w:szCs w:val="20"/>
                <w:color w:val="auto"/>
              </w:rPr>
            </w:pPr>
            <w:r>
              <w:rPr>
                <w:rFonts w:ascii="Arial" w:cs="Arial" w:eastAsia="Arial" w:hAnsi="Arial"/>
                <w:sz w:val="18"/>
                <w:szCs w:val="18"/>
                <w:b w:val="1"/>
                <w:bCs w:val="1"/>
                <w:color w:val="auto"/>
              </w:rPr>
              <w:t>Unobservable</w:t>
            </w:r>
          </w:p>
        </w:tc>
        <w:tc>
          <w:tcPr>
            <w:tcW w:w="2500" w:type="dxa"/>
            <w:vAlign w:val="bottom"/>
            <w:tcBorders>
              <w:top w:val="single" w:sz="8" w:color="auto"/>
              <w:right w:val="single" w:sz="8" w:color="auto"/>
            </w:tcBorders>
            <w:shd w:val="clear" w:color="auto" w:fill="DAEEF3"/>
          </w:tcPr>
          <w:p>
            <w:pPr>
              <w:ind w:left="62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234"/>
        </w:trPr>
        <w:tc>
          <w:tcPr>
            <w:tcW w:w="266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1720" w:type="dxa"/>
            <w:vAlign w:val="bottom"/>
            <w:tcBorders>
              <w:bottom w:val="single" w:sz="8" w:color="auto"/>
              <w:right w:val="single" w:sz="8" w:color="auto"/>
            </w:tcBorders>
            <w:shd w:val="clear" w:color="auto" w:fill="DAEEF3"/>
          </w:tcPr>
          <w:p>
            <w:pPr>
              <w:jc w:val="right"/>
              <w:ind w:right="370"/>
              <w:spacing w:after="0"/>
              <w:rPr>
                <w:sz w:val="20"/>
                <w:szCs w:val="20"/>
                <w:color w:val="auto"/>
              </w:rPr>
            </w:pPr>
            <w:r>
              <w:rPr>
                <w:rFonts w:ascii="Arial" w:cs="Arial" w:eastAsia="Arial" w:hAnsi="Arial"/>
                <w:sz w:val="18"/>
                <w:szCs w:val="18"/>
                <w:b w:val="1"/>
                <w:bCs w:val="1"/>
                <w:color w:val="auto"/>
              </w:rPr>
              <w:t>Fair Value</w:t>
            </w:r>
          </w:p>
        </w:tc>
        <w:tc>
          <w:tcPr>
            <w:tcW w:w="2160" w:type="dxa"/>
            <w:vAlign w:val="bottom"/>
            <w:tcBorders>
              <w:bottom w:val="single" w:sz="8" w:color="auto"/>
              <w:right w:val="single" w:sz="8" w:color="auto"/>
            </w:tcBorders>
            <w:shd w:val="clear" w:color="auto" w:fill="DAEEF3"/>
          </w:tcPr>
          <w:p>
            <w:pPr>
              <w:ind w:left="560"/>
              <w:spacing w:after="0"/>
              <w:rPr>
                <w:sz w:val="20"/>
                <w:szCs w:val="20"/>
                <w:color w:val="auto"/>
              </w:rPr>
            </w:pPr>
            <w:r>
              <w:rPr>
                <w:rFonts w:ascii="Arial" w:cs="Arial" w:eastAsia="Arial" w:hAnsi="Arial"/>
                <w:sz w:val="18"/>
                <w:szCs w:val="18"/>
                <w:b w:val="1"/>
                <w:bCs w:val="1"/>
                <w:color w:val="auto"/>
              </w:rPr>
              <w:t>Methodology</w:t>
            </w:r>
          </w:p>
        </w:tc>
        <w:tc>
          <w:tcPr>
            <w:tcW w:w="2380" w:type="dxa"/>
            <w:vAlign w:val="bottom"/>
            <w:tcBorders>
              <w:bottom w:val="single" w:sz="8" w:color="auto"/>
              <w:right w:val="single" w:sz="8" w:color="auto"/>
            </w:tcBorders>
            <w:shd w:val="clear" w:color="auto" w:fill="DAEEF3"/>
          </w:tcPr>
          <w:p>
            <w:pPr>
              <w:ind w:left="920"/>
              <w:spacing w:after="0"/>
              <w:rPr>
                <w:sz w:val="20"/>
                <w:szCs w:val="20"/>
                <w:color w:val="auto"/>
              </w:rPr>
            </w:pPr>
            <w:r>
              <w:rPr>
                <w:rFonts w:ascii="Arial" w:cs="Arial" w:eastAsia="Arial" w:hAnsi="Arial"/>
                <w:sz w:val="18"/>
                <w:szCs w:val="18"/>
                <w:b w:val="1"/>
                <w:bCs w:val="1"/>
                <w:color w:val="auto"/>
              </w:rPr>
              <w:t>Inputs</w:t>
            </w:r>
          </w:p>
        </w:tc>
        <w:tc>
          <w:tcPr>
            <w:tcW w:w="2500" w:type="dxa"/>
            <w:vAlign w:val="bottom"/>
            <w:tcBorders>
              <w:bottom w:val="single" w:sz="8" w:color="auto"/>
              <w:right w:val="single" w:sz="8" w:color="auto"/>
            </w:tcBorders>
            <w:shd w:val="clear" w:color="auto" w:fill="DAEEF3"/>
          </w:tcPr>
          <w:p>
            <w:pPr>
              <w:ind w:left="4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1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$ 14,059,524</w:t>
            </w:r>
          </w:p>
        </w:tc>
        <w:tc>
          <w:tcPr>
            <w:tcW w:w="2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Enterprise Value</w:t>
            </w:r>
          </w:p>
        </w:tc>
        <w:tc>
          <w:tcPr>
            <w:tcW w:w="23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Average EBITDA Multiple /</w:t>
            </w:r>
          </w:p>
        </w:tc>
        <w:tc>
          <w:tcPr>
            <w:tcW w:w="2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5.1x - 6.1x (5.2x)</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2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WACC</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15.2% - 18.5% (17.4%)</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2380" w:type="dxa"/>
            <w:vAlign w:val="bottom"/>
            <w:tcBorders>
              <w:bottom w:val="single" w:sz="8" w:color="808080"/>
              <w:right w:val="single" w:sz="8" w:color="auto"/>
            </w:tcBorders>
            <w:vMerge w:val="continue"/>
          </w:tcPr>
          <w:p>
            <w:pPr>
              <w:spacing w:after="0"/>
              <w:rPr>
                <w:sz w:val="9"/>
                <w:szCs w:val="9"/>
                <w:color w:val="auto"/>
              </w:rPr>
            </w:pPr>
          </w:p>
        </w:tc>
        <w:tc>
          <w:tcPr>
            <w:tcW w:w="2500" w:type="dxa"/>
            <w:vAlign w:val="bottom"/>
            <w:tcBorders>
              <w:bottom w:val="single" w:sz="8" w:color="808080"/>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$55,825,931</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Income Approach</w:t>
            </w: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Implied Discount Rate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6.4% - 23.5% (12.0%)</w:t>
            </w: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right w:val="single" w:sz="8" w:color="auto"/>
            </w:tcBorders>
          </w:tcPr>
          <w:p>
            <w:pPr>
              <w:spacing w:after="0"/>
              <w:rPr>
                <w:sz w:val="16"/>
                <w:szCs w:val="16"/>
                <w:color w:val="auto"/>
              </w:rPr>
            </w:pPr>
          </w:p>
        </w:tc>
        <w:tc>
          <w:tcPr>
            <w:tcW w:w="1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$4,405,684</w:t>
            </w:r>
          </w:p>
        </w:tc>
        <w:tc>
          <w:tcPr>
            <w:tcW w:w="2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Enterprise Value</w:t>
            </w:r>
          </w:p>
        </w:tc>
        <w:tc>
          <w:tcPr>
            <w:tcW w:w="23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Average EBITDA Multiple /</w:t>
            </w:r>
          </w:p>
        </w:tc>
        <w:tc>
          <w:tcPr>
            <w:tcW w:w="25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4.5x – 15.2x (9.8x)</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172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2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WACC</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10.8% - 15.1% (12.2%)</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238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Options Value</w:t>
            </w:r>
          </w:p>
        </w:tc>
        <w:tc>
          <w:tcPr>
            <w:tcW w:w="2380" w:type="dxa"/>
            <w:vAlign w:val="bottom"/>
            <w:tcBorders>
              <w:bottom w:val="single" w:sz="8" w:color="auto"/>
              <w:right w:val="single" w:sz="8" w:color="auto"/>
            </w:tcBorders>
          </w:tcPr>
          <w:p>
            <w:pPr>
              <w:ind w:left="4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2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18,922,030</w:t>
            </w:r>
          </w:p>
        </w:tc>
        <w:tc>
          <w:tcPr>
            <w:tcW w:w="2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Discounted Cash Flow</w:t>
            </w: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Probability of Default</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1720" w:type="dxa"/>
            <w:vAlign w:val="bottom"/>
            <w:tcBorders>
              <w:right w:val="single" w:sz="8" w:color="auto"/>
            </w:tcBorders>
            <w:vMerge w:val="continue"/>
          </w:tcPr>
          <w:p>
            <w:pPr>
              <w:spacing w:after="0"/>
              <w:rPr>
                <w:sz w:val="18"/>
                <w:szCs w:val="18"/>
                <w:color w:val="auto"/>
              </w:rPr>
            </w:pPr>
          </w:p>
        </w:tc>
        <w:tc>
          <w:tcPr>
            <w:tcW w:w="2160" w:type="dxa"/>
            <w:vAlign w:val="bottom"/>
            <w:tcBorders>
              <w:right w:val="single" w:sz="8" w:color="auto"/>
            </w:tcBorders>
            <w:vMerge w:val="continue"/>
          </w:tcPr>
          <w:p>
            <w:pPr>
              <w:spacing w:after="0"/>
              <w:rPr>
                <w:sz w:val="18"/>
                <w:szCs w:val="18"/>
                <w:color w:val="auto"/>
              </w:rPr>
            </w:pP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Loss Severity</w:t>
            </w:r>
          </w:p>
        </w:tc>
        <w:tc>
          <w:tcPr>
            <w:tcW w:w="2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15"/>
        </w:trPr>
        <w:tc>
          <w:tcPr>
            <w:tcW w:w="266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Recovery Rate</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00"/>
        </w:trPr>
        <w:tc>
          <w:tcPr>
            <w:tcW w:w="266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2160" w:type="dxa"/>
            <w:vAlign w:val="bottom"/>
            <w:tcBorders>
              <w:right w:val="single" w:sz="8" w:color="auto"/>
            </w:tcBorders>
          </w:tcPr>
          <w:p>
            <w:pPr>
              <w:spacing w:after="0"/>
              <w:rPr>
                <w:sz w:val="8"/>
                <w:szCs w:val="8"/>
                <w:color w:val="auto"/>
              </w:rPr>
            </w:pPr>
          </w:p>
        </w:tc>
        <w:tc>
          <w:tcPr>
            <w:tcW w:w="2380" w:type="dxa"/>
            <w:vAlign w:val="bottom"/>
            <w:tcBorders>
              <w:bottom w:val="single" w:sz="8" w:color="auto"/>
              <w:right w:val="single" w:sz="8" w:color="auto"/>
            </w:tcBorders>
            <w:vMerge w:val="continue"/>
          </w:tcPr>
          <w:p>
            <w:pPr>
              <w:spacing w:after="0"/>
              <w:rPr>
                <w:sz w:val="8"/>
                <w:szCs w:val="8"/>
                <w:color w:val="auto"/>
              </w:rPr>
            </w:pPr>
          </w:p>
        </w:tc>
        <w:tc>
          <w:tcPr>
            <w:tcW w:w="25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Prepayment Rate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0"/>
        </w:trPr>
        <w:tc>
          <w:tcPr>
            <w:tcW w:w="266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11,150,766</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Liquidation Value</w:t>
            </w:r>
          </w:p>
        </w:tc>
        <w:tc>
          <w:tcPr>
            <w:tcW w:w="2380" w:type="dxa"/>
            <w:vAlign w:val="bottom"/>
            <w:tcBorders>
              <w:bottom w:val="single" w:sz="8" w:color="auto"/>
              <w:right w:val="single" w:sz="8" w:color="auto"/>
            </w:tcBorders>
          </w:tcPr>
          <w:p>
            <w:pPr>
              <w:ind w:left="4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(2)</w:t>
            </w: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21,605,877</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Market Approach</w:t>
            </w: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Third Party Quote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56.0%-96.5% (69.7%)</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38,849,000</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Discounted Cash Flow</w:t>
            </w: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Discount Rate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2.66% - 12.0% (6.56%)</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Joint Venture</w:t>
            </w:r>
          </w:p>
        </w:tc>
        <w:tc>
          <w:tcPr>
            <w:tcW w:w="1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21,516,000</w:t>
            </w:r>
          </w:p>
        </w:tc>
        <w:tc>
          <w:tcPr>
            <w:tcW w:w="2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Market Approach</w:t>
            </w:r>
          </w:p>
        </w:tc>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Third Party Quote</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2"/>
              </w:rPr>
              <w:t>Total Level III Investments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$ 186,343,812</w:t>
            </w:r>
          </w:p>
        </w:tc>
        <w:tc>
          <w:tcPr>
            <w:tcW w:w="2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8"/>
        <w:spacing w:after="0" w:line="256" w:lineRule="auto"/>
        <w:tabs>
          <w:tab w:leader="none" w:pos="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rPr>
          <w:rFonts w:ascii="Arial" w:cs="Arial" w:eastAsia="Arial" w:hAnsi="Arial"/>
          <w:sz w:val="18"/>
          <w:szCs w:val="18"/>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qualitative inputs used in the fair value measurements include the value of the pledged collateral.</w:t>
      </w:r>
    </w:p>
    <w:p>
      <w:pPr>
        <w:spacing w:after="0" w:line="113"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right="120" w:firstLine="324"/>
        <w:spacing w:after="0" w:line="293" w:lineRule="auto"/>
        <w:rPr>
          <w:sz w:val="20"/>
          <w:szCs w:val="20"/>
          <w:color w:val="auto"/>
        </w:rPr>
      </w:pPr>
      <w:r>
        <w:rPr>
          <w:rFonts w:ascii="Arial" w:cs="Arial" w:eastAsia="Arial" w:hAnsi="Arial"/>
          <w:sz w:val="16"/>
          <w:szCs w:val="16"/>
          <w:color w:val="auto"/>
        </w:rPr>
        <w:t>The significant unobservable input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investment in the Joint Venture is carried at fair value based upon the fair value of the investments held by the Joint Venture.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September 30, 2018 and December 31, 2017, the Asset Manager Affiliates had approximately $3.2 billion and $3.0 billion of par value of assets under management, respectively, and the Company’s 100% equity interest in the Asset Manager Affiliates had a fair value of approximately $35.8 million and $38.8 million, respectively.</w:t>
      </w:r>
    </w:p>
    <w:p>
      <w:pPr>
        <w:spacing w:after="0" w:line="154" w:lineRule="exact"/>
        <w:rPr>
          <w:sz w:val="20"/>
          <w:szCs w:val="20"/>
          <w:color w:val="auto"/>
        </w:rPr>
      </w:pPr>
    </w:p>
    <w:p>
      <w:pPr>
        <w:ind w:right="240" w:firstLine="324"/>
        <w:spacing w:after="0" w:line="270"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During the first three quarters of 2018, the Asset Manager Affiliates did not recognize any incentive fee revenue. During the first three quarters of 2017, the Asset Manager Affiliates recognized $2.9 million of incentive fee revenue from Trimaran VII, which was called in January 2017. Currently, all CLO Funds managed by the Asset Manager Affiliates are paying both their senior and subordinated management fees on a current basis. As of September 30, 2018, none of the CLO Funds managed by the Asset Manager Affiliates were paying incentive fees.</w:t>
      </w:r>
    </w:p>
    <w:p>
      <w:pPr>
        <w:spacing w:after="0" w:line="182"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Certain investments, and the future management fees of certain managed CLO Funds, have been pledged by the Asset Manager Affiliates to third-party lenders under borrowing arrangements undertaken to satisfy the U.S. risk retention rules formerly required by Section 941 of the Dodd-Frank Wall Street Reform and Consumer Protection Act (the “Dodd-Frank Act”) applicable to asset managers. In addition, certain of the Asset Manager Affiliates have provided a make-whole guaranty to these lenders in the event that the pledged assets and management fees are insufficient to satisfy the repayment of these borrowings. So long as the underlying managed CLO Funds’ rated notes are making regular quarterly distributions, the management fees are available to the Asset Manager Affiliates. A recent court ruling has vacated the application of the U.S. risk retention rules insofar as they apply to managers of “open market CLOs,” such as the Asset Manager Affiliates.</w:t>
      </w:r>
    </w:p>
    <w:p>
      <w:pPr>
        <w:spacing w:after="0" w:line="17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For the three months ended September 30, 2018 and 2017, the Asset Manager Affiliates declared cash distributions of $300,000 and $880,000 to the Company, respectively. For the nine months ended September 30, 2018 and 2017, the Asset Manager Affiliates declared cash distributions of approximately $1.9 million and $2.2 million to the Company, respectively. Any distributions from the Asset Manager Affiliates out of their estimated tax-basis earnings and profits are recorded as “Dividends from Asset Manager Affiliates” on the Company’s statement of operations. The Company recognized $300,000 and $180,000 of Dividends from Asset Manager Affiliates, as reflected in the Company’s Statement of Operations three months ended 2018 and 2017, respectively. The Company recognized $920,000 and $180,000 Dividends from Asset Manager Affiliates, as reflected in the Company’s Statement of Operations for the nine months ended September 30, 2018 and 2017, respectively. The difference between cash distributions received and the tax-basis earnings and profits of the distributing affiliate, are recorded as an adjustment to the cost basis in the Asset Manager Affiliate (i.e., tax-basis return of capital). For the nine months ended September 30, 2018 and 2017 the difference of $1.0 million and $2.0 million, respectively,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the Asset Manager Affiliates).</w:t>
      </w:r>
    </w:p>
    <w:p>
      <w:pPr>
        <w:spacing w:after="0" w:line="16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14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accordance with Rules 3-09, Rule 4-08(g) and 1-02 of Regulation S-X, additional financial information with respect to the Asset Manager Affiliates and with respect to one of the CLO Funds in which the Company has an investment, Katonah 2007-I CLO is required to be included in the Company’s SEC filings. The additional financial information regarding the Asset Manager Affiliates (pursuant to Rule 3-09) and Katonah 2007-I CLO (pursuant to Rule 4-08(g)) is set forth below. This additional financial information regarding the Asset Manager Affiliates and Katonah 2007-1 CLO does not directly impact the financial position, results of operations, or cash flows of the Company.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4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90"/>
              </w:rPr>
              <w:t>Asset Manager Affiliates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72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Summarized Balance Sheet (unaudited)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ind w:left="20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720" w:type="dxa"/>
            <w:vAlign w:val="bottom"/>
            <w:gridSpan w:val="4"/>
          </w:tcPr>
          <w:p>
            <w:pPr>
              <w:ind w:left="346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5"/>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3,348,249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4,655,662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Investments</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23,642,448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79,901,209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22,830,000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22,830,000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Assets</w:t>
            </w:r>
          </w:p>
        </w:tc>
        <w:tc>
          <w:tcPr>
            <w:tcW w:w="3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2,498,125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4,471,250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52,318,822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111,858,121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364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19,685,000</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69,802,500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Borrowings from related parties</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6,277,282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12,792,218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4,259,976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6,789,433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34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30,222,258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89,384,151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22,096,564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22,473,970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34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52,318,822</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111,858,121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0"/>
              </w:rPr>
              <w:t>For the 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2,712,405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3,027,460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8,662,932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12,000,010</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645,795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25,298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2,914,386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31,208</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3,358,200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3,052,758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11,577,318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12,031,218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1,941,795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2,547,545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7,287,001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7,852,377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327,541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935,654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121,468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3,648,760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525,034</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2,877,449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2,669,013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10,935,761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8,704,952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Income before unrealized gains on investments and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480,751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383,745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641,557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3,326,266</w:t>
            </w:r>
          </w:p>
        </w:tc>
        <w:tc>
          <w:tcPr>
            <w:tcW w:w="10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on investments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207,427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410,888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688,178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383,745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1,052,445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3,326,266</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(161,584</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(490,150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978,769</w:t>
            </w:r>
          </w:p>
        </w:tc>
        <w:tc>
          <w:tcPr>
            <w:tcW w:w="10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463,536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1,542,595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2,347,497</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47</w:t>
            </w: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80" w:type="dxa"/>
            <w:vAlign w:val="bottom"/>
          </w:tcPr>
          <w:p>
            <w:pPr>
              <w:spacing w:after="0"/>
              <w:rPr>
                <w:sz w:val="19"/>
                <w:szCs w:val="19"/>
                <w:color w:val="auto"/>
              </w:rPr>
            </w:pPr>
          </w:p>
        </w:tc>
        <w:tc>
          <w:tcPr>
            <w:tcW w:w="39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6"/>
              </w:rPr>
              <w:t>Katonah 2007-I CLO Ltd.</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080" w:type="dxa"/>
            <w:vAlign w:val="bottom"/>
          </w:tcPr>
          <w:p>
            <w:pPr>
              <w:spacing w:after="0"/>
              <w:rPr>
                <w:sz w:val="20"/>
                <w:szCs w:val="20"/>
                <w:color w:val="auto"/>
              </w:rPr>
            </w:pPr>
          </w:p>
        </w:tc>
        <w:tc>
          <w:tcPr>
            <w:tcW w:w="4860" w:type="dxa"/>
            <w:vAlign w:val="bottom"/>
            <w:gridSpan w:val="4"/>
          </w:tcPr>
          <w:p>
            <w:pPr>
              <w:jc w:val="center"/>
              <w:ind w:left="330"/>
              <w:spacing w:after="0"/>
              <w:rPr>
                <w:sz w:val="20"/>
                <w:szCs w:val="20"/>
                <w:color w:val="auto"/>
              </w:rPr>
            </w:pPr>
            <w:r>
              <w:rPr>
                <w:rFonts w:ascii="Arial" w:cs="Arial" w:eastAsia="Arial" w:hAnsi="Arial"/>
                <w:sz w:val="18"/>
                <w:szCs w:val="18"/>
                <w:color w:val="auto"/>
                <w:w w:val="90"/>
              </w:rPr>
              <w:t>Summarized Balance Sheet Information (unaudited)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3080" w:type="dxa"/>
            <w:vAlign w:val="bottom"/>
          </w:tcPr>
          <w:p>
            <w:pPr>
              <w:spacing w:after="0"/>
              <w:rPr>
                <w:sz w:val="18"/>
                <w:szCs w:val="18"/>
                <w:color w:val="auto"/>
              </w:rPr>
            </w:pPr>
          </w:p>
        </w:tc>
        <w:tc>
          <w:tcPr>
            <w:tcW w:w="4860" w:type="dxa"/>
            <w:vAlign w:val="bottom"/>
            <w:gridSpan w:val="4"/>
          </w:tcPr>
          <w:p>
            <w:pPr>
              <w:jc w:val="center"/>
              <w:ind w:left="3510"/>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080" w:type="dxa"/>
            <w:vAlign w:val="bottom"/>
            <w:tcBorders>
              <w:bottom w:val="single" w:sz="8" w:color="CCEEFF"/>
            </w:tcBorders>
          </w:tcPr>
          <w:p>
            <w:pPr>
              <w:spacing w:after="0"/>
              <w:rPr>
                <w:sz w:val="20"/>
                <w:szCs w:val="20"/>
                <w:color w:val="auto"/>
              </w:rPr>
            </w:pPr>
          </w:p>
        </w:tc>
        <w:tc>
          <w:tcPr>
            <w:tcW w:w="3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Borders>
              <w:bottom w:val="single" w:sz="8" w:color="CCEEFF"/>
            </w:tcBorders>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778,828</w:t>
            </w:r>
          </w:p>
        </w:tc>
        <w:tc>
          <w:tcPr>
            <w:tcW w:w="8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Cash</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229,107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1,673,789</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8,750,934</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Total assets</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318,713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11,203,551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CLO Debt at Fair Value</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10,770,486</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Total Liabilities</w:t>
            </w: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89,608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10,854,495</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3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229,105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349,056</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9"/>
                <w:szCs w:val="19"/>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4,336,891</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Income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1,203,940</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6,505</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4,392,101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1,275,068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10,487,425</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4,289,994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1,401,622</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10,631,098</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4,885,278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(48,669)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10,504,641</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(1,207,183)</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(4,184)</w:t>
            </w:r>
          </w:p>
        </w:tc>
        <w:tc>
          <w:tcPr>
            <w:tcW w:w="4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(246,351)</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(119,952)</w:t>
            </w:r>
          </w:p>
        </w:tc>
        <w:tc>
          <w:tcPr>
            <w:tcW w:w="4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(1,700,360)</w:t>
            </w:r>
          </w:p>
        </w:tc>
      </w:tr>
    </w:tbl>
    <w:p>
      <w:pPr>
        <w:spacing w:after="0" w:line="187" w:lineRule="exact"/>
        <w:rPr>
          <w:sz w:val="20"/>
          <w:szCs w:val="20"/>
          <w:color w:val="auto"/>
        </w:rPr>
      </w:pPr>
    </w:p>
    <w:p>
      <w:pPr>
        <w:ind w:right="220" w:firstLine="324"/>
        <w:spacing w:after="0" w:line="288" w:lineRule="auto"/>
        <w:rPr>
          <w:sz w:val="20"/>
          <w:szCs w:val="20"/>
          <w:color w:val="auto"/>
        </w:rPr>
      </w:pPr>
      <w:r>
        <w:rPr>
          <w:rFonts w:ascii="Arial" w:cs="Arial" w:eastAsia="Arial" w:hAnsi="Arial"/>
          <w:sz w:val="16"/>
          <w:szCs w:val="16"/>
          <w:color w:val="auto"/>
        </w:rPr>
        <w:t>On December 19, 2017, the Company, in its capacity as the holder of all of the outstanding preferred shares of Katonah 2007-1, exercised its right to cause Katonah 2007-1 to redeem all of its outstanding indebtedness through the sale of its investments and otherwise wind up its business. As of December 31, 2017, Katonah 2007-1 had paid off all of its outstanding indebtedness and had approximately $10.8 million in total assets. It is expected that Katonah</w:t>
      </w:r>
    </w:p>
    <w:p>
      <w:pPr>
        <w:spacing w:after="0" w:line="253" w:lineRule="auto"/>
        <w:rPr>
          <w:sz w:val="20"/>
          <w:szCs w:val="20"/>
          <w:color w:val="auto"/>
        </w:rPr>
      </w:pPr>
      <w:r>
        <w:rPr>
          <w:rFonts w:ascii="Arial" w:cs="Arial" w:eastAsia="Arial" w:hAnsi="Arial"/>
          <w:sz w:val="18"/>
          <w:szCs w:val="18"/>
          <w:color w:val="auto"/>
        </w:rPr>
        <w:t>2007-1 will be fully liquidated and dissolved in 2018. The Company received approximately $11.3 million on its investment in Katonah 2007-1 during the fourth quarter of 2017 in connection with the liquidation of Katonah 2007-1, and received an additional $10.5 million in the first half of 2018. Upon receipt of the final liquidating distribution from Katonah 2007-1, the Company expects to record a realized loss of approximately $10 million on its investment in Katonah 2007-1 and a corresponding unrealized gain of the same amount, in order to reverse the previously recorded unrealized depreciation with respect to the investment.</w:t>
      </w:r>
    </w:p>
    <w:p>
      <w:pPr>
        <w:spacing w:after="0" w:line="19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Similarly, it is expected that Trimaran CLO VII, Ltd. and Catamaran CLO 2012-1 Ltd. will be fully liquidated in 2018, whereupon any previously recognized unrealized losses will be reversed and recognized as realized losses in the statement of operations.</w:t>
      </w:r>
    </w:p>
    <w:p>
      <w:pPr>
        <w:spacing w:after="0" w:line="17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right="40" w:firstLine="324"/>
        <w:spacing w:after="0" w:line="290" w:lineRule="auto"/>
        <w:rPr>
          <w:sz w:val="20"/>
          <w:szCs w:val="20"/>
          <w:color w:val="auto"/>
        </w:rPr>
      </w:pPr>
      <w:r>
        <w:rPr>
          <w:rFonts w:ascii="Arial" w:cs="Arial" w:eastAsia="Arial" w:hAnsi="Arial"/>
          <w:sz w:val="16"/>
          <w:szCs w:val="16"/>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6"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and tax-basis intangible assets of $15.7 million, both of which are being amortized for tax purposes on a straight-line basis over 15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On April 15, 2013, the Trimaran Credit Facility was amended and upsized from $20 million to $23 million. On November 17, 2017, the Trimaran Credit Facility was amended to extend the maturity date to November 17, 2022 and bears interest at an annual rate of 9.0%. At September 30, 2018, and December 31, 2017 there were no loans outstanding under the Trimaran Credit Facility. For the three months ended September 30, 2018 and 2017, the Company recognized interest income of approximately $512,000 and $126,000, respectively, related to the Trimaran Credit Facility. For the nine months ended September 30, 2018 and 2017, the Company recognized interest income of approximately $1.2 million and $529,000, respectively, related to the Trimaran Credit Facility.</w:t>
      </w:r>
    </w:p>
    <w:p>
      <w:pPr>
        <w:spacing w:after="0" w:line="16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 October 30, 2017, the Company entered into a term loan agreement with Trimaran Advisors, one of the Asset Manager Affiliates. Trimaran Advisors borrowed $8.4 million under this agreement, which bears interest at a rate of 10.5% annually, payable quarterly. The loan matures on April 30, 2030, can be repaid at any time, and must be repaid upon the occurrence of certain events. For the nine months ended September 30, 2018, $2.1 million of the principal on this loan was repaid by Trimaran Advisors. During the three and nine months ended September 30, 2018, the Company recognized interest income of approximately $182,000 and $622,000, respectively, related to this loan.</w:t>
      </w:r>
    </w:p>
    <w:p>
      <w:pPr>
        <w:spacing w:after="0" w:line="18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October 31, 2017, Trimaran Advisors capitalized Trimaran Risk Retention Holdings, LLC, a newly-formed wholly-owned subsidiary, with $8.4 million of equity capital. In turn, Trimaran Risk Retention Holdings, LLC capitalized Trimaran RR I, LLC, a wholly-owned subsidiary of Trimaran Risk Retention Holdings, LLC, with $8.4 million of equity capital. With this equity contribution and other borrowed funds, Trimaran RR I, LLC purchased $34.8 million notional amount of notes issued by Catamaran CLO 2014-1, Ltd. for aggregate consideration of $35.5 million. On December 21, 2017, the Company entered into another term loan agreement with Trimaran Advisors. Trimaran Advisors borrowed $4.4 million, which also bears interest at a rate of 10.5% annually, payable quarterly. During the second quarter of 2018, this loan was repaid in full by Trimaran Advisors. During the three and nine months ended September 30, 2018, the Company recognized interest income of approximately $0 and $229,000, respectively, related to this loan.</w:t>
      </w:r>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On December 21, 2017, Trimaran Advisors contributed $4.4 million of equity capital to Trimaran Risk Retention Holdings, LLC. In turn, Trimaran Risk Retention Holdings, LLC contributed $4.4 million of equity capital to Trimaran RR I, LLC. With this equity contribution and other borrowed funds, Trimaran</w:t>
      </w:r>
    </w:p>
    <w:p>
      <w:pPr>
        <w:ind w:left="5640" w:right="820" w:hanging="5632"/>
        <w:spacing w:after="0" w:line="762" w:lineRule="auto"/>
        <w:tabs>
          <w:tab w:leader="none" w:pos="3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LLC purchased $27.4 million notional amount of notes issued by Catamaran CLO 2013-1, Ltd. for aggregate consideration of $27.4 million.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1" w:name="page52"/>
    <w:bookmarkEnd w:id="51"/>
    <w:p>
      <w:pPr>
        <w:ind w:right="80" w:firstLine="324"/>
        <w:spacing w:after="0" w:line="270" w:lineRule="auto"/>
        <w:rPr>
          <w:sz w:val="20"/>
          <w:szCs w:val="20"/>
          <w:color w:val="auto"/>
        </w:rPr>
      </w:pPr>
      <w:r>
        <w:rPr>
          <w:rFonts w:ascii="Arial" w:cs="Arial" w:eastAsia="Arial" w:hAnsi="Arial"/>
          <w:sz w:val="17"/>
          <w:szCs w:val="17"/>
          <w:color w:val="auto"/>
        </w:rPr>
        <w:t>On April 5, 2018, the D.C. District Court entered an order implementing the Appellate Court Ruling and thereby vacated the U.S. risk retention rules insofar as they apply to CLO managers of “open market CLOs.” In addition, the Applicable Governmental Agencies did not request that the case be heard by the United States Supreme Court. Since the Applicable Governmental Agencies have not successfully challenged the Appellate Court Ruling and the D.C. District Court has issued the above described order implementing the Appellate Court Ruling, collateral managers of open market CLOs are no longer required to comply with the U.S. risk retention rules at this time. As such, it is possible that some collateral managers of open market CLOs will decide to dispose of the notes constituting the “eligible vertical interest” or “eligible horizontal interest” they were previously required to retain, or decide to take other action with respect to such notes that is not otherwise permitted by the U.S. risk retention rules. As a result of this decision, certain CLO managers of "open market CLOs" will no longer be required to comply with the U.S. risk retention rules solely because of their roles as managers of "open market CLOs", and there may be no "sponsor" of such securitization transactions and no party may be required to acquire and retain an economic interest in the credit risk of the securitized assets of such transactions.</w:t>
      </w:r>
    </w:p>
    <w:p>
      <w:pPr>
        <w:spacing w:after="0" w:line="17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There can be no assurance or representation that any of the transactions, structures or arrangements currently under consideration by or currently used by CLO market participants will comply with the U.S. risk retention rules to the extent such rules are reinstated or otherwise become applicable to open market CLOs. The ultimate impact of the U.S. risk retention rules on the loan securitization market and the leveraged loan market generally remains uncertain, and any negative impact on secondary market liquidity for securities comprising a CLO may be experienced due to the effects of the U.S. risk retention rules on market expectations or uncertainty, the relative appeal of other investments not impacted by the U.S. risk retention rules and other factors.</w:t>
      </w:r>
    </w:p>
    <w:p>
      <w:pPr>
        <w:spacing w:after="0" w:line="15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 June 4, 2018, Trimaran RR I, LLC. sold $31.4 million and $24.9 million, of notional amount of notes issued by Catamaran CLO 2014-1, Ltd and Catamaran 2013-1, Ltd,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obligations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89"/>
              </w:rPr>
              <w:t>September 30, 2018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6.125%</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Notes Due 2022</w:t>
            </w:r>
          </w:p>
        </w:tc>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offering costs of: 2018-$2,341,686; 2017 - $2,734,248)</w:t>
            </w:r>
          </w:p>
        </w:tc>
        <w:tc>
          <w:tcPr>
            <w:tcW w:w="8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75,065,514</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74,672,952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8"/>
              </w:rPr>
              <w:t>7.375%</w:t>
            </w:r>
          </w:p>
        </w:tc>
        <w:tc>
          <w:tcPr>
            <w:tcW w:w="1220" w:type="dxa"/>
            <w:vAlign w:val="bottom"/>
          </w:tcPr>
          <w:p>
            <w:pPr>
              <w:ind w:left="20"/>
              <w:spacing w:after="0"/>
              <w:rPr>
                <w:sz w:val="20"/>
                <w:szCs w:val="20"/>
                <w:color w:val="auto"/>
              </w:rPr>
            </w:pPr>
            <w:r>
              <w:rPr>
                <w:rFonts w:ascii="Arial" w:cs="Arial" w:eastAsia="Arial" w:hAnsi="Arial"/>
                <w:sz w:val="18"/>
                <w:szCs w:val="18"/>
                <w:color w:val="auto"/>
                <w:w w:val="90"/>
              </w:rPr>
              <w:t>Notes Due 2019</w:t>
            </w:r>
          </w:p>
        </w:tc>
        <w:tc>
          <w:tcPr>
            <w:tcW w:w="5660" w:type="dxa"/>
            <w:vAlign w:val="bottom"/>
          </w:tcPr>
          <w:p>
            <w:pPr>
              <w:ind w:left="20"/>
              <w:spacing w:after="0"/>
              <w:rPr>
                <w:sz w:val="20"/>
                <w:szCs w:val="20"/>
                <w:color w:val="auto"/>
              </w:rPr>
            </w:pPr>
            <w:r>
              <w:rPr>
                <w:rFonts w:ascii="Arial" w:cs="Arial" w:eastAsia="Arial" w:hAnsi="Arial"/>
                <w:sz w:val="18"/>
                <w:szCs w:val="18"/>
                <w:color w:val="auto"/>
              </w:rPr>
              <w:t>(net of offering costs of: 2018 - $31,173; 2017 - $259,635)</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6,968,827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26,740,365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KCAP Funding I, LLC Revolving Credit Facility (net of offering costs of: 2018 - $1,246,998)</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21,701,195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103,735,536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101,413,317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September 30, 2018 were 6.1% and 3.7 years, respectively, and as of December 31, 2017 were 6.4% and 3.9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All of the KCAP Senior Funding I Class A, B, C and D notes were repaid in the third quarter of 2017. In connection therewith, the Company recorded a realized loss from the extinguishment of debt of approximately $4.0 million in the third quarter of 2017.</w:t>
      </w:r>
    </w:p>
    <w:p>
      <w:pPr>
        <w:spacing w:after="0" w:line="170"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For the three months ended September 30, 2017, interest expense, including the amortization of deferred debt issuance costs and the OID was approximately $337,000 consisting of stated interest expense of approximately $263,000, accreted discount of approximately $35,000, and deferred debt issuance costs of approximately $38,000. For the nine months ended September 30, 2017, interest expense, including the amortization of deferred debt issuance costs and the discount on the face amount of the notes, was approximately $3.4 million consisting of stated interest expense of approximately $2.7 million, accreted discount of approximately $352,000, and deferred debt issuance costs of approximately $379,000.</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requirement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September 30, 2018, the Company was in compliance with all of its debt covenants.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September 30, 2018 and 2017, interest expense related to the 7.375% Notes Due 2019 was approximately, $129,000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$498,000, respectively. For the nine months ended September 30, 2018 and 2017, interest expense related to the 7.375% Notes Due 2019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$694,000 and $1.7 million, respectively.</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$32,000 remains to be amortized, and is included on the consolidated balance sheets as a reduction in the related debt liability.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second quarter of 2016, the Company repurchased approximately $2.4 million par value of the 7.375% Notes Due 2019 at a weighted average price of $25.23 per $25.00 note, resulting in a realized loss on extinguishment of $71,190. The Company subsequently surrendered these notes to the Trustee for cancellation.</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During the third quarter of 2016, $5.0 million par value of the 7.375% Notes Due 2019 was redeemed by the Company, resulting in a realized loss on extinguishment of $88,015. The Company subsequently surrendered these notes to the Trustee for cancellation.</w:t>
      </w:r>
    </w:p>
    <w:p>
      <w:pPr>
        <w:spacing w:after="0" w:line="170"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During the fourth quarter of 2016, approximately $469,000 par value of the 7.375% Notes Due 2019 was redeemed by the Company, resulting in a realized loss on extinguishment of approximately $15,000. The Company subsequently surrendered these notes to the Trustee for cancellation.</w:t>
      </w:r>
    </w:p>
    <w:p>
      <w:pPr>
        <w:spacing w:after="0" w:line="124"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During the second quarter of 2017, approximately $6.5 million par value of the 7.375% Notes Due 2019 was redeemed by the Company, resulting in a realized loss on extinguishment of approximately $107,000. The Company subsequently surrendered these notes to the Trustee for cancellation.</w:t>
      </w:r>
    </w:p>
    <w:p>
      <w:pPr>
        <w:spacing w:after="0" w:line="124"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12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 xml:space="preserve">Fair Value of 7.375% Notes Due 2019. </w:t>
      </w:r>
      <w:r>
        <w:rPr>
          <w:rFonts w:ascii="Arial" w:cs="Arial" w:eastAsia="Arial" w:hAnsi="Arial"/>
          <w:sz w:val="17"/>
          <w:szCs w:val="17"/>
          <w:color w:val="auto"/>
        </w:rPr>
        <w:t>The 7.375% Notes Due 2019 were issued in a public offering on October 10, 2012 and are carried at cost. As of</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and December 31, 2017, the fair value of the Company’s outstanding 7.375% Notes Due 2019 was approximately $7.2 million and $27.3 million, respectively. The fair value was determined based on the closing price on September 28, 2018 and December 29, 2017 for the 7.375% Notes Due 2019. The 7.375% Notes Due 2019 are categorized as Level I under the ASC 820 Fair Value.</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6.125% Notes Due 2022</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In addition, due to the asset coverage requirement applicable to the Company as a BDC and a covenant that the Company agreed to in connection with the issuance of the 6.125% Notes Due 2022, the Company is limited in its ability to make distributions in certain circumstances. The indenture governing the 6.125% Notes Due 2022 contains certain restrictive covenants, including compliance with certain provisions of the 1940 Act relating to borrowing and dividends. At September 30, 2018, the Company was in compliance with all of its debt covenants.</w:t>
      </w:r>
    </w:p>
    <w:p>
      <w:pPr>
        <w:spacing w:after="0" w:line="16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For the three months ended September 30, 2018 and 2017, interest expense related to the 6.125% Notes Due 2022 was approximately $1.2 million and $450,000, respectively. For the nine months ended September 30, 2018 and 2017, interest expense related to the 6.125% Notes Due 2022 was approximately $3.6 million and $450,000, respectively.</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$2.3 million remains to be amortized as of September 30, 2018, and is included on the consolidated balance sheets as a reduction in the related debt liability.</w:t>
      </w:r>
    </w:p>
    <w:p>
      <w:pPr>
        <w:spacing w:after="0" w:line="181" w:lineRule="exact"/>
        <w:rPr>
          <w:sz w:val="20"/>
          <w:szCs w:val="20"/>
          <w:color w:val="auto"/>
        </w:rPr>
      </w:pPr>
    </w:p>
    <w:p>
      <w:pPr>
        <w:jc w:val="both"/>
        <w:ind w:right="160" w:firstLine="324"/>
        <w:spacing w:after="0" w:line="302" w:lineRule="auto"/>
        <w:rPr>
          <w:sz w:val="20"/>
          <w:szCs w:val="20"/>
          <w:color w:val="auto"/>
        </w:rPr>
      </w:pPr>
      <w:r>
        <w:rPr>
          <w:rFonts w:ascii="Arial" w:cs="Arial" w:eastAsia="Arial" w:hAnsi="Arial"/>
          <w:sz w:val="16"/>
          <w:szCs w:val="16"/>
          <w:i w:val="1"/>
          <w:iCs w:val="1"/>
          <w:color w:val="auto"/>
        </w:rPr>
        <w:t xml:space="preserve">Fair Value of 6.125% Notes Due 2022. </w:t>
      </w:r>
      <w:r>
        <w:rPr>
          <w:rFonts w:ascii="Arial" w:cs="Arial" w:eastAsia="Arial" w:hAnsi="Arial"/>
          <w:sz w:val="16"/>
          <w:szCs w:val="16"/>
          <w:color w:val="auto"/>
        </w:rPr>
        <w:t>The 6.125% Notes Due 2022 were issued via public offering during the third quarter of 2017 and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cost, net of offering costs of $2.3 million at September 30, 2018. The fair value of the Company’s outstanding 6.125% Notes Due 2022 was approximately $78.0 million and $77.7 million at September 30, 2018 and December 31, 2017. The fair value was determined based on the closing price on September 28, 2018 and December 29, 2017 for the 6.125% Notes Due 2022. The 6.125% Notes Due 2022 are categorized as Level I under the ASC 820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KCAP Funding I, LLC</w:t>
      </w:r>
    </w:p>
    <w:p>
      <w:pPr>
        <w:spacing w:after="0" w:line="225"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On March 1, 2018, KCAP Funding I, LLC (“Funding”), a wholly 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w:t>
      </w:r>
    </w:p>
    <w:p>
      <w:pPr>
        <w:spacing w:after="0" w:line="18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maximum commitment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w:t>
      </w:r>
    </w:p>
    <w:p>
      <w:pPr>
        <w:spacing w:after="0" w:line="171"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maturity date is the earliest of: (a) March 1, 2022 and (b) the date upon which all loans shall become due and payable in full, whether by acceleration or otherwise, as a result of a default by the Company, as defined in the Revolving Credit Facility.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Borrowings under the Revolving Credit Facility are repayable by the Company at any time.</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September 30, 2018, Funding was in compliance with all of its debt covenants.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2018, $22.9 million principal amount of borrowings was outstanding under the Revolving Credit Facility.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4" w:name="page55"/>
    <w:bookmarkEnd w:id="54"/>
    <w:p>
      <w:pPr>
        <w:ind w:right="100" w:firstLine="324"/>
        <w:spacing w:after="0" w:line="264" w:lineRule="auto"/>
        <w:rPr>
          <w:sz w:val="20"/>
          <w:szCs w:val="20"/>
          <w:color w:val="auto"/>
        </w:rPr>
      </w:pPr>
      <w:r>
        <w:rPr>
          <w:rFonts w:ascii="Arial" w:cs="Arial" w:eastAsia="Arial" w:hAnsi="Arial"/>
          <w:sz w:val="18"/>
          <w:szCs w:val="18"/>
          <w:color w:val="auto"/>
        </w:rPr>
        <w:t>Interest on borrowings under the Revolving Credit Facility is paid monthly. Borrowings under the Revolving Credit Facility are subject to redemption in whole or in part at any time or from time to time, at the option of the Funding. Concurrently with any termination of the Revolving Credit Facility before March 1, 2019, Funding will pay to agent an amount equal to 1% of the Revolver Commitments.</w:t>
      </w:r>
    </w:p>
    <w:p>
      <w:pPr>
        <w:spacing w:after="0" w:line="181"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For the three months ended September 30, 2018, interest expense related to the Revolving Credit Facility was approximately $317,000. For the nine months ended September 30, 2018, interest expense related to the Revolving Credit Facility was approximately $667,000.</w:t>
      </w:r>
    </w:p>
    <w:p>
      <w:pPr>
        <w:spacing w:after="0" w:line="14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Company incurred approximately $1.5 million of debt offering costs in connection with the issuance of the Revolving Credit Facility, which are being amortized over the expected term of the Revolving Credit Facility, of which approximately $1.2 million remains to be amortized as of September 30, 2018, and is included on the consolidated balance sheets as a reduction in the related debt liability.</w:t>
      </w:r>
    </w:p>
    <w:p>
      <w:pPr>
        <w:spacing w:after="0" w:line="18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i w:val="1"/>
          <w:iCs w:val="1"/>
          <w:color w:val="auto"/>
        </w:rPr>
        <w:t xml:space="preserve">Fair Value of the Revolving Credit Facility. </w:t>
      </w:r>
      <w:r>
        <w:rPr>
          <w:rFonts w:ascii="Arial" w:cs="Arial" w:eastAsia="Arial" w:hAnsi="Arial"/>
          <w:sz w:val="17"/>
          <w:szCs w:val="17"/>
          <w:color w:val="auto"/>
        </w:rPr>
        <w:t>Borrowings under the Revolving Credit Facility are carried at cost, net of unamortized debt offering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$1.2 million at September 30, 2018. The fair value of the Revolving Credit Facility borrowings was approximately $22.9 million at September 30, 2018. The fair value was determined based on an analysis of the value of the pledged collateral and the amount of over-collateralization supporting the repayment of these borrowings. The Revolving Credit Facility borrowings are categorized as Level III under the ASC 820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2018).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reconciles net increase in net assets resulting from operations to taxable income for the nine months ended September 30,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30"/>
        </w:trPr>
        <w:tc>
          <w:tcPr>
            <w:tcW w:w="7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34"/>
        </w:trPr>
        <w:tc>
          <w:tcPr>
            <w:tcW w:w="7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(unaudited)</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2,646,472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2,237,830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Net change in unrealized depreciation (appreciation) from investments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4,991,311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(875,365)</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losses over capital gains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306,410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6,993,940</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(36,416)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(1,697,865)</w:t>
            </w:r>
          </w:p>
        </w:tc>
      </w:tr>
      <w:tr>
        <w:trPr>
          <w:trHeight w:val="23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924,707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224,785</w:t>
            </w:r>
          </w:p>
        </w:tc>
      </w:tr>
      <w:tr>
        <w:trPr>
          <w:trHeight w:val="263"/>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Taxable income before deductions for distributions</w:t>
            </w:r>
          </w:p>
        </w:tc>
        <w:tc>
          <w:tcPr>
            <w:tcW w:w="6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8,832,484</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6,883,325</w:t>
            </w:r>
          </w:p>
        </w:tc>
        <w:tc>
          <w:tcPr>
            <w:tcW w:w="100" w:type="dxa"/>
            <w:vAlign w:val="bottom"/>
            <w:tcBorders>
              <w:bottom w:val="single" w:sz="8" w:color="CCEEFF"/>
            </w:tcBorders>
          </w:tcPr>
          <w:p>
            <w:pPr>
              <w:spacing w:after="0"/>
              <w:rPr>
                <w:sz w:val="22"/>
                <w:szCs w:val="22"/>
                <w:color w:val="auto"/>
              </w:rPr>
            </w:pPr>
          </w:p>
        </w:tc>
      </w:tr>
      <w:tr>
        <w:trPr>
          <w:trHeight w:val="197"/>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Taxable income before deductions for distributions per weighted average basic shares for the period</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7"/>
                <w:szCs w:val="17"/>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w w:val="98"/>
              </w:rPr>
              <w:t>Taxable income before deductions for distributions per weighted average diluted shares for the period</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r>
        <w:trPr>
          <w:trHeight w:val="634"/>
        </w:trPr>
        <w:tc>
          <w:tcPr>
            <w:tcW w:w="796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53</w:t>
            </w: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5" w:name="page56"/>
    <w:bookmarkEnd w:id="55"/>
    <w:p>
      <w:pPr>
        <w:ind w:firstLine="324"/>
        <w:spacing w:after="0" w:line="290" w:lineRule="auto"/>
        <w:rPr>
          <w:sz w:val="20"/>
          <w:szCs w:val="20"/>
          <w:color w:val="auto"/>
        </w:rPr>
      </w:pPr>
      <w:r>
        <w:rPr>
          <w:rFonts w:ascii="Arial" w:cs="Arial" w:eastAsia="Arial" w:hAnsi="Arial"/>
          <w:sz w:val="16"/>
          <w:szCs w:val="16"/>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nine months ended September 30, 2018 and 2017, the Asset Manager Affiliates declared cash distributions of $1.9 million and $2.2 million respectively, to the Company. For the nine months ended September 30, 2018 and 2017, the Company recognized $920,000 and $180,000 of dividends from the Asset Manager Affiliates, as reflected in the Company’s Statement of Operations. For the nine months ended September 30, 2018 and 2017, the differences of $1.0 million and $2.0 million, respectively, between cash distributions received and the estimated tax-basis earnings and profits of the distributing affiliate, are recorded as adjustments to the cost basis in the Asset Manager Affiliates (i.e. tax-basis return of capital).</w:t>
      </w:r>
    </w:p>
    <w:p>
      <w:pPr>
        <w:spacing w:after="0" w:line="16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At September 30, 2018, the Company had a net capital loss carryforward of $88.6 million to offset net capital gains, to the extent provided by federal tax law. $13.5 million of net capital loss carryforward expired in 2017. $17.9 million of net capital loss carryforward is subject to expiration in 2018. $70.7 million of the net capital loss carryforward is not subject to expiration under the RIC Modernization Act of 2010.</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September 18, 2018, the Company’s Board of Directors declared a distribution to shareholders of $0.10 per share for a total of approximately $3.7 million. The record date was October 9, 2018 and the distribution was paid on October 29, 2018.</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2018 and December 31, 2017, the Company had $370,000 and $0 outstanding commitments,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During the nine months ended September 30, 2018 and 2017, the Company issued 46,942 and 75,059 shares, respectively, of common stock under its dividend reinvestment plan. For the nine months ended September 30, 2018, there were 6,000 grants of restricted stock, 16,261 shares were forfeited, and 122,878 shares vested. The total number of shares of the Company’s common stock outstanding as of September 30, 2018 and December 31, 2017 was 37,349,224 and 37,339,224, respectively. During the nine months ended September 30, 2018 and 2017, the Company repurchased 26,681 and 64,176, respectively shares at an aggregate cost of approximately $87,000 and $225,000, respectively, in connection with the vesting of restricted stock awards.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10. EQUITY COMPENSATION PLANS</w:t>
      </w:r>
    </w:p>
    <w:p>
      <w:pPr>
        <w:spacing w:after="0" w:line="229"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The Company has an equity incentive plan, established in 2006 and most recently amended, following approval by the Company’s Board of Directors and shareholders, on May 4, 2017 (the “Equity Incentive Plan”). The Company reserved 2,000,000 shares of common stock for issuance under the Equity Incentive Plan. Pursuant to the Equity Incentive Plan and in accordance with the terms of the exemptive relief granted to the Company in August 2008, the Company aims to provide officers and employees of the Company with additional incentives and align the interests of its employees with those of its shareholders. Restricted stock granted under the Equity Incentive Plan is granted at a price equal to the fair market value (market closing price) of the shares on the day such restricted stock is granted. Options granted under the Equity Incentive Plan are exercisable at a price equal to the fair market value (market closing price) of the shares on the day the option is granted. Restricted stock granted pursuant to the Equity Incentive Plan in 2013 vested in two equal installments of 50% on each of the third and the fourth anniversaries of the grant date. Restricted Stock granted pursuant to the Equity Incentive Plan in 2014 and 2015 vests in four equal installments of 25% on each of the first four anniversaries of the grant date. Restricted Stock granted pursuant to the Equity Incentive Plan in 2017 will vest in two equal installments of 50% on each of the third and the fourth anniversaries of the grant date.</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Pursuant to the Non-Employee Director Plan, the Company’s independent directors and other directors who are not officers or employees of the Company (“Non-Employee Directors”) may be issued restricted stock as a portion of their compensation for service on the Company’s Board of Directors in accordance with the terms of exemptive relief granted by the SEC in August 2008. Since implementation of the 2011 Plan, the Company is permitted to issue restricted stock, and is no longer permitted to issue any options for common stock, of the Company to Non-Employee Directors. Any options outstanding as of the date of the 2011 Annual Shareholder Meeting are governed in all respects by the terms of the 2008 Plan. Under the Non-Employee Director Plan, the Non-Employee Directors automatically receive 1,000 shares of restricted stock on the date of each annual meeting of shareholders during the term of the plan.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right="26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2017 through September 30, 2018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Weighted Average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6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6"/>
              </w:rPr>
              <w:t>Aggregate Intrinsic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right"/>
              <w:ind w:right="360"/>
              <w:spacing w:after="0" w:line="181" w:lineRule="exact"/>
              <w:rPr>
                <w:sz w:val="20"/>
                <w:szCs w:val="20"/>
                <w:color w:val="auto"/>
              </w:rPr>
            </w:pPr>
            <w:r>
              <w:rPr>
                <w:rFonts w:ascii="Arial" w:cs="Arial" w:eastAsia="Arial" w:hAnsi="Arial"/>
                <w:sz w:val="18"/>
                <w:szCs w:val="18"/>
                <w:b w:val="1"/>
                <w:bCs w:val="1"/>
                <w:color w:val="auto"/>
                <w:w w:val="91"/>
              </w:rPr>
              <w:t>Weighted Average</w:t>
            </w:r>
          </w:p>
        </w:tc>
        <w:tc>
          <w:tcPr>
            <w:tcW w:w="100" w:type="dxa"/>
            <w:vAlign w:val="bottom"/>
          </w:tcPr>
          <w:p>
            <w:pPr>
              <w:spacing w:after="0"/>
              <w:rPr>
                <w:sz w:val="15"/>
                <w:szCs w:val="15"/>
                <w:color w:val="auto"/>
              </w:rPr>
            </w:pPr>
          </w:p>
        </w:tc>
        <w:tc>
          <w:tcPr>
            <w:tcW w:w="160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2"/>
              </w:rPr>
              <w:t>Remaining Term</w:t>
            </w:r>
          </w:p>
        </w:tc>
        <w:tc>
          <w:tcPr>
            <w:tcW w:w="1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2000" w:type="dxa"/>
            <w:vAlign w:val="bottom"/>
            <w:gridSpan w:val="3"/>
          </w:tcPr>
          <w:p>
            <w:pPr>
              <w:spacing w:after="0"/>
              <w:rPr>
                <w:sz w:val="20"/>
                <w:szCs w:val="20"/>
                <w:color w:val="auto"/>
              </w:rPr>
            </w:pPr>
            <w:r>
              <w:rPr>
                <w:rFonts w:ascii="Arial" w:cs="Arial" w:eastAsia="Arial" w:hAnsi="Arial"/>
                <w:sz w:val="18"/>
                <w:szCs w:val="18"/>
                <w:b w:val="1"/>
                <w:bCs w:val="1"/>
                <w:color w:val="auto"/>
                <w:w w:val="93"/>
              </w:rPr>
              <w:t>Exercise Price per Share</w:t>
            </w:r>
          </w:p>
        </w:tc>
        <w:tc>
          <w:tcPr>
            <w:tcW w:w="100" w:type="dxa"/>
            <w:vAlign w:val="bottom"/>
          </w:tcPr>
          <w:p>
            <w:pPr>
              <w:spacing w:after="0"/>
              <w:rPr>
                <w:sz w:val="23"/>
                <w:szCs w:val="23"/>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300" w:type="dxa"/>
            <w:vAlign w:val="bottom"/>
          </w:tcPr>
          <w:p>
            <w:pPr>
              <w:spacing w:after="0"/>
              <w:rPr>
                <w:sz w:val="23"/>
                <w:szCs w:val="23"/>
                <w:color w:val="auto"/>
              </w:rPr>
            </w:pPr>
          </w:p>
        </w:tc>
        <w:tc>
          <w:tcPr>
            <w:tcW w:w="1300" w:type="dxa"/>
            <w:vAlign w:val="bottom"/>
            <w:gridSpan w:val="2"/>
          </w:tcPr>
          <w:p>
            <w:pPr>
              <w:ind w:left="200"/>
              <w:spacing w:after="0" w:line="269" w:lineRule="exact"/>
              <w:rPr>
                <w:sz w:val="20"/>
                <w:szCs w:val="20"/>
                <w:color w:val="auto"/>
              </w:rPr>
            </w:pPr>
            <w:r>
              <w:rPr>
                <w:rFonts w:ascii="Arial" w:cs="Arial" w:eastAsia="Arial" w:hAnsi="Arial"/>
                <w:sz w:val="18"/>
                <w:szCs w:val="18"/>
                <w:b w:val="1"/>
                <w:bCs w:val="1"/>
                <w:color w:val="auto"/>
              </w:rPr>
              <w:t>Value</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2017</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1700" w:type="dxa"/>
            <w:vAlign w:val="bottom"/>
            <w:tcBorders>
              <w:top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Expired Unexercised</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Cancelled</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Outstanding at September 30, 2018</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vested at September 30, 2018</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4.88</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Represents the difference between the market value of shares of the Company on September 30, 2018 and the exercise price of the options.</w:t>
      </w:r>
    </w:p>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nine months ended September 30, 2018 and 2017, the Company did not recognize any non-cash compensation expense related to stock options. At September 30, 2018, the Company had no remaining compensation costs related to unvested stock option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540" w:hanging="208"/>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2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2016, 6,000 shares of restricted stock were awarded to the Company’s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color w:val="auto"/>
        </w:rPr>
        <w:t>On May 4, 2017,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2018, 6,000 shares of restricted stock were awarded to the Company’s Board of Directors.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June 16, 2015, the Company received exemptive relief to repurchase shares of its common stock from its employees in connection with certain equity compensation plan arrangements. During the years ended December 31, 2016 and 2015, the Company repurchased 67,654 and 36,348 shares, respectively, of common stock at an aggregate cost of approximately $248,000 and $220,000, respectively, in connection with the vesting of employee’s restricted stock, which is reflected as Treasury Stock at cost on the Consolidated Balance Sheet. These shares are not available to be reissued under the Company’s Equity Incentive Plan.</w:t>
      </w:r>
    </w:p>
    <w:p>
      <w:pPr>
        <w:spacing w:after="0" w:line="188"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Company’s Equity Incentive Plan.</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On September 19, 2017, the Company’s Board of Directors approved the grant of 133,620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2017 through September 30, 2018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Non-vested</w:t>
            </w:r>
          </w:p>
        </w:tc>
      </w:tr>
      <w:tr>
        <w:trPr>
          <w:trHeight w:val="216"/>
        </w:trPr>
        <w:tc>
          <w:tcPr>
            <w:tcW w:w="100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Restricted</w:t>
            </w:r>
          </w:p>
        </w:tc>
      </w:tr>
      <w:tr>
        <w:trPr>
          <w:trHeight w:val="234"/>
        </w:trPr>
        <w:tc>
          <w:tcPr>
            <w:tcW w:w="1006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r>
      <w:tr>
        <w:trPr>
          <w:trHeight w:val="210"/>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2017</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139,620</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(242,918)</w:t>
            </w: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(10,982)</w:t>
            </w:r>
          </w:p>
        </w:tc>
      </w:tr>
      <w:tr>
        <w:trPr>
          <w:trHeight w:val="210"/>
        </w:trPr>
        <w:tc>
          <w:tcPr>
            <w:tcW w:w="10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2017</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(122,878)</w:t>
            </w:r>
          </w:p>
        </w:tc>
      </w:t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(16,261)</w:t>
            </w:r>
          </w:p>
        </w:tc>
      </w:tr>
      <w:tr>
        <w:trPr>
          <w:trHeight w:val="223"/>
        </w:trPr>
        <w:tc>
          <w:tcPr>
            <w:tcW w:w="10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Outstanding at September 30, 2018</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14"/>
        <w:spacing w:after="0" w:line="290" w:lineRule="auto"/>
        <w:rPr>
          <w:sz w:val="20"/>
          <w:szCs w:val="20"/>
          <w:color w:val="auto"/>
        </w:rPr>
      </w:pPr>
      <w:r>
        <w:rPr>
          <w:rFonts w:ascii="Arial" w:cs="Arial" w:eastAsia="Arial" w:hAnsi="Arial"/>
          <w:sz w:val="16"/>
          <w:szCs w:val="16"/>
          <w:color w:val="auto"/>
        </w:rPr>
        <w:t>For the three months ended September 30, 2018, non-cash compensation expense related to restricted stock was approximately $87,000; of this amount approximately $32,000 was expensed at the Company, and approximately $55,000 was a reimbursable expense allocated to the Asset Manager Affiliates. For the three months ended September 30, 2017, non-cash compensation expense related to restricted stock was approximately $226,000; of this amount approximately $83,000 was expensed at the Company, and approximately $143,000 was a reimbursable expense allocated to the Asset Manager Affiliates. For the nine months ended September 30, 2018, non-cash compensation expense related to restricted stock was approximately $574,000; of this amount approximately $217,000 was expensed at the Company, and approximately $357,000 was a reimbursable expense allocated to the Asset Manager Affiliates. For the nine months ended September 30, 2017, non-cash compensation expense related to restricted stock was approximately $878,000; of this amount approximately $330,000 was expensed at the Company and approximately $548,000 was a reimbursable expense allocated to the Asset Manager Affiliates.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right="20" w:firstLine="414"/>
        <w:spacing w:after="0" w:line="255" w:lineRule="auto"/>
        <w:rPr>
          <w:sz w:val="20"/>
          <w:szCs w:val="20"/>
          <w:color w:val="auto"/>
        </w:rPr>
      </w:pPr>
      <w:r>
        <w:rPr>
          <w:rFonts w:ascii="Arial" w:cs="Arial" w:eastAsia="Arial" w:hAnsi="Arial"/>
          <w:sz w:val="18"/>
          <w:szCs w:val="18"/>
          <w:color w:val="auto"/>
        </w:rPr>
        <w:t>Distributions are paid on all outstanding shares of restricted stock, whether or not vested. In general, shares of unvested restricted stock are forfeited upon the recipient’s termination of employment. As of September 30, 2018, the Company had approximately $483,000 of total unrecognized compensation cost related to non-vested restricted share awards; of this amount approximately $208,000 will be expensed at the Company, and approximately $275,000 is a reimbursable expense allocated to the Asset Manager Affiliates. That cost is expected to be recognized over the remaining weighted average period of 2.1 years. As of September 30, 2017, the Company had approximately $1.4 million of total unrecognized compensation cost related to non-vested restricted share awards,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$11,000 and $1,000 was expensed during the three months ended September 30, 2018 and 2017, respectively, related to the 401K Plan. Approximately $31,000 and $35,000 was expensed during the nine months ended September 30, 2018 and 2017, respectively, related to the 401K Plan.</w:t>
      </w:r>
    </w:p>
    <w:p>
      <w:pPr>
        <w:spacing w:after="0" w:line="19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$21,000 and $46,000 was expensed during the three months ended September 30, 2018 and 2017, respectively, related to the Profit-Sharing Plan. Approximately $93,000 and $139,000 was expensed during the nine months ended September 30, 2018 and 2017, respectively, related to the Profit-Sharing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October 24, 2018, the Company caused notices to be issued to the holders of the 7.375% Notes Due 2019 regarding the Company’s exercise of its option to redeem all of the issued and outstanding 7.375% Notes Due 2019. The Company will redeem all $7.0 million in aggregate principal amount of the 7.375% Notes Due 2019 on November 26, 2018 at a cost of $7.0 million. The Company expects to record a realized loss on early extinguishment of debt of approximately $30,000 during the fourth quarter of 2018.</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September 30, 2018 for items that should potentially be recognized or disclosed in these financial statements. Other than noted above, management has determined that there are no material subsequent events that would require adjustment to, or disclosure in, these consolidated financial statements.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0" w:name="page61"/>
    <w:bookmarkEnd w:id="60"/>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In this Quarterly Report on Form 10-Q, “KCAP,” “Company,” “we,” “us,” and “our” refer to KCAP Financial, Inc., and its wholly-owned subsidiaries, KCAP Funding I, LLC, KCAP Senior Funding I, LLC and KCAP Senior Funding I Holdings, LLC, unless the context otherwise requires.</w:t>
      </w:r>
    </w:p>
    <w:p>
      <w:pPr>
        <w:spacing w:after="0" w:line="14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2017,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0" w:lineRule="exact"/>
        <w:rPr>
          <w:sz w:val="20"/>
          <w:szCs w:val="20"/>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920" w:right="100" w:hanging="331"/>
        <w:spacing w:after="0" w:line="264" w:lineRule="auto"/>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regulated investment company, including the impact of changes in laws or regulations governing our operations, or the operations of our wholly-owned portfolio companies, including Katonah Debt Advisors, L.L.C. and Trimaran Advisors, L.L.C;</w:t>
      </w:r>
    </w:p>
    <w:p>
      <w:pPr>
        <w:spacing w:after="0" w:line="181"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including the Asset Manager Affiliates;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form and amount of any distributions.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2017.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as amended (the “1940 Act”). We have three principal areas of investments:</w:t>
      </w:r>
    </w:p>
    <w:p>
      <w:pPr>
        <w:spacing w:after="0" w:line="21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Second, the Company has invested in our wholly owned asset management companies including Katonah Debt Advisors (“Katonah Debt Advisors”) and Trimaran Advisors L.L.C. (“Trimaran Advisors”), which manage collateralized loan obligation funds (“CLO Funds”).</w:t>
      </w:r>
    </w:p>
    <w:p>
      <w:pPr>
        <w:spacing w:after="0" w:line="17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Katonah Debt Advisors and Trimaran Advisors, as well as affiliated management companies Katonah 2007-1 Management, L.L.C., Trimaran Advisors Management, L.L.C. and KCAP Management, LLC (collectively, the “Asset Manager Affiliates”), but from time-to-time the Company makes investments in CLO Fund Securities managed by other asset managers. The CLO Funds typically invest in broadly syndicated loans, high-yield bonds and other credit instruments.</w:t>
      </w:r>
    </w:p>
    <w:p>
      <w:pPr>
        <w:spacing w:after="0" w:line="188"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Company may also invest in other investments such as loans to publicly-traded companies, high-yield bonds, joint venture and distressed debt securities. The Company may also receive warrants or options to purchase common stock in connection with its debt investments.</w:t>
      </w:r>
    </w:p>
    <w:p>
      <w:pPr>
        <w:spacing w:after="0" w:line="12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$3.2 billion of par value assets under management as of September 30, 2018. Katonah Debt Advisors and Trimaran Advisors are registered under the Investment Advisers Act of 1940, as amended, and each is managed independently from us by a separate management team. Certain of the Company’s executive officers also act in similar capacities for one or more of the Asset Manager Affiliates).</w:t>
      </w:r>
    </w:p>
    <w:p>
      <w:pPr>
        <w:spacing w:after="0" w:line="18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62" w:name="page63"/>
    <w:bookmarkEnd w:id="62"/>
    <w:p>
      <w:pPr>
        <w:ind w:right="320" w:firstLine="324"/>
        <w:spacing w:after="0" w:line="279"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171"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have elected to be treated for U.S. federal income tax purposes as a regulated investment company (“RIC”) under the Internal Revenue Code (the “Code”) and intend to operate in a manner to maintain our RIC tax treatment. Accordingly, we generally will not pay corporate-level U.S. federal income taxes on any net ordinary tax-basis taxable income or capital gains that we timely distribute to our shareholders as dividends. To maintain our RIC tax treatment, we must meet the specified source-of-income and asset diversification requirements and distribute to our stockholders annually at least 90% of our net ordinary tax-basis taxable income and realized net short-term capital gains in excess of realized net long-term capital losses, if any, for each year.</w:t>
      </w:r>
    </w:p>
    <w:p>
      <w:pPr>
        <w:spacing w:after="0" w:line="158"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On March 29, 2018, our Board of Directors, including a “required majority” (as such term is defined in Section 57(o) of the 1940 Act) of the Board, approved the modified asset coverage requirements set forth in Section 61(a)(2) of the 1940 Act, as amended by the Small Business Credit Availability Act (the “SBCA”). As a result, our asset coverage requirement for senior securities will be changed from 200% to 150%, effective as of March 29, 2019. However, despite the SBCA, we will continue to be prohibited by the indentures governing our 7.375% Notes and 6.125% Notes from making distributions on our common stock if our asset coverage, as defined in the 1940 Act, falls below 200%. In any such event, we would be prohibited from making distributions required in order to maintain our status as a RIC.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nine months ended September 30, 2018 (unaudited) and for the year ended December 31, 2017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Debt Securities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CLO Fund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Asset Manager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Joint Venture</w:t>
            </w:r>
          </w:p>
        </w:tc>
        <w:tc>
          <w:tcPr>
            <w:tcW w:w="80" w:type="dxa"/>
            <w:vAlign w:val="bottom"/>
          </w:tcPr>
          <w:p>
            <w:pPr>
              <w:spacing w:after="0"/>
              <w:rPr>
                <w:sz w:val="14"/>
                <w:szCs w:val="14"/>
                <w:color w:val="auto"/>
              </w:rPr>
            </w:pP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9"/>
              </w:rPr>
              <w:t>Total Portfolio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Securities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Affiliates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top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Fair Value at December 31, 2016</w:t>
            </w:r>
          </w:p>
        </w:tc>
        <w:tc>
          <w:tcPr>
            <w:tcW w:w="9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238,343,330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54,174,350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5,056,355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40,198,000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337,772,035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2017 Activity:</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Purchases / originations /draws</w:t>
            </w: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181,613,690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11,211,368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182,000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36,738,873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229,745,931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160"/>
              <w:spacing w:after="0" w:line="149" w:lineRule="exact"/>
              <w:rPr>
                <w:sz w:val="20"/>
                <w:szCs w:val="20"/>
                <w:color w:val="auto"/>
              </w:rPr>
            </w:pPr>
            <w:r>
              <w:rPr>
                <w:rFonts w:ascii="Arial" w:cs="Arial" w:eastAsia="Arial" w:hAnsi="Arial"/>
                <w:sz w:val="14"/>
                <w:szCs w:val="14"/>
                <w:color w:val="auto"/>
              </w:rPr>
              <w:t>Pay-downs / pay-offs / sales</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(300,625,104)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(25,598,497)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(11,824,015)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(340,797,616)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accretion of interest</w:t>
            </w: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304,904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11,139,633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11,444,537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160"/>
              <w:spacing w:after="0" w:line="149" w:lineRule="exact"/>
              <w:rPr>
                <w:sz w:val="20"/>
                <w:szCs w:val="20"/>
                <w:color w:val="auto"/>
              </w:rPr>
            </w:pPr>
            <w:r>
              <w:rPr>
                <w:rFonts w:ascii="Arial" w:cs="Arial" w:eastAsia="Arial" w:hAnsi="Arial"/>
                <w:sz w:val="14"/>
                <w:szCs w:val="14"/>
                <w:color w:val="auto"/>
              </w:rPr>
              <w:t>Net realized losses</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(5,634,255)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(1,264,789)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(6,899,044)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Increase (decrease) in fair value</w:t>
            </w: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4,194,914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2,016,608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(823,671)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(3,398,858)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3,389,993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Fair Value at December 31, 2017</w:t>
            </w: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118,197,479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51,678,673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4,414,684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38,849,000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21,516,000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234,655,836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2018 Activity:</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Purchases / originations /draws</w:t>
            </w: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66,050,935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75,550,935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160"/>
              <w:spacing w:after="0" w:line="149" w:lineRule="exact"/>
              <w:rPr>
                <w:sz w:val="20"/>
                <w:szCs w:val="20"/>
                <w:color w:val="auto"/>
              </w:rPr>
            </w:pPr>
            <w:r>
              <w:rPr>
                <w:rFonts w:ascii="Arial" w:cs="Arial" w:eastAsia="Arial" w:hAnsi="Arial"/>
                <w:sz w:val="14"/>
                <w:szCs w:val="14"/>
                <w:color w:val="auto"/>
              </w:rPr>
              <w:t>Pay-downs / pay-offs / sales</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(43,057,606)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(17,374,962)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(61,432,568)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accretion of interest</w:t>
            </w: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1,103,133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4,305,175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5,408,308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160"/>
              <w:spacing w:after="0" w:line="149" w:lineRule="exact"/>
              <w:rPr>
                <w:sz w:val="20"/>
                <w:szCs w:val="20"/>
                <w:color w:val="auto"/>
              </w:rPr>
            </w:pPr>
            <w:r>
              <w:rPr>
                <w:rFonts w:ascii="Arial" w:cs="Arial" w:eastAsia="Arial" w:hAnsi="Arial"/>
                <w:sz w:val="14"/>
                <w:szCs w:val="14"/>
                <w:color w:val="auto"/>
              </w:rPr>
              <w:t>Net realized losses</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(137,336)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(137,336)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Decrease in fair value</w:t>
            </w: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(2,357,578)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(124,955)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(335,348)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(2,031,000)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(142,430)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(4,991,311)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Fair Value at September 30, 2018</w:t>
            </w:r>
          </w:p>
        </w:tc>
        <w:tc>
          <w:tcPr>
            <w:tcW w:w="11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139,799,027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47,983,931</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4,079,336</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35,818,000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21,373,570</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249,053,864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firstLine="32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September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September 30, 2018 (unaudited)</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4"/>
              </w:rPr>
              <w:t>December 31, 2017</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Fair Value</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investments²</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24,431,512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24,431,512</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77,300,320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77,300,320</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Senior Secured Loan</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66,465,014</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62,292,360</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48,337,900</w:t>
            </w:r>
          </w:p>
        </w:tc>
        <w:tc>
          <w:tcPr>
            <w:tcW w:w="1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44,960,146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76,396,298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71,229,383</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62,561,913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58,941,300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Senior Unsecured Loan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6,277,283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6,277,283</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12,777,283</w:t>
            </w:r>
          </w:p>
        </w:tc>
        <w:tc>
          <w:tcPr>
            <w:tcW w:w="1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12,777,283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CLO Fund Securities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68,769,245</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47,983,931</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72,339,032</w:t>
            </w:r>
          </w:p>
        </w:tc>
        <w:tc>
          <w:tcPr>
            <w:tcW w:w="1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51,678,673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10,571,007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4,079,336</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10,571,007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Asset Manager Affiliates³</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51,591,230</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35,818,000</w:t>
            </w: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52,591,230</w:t>
            </w:r>
          </w:p>
        </w:tc>
        <w:tc>
          <w:tcPr>
            <w:tcW w:w="1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38,849,000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24,914,858</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21,373,570</w:t>
            </w:r>
          </w:p>
        </w:tc>
        <w:tc>
          <w:tcPr>
            <w:tcW w:w="6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24,914,858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21,516,000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329,416,447</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273,485,375</w:t>
            </w: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362,895,917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311,956,156</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right="24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September 30, 2018 and December 31, 2017,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6"/>
              </w:rPr>
              <w:t>September 30, 2018 (unaudited)</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5"/>
              </w:rPr>
              <w:t>December 31, 2017</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760" w:type="dxa"/>
            <w:vAlign w:val="bottom"/>
          </w:tcPr>
          <w:p>
            <w:pPr>
              <w:spacing w:after="0"/>
              <w:rPr>
                <w:sz w:val="10"/>
                <w:szCs w:val="10"/>
                <w:color w:val="auto"/>
              </w:rPr>
            </w:pPr>
          </w:p>
        </w:tc>
        <w:tc>
          <w:tcPr>
            <w:tcW w:w="12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Cost/Amortized</w:t>
            </w:r>
          </w:p>
        </w:tc>
        <w:tc>
          <w:tcPr>
            <w:tcW w:w="140" w:type="dxa"/>
            <w:vAlign w:val="bottom"/>
          </w:tcPr>
          <w:p>
            <w:pPr>
              <w:spacing w:after="0"/>
              <w:rPr>
                <w:sz w:val="10"/>
                <w:szCs w:val="10"/>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240" w:type="dxa"/>
            <w:vAlign w:val="bottom"/>
            <w:vMerge w:val="restart"/>
          </w:tcPr>
          <w:p>
            <w:pPr>
              <w:spacing w:after="0"/>
              <w:rPr>
                <w:sz w:val="10"/>
                <w:szCs w:val="10"/>
                <w:color w:val="auto"/>
              </w:rPr>
            </w:pPr>
          </w:p>
        </w:tc>
        <w:tc>
          <w:tcPr>
            <w:tcW w:w="300" w:type="dxa"/>
            <w:vAlign w:val="bottom"/>
            <w:vMerge w:val="restart"/>
          </w:tcPr>
          <w:p>
            <w:pPr>
              <w:spacing w:after="0"/>
              <w:rPr>
                <w:sz w:val="10"/>
                <w:szCs w:val="10"/>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Cost/Amortized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220" w:type="dxa"/>
            <w:vAlign w:val="bottom"/>
            <w:vMerge w:val="restart"/>
          </w:tcPr>
          <w:p>
            <w:pPr>
              <w:spacing w:after="0"/>
              <w:rPr>
                <w:sz w:val="10"/>
                <w:szCs w:val="10"/>
                <w:color w:val="auto"/>
              </w:rPr>
            </w:pP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6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Aerospace and Defense</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5,394,947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5,217,569</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5,636,056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4,115,487</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3260" w:type="dxa"/>
            <w:vAlign w:val="bottom"/>
          </w:tcPr>
          <w:p>
            <w:pPr>
              <w:spacing w:after="0" w:line="189" w:lineRule="exact"/>
              <w:rPr>
                <w:sz w:val="20"/>
                <w:szCs w:val="20"/>
                <w:color w:val="auto"/>
              </w:rPr>
            </w:pPr>
            <w:r>
              <w:rPr>
                <w:rFonts w:ascii="Arial" w:cs="Arial" w:eastAsia="Arial" w:hAnsi="Arial"/>
                <w:sz w:val="13"/>
                <w:szCs w:val="13"/>
                <w:color w:val="auto"/>
              </w:rPr>
              <w:t xml:space="preserve">Asset Management Company </w:t>
            </w:r>
            <w:r>
              <w:rPr>
                <w:rFonts w:ascii="Arial" w:cs="Arial" w:eastAsia="Arial" w:hAnsi="Arial"/>
                <w:sz w:val="21"/>
                <w:szCs w:val="21"/>
                <w:b w:val="1"/>
                <w:bCs w:val="1"/>
                <w:color w:val="auto"/>
                <w:vertAlign w:val="superscript"/>
              </w:rPr>
              <w:t>2</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51,591,230</w:t>
            </w:r>
          </w:p>
        </w:tc>
        <w:tc>
          <w:tcPr>
            <w:tcW w:w="1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35,818,000</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gridSpan w:val="2"/>
          </w:tcPr>
          <w:p>
            <w:pPr>
              <w:jc w:val="right"/>
              <w:ind w:right="148"/>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52,591,230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38,849,000</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Banking, Finance, Insurance &amp; Real Estate</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4,441,289</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4,399,103</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4,458,962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4,418,391</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Beverage, Food and Tobacco</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5,970,854</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5,888,896</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7,496,438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7,435,050</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Equipment</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9,420,537</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8,574,662</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5,454,621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4,680,821</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9,513,138</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9,487,169</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CLO Fund Securities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68,769,245</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47,983,931</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72,339,032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51,678,673</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Construction &amp; Building</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1,404,511</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1,397,347</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1,004,093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999,872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1,137,491</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396,355</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1,071,340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805,607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Consumer goods: Non-durable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1,593,869</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1,593,061</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691,234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694,662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 Oil &amp; Gas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17,700,944</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12,281,830</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14,932,542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11,433,777</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Environmental Industries</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8,405,778</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7,228,048</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6,330,630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5,766,437</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Forest Products &amp; Paper</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1,563,068</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1,600,960</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1,558,556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1,600,960</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41,181,476</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35,770,898</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30,367,449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25,512,654</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13,072,205</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13,054,861</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18,229,229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18,260,577</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Hotel, Gaming &amp; Leisure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400,000</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Joint Venture</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24,914,858</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21,373,570</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24,914,858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21,516,000</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Media: Advertising, Printing &amp; Publishing</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3,239,996</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2,911,195</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3,371,086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3,318,296</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Related Party Loans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6,277,283</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6,277,283</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12,777,283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12,777,283</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Services: Business</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8,409,271</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7,220,573</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3,563,574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2,366,400</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6,444,211</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6,437,973</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6,455,489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6,466,949</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Textiles and Leather</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10,138,033</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10,139,179</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7,950,994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7,947,940</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Money Market Accounts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24,431,512</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24,431,512</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52,293,570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52,293,570</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Transportation: Cargo</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4,000,701</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4,000,400</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4,000,901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4,010,000</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U.S. Government Obligations</w:t>
            </w: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25,006,750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25,006,750</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7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329,416,447</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273,485,375</w:t>
            </w:r>
          </w:p>
        </w:tc>
        <w:tc>
          <w:tcPr>
            <w:tcW w:w="2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362,895,917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311,956,156</w:t>
            </w:r>
          </w:p>
        </w:tc>
        <w:tc>
          <w:tcPr>
            <w:tcW w:w="2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56"/>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At both September 30, 2018 and December 31, 2017, the weighted average contractual interest rate on our loans and debt securities was approximately 10.1% and 9.9%. At September 30, 2018 and December 31, 2017, the weighted average rate on our loans and debt securities, adjusted for non-accrual and partial non-accrual investments, was approximately 8.9% and 9.6%, respectively.</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investment portfolio (excluding the Company’s investment in the Asset Manager Affiliates, CLO Fund Securities, Money Market accounts, and Joint Venture) at September 30, 2018 was spread across 20 different industries and 47 different entities with an average notional balance per entity of approximately $3.2 million. As of September 30, 2018, one of our investments was on non-accrual status, and three of our investments were on partial non-accrual status, whereby we have recognized income on a portion of contractual PIK amounts due.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right="140" w:firstLine="324"/>
        <w:spacing w:after="0" w:line="255" w:lineRule="auto"/>
        <w:rPr>
          <w:sz w:val="20"/>
          <w:szCs w:val="20"/>
          <w:color w:val="auto"/>
        </w:rPr>
      </w:pPr>
      <w:r>
        <w:rPr>
          <w:rFonts w:ascii="Arial" w:cs="Arial" w:eastAsia="Arial" w:hAnsi="Arial"/>
          <w:sz w:val="18"/>
          <w:szCs w:val="18"/>
          <w:color w:val="auto"/>
        </w:rPr>
        <w:t>We may invest up to 30% of our investment portfolio in “non-qualifying” opportunistic investments such as high-yield bonds, debt and equity securities of CLO Funds, foreign investments, and distressed debt or equity securities of large cap public companies. At September 30, 2018 and December 31, 2017, the total amount of non-qualifying assets was approximately 26% and 23%, respectively. The majority of non-qualifying assets were foreign investments which were approximately 18% and 16%, respectively, of the Company’s total assets (including the Company’s investments in CLO Funds, which are typically domiciled outside the U.S. and represented approximately 17% and 16% of its total assets, respectively). The investments in our Debt Securities Portfolio are all or predominantly below investment grade, and therefore have speculative characteristics with respect to the issuer’s capacity to pay interest and repay principal.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September 30, 2018 and December 31, 2017, our Asset Manager Affiliates had approximately $3.2 billion and $3.0 billion, respectively, of par value of assets under management on which they earn management fees, and were valued at approximately $35.8 million and $38.8 million, respectively.</w:t>
      </w:r>
    </w:p>
    <w:p>
      <w:pPr>
        <w:spacing w:after="0" w:line="18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As of September 30, 2018 and December 31, 2017, none of the CLO Funds managed by the Asset Manager Affiliates were paying incentive fees.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September 30, 2018 and December 31, 2017, we had approximately $48 million and $52 million, respectively, invested in CLO Fund Securities, issued primarily by funds managed by our Asset Manager Affiliates.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3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September 30, 2018 and December 31, 2017 are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vMerge w:val="restart"/>
          </w:tcPr>
          <w:p>
            <w:pPr>
              <w:jc w:val="right"/>
              <w:ind w:right="51"/>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September 30, 2018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Amortized Cost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50"/>
        </w:trPr>
        <w:tc>
          <w:tcPr>
            <w:tcW w:w="31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Grant Grove CLO, Ltd.</w:t>
            </w:r>
            <w:r>
              <w:rPr>
                <w:rFonts w:ascii="Arial" w:cs="Arial" w:eastAsia="Arial" w:hAnsi="Arial"/>
                <w:sz w:val="29"/>
                <w:szCs w:val="29"/>
                <w:color w:val="auto"/>
                <w:vertAlign w:val="superscript"/>
              </w:rPr>
              <w:t>3</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2,485,886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2,485,886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Income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1,287,155</w:t>
            </w: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369,280</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1,287,155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369,280</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2,3</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10,309,141</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20,524,908</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10,770,486</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2,3</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379,830</w:t>
            </w: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379,830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2,3</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3,534,069</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5,847,802</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2,320,783</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2013- 1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4,976,307</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6,072,051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5,017,307</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6,923,699</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9,863,503</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9,709,699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9,858,073</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8,230,178</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KCAP F3C Senior Funding LLC</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Class E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4,395,666</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4,691,433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4,435,965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4,632,000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Dryden 30 Senior Loan Fund</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1,415,721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1,353,852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1,820,000</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2014-2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6,372,132</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4,262,959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6,642,805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4,500,962</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2015-1 Ltd.</w:t>
            </w:r>
            <w:r>
              <w:rPr>
                <w:rFonts w:ascii="Arial" w:cs="Arial" w:eastAsia="Arial" w:hAnsi="Arial"/>
                <w:sz w:val="29"/>
                <w:szCs w:val="29"/>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4,414,389</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3,492,190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4,418,647</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3,569,600</w:t>
            </w:r>
          </w:p>
        </w:tc>
        <w:tc>
          <w:tcPr>
            <w:tcW w:w="0" w:type="dxa"/>
            <w:vAlign w:val="bottom"/>
          </w:tcPr>
          <w:p>
            <w:pPr>
              <w:spacing w:after="0"/>
              <w:rPr>
                <w:sz w:val="1"/>
                <w:szCs w:val="1"/>
                <w:color w:val="auto"/>
              </w:rPr>
            </w:pPr>
          </w:p>
        </w:tc>
      </w:tr>
      <w:tr>
        <w:trPr>
          <w:trHeight w:val="257"/>
        </w:trPr>
        <w:tc>
          <w:tcPr>
            <w:tcW w:w="3100" w:type="dxa"/>
            <w:vAlign w:val="bottom"/>
          </w:tcPr>
          <w:p>
            <w:pPr>
              <w:spacing w:after="0" w:line="256" w:lineRule="exact"/>
              <w:rPr>
                <w:sz w:val="20"/>
                <w:szCs w:val="20"/>
                <w:color w:val="auto"/>
              </w:rPr>
            </w:pPr>
            <w:r>
              <w:rPr>
                <w:rFonts w:ascii="Arial" w:cs="Arial" w:eastAsia="Arial" w:hAnsi="Arial"/>
                <w:sz w:val="18"/>
                <w:szCs w:val="18"/>
                <w:color w:val="auto"/>
              </w:rPr>
              <w:t>Catamaran CLO 2016-1 Ltd.</w:t>
            </w:r>
            <w:r>
              <w:rPr>
                <w:rFonts w:ascii="Arial" w:cs="Arial" w:eastAsia="Arial" w:hAnsi="Arial"/>
                <w:sz w:val="29"/>
                <w:szCs w:val="29"/>
                <w:color w:val="auto"/>
                <w:vertAlign w:val="superscript"/>
              </w:rPr>
              <w:t>2</w:t>
            </w:r>
          </w:p>
        </w:tc>
        <w:tc>
          <w:tcPr>
            <w:tcW w:w="208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9,835,446</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8,132,726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10,086,802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8,530,685</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2018-1 Ltd.</w:t>
            </w:r>
            <w:r>
              <w:rPr>
                <w:rFonts w:ascii="Arial" w:cs="Arial" w:eastAsia="Arial" w:hAnsi="Arial"/>
                <w:sz w:val="29"/>
                <w:szCs w:val="29"/>
                <w:color w:val="auto"/>
                <w:vertAlign w:val="superscript"/>
              </w:rPr>
              <w:t>2</w:t>
            </w:r>
          </w:p>
        </w:tc>
        <w:tc>
          <w:tcPr>
            <w:tcW w:w="20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9,500,000</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68,769,245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47,983,931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72,339,032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51,678,673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percentage of class held.</w:t>
      </w:r>
    </w:p>
    <w:p>
      <w:pPr>
        <w:spacing w:after="0" w:line="23"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CLO Fund managed by an Asset Manager Affiliate.</w:t>
      </w:r>
    </w:p>
    <w:p>
      <w:pPr>
        <w:spacing w:after="0" w:line="9"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September 30, 2018, this CLO Fund security was not providing a taxable distribution.</w:t>
      </w:r>
    </w:p>
    <w:p>
      <w:pPr>
        <w:spacing w:after="0" w:line="20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KCAP F3C Senior Funding, L.L.C. (the “Fund”) managed by KCAP Management, LLC, one of the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18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Approximately $11.2 million of this distribution was a reduction in the cost basis of the Company’s investment in the Joint Venture.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58"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7" w:name="page68"/>
    <w:bookmarkEnd w:id="67"/>
    <w:p>
      <w:pPr>
        <w:ind w:left="340"/>
        <w:spacing w:after="0"/>
        <w:rPr>
          <w:sz w:val="20"/>
          <w:szCs w:val="20"/>
          <w:color w:val="auto"/>
        </w:rPr>
      </w:pPr>
      <w:r>
        <w:rPr>
          <w:rFonts w:ascii="Arial" w:cs="Arial" w:eastAsia="Arial" w:hAnsi="Arial"/>
          <w:sz w:val="17"/>
          <w:szCs w:val="17"/>
          <w:color w:val="auto"/>
        </w:rPr>
        <w:t>The Company has determined that the Joint Venture is an investment company under Accounting Standards Codification (“ASC”), Financial</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40" w:type="dxa"/>
            <w:vAlign w:val="bottom"/>
            <w:gridSpan w:val="8"/>
          </w:tcPr>
          <w:p>
            <w:pPr>
              <w:ind w:left="20"/>
              <w:spacing w:after="0"/>
              <w:rPr>
                <w:sz w:val="20"/>
                <w:szCs w:val="20"/>
                <w:color w:val="auto"/>
              </w:rPr>
            </w:pPr>
            <w:r>
              <w:rPr>
                <w:rFonts w:ascii="Arial" w:cs="Arial" w:eastAsia="Arial" w:hAnsi="Arial"/>
                <w:sz w:val="18"/>
                <w:szCs w:val="18"/>
                <w:b w:val="1"/>
                <w:bCs w:val="1"/>
                <w:color w:val="auto"/>
              </w:rPr>
              <w:t>KCAP Freedom 3 LLC</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80" w:type="dxa"/>
            <w:vAlign w:val="bottom"/>
            <w:gridSpan w:val="11"/>
          </w:tcPr>
          <w:p>
            <w:pPr>
              <w:jc w:val="center"/>
              <w:spacing w:after="0"/>
              <w:rPr>
                <w:sz w:val="20"/>
                <w:szCs w:val="20"/>
                <w:color w:val="auto"/>
              </w:rPr>
            </w:pPr>
            <w:r>
              <w:rPr>
                <w:rFonts w:ascii="Arial" w:cs="Arial" w:eastAsia="Arial" w:hAnsi="Arial"/>
                <w:sz w:val="18"/>
                <w:szCs w:val="18"/>
                <w:color w:val="auto"/>
                <w:w w:val="91"/>
              </w:rPr>
              <w:t>Summarized Statement of Financial Condition</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16"/>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September 30, 2018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As of</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8"/>
          </w:tcPr>
          <w:p>
            <w:pPr>
              <w:ind w:left="12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Investment at fair value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37,861,178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37,080,000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37,861,178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2,238,561</w:t>
            </w:r>
          </w:p>
        </w:tc>
        <w:tc>
          <w:tcPr>
            <w:tcW w:w="52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1,221,916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8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35,622,617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35,859,801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37,861,178</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40" w:type="dxa"/>
            <w:vAlign w:val="bottom"/>
            <w:gridSpan w:val="8"/>
          </w:tcPr>
          <w:p>
            <w:pPr>
              <w:ind w:left="20"/>
              <w:spacing w:after="0"/>
              <w:rPr>
                <w:sz w:val="20"/>
                <w:szCs w:val="20"/>
                <w:color w:val="auto"/>
              </w:rPr>
            </w:pPr>
            <w:r>
              <w:rPr>
                <w:rFonts w:ascii="Arial" w:cs="Arial" w:eastAsia="Arial" w:hAnsi="Arial"/>
                <w:sz w:val="18"/>
                <w:szCs w:val="18"/>
                <w:b w:val="1"/>
                <w:bCs w:val="1"/>
                <w:color w:val="auto"/>
              </w:rPr>
              <w:t>KCAP Freedom 3 LLC</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480" w:type="dxa"/>
            <w:vAlign w:val="bottom"/>
            <w:gridSpan w:val="11"/>
          </w:tcPr>
          <w:p>
            <w:pPr>
              <w:jc w:val="center"/>
              <w:spacing w:after="0"/>
              <w:rPr>
                <w:sz w:val="20"/>
                <w:szCs w:val="20"/>
                <w:color w:val="auto"/>
              </w:rPr>
            </w:pPr>
            <w:r>
              <w:rPr>
                <w:rFonts w:ascii="Arial" w:cs="Arial" w:eastAsia="Arial" w:hAnsi="Arial"/>
                <w:sz w:val="18"/>
                <w:szCs w:val="18"/>
                <w:color w:val="auto"/>
                <w:w w:val="89"/>
              </w:rPr>
              <w:t>Summarized Statement of Operations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4"/>
          </w:tcPr>
          <w:p>
            <w:pPr>
              <w:jc w:val="center"/>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For the three</w:t>
            </w:r>
          </w:p>
        </w:tc>
        <w:tc>
          <w:tcPr>
            <w:tcW w:w="180" w:type="dxa"/>
            <w:vAlign w:val="bottom"/>
          </w:tcPr>
          <w:p>
            <w:pPr>
              <w:spacing w:after="0"/>
              <w:rPr>
                <w:sz w:val="24"/>
                <w:szCs w:val="24"/>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For the three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For the nine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 nine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months ended</w:t>
            </w:r>
          </w:p>
        </w:tc>
        <w:tc>
          <w:tcPr>
            <w:tcW w:w="180" w:type="dxa"/>
            <w:vAlign w:val="bottom"/>
          </w:tcPr>
          <w:p>
            <w:pPr>
              <w:spacing w:after="0"/>
              <w:rPr>
                <w:sz w:val="18"/>
                <w:szCs w:val="18"/>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months ended</w:t>
            </w:r>
          </w:p>
        </w:tc>
        <w:tc>
          <w:tcPr>
            <w:tcW w:w="12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months ended</w:t>
            </w:r>
          </w:p>
        </w:tc>
        <w:tc>
          <w:tcPr>
            <w:tcW w:w="6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2018</w:t>
            </w: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5"/>
                <w:szCs w:val="15"/>
                <w:color w:val="auto"/>
                <w:w w:val="71"/>
              </w:rPr>
              <w:t>$</w:t>
            </w:r>
          </w:p>
        </w:tc>
        <w:tc>
          <w:tcPr>
            <w:tcW w:w="840" w:type="dxa"/>
            <w:vAlign w:val="bottom"/>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89"/>
              </w:rPr>
              <w:t>1,148,571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3,566,385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56,512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110,273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89"/>
              </w:rPr>
              <w:t>1,092,059</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1,016,962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3,456,112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1"/>
              </w:rPr>
              <w:t>Unrealized appreciation (depreciation) on investments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529,662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79,258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(35,274)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89"/>
              </w:rPr>
              <w:t>1,621,721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1,096,220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3,420,838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left="330"/>
              <w:spacing w:after="0"/>
              <w:rPr>
                <w:sz w:val="20"/>
                <w:szCs w:val="20"/>
                <w:color w:val="auto"/>
              </w:rPr>
            </w:pPr>
            <w:r>
              <w:rPr>
                <w:rFonts w:ascii="Arial" w:cs="Arial" w:eastAsia="Arial" w:hAnsi="Arial"/>
                <w:sz w:val="18"/>
                <w:szCs w:val="18"/>
                <w:color w:val="auto"/>
                <w:w w:val="89"/>
              </w:rPr>
              <w:t>66</w:t>
            </w: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Percentage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Ownership</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by Joint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00" w:type="dxa"/>
            <w:vAlign w:val="bottom"/>
          </w:tcPr>
          <w:p>
            <w:pPr>
              <w:spacing w:after="0"/>
              <w:rPr>
                <w:sz w:val="20"/>
                <w:szCs w:val="20"/>
                <w:color w:val="auto"/>
              </w:rPr>
            </w:pPr>
          </w:p>
        </w:tc>
        <w:tc>
          <w:tcPr>
            <w:tcW w:w="4840" w:type="dxa"/>
            <w:vAlign w:val="bottom"/>
            <w:gridSpan w:val="2"/>
          </w:tcPr>
          <w:p>
            <w:pPr>
              <w:ind w:left="1940"/>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Venture</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4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w w:val="97"/>
              </w:rPr>
              <w:t>KCAP F3C Senior Funding, LLC</w:t>
            </w:r>
            <w:r>
              <w:rPr>
                <w:rFonts w:ascii="Arial" w:cs="Arial" w:eastAsia="Arial" w:hAnsi="Arial"/>
                <w:sz w:val="27"/>
                <w:szCs w:val="27"/>
                <w:color w:val="auto"/>
                <w:w w:val="97"/>
                <w:vertAlign w:val="superscript"/>
              </w:rPr>
              <w:t>(1)(2)</w:t>
            </w:r>
          </w:p>
        </w:tc>
        <w:tc>
          <w:tcPr>
            <w:tcW w:w="100" w:type="dxa"/>
            <w:vAlign w:val="bottom"/>
            <w:tcBorders>
              <w:top w:val="single" w:sz="8" w:color="CCEEFF"/>
            </w:tcBorders>
            <w:shd w:val="clear" w:color="auto" w:fill="CCEEFF"/>
          </w:tcPr>
          <w:p>
            <w:pPr>
              <w:spacing w:after="0"/>
              <w:rPr>
                <w:sz w:val="20"/>
                <w:szCs w:val="20"/>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Subordinated Securities, effective interest 10.7%, 12/29</w:t>
            </w: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4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maturity</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42,959,706</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37,861,178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0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42,959,706</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37,861,178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right="260" w:firstLine="8"/>
        <w:spacing w:after="0" w:line="261"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Percentage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Ownership</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by Joint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4760" w:type="dxa"/>
            <w:vAlign w:val="bottom"/>
            <w:gridSpan w:val="2"/>
          </w:tcPr>
          <w:p>
            <w:pPr>
              <w:ind w:left="1900"/>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Venture</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KCAP F3C Senior Funding, LLC</w:t>
            </w:r>
            <w:r>
              <w:rPr>
                <w:rFonts w:ascii="Arial" w:cs="Arial" w:eastAsia="Arial" w:hAnsi="Arial"/>
                <w:sz w:val="27"/>
                <w:szCs w:val="27"/>
                <w:color w:val="auto"/>
                <w:vertAlign w:val="superscript"/>
              </w:rPr>
              <w:t>(1)(2)</w:t>
            </w:r>
          </w:p>
        </w:tc>
        <w:tc>
          <w:tcPr>
            <w:tcW w:w="100" w:type="dxa"/>
            <w:vAlign w:val="bottom"/>
            <w:tcBorders>
              <w:top w:val="single" w:sz="8" w:color="CCEEFF"/>
            </w:tcBorders>
            <w:shd w:val="clear" w:color="auto" w:fill="CCEEFF"/>
          </w:tcPr>
          <w:p>
            <w:pPr>
              <w:spacing w:after="0"/>
              <w:rPr>
                <w:sz w:val="20"/>
                <w:szCs w:val="20"/>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Subordinated Securities, effective interest 12.1%, 12/29</w:t>
            </w: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42,143,254</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37,080,000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4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42,143,254</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37,080,000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a third party broker quote.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nine months ended September 30, 2018 and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generally accepted accounting principles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6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KCAP F3C Senior Funding, LLC, interest is earned at a fixed spread relative to the LIBOR index.</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may receive cash distributions from our investment in our Asset Manager Affiliates, which are wholly-owned 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future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nine months ended September 30, 2018, the Asset Manager Affiliates did not receive any incentive fees.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ind w:right="160" w:firstLine="324"/>
        <w:spacing w:after="0" w:line="293" w:lineRule="auto"/>
        <w:rPr>
          <w:sz w:val="20"/>
          <w:szCs w:val="20"/>
          <w:color w:val="auto"/>
        </w:rPr>
      </w:pPr>
      <w:r>
        <w:rPr>
          <w:rFonts w:ascii="Arial" w:cs="Arial" w:eastAsia="Arial" w:hAnsi="Arial"/>
          <w:sz w:val="16"/>
          <w:szCs w:val="16"/>
          <w:color w:val="auto"/>
        </w:rPr>
        <w:t>Certain investments, and the future management fees of certain managed CLO Funds, have been pledged by the Asset Manager Affiliates to third-party lenders under borrowing arrangements undertaken to satisfy the risk retention U.S. risk retention rules formerly required by Section 941 of the of the Dodd-Frank Act applicable to asset managers. In addition, certain of the Asset Manager Affiliates have provided a make-whole guaranty to these lenders in the event that the pledged assets and management fees are insufficient to satisfy the repayment of these borrowings. So long as the underlying managed CLO Funds’ rated notes are making regular quarterly distributions, the management fees are available to the Asset Manager Affiliates. A recent court ruling has vacated the application of the U.S. risk retention rules insofar as they apply to managers of “open market CLOs,” such as the Asset Manager Affiliates.</w:t>
      </w:r>
    </w:p>
    <w:p>
      <w:pPr>
        <w:spacing w:after="0" w:line="165"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The Asset Manager Affiliates may pay future distributions to the Company based upon their after-tax free cash flow, which generally will be dependent upon the maintenance and growth in their assets under management and related management fees. As a result of tax-basis goodwill amortization and certain other tax-related adjustments, portions of distributions received may be deemed return of capital. As amortizing funds which are paying incentive fees are redeemed, we do not expect incentive fees available for distribution to be significant. The fair value of our investment in our Asset Manager Affiliates was approximately $35.8 million at September 30, 2018, with an unrealized depreciation for the nine months ended September 30, 2018 of approximately $2.0 million. For the nine months ended September 30, 2018 and 2017, we recognized dividend income of $920,000 and $180,000, respectively from the Asset Manager Affiliates, while cash distributions received were approximately $1.9 million and $2.2 million, respectively for the nine months ended September 30, 2018 and 2017.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$3.2 billion and $3.0 billion as of September 30, 2018 and December 31, 2017, respectively.</w:t>
      </w:r>
    </w:p>
    <w:p>
      <w:pPr>
        <w:spacing w:after="0" w:line="17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 xml:space="preserve">Investment in Joint Venture. </w:t>
      </w:r>
      <w:r>
        <w:rPr>
          <w:rFonts w:ascii="Arial" w:cs="Arial" w:eastAsia="Arial" w:hAnsi="Arial"/>
          <w:sz w:val="17"/>
          <w:szCs w:val="17"/>
          <w:color w:val="auto"/>
        </w:rPr>
        <w:t>For the three and nine months ended September 30, 2018, the Company recognized $750,000 and $2.2 million,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in investment income from its investment in the Joint Venture. For the three and nine months ended September 30, 2017 the Company recognized $685,000, respectively in investment income from its investment in the Joint Venture. As of September 30, 2018 and December 31, 2017, the fair value of the Company’s investment in the Joint Venture was $21.4 million and $21.5 million, respectively. For interim periods, the Company recognizes investment income on its investment in the Joint Venture based upon its share of the estimated tax-basis earnings and profits of the Joint Venture. Any distributions in excess of tax-basis earnings and profits are recognized as a return of capital (adjustment to the Company’s cost basis in the investment). The final determination of the tax attributes of distributions from the Joint Venture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8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Investment income for the three months ended September 30, 2018 and 2017 was approximately $7.2 million and $6.3 million, respectively. Of these amounts, approximately $4.8 million and $2.4 million was attributable to interest income on our Debt Securities Portfolio. Investment income for the nine months ended September 30, 2018 and 2017 was approximately $20.8 million and $21.7 million, respectively. Of these amounts, approximately $12.9 million and $11.8 million was attributable to interest income on our Debt Securities Portfolio.</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At both September 30, 2018 and December 31, 2017, the weighted average contractual interest rate on our loans and debt securities was approximately 10.1% and 9.9%. At September 30, 2018 and December 31, 2017, the weighted average rate on our loans and debt securities, adjusted for non-accrual and partial non-accrual investments, was approximately 8.9% and 9.6%, respectively.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1" w:name="page72"/>
    <w:bookmarkEnd w:id="71"/>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the three months ended September 30, 2018 and 2017, approximately $1.3 million and $2.8 million, respectively, of investment income was attributable to investments in CLO Fund Securities. For the nine months ended September 30, 2018 and 2017, approximately $4.7 million and $8.7 million, respectively, of investment income was attributable to investments in CLO Fund Securities. On a tax basis, the Company recognized $4.7 million and $7.0 million of taxable distributable income on distributions from our CLO Fund Securities during the nine months ended September 30, 2018 and 2017,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Total expenses for the three months ended September 30, 2018 and 2017 were approximately $4.2 million and $3.7 million, respectively. Interest expense and amortization on debt issuance costs for the three months ended September 30, 2018 and 2017 was approximately $1.9 million and $1.4 million, respectively, on average debt outstanding of $103 million and $34 million, respectively.</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Total expenses for the nine months ended September 30, 2018 and 2017 were approximately $12.9 million and $13.3 million, respectively. Interest expense and amortization on debt issuance costs for the nine months ended September 30, 2018 and 2017 were approximately $5.6 million and $5.8 million, respectively, on average debt outstanding of $106 million and $131 million, respectively.</w:t>
      </w:r>
    </w:p>
    <w:p>
      <w:pPr>
        <w:spacing w:after="0" w:line="18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For the three months ended September 30, 2018 and 2017, approximately $1.0 million and $1.1 million of expenses were attributable to employee compensation, including salaries, bonuses, employee benefits, payroll taxes and stock-based compensation expense, respectively. For the nine months ended September 30, 2018 and 2017, approximately $3.2 million and $3.5 million of expenses were attributable to employee compensation, including salaries, bonuses, employee benefits, payroll taxes and stock-based compensation expense, respectively. For the three months ended September 30, 2018 and 2017, respectively, professional fees and insurance expenses totaled approximately $1.0 million and $1.0 million. For the nine months ended September 30, 2018 and 2017, respectively, professional fees and insurance expenses totaled approximately $2.7 million and $2.8 million. Administrative costs, which include occupancy expense, technology and other office expenses, totaled approximately $382,000 and $396,000 for the three months ended September 30, 2018 and 2017, respectively. Administrative costs, which include occupancy expense, technology and other office expenses, totaled approximately $1.4 million and $1.3 million for the nine months ended September 30, 2018 and 2017, respectively.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Net Investment Income and Net Realized Gains (Losses)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Net investment income and net realized gains (losses) represents the stockholder’s equity before net change in unrealized appreciation or depreciation on investments. For the three months ended September 30, 2018, net investment income and net realized losses were approximately $2.8 million, or $0.08 per share. For the three months ended September 30, 2017, net investment income and net realized losses were approximately $623,000, or $0.02 per share. For the nine months ended September 30, 2018, net investment income and net realized losses were approximately $7.8 million, or $0.21 per share. For the nine months ended September 30, 2017, net investment income and net realized losses were approximately $5.5 million, or $0.15 per share. Net investment income represents the income earned on our investments less operating and interest expense before net realized gains or losses and unrealized appreciation or depreciation on investments. 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example,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nine months ended September 30, 2018, GAAP-basis net investment income was approximately $7.9 million or $0.21 per basic share, while tax-basis distributable income was approximately $8.8 million or $0.24 per basic share. For the nine months ended September 30, 2017, GAAP-basis net investment income was approximately $8.4 million or $0.22 per basic share, while tax-basis distributable income was approximately $6.9 million or $0.19 per basic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Unrealized (Depreciation) Appreciation on Investments</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During the three months ended September 30, 2018, our total investments had net unrealized depreciation of approximately $1.5 million. Included in the net unrealized loss for the three months ended September 30, 2018 are unrealized appreciation on CLO Fund Securities of approximately $688,000, net unrealized depreciation on equity securities of approximately $172,000, net unrealized depreciation on the Asset Manager Affiliates of $1.0 million, net unrealized depreciation on our debt securities of approximately $1.2 million, and unrealized appreciation on our Joint Venture investment of $282,000. During the three months ended September 30, 2017, our total investments had net unrealized appreciation of approximately $2.7 million. Included in the net unrealized appreciation for the three months ended September 30, 2017 are unrealized depreciation on CLO Fund Securities of approximately $1.6 million, unrealized depreciation and on equity securities of approximately $186,000, unrealized appreciation on the Asset Manager Affiliates of $2.9 million, and net unrealized appreciation on our debt securities of $1.8 million.</w:t>
      </w:r>
    </w:p>
    <w:p>
      <w:pPr>
        <w:spacing w:after="0" w:line="17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During the nine months ended September 30, 2018, our total investments had net unrealized depreciation of approximately $5.0 million. Included in the net unrealized loss in 2018 are unrealized depreciation on CLO Fund Securities of approximately $125,000, net unrealized depreciation on equity securities of approximately $335,000, net unrealized depreciation on the Asset Manager Affiliates of $2.0 million, net unrealized depreciation on our debt securities of approximately $2.4 million, and unrealized depreciation on our Joint Venture investment of $142,000. During the nine months ended September 30, 2017, our total investments had net unrealized appreciation of approximately $875,000. Included in the net unrealized appreciation for the nine months ended September 30, 2017 are net unrealized depreciation on CLO Fund Securities of approximately $4.0 million net unrealized depreciation and on equity securities of approximately $606,000, net unrealized appreciation on the Asset Manager Affiliates of $1.5 million, and net unrealized appreciation on our debt securities of $4.2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Stockholder’s Equity Resulting from Operations</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net increase in stockholders’ equity resulting from operations for the three months ended September 30, 2018 was $1.3 million, or $0.04 per basic share. Net decrease in stockholders’ equity resulting from operations for the three months ended September 30, 2017 was $669,000, or $0.02 per basic share.</w:t>
      </w:r>
    </w:p>
    <w:p>
      <w:pPr>
        <w:spacing w:after="0" w:line="124"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The net increase in stockholders’ equity resulting from operations for the nine months ended September 30, 2018 was $2.6 million, or $0.07 per basic share. Net increase in stockholders’ equity resulting from operations for the nine months ended September 30, 2017 was $2.2 million, or $0.06 per basic share.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w w:val="90"/>
              </w:rPr>
              <w:t>As of September 30, 2018 and December 31, 2017 the fair value of investments and cash were as follows: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7"/>
          </w:tcPr>
          <w:p>
            <w:pPr>
              <w:ind w:left="240"/>
              <w:spacing w:after="0"/>
              <w:rPr>
                <w:sz w:val="20"/>
                <w:szCs w:val="20"/>
                <w:color w:val="auto"/>
              </w:rPr>
            </w:pPr>
            <w:r>
              <w:rPr>
                <w:rFonts w:ascii="Arial" w:cs="Arial" w:eastAsia="Arial" w:hAnsi="Arial"/>
                <w:sz w:val="18"/>
                <w:szCs w:val="18"/>
                <w:b w:val="1"/>
                <w:bCs w:val="1"/>
                <w:color w:val="auto"/>
              </w:rPr>
              <w:t>Investments at Fair Value</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20" w:type="dxa"/>
            <w:vAlign w:val="bottom"/>
          </w:tcPr>
          <w:p>
            <w:pPr>
              <w:spacing w:after="0"/>
              <w:rPr>
                <w:sz w:val="19"/>
                <w:szCs w:val="19"/>
                <w:color w:val="auto"/>
              </w:rPr>
            </w:pPr>
          </w:p>
        </w:tc>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September 30, 2018</w:t>
            </w:r>
          </w:p>
        </w:tc>
        <w:tc>
          <w:tcPr>
            <w:tcW w:w="14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December 31, 2017</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1,713,906</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2,034,095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987,818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24,431,512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77,300,320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Senior Secured Loan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62,292,361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44,960,146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71,229,383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58,941,300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Senior Unsecured Loan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6,277,283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12,777,283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47,983,931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51,678,673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4,079,336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4,414,684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Joint Venture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21,373,570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21,516,000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35,818,000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38,849,000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276,187,100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313,990,251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use borrowed funds, known as “leverage,” to make investments and to attempt to increase returns to our shareholders by reducing our overall cost of capital. As a BDC, we generally are required to meet a coverage ratio of total assets to total borrowings and other senior securities, which include all of our borrowings and any preferred stock that we may issue in the future, of at least 200% (or 150% beginning on March 29, 2019). As of September 30, 2018, we had approximately $107.4 million of par value of outstanding borrowings and our asset coverage ratio of total assets to total borrowings was 259%. We may also generally borrow amounts of up to 5% of the value of our total assets for temporary purposes.</w:t>
      </w:r>
    </w:p>
    <w:p>
      <w:pPr>
        <w:spacing w:after="0" w:line="173"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March 29, 2018, our Board of Directors, including a “required majority” (as such term is defined in Section 57(o) of the 1940 Act) of the Board, approved the modified asset coverage requirements set forth in Section 61(a)(2) of the 1940 Act, as amended by the SBCA. As a result, our asset coverage requirement for senior securities will be changed from 200% to 150%, effective as of March 29, 2019. However, despite the SBCA, we will continue to be prohibited by the indentures governing our 7.375% Notes and 6.125% Notes from making distributions on our common stock if our asset coverage, as defined in the 1940 Act, falls below 200%. In any such event, we would be prohibited from making distributions required in order to maintain our status as a RIC.</w:t>
      </w:r>
    </w:p>
    <w:p>
      <w:pPr>
        <w:spacing w:after="0" w:line="15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asset coverage requirement currently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As a result, despite the SBCA, the Company will continue to be prohibited by the indenture governing the 7.375% Notes Due 2019 from making distributions on its common stock if its asset coverage, as defined in the 1940 Act, falls below 200%. At September 30, 2018 the Company was in compliance with all of its debt covenants.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w:t>
      </w:r>
    </w:p>
    <w:p>
      <w:pPr>
        <w:spacing w:after="0" w:line="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7.375% notes due 2019 at a weighted average price of $25.23 per $25.00 note, resulting in a realized loss on extinguishment of $71,190. KCAP subsequently surrendered these notes to the Trustee for cancellation. During the third quarter of 2016, $5.0 million par value of the 7.375% notes due 2019 was redeemed by the Company, resulting in a realized loss on extinguishment of $88,015. During the fourth quarter of 2016, $469,000 par value of the 7.375% notes due 2019 was redeemed by the Company, resulting in a realized loss on extinguishment of $15,000. During the second quarter of 2017, the Company redeemed $6.5 million par value of the 7.375% Notes Due 2019 resulting in a realized loss on extinguishment of debt of $107,276. KCAP subsequently surrendered all of these Notes to the Trustee for cancellation. 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ind w:right="360" w:firstLine="324"/>
        <w:spacing w:after="0" w:line="291" w:lineRule="auto"/>
        <w:rPr>
          <w:sz w:val="20"/>
          <w:szCs w:val="20"/>
          <w:color w:val="auto"/>
        </w:rPr>
      </w:pPr>
      <w:r>
        <w:rPr>
          <w:rFonts w:ascii="Arial" w:cs="Arial" w:eastAsia="Arial" w:hAnsi="Arial"/>
          <w:sz w:val="16"/>
          <w:szCs w:val="16"/>
          <w:color w:val="auto"/>
        </w:rPr>
        <w:t>During the third quarter of 2017, the company issued $77.4 million aggregate principal amount of 6.125% Notes due 2022 (the “6.125% Notes Due 2022”). The net proceeds for the 6.125% Notes Due 2022, after the payment of underwriting expenses, were approximately $74.6 million. Interest on the</w:t>
      </w:r>
    </w:p>
    <w:p>
      <w:pPr>
        <w:ind w:right="160"/>
        <w:spacing w:after="0" w:line="281" w:lineRule="auto"/>
        <w:rPr>
          <w:sz w:val="20"/>
          <w:szCs w:val="20"/>
          <w:color w:val="auto"/>
        </w:rPr>
      </w:pPr>
      <w:r>
        <w:rPr>
          <w:rFonts w:ascii="Arial" w:cs="Arial" w:eastAsia="Arial" w:hAnsi="Arial"/>
          <w:sz w:val="16"/>
          <w:szCs w:val="16"/>
          <w:color w:val="auto"/>
        </w:rPr>
        <w:t>6.125% Notes Due 2022 is paid quarterly in arrears on March 30, June 30, September 30 and December 30, at a rate of 6.125% commencing September 30, 2017. The 6.125% Notes Due 2022 mature on September 30, 2022, and are senior unsecured obligations of the Company. In addition, due to the asset coverage requirement currently applicable to the Company as a BDC and a covenant that the Company agreed to in connection with the issuance of the</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6.125% Notes Due 2022, the Company is limited in its ability to make distributions if its asset coverage, as defined in the 1940 Act, is below 200% at the time of the declaration of the distribution. As a result, despite the SBCA, the Company will continue to be prohibited by the indenture governing the 6.125% Notes Due 2022 from making distributions on its common stock if its asset coverage, as defined in the 1940 Act, falls below 200%. At December 31, 2017, the Company was in compliance with all of its debt covenants. The indenture governing the 6.125% Notes Due 2022 contains certain restrictive covenants, including compliance with certain provisions of the 1940 Act relating to borrowing and dividends.</w:t>
      </w:r>
    </w:p>
    <w:p>
      <w:pPr>
        <w:spacing w:after="0" w:line="1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March 1, 2018, KCAP Funding I, LLC (“Funding”), a wholly 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 The maximum commitment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 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maturity date is the earliest of: (a) March 1, 2022 and (b) the date upon which all loans shall become due and payable in full, whether by acceleration or otherwise, as a result of a default by the Company, as defined in the Revolving Credit Facility. 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September 30, 2018, Funding was in compliance with all of its debt covenants. During the first nine months of 2018, Funding borrowed $31 million under the Revolving Credit Facility. As of September 30, 2018, $22.9 million principal amount of borrowings was outstanding under the Revolving Credit Facility. Interest on borrowings under the Revolving Credit Facility is paid monthly. Borrowings under the Revolving Credit Facility are subject to redemption in whole or in part at any time or from time to time, at the option of the Funding. Concurrently with any termination of the Revolving Credit Facility before March 1, 2019 Funding will pay to agent an amount equal to 1% of the Revolver Commitments.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firstLine="484"/>
        <w:spacing w:after="0" w:line="255" w:lineRule="auto"/>
        <w:rPr>
          <w:sz w:val="20"/>
          <w:szCs w:val="20"/>
          <w:color w:val="auto"/>
        </w:rPr>
      </w:pPr>
      <w:r>
        <w:rPr>
          <w:rFonts w:ascii="Arial" w:cs="Arial" w:eastAsia="Arial" w:hAnsi="Arial"/>
          <w:sz w:val="18"/>
          <w:szCs w:val="18"/>
          <w:color w:val="auto"/>
        </w:rPr>
        <w:t>During the third quarter of 2017, the Company and Freedom 3 Opportunities entered into an agreement to create the Joint Venture. The Company and Freedom 3 Opportunities contributed approximately $37 million and $25 million, respectively, in assets to the Joint Venture, which in turn used the assets to capitalize the Fund, which is managed by KCAP Management, LLC, one of the Company’s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19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KCAP received a cash distribution of $12.6 million, $11.2 million of which was a return of capital.</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July 20, 2017 $147.4 million par value of notes issued by KCAP Senior Funding were repaid in full, resulting in a realized loss on extinguishment of debt of $4.1 million.</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“Business — Regulation — Common Stock”.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70" w:lineRule="exact"/>
        <w:rPr>
          <w:sz w:val="20"/>
          <w:szCs w:val="20"/>
          <w:color w:val="auto"/>
        </w:rPr>
      </w:pPr>
    </w:p>
    <w:p>
      <w:pPr>
        <w:ind w:left="920" w:hanging="331"/>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920" w:right="480" w:hanging="331"/>
        <w:spacing w:after="0" w:line="277" w:lineRule="auto"/>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our net investment income, distributable taxable income and the after-tax free cash flow from our Asset Manager Affiliates.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March 29, 2018, our Board of Directors, including a “required majority” (as such term is defined in Section 57(o) of the 1940 Act) of the Board, approved the modified asset coverage requirements set forth in Section 61(a)(2) of the 1940 Act, as amended by the SBCA. As a result, our asset coverage requirement for senior securities will be changed from 200% to 150%, effective as of March 29, 2019. However, despite the SBCA, we will continue to be prohibited by the indentures governing our 7.375% Notes and 6.125% Notes from making distributions on our common stock if our asset coverage, as defined in the 1940 Act, falls below 200%. In any such event, we would be prohibited from making distributions required in order to maintain our status as a RIC.</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2016.</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Declaration</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Record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Distribution</w:t>
            </w:r>
          </w:p>
        </w:tc>
        <w:tc>
          <w:tcPr>
            <w:tcW w:w="220" w:type="dxa"/>
            <w:vAlign w:val="bottom"/>
          </w:tcPr>
          <w:p>
            <w:pPr>
              <w:spacing w:after="0"/>
              <w:rPr>
                <w:sz w:val="20"/>
                <w:szCs w:val="20"/>
                <w:color w:val="auto"/>
              </w:rPr>
            </w:pPr>
          </w:p>
        </w:tc>
        <w:tc>
          <w:tcPr>
            <w:tcW w:w="1400" w:type="dxa"/>
            <w:vAlign w:val="bottom"/>
            <w:gridSpan w:val="2"/>
          </w:tcPr>
          <w:p>
            <w:pPr>
              <w:ind w:left="460"/>
              <w:spacing w:after="0"/>
              <w:rPr>
                <w:sz w:val="20"/>
                <w:szCs w:val="20"/>
                <w:color w:val="auto"/>
              </w:rPr>
            </w:pPr>
            <w:r>
              <w:rPr>
                <w:rFonts w:ascii="Arial" w:cs="Arial" w:eastAsia="Arial" w:hAnsi="Arial"/>
                <w:sz w:val="18"/>
                <w:szCs w:val="18"/>
                <w:b w:val="1"/>
                <w:bCs w:val="1"/>
                <w:color w:val="auto"/>
              </w:rPr>
              <w:t>Date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9/18/2018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10/9/2018</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6/19/2018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3/20/2018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2018</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12/13/2017</w:t>
            </w:r>
          </w:p>
        </w:tc>
        <w:tc>
          <w:tcPr>
            <w:tcW w:w="100" w:type="dxa"/>
            <w:vAlign w:val="bottom"/>
          </w:tcPr>
          <w:p>
            <w:pPr>
              <w:spacing w:after="0"/>
              <w:rPr>
                <w:sz w:val="22"/>
                <w:szCs w:val="22"/>
                <w:color w:val="auto"/>
              </w:rPr>
            </w:pPr>
          </w:p>
        </w:tc>
        <w:tc>
          <w:tcPr>
            <w:tcW w:w="1300" w:type="dxa"/>
            <w:vAlign w:val="bottom"/>
          </w:tcPr>
          <w:p>
            <w:pPr>
              <w:jc w:val="right"/>
              <w:spacing w:after="0" w:line="256" w:lineRule="exact"/>
              <w:rPr>
                <w:sz w:val="20"/>
                <w:szCs w:val="20"/>
                <w:color w:val="auto"/>
              </w:rPr>
            </w:pPr>
            <w:r>
              <w:rPr>
                <w:rFonts w:ascii="Arial" w:cs="Arial" w:eastAsia="Arial" w:hAnsi="Arial"/>
                <w:sz w:val="18"/>
                <w:szCs w:val="18"/>
                <w:color w:val="auto"/>
              </w:rPr>
              <w:t>1/5/2018</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1/25/2018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9/22/2017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10/10/2017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6/20/2017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7/7/2017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3/21/2017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2017</w:t>
            </w:r>
          </w:p>
        </w:tc>
        <w:tc>
          <w:tcPr>
            <w:tcW w:w="18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2016:</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12/14/2016</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1/6/2017</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1/27/2017</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9/20/2016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10/14/2016</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10/27/2016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6/21/2016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3/18/2016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4/7/2016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2016</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540" w:hanging="118"/>
        <w:spacing w:after="0"/>
        <w:tabs>
          <w:tab w:leader="none" w:pos="540" w:val="left"/>
        </w:tabs>
        <w:numPr>
          <w:ilvl w:val="0"/>
          <w:numId w:val="63"/>
        </w:numPr>
        <w:rPr>
          <w:rFonts w:ascii="Arial" w:cs="Arial" w:eastAsia="Arial" w:hAnsi="Arial"/>
          <w:sz w:val="30"/>
          <w:szCs w:val="30"/>
          <w:color w:val="auto"/>
          <w:vertAlign w:val="superscript"/>
        </w:rPr>
      </w:pPr>
      <w:r>
        <w:rPr>
          <w:rFonts w:ascii="Arial" w:cs="Arial" w:eastAsia="Arial" w:hAnsi="Arial"/>
          <w:sz w:val="18"/>
          <w:szCs w:val="18"/>
          <w:color w:val="auto"/>
        </w:rPr>
        <w:t>Since the record date of this distribution is subsequent to year-end, it is a subsequent year tax event.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2018 and December 31, 2017, the Company had $370,000 and $0 commitments to fund investments,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September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b w:val="1"/>
                <w:bCs w:val="1"/>
                <w:color w:val="auto"/>
                <w:w w:val="97"/>
              </w:rPr>
              <w:t>Payments Due by Period</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4"/>
          </w:tcPr>
          <w:p>
            <w:pPr>
              <w:jc w:val="center"/>
              <w:ind w:right="385"/>
              <w:spacing w:after="0" w:line="191" w:lineRule="exact"/>
              <w:rPr>
                <w:sz w:val="20"/>
                <w:szCs w:val="20"/>
                <w:color w:val="auto"/>
              </w:rPr>
            </w:pPr>
            <w:r>
              <w:rPr>
                <w:rFonts w:ascii="Arial" w:cs="Arial" w:eastAsia="Arial" w:hAnsi="Arial"/>
                <w:sz w:val="18"/>
                <w:szCs w:val="18"/>
                <w:b w:val="1"/>
                <w:bCs w:val="1"/>
                <w:color w:val="auto"/>
                <w:w w:val="87"/>
              </w:rPr>
              <w:t>Less than one</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940" w:type="dxa"/>
            <w:vAlign w:val="bottom"/>
          </w:tcPr>
          <w:p>
            <w:pPr>
              <w:jc w:val="center"/>
              <w:ind w:left="235"/>
              <w:spacing w:after="0"/>
              <w:rPr>
                <w:sz w:val="20"/>
                <w:szCs w:val="20"/>
                <w:color w:val="auto"/>
              </w:rPr>
            </w:pPr>
            <w:r>
              <w:rPr>
                <w:rFonts w:ascii="Arial" w:cs="Arial" w:eastAsia="Arial" w:hAnsi="Arial"/>
                <w:sz w:val="18"/>
                <w:szCs w:val="18"/>
                <w:b w:val="1"/>
                <w:bCs w:val="1"/>
                <w:color w:val="auto"/>
                <w:w w:val="91"/>
              </w:rPr>
              <w:t>year</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3 - 5 years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107,355,393</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100,355,393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r>
        <w:rPr>
          <w:rFonts w:ascii="Arial" w:cs="Arial" w:eastAsia="Arial" w:hAnsi="Arial"/>
          <w:sz w:val="17"/>
          <w:szCs w:val="17"/>
          <w:i w:val="1"/>
          <w:iCs w:val="1"/>
          <w:color w:val="auto"/>
        </w:rPr>
        <w: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Company follows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7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820" w:hanging="231"/>
        <w:spacing w:after="0" w:line="312" w:lineRule="auto"/>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6" w:lineRule="exact"/>
        <w:rPr>
          <w:rFonts w:ascii="Arial" w:cs="Arial" w:eastAsia="Arial" w:hAnsi="Arial"/>
          <w:sz w:val="16"/>
          <w:szCs w:val="16"/>
          <w:color w:val="auto"/>
        </w:rPr>
      </w:pPr>
    </w:p>
    <w:p>
      <w:pPr>
        <w:ind w:left="820" w:right="100" w:hanging="231"/>
        <w:spacing w:after="0" w:line="297" w:lineRule="auto"/>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78" w:name="page79"/>
    <w:bookmarkEnd w:id="78"/>
    <w:p>
      <w:pPr>
        <w:ind w:left="820" w:right="140" w:hanging="231"/>
        <w:spacing w:after="0" w:line="255"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8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carries investments in joint ventures at fair value based upon the fair value of the investments held by the joint venture.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ind w:right="40" w:firstLine="32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80" w:firstLine="272"/>
        <w:spacing w:after="0" w:line="290" w:lineRule="auto"/>
        <w:rPr>
          <w:sz w:val="20"/>
          <w:szCs w:val="20"/>
          <w:color w:val="auto"/>
        </w:rPr>
      </w:pPr>
      <w:r>
        <w:rPr>
          <w:rFonts w:ascii="Arial" w:cs="Arial" w:eastAsia="Arial" w:hAnsi="Arial"/>
          <w:sz w:val="16"/>
          <w:szCs w:val="16"/>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September 30, 2018, one of our investments was on non-accrual status. As of September 30, 2018, three of our investments were on partial non-accrual status whereby we have recognized income on a portion of contractual PIK amounts due.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 basis investment income and from the cash distributions actually received by the Company during the period.</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KCAP F3C Senior Funding, L.L.C.,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net investment income, distributable taxable income and the after-tax free cash flow from our Asset Manager Affiliates. The following table sets forth the quarterly distributions declared by us for the 2018, 2017 and 2016 calendar years.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1" w:name="page82"/>
    <w:bookmarkEnd w:id="81"/>
    <w:tbl>
      <w:tblPr>
        <w:tblLayout w:type="fixed"/>
        <w:tblInd w:w="4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Declaration</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Distribution</w:t>
            </w:r>
          </w:p>
        </w:tc>
        <w:tc>
          <w:tcPr>
            <w:tcW w:w="2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9/18/2018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10/9/2018</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10/29/2018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6/19/2018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3/20/2018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4/6/2018</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2018</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12/13/2017</w:t>
            </w:r>
          </w:p>
        </w:tc>
        <w:tc>
          <w:tcPr>
            <w:tcW w:w="100" w:type="dxa"/>
            <w:vAlign w:val="bottom"/>
          </w:tcPr>
          <w:p>
            <w:pPr>
              <w:spacing w:after="0"/>
              <w:rPr>
                <w:sz w:val="22"/>
                <w:szCs w:val="22"/>
                <w:color w:val="auto"/>
              </w:rPr>
            </w:pPr>
          </w:p>
        </w:tc>
        <w:tc>
          <w:tcPr>
            <w:tcW w:w="1300" w:type="dxa"/>
            <w:vAlign w:val="bottom"/>
          </w:tcPr>
          <w:p>
            <w:pPr>
              <w:jc w:val="right"/>
              <w:spacing w:after="0" w:line="256" w:lineRule="exact"/>
              <w:rPr>
                <w:sz w:val="20"/>
                <w:szCs w:val="20"/>
                <w:color w:val="auto"/>
              </w:rPr>
            </w:pPr>
            <w:r>
              <w:rPr>
                <w:rFonts w:ascii="Arial" w:cs="Arial" w:eastAsia="Arial" w:hAnsi="Arial"/>
                <w:sz w:val="18"/>
                <w:szCs w:val="18"/>
                <w:color w:val="auto"/>
              </w:rPr>
              <w:t>1/5/2018</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1/25/2018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9/22/2017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10/10/2017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6/20/2017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7/7/2017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3/21/2017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2017</w:t>
            </w:r>
          </w:p>
        </w:tc>
        <w:tc>
          <w:tcPr>
            <w:tcW w:w="18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2016:</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12/14/2016</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1/6/2017</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1/27/2017</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9/20/2016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10/14/2016</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10/27/2016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6/21/2016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3/18/2016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4/7/2016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2016</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540" w:hanging="118"/>
        <w:spacing w:after="0"/>
        <w:tabs>
          <w:tab w:leader="none" w:pos="540" w:val="left"/>
        </w:tabs>
        <w:numPr>
          <w:ilvl w:val="0"/>
          <w:numId w:val="66"/>
        </w:numPr>
        <w:rPr>
          <w:rFonts w:ascii="Arial" w:cs="Arial" w:eastAsia="Arial" w:hAnsi="Arial"/>
          <w:sz w:val="30"/>
          <w:szCs w:val="30"/>
          <w:color w:val="auto"/>
          <w:vertAlign w:val="superscript"/>
        </w:rPr>
      </w:pPr>
      <w:r>
        <w:rPr>
          <w:rFonts w:ascii="Arial" w:cs="Arial" w:eastAsia="Arial" w:hAnsi="Arial"/>
          <w:sz w:val="18"/>
          <w:szCs w:val="18"/>
          <w:color w:val="auto"/>
        </w:rPr>
        <w:t>Since the record date of this distribution is subsequent to year-end, it is a subsequent year tax event.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October 24, 2018, the Company caused notices to be issued to the holders of the 7.375% Notes Due 2019 regarding the Company’s exercise of its option to redeem all of the issued and outstanding 7.375% Notes Due 2019. The Company will redeem all $7.0 million in aggregate principal amount of the 7.375% Notes Due 2019 on November 26, 2018 at a cost of $7.0 million. The Company expects to record a realized loss on early extinguishment of debt of approximately $30,000 during the fourth quarter of 2018.</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On November 6, 2018, C. Michael Jacobi stepped down from his role as a member of the Audit Committee of the Board and the Company's remaining directors appointed Christopher Lacovara, an existing director, to fill the vacancy on the Audit Committee of the Board.</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September 30, 2018, approximately 77% of our Debt Securities Portfolio were floating rate with a spread to an interest rate index such as LIBOR or the prime rate. Most of these floating rate loans contain floors ranging between 1.00% and 3.00%. We generally expect that future portfolio investments will predominately be floating rate investments. As of September 30, 2018, we had $107.4 million (par value) of borrowings outstanding at a current weighted average rate of 6.1%.</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and 6.125% Notes Due 2022 would remain the same, given that this debt is at a fixed rate, while the interest rate on borrowings under the KCAP Funding I, LLC Revolving Credit Facility would fluctuate with changes in interest rates.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ind w:right="60" w:firstLine="32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September 30, 2018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5260" w:type="dxa"/>
            <w:vAlign w:val="bottom"/>
            <w:gridSpan w:val="10"/>
          </w:tcPr>
          <w:p>
            <w:pPr>
              <w:spacing w:after="0"/>
              <w:rPr>
                <w:sz w:val="20"/>
                <w:szCs w:val="20"/>
                <w:color w:val="auto"/>
              </w:rPr>
            </w:pPr>
            <w:r>
              <w:rPr>
                <w:rFonts w:ascii="Arial" w:cs="Arial" w:eastAsia="Arial" w:hAnsi="Arial"/>
                <w:sz w:val="18"/>
                <w:szCs w:val="18"/>
                <w:b w:val="1"/>
                <w:bCs w:val="1"/>
                <w:color w:val="auto"/>
                <w:w w:val="90"/>
              </w:rPr>
              <w:t>Impact on net investment income from a change in interest rates at:</w:t>
            </w:r>
          </w:p>
        </w:tc>
      </w:tr>
      <w:tr>
        <w:trPr>
          <w:trHeight w:val="223"/>
        </w:trPr>
        <w:tc>
          <w:tcPr>
            <w:tcW w:w="61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w:t>
            </w:r>
          </w:p>
        </w:tc>
        <w:tc>
          <w:tcPr>
            <w:tcW w:w="2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2,038,425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3,004,275</w:t>
            </w:r>
          </w:p>
        </w:tc>
        <w:tc>
          <w:tcPr>
            <w:tcW w:w="100" w:type="dxa"/>
            <w:vAlign w:val="bottom"/>
            <w:shd w:val="clear" w:color="auto" w:fill="CCEEFF"/>
          </w:tcPr>
          <w:p>
            <w:pPr>
              <w:spacing w:after="0"/>
              <w:rPr>
                <w:sz w:val="18"/>
                <w:szCs w:val="18"/>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Decrease in interest rate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(961,379)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(1,191,035)</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(1,182,780)</w:t>
            </w:r>
          </w:p>
        </w:tc>
      </w:tr>
    </w:tbl>
    <w:p>
      <w:pPr>
        <w:spacing w:after="0" w:line="187"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As shown above, net investment income assuming a 1% increase in interest rates would increase by approximately $1.1 million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$2.0 million and $3.0 million, respectively.</w:t>
      </w:r>
    </w:p>
    <w:p>
      <w:pPr>
        <w:spacing w:after="0" w:line="171"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On an annualized basis, a decrease in interest rates of 1%, 2% and 3% would result in a decrease in net investment income of approximately $961,000, $1,191,000 and $1,183,000, respectively. The negative impact of a 3% decline in interest rates is less severe than the impact of a 2% decline in interest rates due to the impact of interest rate floors on certain of our floating rate investments, as there is no floor on our floating rate debt facility.</w:t>
      </w:r>
    </w:p>
    <w:p>
      <w:pPr>
        <w:spacing w:after="0" w:line="1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September 30, 2018.</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since our last Annual Report filed on Form 10-K for the period ended December 31, 2017 that have materially affected, or are reasonably likely to materially affect, our internal control over financial reporting.</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Since May 2015, the staff of the Division of Enforcement of the U.S. Securities and Exchange Commission (the “Staff”) has been conducting an informal investigation primarily concerning the restatement disclosed by the Company in its Form 10-K for the year ended December 31, 2014. The Company has cooperated with the Staff’s investigation and recently has engaged in discussions with the Staff about a potential resolution of the investigation. Based on these discussions, the Company does not expect that any settlement would have a material adverse impact on the Company’s financial condition or results of operations.</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2017 and Part II, “Item 1A. Risk Factors” in our Quarterly Report on Form 10-Q for the quarter ended June 30, 2018, except as described below.</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nine months ended September 30, 2018, we issued a total of 46,942 shares of common stock under our dividend reinvestment plan (“DRIP”). This issuance was not subject to the registration requirements of the Securities Act of 1933. For the nine months ended September 30, 2018, the aggregate value of the shares of our common stock issued under our DRIP was approximately $155,000.</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7320" w:type="dxa"/>
            <w:vAlign w:val="bottom"/>
            <w:gridSpan w:val="2"/>
          </w:tcPr>
          <w:p>
            <w:pPr>
              <w:ind w:left="2300"/>
              <w:spacing w:after="0"/>
              <w:rPr>
                <w:sz w:val="20"/>
                <w:szCs w:val="20"/>
                <w:color w:val="auto"/>
              </w:rPr>
            </w:pPr>
            <w:r>
              <w:rPr>
                <w:rFonts w:ascii="Arial" w:cs="Arial" w:eastAsia="Arial" w:hAnsi="Arial"/>
                <w:sz w:val="18"/>
                <w:szCs w:val="18"/>
                <w:color w:val="auto"/>
              </w:rPr>
              <w:t>KCAP FINANCIAL, INC.</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Date: November 6, 2018</w:t>
            </w:r>
          </w:p>
        </w:tc>
        <w:tc>
          <w:tcPr>
            <w:tcW w:w="2760" w:type="dxa"/>
            <w:vAlign w:val="bottom"/>
          </w:tcPr>
          <w:p>
            <w:pPr>
              <w:ind w:left="23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4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8"/>
              </w:rPr>
              <w:t>Dayl W. Pearson</w:t>
            </w:r>
          </w:p>
        </w:tc>
      </w:tr>
      <w:tr>
        <w:trPr>
          <w:trHeight w:val="216"/>
        </w:trPr>
        <w:tc>
          <w:tcPr>
            <w:tcW w:w="4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4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4100" w:type="dxa"/>
            <w:vAlign w:val="bottom"/>
          </w:tcPr>
          <w:p>
            <w:pPr>
              <w:spacing w:after="0"/>
              <w:rPr>
                <w:sz w:val="20"/>
                <w:szCs w:val="20"/>
                <w:color w:val="auto"/>
              </w:rPr>
            </w:pPr>
            <w:r>
              <w:rPr>
                <w:rFonts w:ascii="Arial" w:cs="Arial" w:eastAsia="Arial" w:hAnsi="Arial"/>
                <w:sz w:val="18"/>
                <w:szCs w:val="18"/>
                <w:color w:val="auto"/>
              </w:rPr>
              <w:t>Date: November 6, 2018</w:t>
            </w:r>
          </w:p>
        </w:tc>
        <w:tc>
          <w:tcPr>
            <w:tcW w:w="2760" w:type="dxa"/>
            <w:vAlign w:val="bottom"/>
          </w:tcPr>
          <w:p>
            <w:pPr>
              <w:ind w:left="2300"/>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86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00" w:type="dxa"/>
            <w:vAlign w:val="bottom"/>
            <w:gridSpan w:val="18"/>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1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17"/>
          </w:tcPr>
          <w:p>
            <w:pPr>
              <w:ind w:left="10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385"/>
        </w:trPr>
        <w:tc>
          <w:tcPr>
            <w:tcW w:w="240" w:type="dxa"/>
            <w:vAlign w:val="bottom"/>
          </w:tcPr>
          <w:p>
            <w:pPr>
              <w:spacing w:after="0"/>
              <w:rPr>
                <w:rFonts w:ascii="Arial" w:cs="Arial" w:eastAsia="Arial" w:hAnsi="Arial"/>
                <w:sz w:val="18"/>
                <w:szCs w:val="18"/>
                <w:color w:val="0000EE"/>
                <w:w w:val="87"/>
              </w:rPr>
            </w:pPr>
            <w:hyperlink r:id="rId121">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5"/>
              </w:rPr>
            </w:pPr>
            <w:hyperlink r:id="rId121">
              <w:r>
                <w:rPr>
                  <w:rFonts w:ascii="Arial" w:cs="Arial" w:eastAsia="Arial" w:hAnsi="Arial"/>
                  <w:sz w:val="18"/>
                  <w:szCs w:val="18"/>
                  <w:color w:val="0000EE"/>
                  <w:w w:val="95"/>
                </w:rPr>
                <w:t>Purchase and Sale Agreement, dated February 29, 2012, by and among Kohlberg Capital Corporation (the “Company”), Commodore</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Holdings, L.L.C., Trimaran Advisors, L.L.C., HBK Caravelle, L.L.C., Trimaran Fund Management, L.L.C., Jay R. Bloom, and Dean C.</w:t>
              </w:r>
            </w:hyperlink>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0000EE"/>
              <w:bottom w:val="single" w:sz="8" w:color="0000EE"/>
            </w:tcBorders>
            <w:gridSpan w:val="4"/>
            <w:vMerge w:val="restart"/>
          </w:tcPr>
          <w:p>
            <w:pPr>
              <w:spacing w:after="0"/>
              <w:rPr>
                <w:rFonts w:ascii="Arial" w:cs="Arial" w:eastAsia="Arial" w:hAnsi="Arial"/>
                <w:sz w:val="18"/>
                <w:szCs w:val="18"/>
                <w:color w:val="0000EE"/>
                <w:w w:val="87"/>
              </w:rPr>
            </w:pPr>
            <w:hyperlink r:id="rId121">
              <w:r>
                <w:rPr>
                  <w:rFonts w:ascii="Arial" w:cs="Arial" w:eastAsia="Arial" w:hAnsi="Arial"/>
                  <w:sz w:val="18"/>
                  <w:szCs w:val="18"/>
                  <w:color w:val="0000EE"/>
                  <w:w w:val="87"/>
                </w:rPr>
                <w:t>Kehler.</w:t>
              </w:r>
            </w:hyperlink>
          </w:p>
        </w:tc>
        <w:tc>
          <w:tcPr>
            <w:tcW w:w="180" w:type="dxa"/>
            <w:vAlign w:val="bottom"/>
            <w:tcBorders>
              <w:top w:val="single" w:sz="8" w:color="0000EE"/>
              <w:bottom w:val="single" w:sz="8" w:color="0000EE"/>
            </w:tcBorders>
            <w:gridSpan w:val="2"/>
          </w:tcPr>
          <w:p>
            <w:pPr>
              <w:jc w:val="right"/>
              <w:spacing w:after="0" w:line="156" w:lineRule="exact"/>
              <w:rPr>
                <w:rFonts w:ascii="Arial" w:cs="Arial" w:eastAsia="Arial" w:hAnsi="Arial"/>
                <w:sz w:val="15"/>
                <w:szCs w:val="15"/>
                <w:color w:val="0000EE"/>
                <w:w w:val="87"/>
              </w:rPr>
            </w:pPr>
            <w:hyperlink r:id="rId121">
              <w:r>
                <w:rPr>
                  <w:rFonts w:ascii="Arial" w:cs="Arial" w:eastAsia="Arial" w:hAnsi="Arial"/>
                  <w:sz w:val="15"/>
                  <w:szCs w:val="15"/>
                  <w:color w:val="0000EE"/>
                  <w:w w:val="87"/>
                </w:rPr>
                <w:t>(1)</w:t>
              </w:r>
            </w:hyperlink>
          </w:p>
        </w:tc>
        <w:tc>
          <w:tcPr>
            <w:tcW w:w="2040" w:type="dxa"/>
            <w:vAlign w:val="bottom"/>
            <w:tcBorders>
              <w:top w:val="single" w:sz="8" w:color="0000EE"/>
              <w:bottom w:val="single" w:sz="8" w:color="0000EE"/>
            </w:tcBorders>
            <w:vMerge w:val="restart"/>
          </w:tcPr>
          <w:p>
            <w:pPr>
              <w:spacing w:after="0"/>
              <w:rPr>
                <w:sz w:val="14"/>
                <w:szCs w:val="14"/>
                <w:color w:val="auto"/>
              </w:rPr>
            </w:pPr>
          </w:p>
        </w:tc>
        <w:tc>
          <w:tcPr>
            <w:tcW w:w="180" w:type="dxa"/>
            <w:vAlign w:val="bottom"/>
            <w:tcBorders>
              <w:top w:val="single" w:sz="8" w:color="0000EE"/>
              <w:bottom w:val="single" w:sz="8" w:color="0000EE"/>
            </w:tcBorders>
            <w:vMerge w:val="restart"/>
          </w:tcPr>
          <w:p>
            <w:pPr>
              <w:spacing w:after="0"/>
              <w:rPr>
                <w:sz w:val="14"/>
                <w:szCs w:val="14"/>
                <w:color w:val="auto"/>
              </w:rPr>
            </w:pPr>
          </w:p>
        </w:tc>
        <w:tc>
          <w:tcPr>
            <w:tcW w:w="540" w:type="dxa"/>
            <w:vAlign w:val="bottom"/>
            <w:tcBorders>
              <w:top w:val="single" w:sz="8" w:color="0000EE"/>
              <w:bottom w:val="single" w:sz="8" w:color="0000EE"/>
            </w:tcBorders>
            <w:vMerge w:val="restart"/>
          </w:tcPr>
          <w:p>
            <w:pPr>
              <w:spacing w:after="0"/>
              <w:rPr>
                <w:sz w:val="14"/>
                <w:szCs w:val="14"/>
                <w:color w:val="auto"/>
              </w:rPr>
            </w:pPr>
          </w:p>
        </w:tc>
        <w:tc>
          <w:tcPr>
            <w:tcW w:w="400" w:type="dxa"/>
            <w:vAlign w:val="bottom"/>
            <w:tcBorders>
              <w:top w:val="single" w:sz="8" w:color="0000EE"/>
              <w:bottom w:val="single" w:sz="8" w:color="0000EE"/>
            </w:tcBorders>
            <w:vMerge w:val="restart"/>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780" w:type="dxa"/>
            <w:vAlign w:val="bottom"/>
            <w:tcBorders>
              <w:top w:val="single" w:sz="8" w:color="0000EE"/>
              <w:bottom w:val="single" w:sz="8" w:color="0000EE"/>
            </w:tcBorders>
            <w:vMerge w:val="restart"/>
          </w:tcPr>
          <w:p>
            <w:pPr>
              <w:spacing w:after="0"/>
              <w:rPr>
                <w:sz w:val="14"/>
                <w:szCs w:val="14"/>
                <w:color w:val="auto"/>
              </w:rPr>
            </w:pPr>
          </w:p>
        </w:tc>
        <w:tc>
          <w:tcPr>
            <w:tcW w:w="160" w:type="dxa"/>
            <w:vAlign w:val="bottom"/>
            <w:tcBorders>
              <w:top w:val="single" w:sz="8" w:color="0000EE"/>
              <w:bottom w:val="single" w:sz="8" w:color="0000EE"/>
            </w:tcBorders>
            <w:vMerge w:val="restart"/>
          </w:tcPr>
          <w:p>
            <w:pPr>
              <w:spacing w:after="0"/>
              <w:rPr>
                <w:sz w:val="14"/>
                <w:szCs w:val="14"/>
                <w:color w:val="auto"/>
              </w:rPr>
            </w:pPr>
          </w:p>
        </w:tc>
        <w:tc>
          <w:tcPr>
            <w:tcW w:w="1340" w:type="dxa"/>
            <w:vAlign w:val="bottom"/>
            <w:tcBorders>
              <w:top w:val="single" w:sz="8" w:color="0000EE"/>
              <w:bottom w:val="single" w:sz="8" w:color="0000EE"/>
            </w:tcBorders>
            <w:vMerge w:val="restart"/>
          </w:tcPr>
          <w:p>
            <w:pPr>
              <w:spacing w:after="0"/>
              <w:rPr>
                <w:sz w:val="14"/>
                <w:szCs w:val="14"/>
                <w:color w:val="auto"/>
              </w:rPr>
            </w:pPr>
          </w:p>
        </w:tc>
        <w:tc>
          <w:tcPr>
            <w:tcW w:w="180" w:type="dxa"/>
            <w:vAlign w:val="bottom"/>
            <w:tcBorders>
              <w:top w:val="single" w:sz="8" w:color="0000EE"/>
              <w:bottom w:val="single" w:sz="8" w:color="0000EE"/>
            </w:tcBorders>
            <w:vMerge w:val="restart"/>
          </w:tcPr>
          <w:p>
            <w:pPr>
              <w:spacing w:after="0"/>
              <w:rPr>
                <w:sz w:val="14"/>
                <w:szCs w:val="14"/>
                <w:color w:val="auto"/>
              </w:rPr>
            </w:pPr>
          </w:p>
        </w:tc>
        <w:tc>
          <w:tcPr>
            <w:tcW w:w="220" w:type="dxa"/>
            <w:vAlign w:val="bottom"/>
            <w:tcBorders>
              <w:top w:val="single" w:sz="8" w:color="0000EE"/>
              <w:bottom w:val="single" w:sz="8" w:color="0000EE"/>
            </w:tcBorders>
            <w:vMerge w:val="restart"/>
          </w:tcPr>
          <w:p>
            <w:pPr>
              <w:spacing w:after="0"/>
              <w:rPr>
                <w:sz w:val="14"/>
                <w:szCs w:val="14"/>
                <w:color w:val="auto"/>
              </w:rPr>
            </w:pPr>
          </w:p>
        </w:tc>
        <w:tc>
          <w:tcPr>
            <w:tcW w:w="180" w:type="dxa"/>
            <w:vAlign w:val="bottom"/>
            <w:tcBorders>
              <w:top w:val="single" w:sz="8" w:color="0000EE"/>
              <w:bottom w:val="single" w:sz="8" w:color="0000EE"/>
            </w:tcBorders>
            <w:vMerge w:val="restart"/>
          </w:tcPr>
          <w:p>
            <w:pPr>
              <w:spacing w:after="0"/>
              <w:rPr>
                <w:sz w:val="14"/>
                <w:szCs w:val="14"/>
                <w:color w:val="auto"/>
              </w:rPr>
            </w:pPr>
          </w:p>
        </w:tc>
        <w:tc>
          <w:tcPr>
            <w:tcW w:w="700" w:type="dxa"/>
            <w:vAlign w:val="bottom"/>
            <w:tcBorders>
              <w:top w:val="single" w:sz="8" w:color="0000EE"/>
              <w:bottom w:val="single" w:sz="8" w:color="0000EE"/>
            </w:tcBorders>
            <w:vMerge w:val="restart"/>
          </w:tcPr>
          <w:p>
            <w:pPr>
              <w:spacing w:after="0"/>
              <w:rPr>
                <w:sz w:val="14"/>
                <w:szCs w:val="14"/>
                <w:color w:val="auto"/>
              </w:rPr>
            </w:pPr>
          </w:p>
        </w:tc>
        <w:tc>
          <w:tcPr>
            <w:tcW w:w="180" w:type="dxa"/>
            <w:vAlign w:val="bottom"/>
            <w:tcBorders>
              <w:top w:val="single" w:sz="8" w:color="0000EE"/>
              <w:bottom w:val="single" w:sz="8" w:color="0000EE"/>
            </w:tcBorders>
            <w:vMerge w:val="restart"/>
          </w:tcPr>
          <w:p>
            <w:pPr>
              <w:spacing w:after="0"/>
              <w:rPr>
                <w:sz w:val="14"/>
                <w:szCs w:val="14"/>
                <w:color w:val="auto"/>
              </w:rPr>
            </w:pPr>
          </w:p>
        </w:tc>
        <w:tc>
          <w:tcPr>
            <w:tcW w:w="1760" w:type="dxa"/>
            <w:vAlign w:val="bottom"/>
            <w:tcBorders>
              <w:top w:val="single" w:sz="8" w:color="0000EE"/>
              <w:bottom w:val="single" w:sz="8" w:color="0000EE"/>
            </w:tcBorders>
            <w:vMerge w:val="restart"/>
          </w:tcPr>
          <w:p>
            <w:pPr>
              <w:spacing w:after="0"/>
              <w:rPr>
                <w:sz w:val="14"/>
                <w:szCs w:val="14"/>
                <w:color w:val="auto"/>
              </w:rPr>
            </w:pPr>
          </w:p>
        </w:tc>
        <w:tc>
          <w:tcPr>
            <w:tcW w:w="140" w:type="dxa"/>
            <w:vAlign w:val="bottom"/>
            <w:tcBorders>
              <w:top w:val="single" w:sz="8" w:color="0000EE"/>
              <w:bottom w:val="single" w:sz="8" w:color="0000EE"/>
            </w:tcBorders>
            <w:gridSpan w:val="2"/>
            <w:vMerge w:val="restart"/>
          </w:tcPr>
          <w:p>
            <w:pPr>
              <w:spacing w:after="0"/>
              <w:rPr>
                <w:sz w:val="14"/>
                <w:szCs w:val="14"/>
                <w:color w:val="auto"/>
              </w:rPr>
            </w:pPr>
          </w:p>
        </w:tc>
        <w:tc>
          <w:tcPr>
            <w:tcW w:w="4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60" w:type="dxa"/>
            <w:vAlign w:val="bottom"/>
            <w:tcBorders>
              <w:top w:val="single" w:sz="8" w:color="0000EE"/>
              <w:bottom w:val="single" w:sz="8" w:color="0000EE"/>
            </w:tcBorders>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0" w:type="dxa"/>
            <w:vAlign w:val="bottom"/>
            <w:vMerge w:val="restart"/>
          </w:tcPr>
          <w:p>
            <w:pPr>
              <w:spacing w:after="0"/>
              <w:rPr>
                <w:rFonts w:ascii="Arial" w:cs="Arial" w:eastAsia="Arial" w:hAnsi="Arial"/>
                <w:sz w:val="18"/>
                <w:szCs w:val="18"/>
                <w:color w:val="0000EE"/>
                <w:w w:val="87"/>
              </w:rPr>
            </w:pPr>
            <w:hyperlink r:id="rId12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0000EE"/>
            </w:tcBorders>
            <w:gridSpan w:val="4"/>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0000EE"/>
                <w:w w:val="76"/>
              </w:rPr>
              <w:t>(2)</w:t>
            </w:r>
          </w:p>
        </w:tc>
        <w:tc>
          <w:tcPr>
            <w:tcW w:w="7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76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0"/>
        </w:trPr>
        <w:tc>
          <w:tcPr>
            <w:tcW w:w="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10"/>
            <w:vMerge w:val="restart"/>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Form of Certificate of Incorporation of the Company.</w:t>
              </w:r>
            </w:hyperlink>
          </w:p>
        </w:tc>
        <w:tc>
          <w:tcPr>
            <w:tcW w:w="160" w:type="dxa"/>
            <w:vAlign w:val="bottom"/>
            <w:tcBorders>
              <w:bottom w:val="single" w:sz="8" w:color="0000EE"/>
            </w:tcBorders>
            <w:vMerge w:val="continue"/>
          </w:tcPr>
          <w:p>
            <w:pPr>
              <w:spacing w:after="0"/>
              <w:rPr>
                <w:sz w:val="24"/>
                <w:szCs w:val="24"/>
                <w:color w:val="auto"/>
              </w:rPr>
            </w:pPr>
          </w:p>
        </w:tc>
        <w:tc>
          <w:tcPr>
            <w:tcW w:w="78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34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76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00" w:type="dxa"/>
            <w:vAlign w:val="bottom"/>
            <w:gridSpan w:val="2"/>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gridSpan w:val="10"/>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rPr>
                <w:rFonts w:ascii="Arial" w:cs="Arial" w:eastAsia="Arial" w:hAnsi="Arial"/>
                <w:sz w:val="18"/>
                <w:szCs w:val="18"/>
                <w:color w:val="0000EE"/>
                <w:w w:val="87"/>
              </w:rPr>
            </w:pPr>
            <w:hyperlink r:id="rId12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gridSpan w:val="10"/>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(3)</w:t>
            </w: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00" w:type="dxa"/>
            <w:vAlign w:val="bottom"/>
            <w:gridSpan w:val="14"/>
            <w:vMerge w:val="restart"/>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Form of Bylaws of the Company, as amended and restated effective February 29, 2012.</w:t>
              </w:r>
            </w:hyperlink>
          </w:p>
        </w:tc>
        <w:tc>
          <w:tcPr>
            <w:tcW w:w="180" w:type="dxa"/>
            <w:vAlign w:val="bottom"/>
            <w:tcBorders>
              <w:bottom w:val="single" w:sz="8" w:color="0000EE"/>
            </w:tcBorders>
            <w:vMerge w:val="continue"/>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76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00" w:type="dxa"/>
            <w:vAlign w:val="bottom"/>
            <w:gridSpan w:val="2"/>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00" w:type="dxa"/>
            <w:vAlign w:val="bottom"/>
            <w:gridSpan w:val="14"/>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rPr>
                <w:rFonts w:ascii="Arial" w:cs="Arial" w:eastAsia="Arial" w:hAnsi="Arial"/>
                <w:sz w:val="18"/>
                <w:szCs w:val="18"/>
                <w:color w:val="0000EE"/>
                <w:w w:val="87"/>
              </w:rPr>
            </w:pPr>
            <w:hyperlink r:id="rId12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00" w:type="dxa"/>
            <w:vAlign w:val="bottom"/>
            <w:gridSpan w:val="14"/>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7"/>
            <w:vMerge w:val="restart"/>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Dividend Reinvestment Plan.</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(4)</w:t>
            </w:r>
          </w:p>
        </w:tc>
        <w:tc>
          <w:tcPr>
            <w:tcW w:w="540" w:type="dxa"/>
            <w:vAlign w:val="bottom"/>
            <w:vMerge w:val="restart"/>
          </w:tcPr>
          <w:p>
            <w:pPr>
              <w:spacing w:after="0"/>
              <w:rPr>
                <w:sz w:val="24"/>
                <w:szCs w:val="24"/>
                <w:color w:val="auto"/>
              </w:rPr>
            </w:pPr>
          </w:p>
        </w:tc>
        <w:tc>
          <w:tcPr>
            <w:tcW w:w="1340" w:type="dxa"/>
            <w:vAlign w:val="bottom"/>
            <w:gridSpan w:val="3"/>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1740" w:type="dxa"/>
            <w:vAlign w:val="bottom"/>
            <w:gridSpan w:val="3"/>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70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76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00" w:type="dxa"/>
            <w:vAlign w:val="bottom"/>
            <w:gridSpan w:val="2"/>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gridSpan w:val="7"/>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rPr>
                <w:rFonts w:ascii="Arial" w:cs="Arial" w:eastAsia="Arial" w:hAnsi="Arial"/>
                <w:sz w:val="18"/>
                <w:szCs w:val="18"/>
                <w:color w:val="0000EE"/>
                <w:w w:val="87"/>
              </w:rPr>
            </w:pPr>
            <w:hyperlink r:id="rId12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gridSpan w:val="7"/>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(5)</w:t>
            </w:r>
          </w:p>
        </w:tc>
        <w:tc>
          <w:tcPr>
            <w:tcW w:w="176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80" w:type="dxa"/>
            <w:vAlign w:val="bottom"/>
            <w:gridSpan w:val="18"/>
            <w:vMerge w:val="restart"/>
          </w:tcPr>
          <w:p>
            <w:pPr>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Form of Base Indenture between the Company, as Issuer, and U.S. Bank National Association, as Trustee</w:t>
              </w:r>
            </w:hyperlink>
          </w:p>
        </w:tc>
        <w:tc>
          <w:tcPr>
            <w:tcW w:w="180" w:type="dxa"/>
            <w:vAlign w:val="bottom"/>
            <w:tcBorders>
              <w:bottom w:val="single" w:sz="8" w:color="0000EE"/>
            </w:tcBorders>
            <w:vMerge w:val="continue"/>
          </w:tcPr>
          <w:p>
            <w:pPr>
              <w:spacing w:after="0"/>
              <w:rPr>
                <w:sz w:val="24"/>
                <w:szCs w:val="24"/>
                <w:color w:val="auto"/>
              </w:rPr>
            </w:pPr>
          </w:p>
        </w:tc>
        <w:tc>
          <w:tcPr>
            <w:tcW w:w="176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00" w:type="dxa"/>
            <w:vAlign w:val="bottom"/>
            <w:gridSpan w:val="2"/>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80" w:type="dxa"/>
            <w:vAlign w:val="bottom"/>
            <w:gridSpan w:val="18"/>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80" w:type="dxa"/>
            <w:vAlign w:val="bottom"/>
            <w:gridSpan w:val="18"/>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40" w:type="dxa"/>
            <w:vAlign w:val="bottom"/>
          </w:tcPr>
          <w:p>
            <w:pPr>
              <w:spacing w:after="0"/>
              <w:rPr>
                <w:rFonts w:ascii="Arial" w:cs="Arial" w:eastAsia="Arial" w:hAnsi="Arial"/>
                <w:sz w:val="18"/>
                <w:szCs w:val="18"/>
                <w:color w:val="0000EE"/>
                <w:w w:val="87"/>
              </w:rPr>
            </w:pPr>
            <w:hyperlink r:id="rId12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Form of First Supplemental Indenture between the Company and U.S. Bank National Association relating to the 7.375% Senior Notes Due</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360" w:type="dxa"/>
            <w:vAlign w:val="bottom"/>
            <w:gridSpan w:val="2"/>
            <w:vMerge w:val="restart"/>
          </w:tcPr>
          <w:p>
            <w:pPr>
              <w:spacing w:after="0"/>
              <w:rPr>
                <w:rFonts w:ascii="Arial" w:cs="Arial" w:eastAsia="Arial" w:hAnsi="Arial"/>
                <w:sz w:val="18"/>
                <w:szCs w:val="18"/>
                <w:color w:val="0000EE"/>
                <w:w w:val="84"/>
              </w:rPr>
            </w:pPr>
            <w:hyperlink r:id="rId126">
              <w:r>
                <w:rPr>
                  <w:rFonts w:ascii="Arial" w:cs="Arial" w:eastAsia="Arial" w:hAnsi="Arial"/>
                  <w:sz w:val="18"/>
                  <w:szCs w:val="18"/>
                  <w:color w:val="0000EE"/>
                  <w:w w:val="84"/>
                </w:rPr>
                <w:t>2019</w:t>
              </w:r>
            </w:hyperlink>
          </w:p>
        </w:tc>
        <w:tc>
          <w:tcPr>
            <w:tcW w:w="180" w:type="dxa"/>
            <w:vAlign w:val="bottom"/>
            <w:tcBorders>
              <w:bottom w:val="single" w:sz="8" w:color="0000EE"/>
            </w:tcBorders>
            <w:gridSpan w:val="3"/>
          </w:tcPr>
          <w:p>
            <w:pPr>
              <w:jc w:val="right"/>
              <w:spacing w:after="0" w:line="156" w:lineRule="exact"/>
              <w:rPr>
                <w:rFonts w:ascii="Arial" w:cs="Arial" w:eastAsia="Arial" w:hAnsi="Arial"/>
                <w:sz w:val="15"/>
                <w:szCs w:val="15"/>
                <w:color w:val="0000EE"/>
                <w:w w:val="87"/>
              </w:rPr>
            </w:pPr>
            <w:hyperlink r:id="rId126">
              <w:r>
                <w:rPr>
                  <w:rFonts w:ascii="Arial" w:cs="Arial" w:eastAsia="Arial" w:hAnsi="Arial"/>
                  <w:sz w:val="15"/>
                  <w:szCs w:val="15"/>
                  <w:color w:val="0000EE"/>
                  <w:w w:val="87"/>
                </w:rPr>
                <w:t>(5)</w:t>
              </w:r>
            </w:hyperlink>
          </w:p>
        </w:tc>
        <w:tc>
          <w:tcPr>
            <w:tcW w:w="160" w:type="dxa"/>
            <w:vAlign w:val="bottom"/>
            <w:vMerge w:val="restart"/>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40" w:type="dxa"/>
            <w:vAlign w:val="bottom"/>
            <w:vMerge w:val="restart"/>
          </w:tcPr>
          <w:p>
            <w:pPr>
              <w:spacing w:after="0"/>
              <w:rPr>
                <w:rFonts w:ascii="Arial" w:cs="Arial" w:eastAsia="Arial" w:hAnsi="Arial"/>
                <w:sz w:val="18"/>
                <w:szCs w:val="18"/>
                <w:color w:val="0000EE"/>
                <w:w w:val="87"/>
              </w:rPr>
            </w:pPr>
            <w:hyperlink r:id="rId12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360" w:type="dxa"/>
            <w:vAlign w:val="bottom"/>
            <w:tcBorders>
              <w:bottom w:val="single" w:sz="8" w:color="0000EE"/>
            </w:tcBorders>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5"/>
                <w:szCs w:val="15"/>
                <w:color w:val="0000EE"/>
                <w:w w:val="87"/>
              </w:rPr>
              <w:t>(5)</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0"/>
        </w:trPr>
        <w:tc>
          <w:tcPr>
            <w:tcW w:w="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gridSpan w:val="16"/>
            <w:vMerge w:val="restart"/>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Form of Note relating to the 7.375% Senior Notes Due 2019 (included as part of Exhibit 4.3)</w:t>
              </w:r>
            </w:hyperlink>
          </w:p>
        </w:tc>
        <w:tc>
          <w:tcPr>
            <w:tcW w:w="180" w:type="dxa"/>
            <w:vAlign w:val="bottom"/>
            <w:tcBorders>
              <w:bottom w:val="single" w:sz="8" w:color="0000EE"/>
            </w:tcBorders>
            <w:vMerge w:val="continue"/>
          </w:tcPr>
          <w:p>
            <w:pPr>
              <w:spacing w:after="0"/>
              <w:rPr>
                <w:sz w:val="24"/>
                <w:szCs w:val="24"/>
                <w:color w:val="auto"/>
              </w:rPr>
            </w:pPr>
          </w:p>
        </w:tc>
        <w:tc>
          <w:tcPr>
            <w:tcW w:w="2640" w:type="dxa"/>
            <w:vAlign w:val="bottom"/>
            <w:gridSpan w:val="3"/>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2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00" w:type="dxa"/>
            <w:vAlign w:val="bottom"/>
            <w:gridSpan w:val="16"/>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40" w:type="dxa"/>
            <w:vAlign w:val="bottom"/>
            <w:gridSpan w:val="3"/>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rPr>
                <w:rFonts w:ascii="Arial" w:cs="Arial" w:eastAsia="Arial" w:hAnsi="Arial"/>
                <w:sz w:val="18"/>
                <w:szCs w:val="18"/>
                <w:color w:val="0000EE"/>
                <w:w w:val="87"/>
              </w:rPr>
            </w:pPr>
            <w:hyperlink r:id="rId12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00" w:type="dxa"/>
            <w:vAlign w:val="bottom"/>
            <w:gridSpan w:val="16"/>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640" w:type="dxa"/>
            <w:vAlign w:val="bottom"/>
            <w:gridSpan w:val="3"/>
            <w:vMerge w:val="continue"/>
          </w:tcPr>
          <w:p>
            <w:pPr>
              <w:spacing w:after="0" w:line="20" w:lineRule="exact"/>
              <w:rPr>
                <w:sz w:val="1"/>
                <w:szCs w:val="1"/>
                <w:color w:val="auto"/>
              </w:rPr>
            </w:pPr>
          </w:p>
        </w:tc>
        <w:tc>
          <w:tcPr>
            <w:tcW w:w="180" w:type="dxa"/>
            <w:vAlign w:val="bottom"/>
            <w:gridSpan w:val="3"/>
            <w:vMerge w:val="restart"/>
          </w:tcPr>
          <w:p>
            <w:pPr>
              <w:jc w:val="right"/>
              <w:spacing w:after="0"/>
              <w:rPr>
                <w:sz w:val="20"/>
                <w:szCs w:val="20"/>
                <w:color w:val="auto"/>
              </w:rPr>
            </w:pPr>
            <w:r>
              <w:rPr>
                <w:rFonts w:ascii="Arial" w:cs="Arial" w:eastAsia="Arial" w:hAnsi="Arial"/>
                <w:sz w:val="15"/>
                <w:szCs w:val="15"/>
                <w:color w:val="0000EE"/>
                <w:w w:val="87"/>
              </w:rPr>
              <w:t>(6)</w:t>
            </w:r>
          </w:p>
        </w:tc>
        <w:tc>
          <w:tcPr>
            <w:tcW w:w="20" w:type="dxa"/>
            <w:vAlign w:val="bottom"/>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gridSpan w:val="20"/>
            <w:vMerge w:val="restart"/>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Second Supplemental Indenture between the Company and U.S. Bank National Association relating to the 6.125% Notes Due 2022</w:t>
              </w:r>
            </w:hyperlink>
          </w:p>
        </w:tc>
        <w:tc>
          <w:tcPr>
            <w:tcW w:w="180" w:type="dxa"/>
            <w:vAlign w:val="bottom"/>
            <w:tcBorders>
              <w:bottom w:val="single" w:sz="8" w:color="0000EE"/>
            </w:tcBorders>
            <w:gridSpan w:val="3"/>
            <w:vMerge w:val="continue"/>
          </w:tcPr>
          <w:p>
            <w:pPr>
              <w:spacing w:after="0"/>
              <w:rPr>
                <w:sz w:val="24"/>
                <w:szCs w:val="24"/>
                <w:color w:val="auto"/>
              </w:rPr>
            </w:pPr>
          </w:p>
        </w:tc>
        <w:tc>
          <w:tcPr>
            <w:tcW w:w="20" w:type="dxa"/>
            <w:vAlign w:val="bottom"/>
            <w:vMerge w:val="restart"/>
          </w:tcPr>
          <w:p>
            <w:pPr>
              <w:spacing w:after="0"/>
              <w:rPr>
                <w:sz w:val="24"/>
                <w:szCs w:val="24"/>
                <w:color w:val="auto"/>
              </w:rPr>
            </w:pPr>
          </w:p>
        </w:tc>
        <w:tc>
          <w:tcPr>
            <w:tcW w:w="42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20" w:type="dxa"/>
            <w:vAlign w:val="bottom"/>
            <w:gridSpan w:val="20"/>
            <w:vMerge w:val="continu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rPr>
                <w:rFonts w:ascii="Arial" w:cs="Arial" w:eastAsia="Arial" w:hAnsi="Arial"/>
                <w:sz w:val="18"/>
                <w:szCs w:val="18"/>
                <w:color w:val="0000EE"/>
                <w:w w:val="87"/>
              </w:rPr>
            </w:pPr>
            <w:hyperlink r:id="rId12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20" w:type="dxa"/>
            <w:vAlign w:val="bottom"/>
            <w:gridSpan w:val="20"/>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56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12"/>
            <w:vMerge w:val="restart"/>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Form of 6.125% Notes Due 2022 (included as part of Exhibit 4.5).</w:t>
              </w:r>
            </w:hyperlink>
          </w:p>
        </w:tc>
        <w:tc>
          <w:tcPr>
            <w:tcW w:w="16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6"/>
              </w:rPr>
              <w:t>(6)</w:t>
            </w:r>
          </w:p>
        </w:tc>
        <w:tc>
          <w:tcPr>
            <w:tcW w:w="4700" w:type="dxa"/>
            <w:vAlign w:val="bottom"/>
            <w:gridSpan w:val="9"/>
            <w:vMerge w:val="restart"/>
          </w:tcPr>
          <w:p>
            <w:pPr>
              <w:spacing w:after="0"/>
              <w:rPr>
                <w:sz w:val="24"/>
                <w:szCs w:val="24"/>
                <w:color w:val="auto"/>
              </w:rPr>
            </w:pPr>
          </w:p>
        </w:tc>
        <w:tc>
          <w:tcPr>
            <w:tcW w:w="60" w:type="dxa"/>
            <w:vAlign w:val="bottom"/>
            <w:gridSpan w:val="2"/>
            <w:vMerge w:val="restart"/>
          </w:tcPr>
          <w:p>
            <w:pPr>
              <w:spacing w:after="0"/>
              <w:rPr>
                <w:sz w:val="24"/>
                <w:szCs w:val="24"/>
                <w:color w:val="auto"/>
              </w:rPr>
            </w:pPr>
          </w:p>
        </w:tc>
        <w:tc>
          <w:tcPr>
            <w:tcW w:w="420" w:type="dxa"/>
            <w:vAlign w:val="bottom"/>
            <w:gridSpan w:val="3"/>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40" w:type="dxa"/>
            <w:vAlign w:val="bottom"/>
            <w:tcBorders>
              <w:bottom w:val="single" w:sz="8" w:color="0000EE"/>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gridSpan w:val="12"/>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700" w:type="dxa"/>
            <w:vAlign w:val="bottom"/>
            <w:gridSpan w:val="9"/>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gridSpan w:val="1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700" w:type="dxa"/>
            <w:vAlign w:val="bottom"/>
            <w:gridSpan w:val="9"/>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500" w:type="dxa"/>
            <w:vAlign w:val="bottom"/>
            <w:gridSpan w:val="2"/>
          </w:tcPr>
          <w:p>
            <w:pPr>
              <w:spacing w:after="0"/>
              <w:rPr>
                <w:rFonts w:ascii="Arial" w:cs="Arial" w:eastAsia="Arial" w:hAnsi="Arial"/>
                <w:sz w:val="18"/>
                <w:szCs w:val="18"/>
                <w:color w:val="0000EE"/>
                <w:w w:val="97"/>
              </w:rPr>
            </w:pPr>
            <w:hyperlink w:anchor="page88">
              <w:r>
                <w:rPr>
                  <w:rFonts w:ascii="Arial" w:cs="Arial" w:eastAsia="Arial" w:hAnsi="Arial"/>
                  <w:sz w:val="18"/>
                  <w:szCs w:val="18"/>
                  <w:color w:val="0000EE"/>
                  <w:w w:val="97"/>
                </w:rPr>
                <w:t>31.</w:t>
              </w:r>
              <w:r>
                <w:rPr>
                  <w:rFonts w:ascii="Arial" w:cs="Arial" w:eastAsia="Arial" w:hAnsi="Arial"/>
                  <w:sz w:val="18"/>
                  <w:szCs w:val="18"/>
                  <w:u w:val="single" w:color="auto"/>
                  <w:color w:val="0000EE"/>
                  <w:w w:val="97"/>
                </w:rPr>
                <w:t>1**</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5"/>
              </w:rPr>
            </w:pPr>
            <w:hyperlink w:anchor="page88">
              <w:r>
                <w:rPr>
                  <w:rFonts w:ascii="Arial" w:cs="Arial" w:eastAsia="Arial" w:hAnsi="Arial"/>
                  <w:sz w:val="18"/>
                  <w:szCs w:val="18"/>
                  <w:color w:val="0000EE"/>
                  <w:w w:val="95"/>
                </w:rPr>
                <w:t>Certification of Chief Executive Officer Pursuant to Rule 13a-14(a) under the Securities Exchange Act of 1934, as adopted pursuant to</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6200" w:type="dxa"/>
            <w:vAlign w:val="bottom"/>
            <w:gridSpan w:val="1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Section 302 of the Sarbanes-Oxley Act of 2002.</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620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31.</w:t>
              </w:r>
              <w:r>
                <w:rPr>
                  <w:rFonts w:ascii="Arial" w:cs="Arial" w:eastAsia="Arial" w:hAnsi="Arial"/>
                  <w:sz w:val="18"/>
                  <w:szCs w:val="18"/>
                  <w:u w:val="single" w:color="auto"/>
                  <w:color w:val="0000EE"/>
                  <w:w w:val="97"/>
                </w:rPr>
                <w:t>2**</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5"/>
              </w:rPr>
            </w:pPr>
            <w:hyperlink w:anchor="page89">
              <w:r>
                <w:rPr>
                  <w:rFonts w:ascii="Arial" w:cs="Arial" w:eastAsia="Arial" w:hAnsi="Arial"/>
                  <w:sz w:val="18"/>
                  <w:szCs w:val="18"/>
                  <w:color w:val="0000EE"/>
                  <w:w w:val="95"/>
                </w:rPr>
                <w:t>Certification of Chief Financial Officer Pursuant to Rule 13a-14(a) under the Securities Exchange Act of 1934, as adopted pursuant to</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260" w:type="dxa"/>
            <w:vAlign w:val="bottom"/>
            <w:gridSpan w:val="19"/>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Section 302 of the Sarbanes-Oxley Act of 2002.</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6260" w:type="dxa"/>
            <w:vAlign w:val="bottom"/>
            <w:gridSpan w:val="1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97"/>
              </w:rPr>
            </w:pPr>
            <w:hyperlink w:anchor="page90">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1**</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4"/>
              </w:rPr>
            </w:pPr>
            <w:hyperlink w:anchor="page90">
              <w:r>
                <w:rPr>
                  <w:rFonts w:ascii="Arial" w:cs="Arial" w:eastAsia="Arial" w:hAnsi="Arial"/>
                  <w:sz w:val="18"/>
                  <w:szCs w:val="18"/>
                  <w:color w:val="0000EE"/>
                  <w:w w:val="94"/>
                </w:rPr>
                <w:t>Certification of Chief Executive Officer Pursuant to 18 U. S. C. 1350, as adopted pursuant to Section 906 of the Sarbanes-Oxley Act of</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90">
              <w:r>
                <w:rPr>
                  <w:rFonts w:ascii="Arial" w:cs="Arial" w:eastAsia="Arial" w:hAnsi="Arial"/>
                  <w:sz w:val="18"/>
                  <w:szCs w:val="18"/>
                  <w:color w:val="0000EE"/>
                  <w:w w:val="84"/>
                </w:rPr>
                <w:t>2002.</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97"/>
              </w:rPr>
            </w:pPr>
            <w:hyperlink w:anchor="page91">
              <w:r>
                <w:rPr>
                  <w:rFonts w:ascii="Arial" w:cs="Arial" w:eastAsia="Arial" w:hAnsi="Arial"/>
                  <w:sz w:val="18"/>
                  <w:szCs w:val="18"/>
                  <w:color w:val="0000EE"/>
                  <w:w w:val="97"/>
                </w:rPr>
                <w:t>32.</w:t>
              </w:r>
              <w:r>
                <w:rPr>
                  <w:rFonts w:ascii="Arial" w:cs="Arial" w:eastAsia="Arial" w:hAnsi="Arial"/>
                  <w:sz w:val="18"/>
                  <w:szCs w:val="18"/>
                  <w:u w:val="single" w:color="auto"/>
                  <w:color w:val="0000EE"/>
                  <w:w w:val="97"/>
                </w:rPr>
                <w:t>2**</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1"/>
              </w:rPr>
            </w:pPr>
            <w:hyperlink w:anchor="page91">
              <w:r>
                <w:rPr>
                  <w:rFonts w:ascii="Arial" w:cs="Arial" w:eastAsia="Arial" w:hAnsi="Arial"/>
                  <w:sz w:val="18"/>
                  <w:szCs w:val="18"/>
                  <w:color w:val="0000EE"/>
                  <w:w w:val="91"/>
                </w:rPr>
                <w:t>Certification of Chief Financial Officer Pursuant to 18 U. S. C. 1350, as adopted pursuant to Section 906 of the Sarbanes-Oxley Act of 2002.</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Incorporated by reference to Exhibit 2.1 of the Current Report on Form 8-K, as filed on March 1, 2012 (File No. 814-00735).</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Incorporated by reference to the exhibit included in Pre-Effective Amendment No. 1 on Form N-2, as filed on October 6, 2006 (File No. 333-136714).</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Incorporated by reference to Exhibit 3.1 of the Current Report on Form 8-K, as filed on March 1, 2012 (File No. 814-00735).</w:t>
      </w:r>
    </w:p>
    <w:p>
      <w:pPr>
        <w:spacing w:after="0" w:line="225" w:lineRule="exact"/>
        <w:rPr>
          <w:sz w:val="20"/>
          <w:szCs w:val="20"/>
          <w:color w:val="auto"/>
        </w:rPr>
      </w:pPr>
    </w:p>
    <w:p>
      <w:pPr>
        <w:ind w:left="3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2 on Form N-2, as filed on November 20, 2006 (File No. 333-136714).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to exhibit included in the Registration Statement in Form N-2, as filed on October 3, 2012 (File No. 333-183032).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Incorporated by reference to the exhibit included in Post-Effective Amendment No. 1 on Form N-2, as filed on August 14, 2017 (File No. 333-218596).</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2018 of KCAP Financial, Inc. (the “registrant”);</w:t>
      </w:r>
    </w:p>
    <w:p>
      <w:pPr>
        <w:spacing w:after="0" w:line="236" w:lineRule="exact"/>
        <w:rPr>
          <w:rFonts w:ascii="Arial" w:cs="Arial" w:eastAsia="Arial" w:hAnsi="Arial"/>
          <w:sz w:val="17"/>
          <w:szCs w:val="17"/>
          <w:color w:val="auto"/>
        </w:rPr>
      </w:pPr>
    </w:p>
    <w:p>
      <w:pPr>
        <w:ind w:right="280" w:firstLine="422"/>
        <w:spacing w:after="0" w:line="342" w:lineRule="auto"/>
        <w:tabs>
          <w:tab w:leader="none" w:pos="594"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88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DAYL W. PEARSON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2018 of KCAP Financial, Inc. (the “registrant”);</w:t>
      </w:r>
    </w:p>
    <w:p>
      <w:pPr>
        <w:spacing w:after="0" w:line="236" w:lineRule="exact"/>
        <w:rPr>
          <w:rFonts w:ascii="Arial" w:cs="Arial" w:eastAsia="Arial" w:hAnsi="Arial"/>
          <w:sz w:val="17"/>
          <w:szCs w:val="17"/>
          <w:color w:val="auto"/>
        </w:rPr>
      </w:pPr>
    </w:p>
    <w:p>
      <w:pPr>
        <w:ind w:right="280" w:firstLine="422"/>
        <w:spacing w:after="0" w:line="342" w:lineRule="auto"/>
        <w:tabs>
          <w:tab w:leader="none" w:pos="594"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86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September 30, 2018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788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DAYL W. PEARSON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accompanying Quarterly Report of KCAP Financial, Inc. (the “Company”) on Form 10-Q for the quarter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2018 (the “Report”), I, Edward U. Gilpin, Chief Financial Officer of the Company, certify, pursuant to 18 U.S.C. §1350, as adopted pursuant to §906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w:t>
      </w:r>
    </w:p>
    <w:p>
      <w:pPr>
        <w:spacing w:after="0" w:line="211" w:lineRule="exact"/>
        <w:rPr>
          <w:sz w:val="20"/>
          <w:szCs w:val="20"/>
          <w:color w:val="auto"/>
        </w:rPr>
      </w:pPr>
    </w:p>
    <w:p>
      <w:pPr>
        <w:ind w:left="680" w:hanging="258"/>
        <w:spacing w:after="0"/>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786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x"/>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bullet"/>
      <w:start w:val="1"/>
    </w:lvl>
  </w:abstractNum>
  <w:abstractNum w:abstractNumId="3">
    <w:nsid w:val="153EA438"/>
    <w:multiLevelType w:val="hybridMultilevel"/>
    <w:lvl w:ilvl="0">
      <w:lvlJc w:val="left"/>
      <w:lvlText w:val="2"/>
      <w:numFmt w:val="bullet"/>
      <w:start w:val="1"/>
    </w:lvl>
  </w:abstractNum>
  <w:abstractNum w:abstractNumId="4">
    <w:nsid w:val="3855585C"/>
    <w:multiLevelType w:val="hybridMultilevel"/>
    <w:lvl w:ilvl="0">
      <w:lvlJc w:val="left"/>
      <w:lvlText w:val="3"/>
      <w:numFmt w:val="bullet"/>
      <w:start w:val="1"/>
    </w:lvl>
  </w:abstractNum>
  <w:abstractNum w:abstractNumId="5">
    <w:nsid w:val="70A64E2A"/>
    <w:multiLevelType w:val="hybridMultilevel"/>
    <w:lvl w:ilvl="0">
      <w:lvlJc w:val="left"/>
      <w:lvlText w:val="4"/>
      <w:numFmt w:val="bullet"/>
      <w:start w:val="1"/>
    </w:lvl>
  </w:abstractNum>
  <w:abstractNum w:abstractNumId="6">
    <w:nsid w:val="6A2342EC"/>
    <w:multiLevelType w:val="hybridMultilevel"/>
    <w:lvl w:ilvl="0">
      <w:lvlJc w:val="left"/>
      <w:lvlText w:val="5"/>
      <w:numFmt w:val="bullet"/>
      <w:start w:val="1"/>
    </w:lvl>
  </w:abstractNum>
  <w:abstractNum w:abstractNumId="7">
    <w:nsid w:val="2A487CB0"/>
    <w:multiLevelType w:val="hybridMultilevel"/>
    <w:lvl w:ilvl="0">
      <w:lvlJc w:val="left"/>
      <w:lvlText w:val="6"/>
      <w:numFmt w:val="bullet"/>
      <w:start w:val="1"/>
    </w:lvl>
  </w:abstractNum>
  <w:abstractNum w:abstractNumId="8">
    <w:nsid w:val="1D4ED43B"/>
    <w:multiLevelType w:val="hybridMultilevel"/>
    <w:lvl w:ilvl="0">
      <w:lvlJc w:val="left"/>
      <w:lvlText w:val="7"/>
      <w:numFmt w:val="bullet"/>
      <w:start w:val="1"/>
    </w:lvl>
  </w:abstractNum>
  <w:abstractNum w:abstractNumId="9">
    <w:nsid w:val="725A06FB"/>
    <w:multiLevelType w:val="hybridMultilevel"/>
    <w:lvl w:ilvl="0">
      <w:lvlJc w:val="left"/>
      <w:lvlText w:val="8"/>
      <w:numFmt w:val="bullet"/>
      <w:start w:val="1"/>
    </w:lvl>
  </w:abstractNum>
  <w:abstractNum w:abstractNumId="10">
    <w:nsid w:val="2CD89A32"/>
    <w:multiLevelType w:val="hybridMultilevel"/>
    <w:lvl w:ilvl="0">
      <w:lvlJc w:val="left"/>
      <w:lvlText w:val="9"/>
      <w:numFmt w:val="bullet"/>
      <w:start w:val="1"/>
    </w:lvl>
  </w:abstractNum>
  <w:abstractNum w:abstractNumId="11">
    <w:nsid w:val="57E4CCAF"/>
    <w:multiLevelType w:val="hybridMultilevel"/>
    <w:lvl w:ilvl="0">
      <w:lvlJc w:val="left"/>
      <w:lvlText w:val="%1"/>
      <w:numFmt w:val="decimal"/>
      <w:start w:val="10"/>
    </w:lvl>
  </w:abstractNum>
  <w:abstractNum w:abstractNumId="12">
    <w:nsid w:val="7A6D8D3C"/>
    <w:multiLevelType w:val="hybridMultilevel"/>
    <w:lvl w:ilvl="0">
      <w:lvlJc w:val="left"/>
      <w:lvlText w:val="1"/>
      <w:numFmt w:val="bullet"/>
      <w:start w:val="1"/>
    </w:lvl>
  </w:abstractNum>
  <w:abstractNum w:abstractNumId="13">
    <w:nsid w:val="4B588F54"/>
    <w:multiLevelType w:val="hybridMultilevel"/>
    <w:lvl w:ilvl="0">
      <w:lvlJc w:val="left"/>
      <w:lvlText w:val="2"/>
      <w:numFmt w:val="bullet"/>
      <w:start w:val="1"/>
    </w:lvl>
  </w:abstractNum>
  <w:abstractNum w:abstractNumId="14">
    <w:nsid w:val="542289EC"/>
    <w:multiLevelType w:val="hybridMultilevel"/>
    <w:lvl w:ilvl="0">
      <w:lvlJc w:val="left"/>
      <w:lvlText w:val="3"/>
      <w:numFmt w:val="bullet"/>
      <w:start w:val="1"/>
    </w:lvl>
  </w:abstractNum>
  <w:abstractNum w:abstractNumId="15">
    <w:nsid w:val="6DE91B18"/>
    <w:multiLevelType w:val="hybridMultilevel"/>
    <w:lvl w:ilvl="0">
      <w:lvlJc w:val="left"/>
      <w:lvlText w:val="4"/>
      <w:numFmt w:val="bullet"/>
      <w:start w:val="1"/>
    </w:lvl>
  </w:abstractNum>
  <w:abstractNum w:abstractNumId="16">
    <w:nsid w:val="38437FDB"/>
    <w:multiLevelType w:val="hybridMultilevel"/>
    <w:lvl w:ilvl="0">
      <w:lvlJc w:val="left"/>
      <w:lvlText w:val="5"/>
      <w:numFmt w:val="bullet"/>
      <w:start w:val="1"/>
    </w:lvl>
  </w:abstractNum>
  <w:abstractNum w:abstractNumId="17">
    <w:nsid w:val="7644A45C"/>
    <w:multiLevelType w:val="hybridMultilevel"/>
    <w:lvl w:ilvl="0">
      <w:lvlJc w:val="left"/>
      <w:lvlText w:val="6"/>
      <w:numFmt w:val="bullet"/>
      <w:start w:val="1"/>
    </w:lvl>
  </w:abstractNum>
  <w:abstractNum w:abstractNumId="18">
    <w:nsid w:val="32FFF902"/>
    <w:multiLevelType w:val="hybridMultilevel"/>
    <w:lvl w:ilvl="0">
      <w:lvlJc w:val="left"/>
      <w:lvlText w:val="7"/>
      <w:numFmt w:val="bullet"/>
      <w:start w:val="1"/>
    </w:lvl>
  </w:abstractNum>
  <w:abstractNum w:abstractNumId="19">
    <w:nsid w:val="684A481A"/>
    <w:multiLevelType w:val="hybridMultilevel"/>
    <w:lvl w:ilvl="0">
      <w:lvlJc w:val="left"/>
      <w:lvlText w:val="8"/>
      <w:numFmt w:val="bullet"/>
      <w:start w:val="1"/>
    </w:lvl>
  </w:abstractNum>
  <w:abstractNum w:abstractNumId="20">
    <w:nsid w:val="579478FE"/>
    <w:multiLevelType w:val="hybridMultilevel"/>
    <w:lvl w:ilvl="0">
      <w:lvlJc w:val="left"/>
      <w:lvlText w:val="9"/>
      <w:numFmt w:val="bullet"/>
      <w:start w:val="1"/>
    </w:lvl>
  </w:abstractNum>
  <w:abstractNum w:abstractNumId="21">
    <w:nsid w:val="749ABB43"/>
    <w:multiLevelType w:val="hybridMultilevel"/>
    <w:lvl w:ilvl="0">
      <w:lvlJc w:val="left"/>
      <w:lvlText w:val="%1"/>
      <w:numFmt w:val="decimal"/>
      <w:start w:val="10"/>
    </w:lvl>
  </w:abstractNum>
  <w:abstractNum w:abstractNumId="22">
    <w:nsid w:val="3DC240FB"/>
    <w:multiLevelType w:val="hybridMultilevel"/>
    <w:lvl w:ilvl="0">
      <w:lvlJc w:val="left"/>
      <w:lvlText w:val="1"/>
      <w:numFmt w:val="bullet"/>
      <w:start w:val="1"/>
    </w:lvl>
  </w:abstractNum>
  <w:abstractNum w:abstractNumId="23">
    <w:nsid w:val="1BA026FA"/>
    <w:multiLevelType w:val="hybridMultilevel"/>
    <w:lvl w:ilvl="0">
      <w:lvlJc w:val="left"/>
      <w:lvlText w:val="2"/>
      <w:numFmt w:val="bullet"/>
      <w:start w:val="1"/>
    </w:lvl>
  </w:abstractNum>
  <w:abstractNum w:abstractNumId="24">
    <w:nsid w:val="79A1DEAA"/>
    <w:multiLevelType w:val="hybridMultilevel"/>
    <w:lvl w:ilvl="0">
      <w:lvlJc w:val="left"/>
      <w:lvlText w:val="3"/>
      <w:numFmt w:val="bullet"/>
      <w:start w:val="1"/>
    </w:lvl>
  </w:abstractNum>
  <w:abstractNum w:abstractNumId="25">
    <w:nsid w:val="75C6C33A"/>
    <w:multiLevelType w:val="hybridMultilevel"/>
    <w:lvl w:ilvl="0">
      <w:lvlJc w:val="left"/>
      <w:lvlText w:val="4"/>
      <w:numFmt w:val="bullet"/>
      <w:start w:val="1"/>
    </w:lvl>
  </w:abstractNum>
  <w:abstractNum w:abstractNumId="26">
    <w:nsid w:val="12E685FB"/>
    <w:multiLevelType w:val="hybridMultilevel"/>
    <w:lvl w:ilvl="0">
      <w:lvlJc w:val="left"/>
      <w:lvlText w:val="5"/>
      <w:numFmt w:val="bullet"/>
      <w:start w:val="1"/>
    </w:lvl>
  </w:abstractNum>
  <w:abstractNum w:abstractNumId="27">
    <w:nsid w:val="70C6A529"/>
    <w:multiLevelType w:val="hybridMultilevel"/>
    <w:lvl w:ilvl="0">
      <w:lvlJc w:val="left"/>
      <w:lvlText w:val="6"/>
      <w:numFmt w:val="bullet"/>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2"/>
    </w:lvl>
  </w:abstractNum>
  <w:abstractNum w:abstractNumId="30">
    <w:nsid w:val="4F4EF005"/>
    <w:multiLevelType w:val="hybridMultilevel"/>
    <w:lvl w:ilvl="0">
      <w:lvlJc w:val="left"/>
      <w:lvlText w:val="%1."/>
      <w:numFmt w:val="decimal"/>
      <w:start w:val="3"/>
    </w:lvl>
  </w:abstractNum>
  <w:abstractNum w:abstractNumId="31">
    <w:nsid w:val="23F9C13C"/>
    <w:multiLevelType w:val="hybridMultilevel"/>
    <w:lvl w:ilvl="0">
      <w:lvlJc w:val="left"/>
      <w:lvlText w:val="%1."/>
      <w:numFmt w:val="decimal"/>
      <w:start w:val="4"/>
    </w:lvl>
  </w:abstractNum>
  <w:abstractNum w:abstractNumId="32">
    <w:nsid w:val="649BB77C"/>
    <w:multiLevelType w:val="hybridMultilevel"/>
    <w:lvl w:ilvl="0">
      <w:lvlJc w:val="left"/>
      <w:lvlText w:val="¹"/>
      <w:numFmt w:val="bullet"/>
      <w:start w:val="1"/>
    </w:lvl>
  </w:abstractNum>
  <w:abstractNum w:abstractNumId="33">
    <w:nsid w:val="275AC794"/>
    <w:multiLevelType w:val="hybridMultilevel"/>
    <w:lvl w:ilvl="0">
      <w:lvlJc w:val="left"/>
      <w:lvlText w:val="²"/>
      <w:numFmt w:val="bullet"/>
      <w:start w:val="1"/>
    </w:lvl>
  </w:abstractNum>
  <w:abstractNum w:abstractNumId="34">
    <w:nsid w:val="39386575"/>
    <w:multiLevelType w:val="hybridMultilevel"/>
    <w:lvl w:ilvl="0">
      <w:lvlJc w:val="left"/>
      <w:lvlText w:val="³"/>
      <w:numFmt w:val="bullet"/>
      <w:start w:val="1"/>
    </w:lvl>
  </w:abstractNum>
  <w:abstractNum w:abstractNumId="35">
    <w:nsid w:val="1CF10FD8"/>
    <w:multiLevelType w:val="hybridMultilevel"/>
    <w:lvl w:ilvl="0">
      <w:lvlJc w:val="left"/>
      <w:lvlText w:val="1"/>
      <w:numFmt w:val="bullet"/>
      <w:start w:val="1"/>
    </w:lvl>
  </w:abstractNum>
  <w:abstractNum w:abstractNumId="36">
    <w:nsid w:val="180115BE"/>
    <w:multiLevelType w:val="hybridMultilevel"/>
    <w:lvl w:ilvl="0">
      <w:lvlJc w:val="left"/>
      <w:lvlText w:val="2"/>
      <w:numFmt w:val="bullet"/>
      <w:start w:val="1"/>
    </w:lvl>
  </w:abstractNum>
  <w:abstractNum w:abstractNumId="37">
    <w:nsid w:val="235BA861"/>
    <w:multiLevelType w:val="hybridMultilevel"/>
    <w:lvl w:ilvl="0">
      <w:lvlJc w:val="left"/>
      <w:lvlText w:val="1"/>
      <w:numFmt w:val="bullet"/>
      <w:start w:val="1"/>
    </w:lvl>
  </w:abstractNum>
  <w:abstractNum w:abstractNumId="38">
    <w:nsid w:val="47398C89"/>
    <w:multiLevelType w:val="hybridMultilevel"/>
    <w:lvl w:ilvl="0">
      <w:lvlJc w:val="left"/>
      <w:lvlText w:val="2"/>
      <w:numFmt w:val="bullet"/>
      <w:start w:val="1"/>
    </w:lvl>
  </w:abstractNum>
  <w:abstractNum w:abstractNumId="39">
    <w:nsid w:val="354FE9F9"/>
    <w:multiLevelType w:val="hybridMultilevel"/>
    <w:lvl w:ilvl="0">
      <w:lvlJc w:val="left"/>
      <w:lvlText w:val="3"/>
      <w:numFmt w:val="bullet"/>
      <w:start w:val="1"/>
    </w:lvl>
  </w:abstractNum>
  <w:abstractNum w:abstractNumId="40">
    <w:nsid w:val="15B5AF5C"/>
    <w:multiLevelType w:val="hybridMultilevel"/>
    <w:lvl w:ilvl="0">
      <w:lvlJc w:val="left"/>
      <w:lvlText w:val="4"/>
      <w:numFmt w:val="bullet"/>
      <w:start w:val="1"/>
    </w:lvl>
  </w:abstractNum>
  <w:abstractNum w:abstractNumId="41">
    <w:nsid w:val="741226BB"/>
    <w:multiLevelType w:val="hybridMultilevel"/>
    <w:lvl w:ilvl="0">
      <w:lvlJc w:val="left"/>
      <w:lvlText w:val="5"/>
      <w:numFmt w:val="bullet"/>
      <w:start w:val="1"/>
    </w:lvl>
  </w:abstractNum>
  <w:abstractNum w:abstractNumId="42">
    <w:nsid w:val="D34B6A8"/>
    <w:multiLevelType w:val="hybridMultilevel"/>
    <w:lvl w:ilvl="0">
      <w:lvlJc w:val="left"/>
      <w:lvlText w:val="6"/>
      <w:numFmt w:val="bullet"/>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¹"/>
      <w:numFmt w:val="bullet"/>
      <w:start w:val="1"/>
    </w:lvl>
  </w:abstractNum>
  <w:abstractNum w:abstractNumId="46">
    <w:nsid w:val="7E0C57B1"/>
    <w:multiLevelType w:val="hybridMultilevel"/>
    <w:lvl w:ilvl="0">
      <w:lvlJc w:val="left"/>
      <w:lvlText w:val="¹"/>
      <w:numFmt w:val="bullet"/>
      <w:start w:val="1"/>
    </w:lvl>
  </w:abstractNum>
  <w:abstractNum w:abstractNumId="47">
    <w:nsid w:val="77AE35EB"/>
    <w:multiLevelType w:val="hybridMultilevel"/>
    <w:lvl w:ilvl="0">
      <w:lvlJc w:val="left"/>
      <w:lvlText w:val="%1"/>
      <w:numFmt w:val="upperLetter"/>
      <w:start w:val="44"/>
    </w:lvl>
  </w:abstractNum>
  <w:abstractNum w:abstractNumId="48">
    <w:nsid w:val="579BE4F1"/>
    <w:multiLevelType w:val="hybridMultilevel"/>
    <w:lvl w:ilvl="0">
      <w:lvlJc w:val="left"/>
      <w:lvlText w:val="1"/>
      <w:numFmt w:val="bullet"/>
      <w:start w:val="1"/>
    </w:lvl>
  </w:abstractNum>
  <w:abstractNum w:abstractNumId="49">
    <w:nsid w:val="310C50B3"/>
    <w:multiLevelType w:val="hybridMultilevel"/>
    <w:lvl w:ilvl="0">
      <w:lvlJc w:val="left"/>
      <w:lvlText w:val="(%1)"/>
      <w:numFmt w:val="lowerRoman"/>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¹"/>
      <w:numFmt w:val="bullet"/>
      <w:start w:val="1"/>
    </w:lvl>
  </w:abstractNum>
  <w:abstractNum w:abstractNumId="52">
    <w:nsid w:val="25A70BF7"/>
    <w:multiLevelType w:val="hybridMultilevel"/>
    <w:lvl w:ilvl="0">
      <w:lvlJc w:val="left"/>
      <w:lvlText w:val="²"/>
      <w:numFmt w:val="bullet"/>
      <w:start w:val="1"/>
    </w:lvl>
  </w:abstractNum>
  <w:abstractNum w:abstractNumId="53">
    <w:nsid w:val="1DBABF00"/>
    <w:multiLevelType w:val="hybridMultilevel"/>
    <w:lvl w:ilvl="0">
      <w:lvlJc w:val="left"/>
      <w:lvlText w:val="³"/>
      <w:numFmt w:val="bullet"/>
      <w:start w:val="1"/>
    </w:lvl>
  </w:abstractNum>
  <w:abstractNum w:abstractNumId="54">
    <w:nsid w:val="4AD084E9"/>
    <w:multiLevelType w:val="hybridMultilevel"/>
    <w:lvl w:ilvl="0">
      <w:lvlJc w:val="left"/>
      <w:lvlText w:val="1"/>
      <w:numFmt w:val="bullet"/>
      <w:start w:val="1"/>
    </w:lvl>
  </w:abstractNum>
  <w:abstractNum w:abstractNumId="55">
    <w:nsid w:val="1F48EAA1"/>
    <w:multiLevelType w:val="hybridMultilevel"/>
    <w:lvl w:ilvl="0">
      <w:lvlJc w:val="left"/>
      <w:lvlText w:val="2"/>
      <w:numFmt w:val="bullet"/>
      <w:start w:val="1"/>
    </w:lvl>
  </w:abstractNum>
  <w:abstractNum w:abstractNumId="56">
    <w:nsid w:val="1381823A"/>
    <w:multiLevelType w:val="hybridMultilevel"/>
    <w:lvl w:ilvl="0">
      <w:lvlJc w:val="left"/>
      <w:lvlText w:val="¹"/>
      <w:numFmt w:val="bullet"/>
      <w:start w:val="1"/>
    </w:lvl>
  </w:abstractNum>
  <w:abstractNum w:abstractNumId="57">
    <w:nsid w:val="5DB70AE5"/>
    <w:multiLevelType w:val="hybridMultilevel"/>
    <w:lvl w:ilvl="0">
      <w:lvlJc w:val="left"/>
      <w:lvlText w:val="²"/>
      <w:numFmt w:val="bullet"/>
      <w:start w:val="1"/>
    </w:lvl>
  </w:abstractNum>
  <w:abstractNum w:abstractNumId="58">
    <w:nsid w:val="100F8FCA"/>
    <w:multiLevelType w:val="hybridMultilevel"/>
    <w:lvl w:ilvl="0">
      <w:lvlJc w:val="left"/>
      <w:lvlText w:val="³"/>
      <w:numFmt w:val="bullet"/>
      <w:start w:val="1"/>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1"/>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1"/>
      <w:numFmt w:val="bullet"/>
      <w:start w:val="1"/>
    </w:lvl>
  </w:abstractNum>
  <w:abstractNum w:abstractNumId="66">
    <w:nsid w:val="168E121F"/>
    <w:multiLevelType w:val="hybridMultilevel"/>
    <w:lvl w:ilvl="0">
      <w:lvlJc w:val="left"/>
      <w:lvlText w:val="**"/>
      <w:numFmt w:val="bullet"/>
      <w:start w:val="1"/>
    </w:lvl>
    <w:lvl w:ilvl="1">
      <w:lvlJc w:val="left"/>
      <w:lvlText w:val="(%2)"/>
      <w:numFmt w:val="decimal"/>
      <w:start w:val="1"/>
    </w:lvl>
  </w:abstractNum>
  <w:abstractNum w:abstractNumId="67">
    <w:nsid w:val="1EBA5D23"/>
    <w:multiLevelType w:val="hybridMultilevel"/>
    <w:lvl w:ilvl="0">
      <w:lvlJc w:val="left"/>
      <w:lvlText w:val="(%1)"/>
      <w:numFmt w:val="decimal"/>
      <w:start w:val="4"/>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decimal"/>
      <w:start w:val="5"/>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decimal"/>
      <w:start w:val="5"/>
    </w:lvl>
  </w:abstractNum>
  <w:abstractNum w:abstractNumId="75">
    <w:nsid w:val="11447B73"/>
    <w:multiLevelType w:val="hybridMultilevel"/>
    <w:lvl w:ilvl="0">
      <w:lvlJc w:val="left"/>
      <w:lvlText w:val="(%1)"/>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21" Type="http://schemas.openxmlformats.org/officeDocument/2006/relationships/hyperlink" Target="http://www.sec.gov/Archives/edgar/data/1372807/000114420412012240/v304412_ex2-1.htm" TargetMode="External"/><Relationship Id="rId122" Type="http://schemas.openxmlformats.org/officeDocument/2006/relationships/hyperlink" Target="http://www.sec.gov/Archives/edgar/data/1372807/000119312506204545/dex99a.htm" TargetMode="External"/><Relationship Id="rId123" Type="http://schemas.openxmlformats.org/officeDocument/2006/relationships/hyperlink" Target="http://www.sec.gov/Archives/edgar/data/1372807/000114420412012240/v304412_ex3-1.htm" TargetMode="External"/><Relationship Id="rId124" Type="http://schemas.openxmlformats.org/officeDocument/2006/relationships/hyperlink" Target="http://www.sec.gov/Archives/edgar/data/1372807/000119312506238694/dex99e.htm" TargetMode="External"/><Relationship Id="rId125" Type="http://schemas.openxmlformats.org/officeDocument/2006/relationships/hyperlink" Target="http://www.sec.gov/Archives/edgar/data/1372807/000114420412054349/v323537_ex99d3.htm" TargetMode="External"/><Relationship Id="rId126" Type="http://schemas.openxmlformats.org/officeDocument/2006/relationships/hyperlink" Target="http://www.sec.gov/Archives/edgar/data/1372807/000114420412054349/v323537_ex99d5.htm" TargetMode="External"/><Relationship Id="rId127" Type="http://schemas.openxmlformats.org/officeDocument/2006/relationships/hyperlink" Target="http://www.sec.gov/Archives/edgar/data/1372807/000114420417042730/v473026_ex99-d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2019-12-28T18:15:03Z</dcterms:created>
  <dcterms:modified xsi:type="dcterms:W3CDTF">2019-12-28T18:15:03Z</dcterms:modified>
</cp:coreProperties>
</file>