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153670</wp:posOffset>
            </wp:positionH>
            <wp:positionV relativeFrom="page">
              <wp:posOffset>178435</wp:posOffset>
            </wp:positionV>
            <wp:extent cx="7253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194310</wp:posOffset>
            </wp:positionV>
            <wp:extent cx="7253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59055</wp:posOffset>
            </wp:positionV>
            <wp:extent cx="560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070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81915</wp:posOffset>
            </wp:positionV>
            <wp:extent cx="560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0705" cy="8255"/>
                    </a:xfrm>
                    <a:prstGeom prst="rect">
                      <a:avLst/>
                    </a:prstGeom>
                    <a:noFill/>
                  </pic:spPr>
                </pic:pic>
              </a:graphicData>
            </a:graphic>
          </wp:anchor>
        </w:drawing>
      </w:r>
    </w:p>
    <w:p>
      <w:pPr>
        <w:spacing w:after="0" w:line="165" w:lineRule="exact"/>
        <w:rPr>
          <w:sz w:val="24"/>
          <w:szCs w:val="24"/>
          <w:color w:val="auto"/>
        </w:rPr>
      </w:pPr>
    </w:p>
    <w:p>
      <w:pPr>
        <w:ind w:left="3840" w:right="2160" w:hanging="3838"/>
        <w:spacing w:after="0" w:line="322" w:lineRule="auto"/>
        <w:tabs>
          <w:tab w:leader="none" w:pos="581"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2019</w:t>
      </w:r>
    </w:p>
    <w:p>
      <w:pPr>
        <w:spacing w:after="0" w:line="26" w:lineRule="exact"/>
        <w:rPr>
          <w:sz w:val="24"/>
          <w:szCs w:val="24"/>
          <w:color w:val="auto"/>
        </w:rPr>
      </w:pPr>
    </w:p>
    <w:p>
      <w:pPr>
        <w:ind w:left="600" w:hanging="598"/>
        <w:spacing w:after="0"/>
        <w:tabs>
          <w:tab w:leader="none" w:pos="6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3" w:lineRule="exact"/>
        <w:rPr>
          <w:sz w:val="24"/>
          <w:szCs w:val="24"/>
          <w:color w:val="auto"/>
        </w:rPr>
      </w:pPr>
    </w:p>
    <w:p>
      <w:pPr>
        <w:ind w:left="4760"/>
        <w:spacing w:after="0"/>
        <w:tabs>
          <w:tab w:leader="none" w:pos="738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7"/>
          <w:szCs w:val="17"/>
          <w:b w:val="1"/>
          <w:bCs w:val="1"/>
          <w:color w:val="auto"/>
        </w:rPr>
        <w:t>Commission File No. 814-00735</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Portman Ridge Finance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69850</wp:posOffset>
            </wp:positionV>
            <wp:extent cx="560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0705" cy="8255"/>
                    </a:xfrm>
                    <a:prstGeom prst="rect">
                      <a:avLst/>
                    </a:prstGeom>
                    <a:noFill/>
                  </pic:spPr>
                </pic:pic>
              </a:graphicData>
            </a:graphic>
          </wp:anchor>
        </w:drawing>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3760" w:type="dxa"/>
            <w:vAlign w:val="bottom"/>
          </w:tcPr>
          <w:p>
            <w:pPr>
              <w:jc w:val="center"/>
              <w:ind w:left="1825"/>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40" w:type="dxa"/>
            <w:vAlign w:val="bottom"/>
          </w:tcPr>
          <w:p>
            <w:pPr>
              <w:jc w:val="center"/>
              <w:ind w:right="1825"/>
              <w:spacing w:after="0"/>
              <w:rPr>
                <w:sz w:val="20"/>
                <w:szCs w:val="20"/>
                <w:color w:val="auto"/>
              </w:rPr>
            </w:pPr>
            <w:r>
              <w:rPr>
                <w:rFonts w:ascii="Times New Roman" w:cs="Times New Roman" w:eastAsia="Times New Roman" w:hAnsi="Times New Roman"/>
                <w:sz w:val="17"/>
                <w:szCs w:val="17"/>
                <w:b w:val="1"/>
                <w:bCs w:val="1"/>
                <w:color w:val="auto"/>
                <w:w w:val="97"/>
              </w:rPr>
              <w:t>20-5951150</w:t>
            </w:r>
          </w:p>
        </w:tc>
      </w:tr>
      <w:tr>
        <w:trPr>
          <w:trHeight w:val="141"/>
        </w:trPr>
        <w:tc>
          <w:tcPr>
            <w:tcW w:w="3760" w:type="dxa"/>
            <w:vAlign w:val="bottom"/>
          </w:tcPr>
          <w:p>
            <w:pPr>
              <w:jc w:val="center"/>
              <w:ind w:left="1825"/>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40" w:type="dxa"/>
            <w:vAlign w:val="bottom"/>
          </w:tcPr>
          <w:p>
            <w:pPr>
              <w:jc w:val="center"/>
              <w:ind w:right="1825"/>
              <w:spacing w:after="0" w:line="141"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0"/>
        </w:trPr>
        <w:tc>
          <w:tcPr>
            <w:tcW w:w="3760" w:type="dxa"/>
            <w:vAlign w:val="bottom"/>
          </w:tcPr>
          <w:p>
            <w:pPr>
              <w:jc w:val="center"/>
              <w:ind w:left="1825"/>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740" w:type="dxa"/>
            <w:vAlign w:val="bottom"/>
          </w:tcPr>
          <w:p>
            <w:pPr>
              <w:jc w:val="center"/>
              <w:ind w:right="1825"/>
              <w:spacing w:after="0"/>
              <w:rPr>
                <w:sz w:val="20"/>
                <w:szCs w:val="20"/>
                <w:color w:val="auto"/>
              </w:rPr>
            </w:pPr>
            <w:r>
              <w:rPr>
                <w:rFonts w:ascii="Times New Roman" w:cs="Times New Roman" w:eastAsia="Times New Roman" w:hAnsi="Times New Roman"/>
                <w:sz w:val="14"/>
                <w:szCs w:val="14"/>
                <w:b w:val="1"/>
                <w:bCs w:val="1"/>
                <w:color w:val="auto"/>
                <w:w w:val="97"/>
              </w:rPr>
              <w:t>Identification Number)</w:t>
            </w:r>
          </w:p>
        </w:tc>
      </w:tr>
      <w:tr>
        <w:trPr>
          <w:trHeight w:val="234"/>
        </w:trPr>
        <w:tc>
          <w:tcPr>
            <w:tcW w:w="3760" w:type="dxa"/>
            <w:vAlign w:val="bottom"/>
          </w:tcPr>
          <w:p>
            <w:pPr>
              <w:spacing w:after="0"/>
              <w:rPr>
                <w:sz w:val="20"/>
                <w:szCs w:val="20"/>
                <w:color w:val="auto"/>
              </w:rPr>
            </w:pPr>
          </w:p>
        </w:tc>
        <w:tc>
          <w:tcPr>
            <w:tcW w:w="3920" w:type="dxa"/>
            <w:vAlign w:val="bottom"/>
            <w:gridSpan w:val="5"/>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650 Madison Avenue, 23rd Floor</w:t>
            </w:r>
          </w:p>
        </w:tc>
        <w:tc>
          <w:tcPr>
            <w:tcW w:w="3740" w:type="dxa"/>
            <w:vAlign w:val="bottom"/>
          </w:tcPr>
          <w:p>
            <w:pPr>
              <w:spacing w:after="0"/>
              <w:rPr>
                <w:sz w:val="20"/>
                <w:szCs w:val="20"/>
                <w:color w:val="auto"/>
              </w:rPr>
            </w:pPr>
          </w:p>
        </w:tc>
      </w:tr>
      <w:tr>
        <w:trPr>
          <w:trHeight w:val="205"/>
        </w:trPr>
        <w:tc>
          <w:tcPr>
            <w:tcW w:w="3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00" w:type="dxa"/>
            <w:vAlign w:val="bottom"/>
            <w:gridSpan w:val="4"/>
          </w:tcPr>
          <w:p>
            <w:pPr>
              <w:jc w:val="center"/>
              <w:ind w:right="820"/>
              <w:spacing w:after="0"/>
              <w:rPr>
                <w:sz w:val="20"/>
                <w:szCs w:val="20"/>
                <w:color w:val="auto"/>
              </w:rPr>
            </w:pPr>
            <w:r>
              <w:rPr>
                <w:rFonts w:ascii="Times New Roman" w:cs="Times New Roman" w:eastAsia="Times New Roman" w:hAnsi="Times New Roman"/>
                <w:sz w:val="17"/>
                <w:szCs w:val="17"/>
                <w:b w:val="1"/>
                <w:bCs w:val="1"/>
                <w:color w:val="auto"/>
                <w:w w:val="98"/>
              </w:rPr>
              <w:t>New York, New York 10022</w:t>
            </w:r>
          </w:p>
        </w:tc>
        <w:tc>
          <w:tcPr>
            <w:tcW w:w="3740" w:type="dxa"/>
            <w:vAlign w:val="bottom"/>
          </w:tcPr>
          <w:p>
            <w:pPr>
              <w:spacing w:after="0"/>
              <w:rPr>
                <w:sz w:val="17"/>
                <w:szCs w:val="17"/>
                <w:color w:val="auto"/>
              </w:rPr>
            </w:pPr>
          </w:p>
        </w:tc>
      </w:tr>
      <w:tr>
        <w:trPr>
          <w:trHeight w:val="226"/>
        </w:trPr>
        <w:tc>
          <w:tcPr>
            <w:tcW w:w="3760" w:type="dxa"/>
            <w:vAlign w:val="bottom"/>
          </w:tcPr>
          <w:p>
            <w:pPr>
              <w:spacing w:after="0"/>
              <w:rPr>
                <w:sz w:val="19"/>
                <w:szCs w:val="19"/>
                <w:color w:val="auto"/>
              </w:rPr>
            </w:pPr>
          </w:p>
        </w:tc>
        <w:tc>
          <w:tcPr>
            <w:tcW w:w="3920" w:type="dxa"/>
            <w:vAlign w:val="bottom"/>
            <w:gridSpan w:val="5"/>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3740" w:type="dxa"/>
            <w:vAlign w:val="bottom"/>
          </w:tcPr>
          <w:p>
            <w:pPr>
              <w:spacing w:after="0"/>
              <w:rPr>
                <w:sz w:val="19"/>
                <w:szCs w:val="19"/>
                <w:color w:val="auto"/>
              </w:rPr>
            </w:pPr>
          </w:p>
        </w:tc>
      </w:tr>
      <w:tr>
        <w:trPr>
          <w:trHeight w:val="247"/>
        </w:trPr>
        <w:tc>
          <w:tcPr>
            <w:tcW w:w="3760" w:type="dxa"/>
            <w:vAlign w:val="bottom"/>
          </w:tcPr>
          <w:p>
            <w:pPr>
              <w:spacing w:after="0"/>
              <w:rPr>
                <w:sz w:val="21"/>
                <w:szCs w:val="21"/>
                <w:color w:val="auto"/>
              </w:rPr>
            </w:pPr>
          </w:p>
        </w:tc>
        <w:tc>
          <w:tcPr>
            <w:tcW w:w="3000" w:type="dxa"/>
            <w:vAlign w:val="bottom"/>
            <w:gridSpan w:val="3"/>
          </w:tcPr>
          <w:p>
            <w:pPr>
              <w:jc w:val="center"/>
              <w:ind w:left="816"/>
              <w:spacing w:after="0"/>
              <w:rPr>
                <w:sz w:val="20"/>
                <w:szCs w:val="20"/>
                <w:color w:val="auto"/>
              </w:rPr>
            </w:pPr>
            <w:r>
              <w:rPr>
                <w:rFonts w:ascii="Times New Roman" w:cs="Times New Roman" w:eastAsia="Times New Roman" w:hAnsi="Times New Roman"/>
                <w:sz w:val="17"/>
                <w:szCs w:val="17"/>
                <w:b w:val="1"/>
                <w:bCs w:val="1"/>
                <w:color w:val="auto"/>
                <w:w w:val="99"/>
              </w:rPr>
              <w:t>(212) 891-2880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226"/>
        </w:trPr>
        <w:tc>
          <w:tcPr>
            <w:tcW w:w="3760" w:type="dxa"/>
            <w:vAlign w:val="bottom"/>
          </w:tcPr>
          <w:p>
            <w:pPr>
              <w:spacing w:after="0"/>
              <w:rPr>
                <w:sz w:val="19"/>
                <w:szCs w:val="19"/>
                <w:color w:val="auto"/>
              </w:rPr>
            </w:pPr>
          </w:p>
        </w:tc>
        <w:tc>
          <w:tcPr>
            <w:tcW w:w="392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(Registrant's telephone number, including area code)</w:t>
            </w:r>
          </w:p>
        </w:tc>
        <w:tc>
          <w:tcPr>
            <w:tcW w:w="3740" w:type="dxa"/>
            <w:vAlign w:val="bottom"/>
          </w:tcPr>
          <w:p>
            <w:pPr>
              <w:spacing w:after="0"/>
              <w:rPr>
                <w:sz w:val="19"/>
                <w:szCs w:val="19"/>
                <w:color w:val="auto"/>
              </w:rPr>
            </w:pPr>
          </w:p>
        </w:tc>
      </w:tr>
      <w:tr>
        <w:trPr>
          <w:trHeight w:val="252"/>
        </w:trPr>
        <w:tc>
          <w:tcPr>
            <w:tcW w:w="3760" w:type="dxa"/>
            <w:vAlign w:val="bottom"/>
          </w:tcPr>
          <w:p>
            <w:pPr>
              <w:spacing w:after="0"/>
              <w:rPr>
                <w:sz w:val="21"/>
                <w:szCs w:val="21"/>
                <w:color w:val="auto"/>
              </w:rPr>
            </w:pPr>
          </w:p>
        </w:tc>
        <w:tc>
          <w:tcPr>
            <w:tcW w:w="3920" w:type="dxa"/>
            <w:vAlign w:val="bottom"/>
            <w:gridSpan w:val="5"/>
          </w:tcPr>
          <w:p>
            <w:pPr>
              <w:jc w:val="center"/>
              <w:ind w:right="2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740" w:type="dxa"/>
            <w:vAlign w:val="bottom"/>
          </w:tcPr>
          <w:p>
            <w:pPr>
              <w:spacing w:after="0"/>
              <w:rPr>
                <w:sz w:val="21"/>
                <w:szCs w:val="21"/>
                <w:color w:val="auto"/>
              </w:rPr>
            </w:pPr>
          </w:p>
        </w:tc>
      </w:tr>
      <w:tr>
        <w:trPr>
          <w:trHeight w:val="205"/>
        </w:trPr>
        <w:tc>
          <w:tcPr>
            <w:tcW w:w="3760" w:type="dxa"/>
            <w:vAlign w:val="bottom"/>
          </w:tcPr>
          <w:p>
            <w:pPr>
              <w:jc w:val="center"/>
              <w:ind w:left="745"/>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3"/>
          </w:tcPr>
          <w:p>
            <w:pPr>
              <w:jc w:val="center"/>
              <w:ind w:right="90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3740" w:type="dxa"/>
            <w:vAlign w:val="bottom"/>
          </w:tcPr>
          <w:p>
            <w:pPr>
              <w:jc w:val="center"/>
              <w:ind w:right="725"/>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75"/>
        </w:trPr>
        <w:tc>
          <w:tcPr>
            <w:tcW w:w="3760" w:type="dxa"/>
            <w:vAlign w:val="bottom"/>
            <w:tcBorders>
              <w:top w:val="single" w:sz="8" w:color="auto"/>
            </w:tcBorders>
          </w:tcPr>
          <w:p>
            <w:pPr>
              <w:jc w:val="center"/>
              <w:ind w:left="745"/>
              <w:spacing w:after="0"/>
              <w:rPr>
                <w:sz w:val="20"/>
                <w:szCs w:val="20"/>
                <w:color w:val="auto"/>
              </w:rPr>
            </w:pPr>
            <w:r>
              <w:rPr>
                <w:rFonts w:ascii="Times New Roman" w:cs="Times New Roman" w:eastAsia="Times New Roman" w:hAnsi="Times New Roman"/>
                <w:sz w:val="15"/>
                <w:szCs w:val="15"/>
                <w:color w:val="auto"/>
              </w:rPr>
              <w:t>Common Stock, par value $0.01 per share</w:t>
            </w: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PTMN</w:t>
            </w: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740" w:type="dxa"/>
            <w:vAlign w:val="bottom"/>
            <w:tcBorders>
              <w:top w:val="single" w:sz="8" w:color="auto"/>
            </w:tcBorders>
          </w:tcPr>
          <w:p>
            <w:pPr>
              <w:jc w:val="center"/>
              <w:ind w:right="725"/>
              <w:spacing w:after="0"/>
              <w:rPr>
                <w:sz w:val="20"/>
                <w:szCs w:val="20"/>
                <w:color w:val="auto"/>
              </w:rPr>
            </w:pPr>
            <w:r>
              <w:rPr>
                <w:rFonts w:ascii="Times New Roman" w:cs="Times New Roman" w:eastAsia="Times New Roman" w:hAnsi="Times New Roman"/>
                <w:sz w:val="15"/>
                <w:szCs w:val="15"/>
                <w:color w:val="auto"/>
              </w:rPr>
              <w:t>The NASDAQ Global Select Market</w:t>
            </w:r>
          </w:p>
        </w:tc>
      </w:tr>
      <w:tr>
        <w:trPr>
          <w:trHeight w:val="199"/>
        </w:trPr>
        <w:tc>
          <w:tcPr>
            <w:tcW w:w="3760" w:type="dxa"/>
            <w:vAlign w:val="bottom"/>
          </w:tcPr>
          <w:p>
            <w:pPr>
              <w:jc w:val="center"/>
              <w:ind w:left="745"/>
              <w:spacing w:after="0"/>
              <w:rPr>
                <w:sz w:val="20"/>
                <w:szCs w:val="20"/>
                <w:color w:val="auto"/>
              </w:rPr>
            </w:pPr>
            <w:r>
              <w:rPr>
                <w:rFonts w:ascii="Times New Roman" w:cs="Times New Roman" w:eastAsia="Times New Roman" w:hAnsi="Times New Roman"/>
                <w:sz w:val="15"/>
                <w:szCs w:val="15"/>
                <w:color w:val="auto"/>
              </w:rPr>
              <w:t>6.125% Notes due 2022</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3"/>
          </w:tcPr>
          <w:p>
            <w:pPr>
              <w:jc w:val="center"/>
              <w:ind w:right="900"/>
              <w:spacing w:after="0"/>
              <w:rPr>
                <w:sz w:val="20"/>
                <w:szCs w:val="20"/>
                <w:color w:val="auto"/>
              </w:rPr>
            </w:pPr>
            <w:r>
              <w:rPr>
                <w:rFonts w:ascii="Times New Roman" w:cs="Times New Roman" w:eastAsia="Times New Roman" w:hAnsi="Times New Roman"/>
                <w:sz w:val="15"/>
                <w:szCs w:val="15"/>
                <w:color w:val="auto"/>
              </w:rPr>
              <w:t>KCAPL</w:t>
            </w:r>
          </w:p>
        </w:tc>
        <w:tc>
          <w:tcPr>
            <w:tcW w:w="3740" w:type="dxa"/>
            <w:vAlign w:val="bottom"/>
          </w:tcPr>
          <w:p>
            <w:pPr>
              <w:jc w:val="center"/>
              <w:ind w:right="725"/>
              <w:spacing w:after="0"/>
              <w:rPr>
                <w:sz w:val="20"/>
                <w:szCs w:val="20"/>
                <w:color w:val="auto"/>
              </w:rPr>
            </w:pPr>
            <w:r>
              <w:rPr>
                <w:rFonts w:ascii="Times New Roman" w:cs="Times New Roman" w:eastAsia="Times New Roman" w:hAnsi="Times New Roman"/>
                <w:sz w:val="15"/>
                <w:szCs w:val="15"/>
                <w:color w:val="auto"/>
              </w:rPr>
              <w:t>The NASDAQ Global Select Market</w:t>
            </w:r>
          </w:p>
        </w:tc>
      </w:tr>
    </w:tbl>
    <w:p>
      <w:pPr>
        <w:spacing w:after="0" w:line="5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w:t>
      </w:r>
    </w:p>
    <w:p>
      <w:pPr>
        <w:spacing w:after="0" w:line="2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6" w:lineRule="exact"/>
        <w:rPr>
          <w:sz w:val="24"/>
          <w:szCs w:val="24"/>
          <w:color w:val="auto"/>
        </w:rPr>
      </w:pPr>
    </w:p>
    <w:p>
      <w:pPr>
        <w:ind w:right="20" w:firstLine="440"/>
        <w:spacing w:after="0" w:line="20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5" w:lineRule="exact"/>
        <w:rPr>
          <w:sz w:val="24"/>
          <w:szCs w:val="24"/>
          <w:color w:val="auto"/>
        </w:rPr>
      </w:pPr>
    </w:p>
    <w:p>
      <w:pPr>
        <w:ind w:right="580" w:firstLine="440"/>
        <w:spacing w:after="0" w:line="302"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6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Accelerated filer</w:t>
            </w:r>
          </w:p>
        </w:tc>
        <w:tc>
          <w:tcPr>
            <w:tcW w:w="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92"/>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6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6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518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41" w:lineRule="exact"/>
        <w:rPr>
          <w:sz w:val="24"/>
          <w:szCs w:val="24"/>
          <w:color w:val="auto"/>
        </w:rPr>
      </w:pPr>
    </w:p>
    <w:p>
      <w:pPr>
        <w:ind w:right="320" w:firstLine="440"/>
        <w:spacing w:after="0" w:line="203"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7" w:lineRule="exact"/>
        <w:rPr>
          <w:sz w:val="24"/>
          <w:szCs w:val="24"/>
          <w:color w:val="auto"/>
        </w:rPr>
      </w:pPr>
    </w:p>
    <w:p>
      <w:pPr>
        <w:ind w:left="44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9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color w:val="auto"/>
        </w:rPr>
        <w:t>The number of outstanding shares of common stock of the registrant as of November 4, 2019 was 37,371,912.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53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89535</wp:posOffset>
            </wp:positionV>
            <wp:extent cx="7253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507365</wp:posOffset>
            </wp:positionV>
            <wp:extent cx="729551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340" w:type="dxa"/>
            <w:vAlign w:val="bottom"/>
            <w:gridSpan w:val="14"/>
          </w:tcPr>
          <w:p>
            <w:pPr>
              <w:ind w:left="14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9"/>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Page</w:t>
            </w:r>
          </w:p>
        </w:tc>
        <w:tc>
          <w:tcPr>
            <w:tcW w:w="40" w:type="dxa"/>
            <w:vAlign w:val="bottom"/>
          </w:tcPr>
          <w:p>
            <w:pPr>
              <w:spacing w:after="0"/>
              <w:rPr>
                <w:sz w:val="24"/>
                <w:szCs w:val="24"/>
                <w:color w:val="auto"/>
              </w:rPr>
            </w:pPr>
          </w:p>
        </w:tc>
      </w:tr>
      <w:tr>
        <w:trPr>
          <w:trHeight w:val="197"/>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840" w:type="dxa"/>
            <w:vAlign w:val="bottom"/>
            <w:gridSpan w:val="13"/>
            <w:shd w:val="clear" w:color="auto" w:fill="CCEEFF"/>
          </w:tcPr>
          <w:p>
            <w:pPr>
              <w:jc w:val="center"/>
              <w:ind w:right="3720"/>
              <w:spacing w:after="0" w:line="167" w:lineRule="exact"/>
              <w:rPr>
                <w:sz w:val="20"/>
                <w:szCs w:val="20"/>
                <w:color w:val="auto"/>
              </w:rPr>
            </w:pPr>
            <w:r>
              <w:rPr>
                <w:rFonts w:ascii="Times New Roman" w:cs="Times New Roman" w:eastAsia="Times New Roman" w:hAnsi="Times New Roman"/>
                <w:sz w:val="17"/>
                <w:szCs w:val="17"/>
                <w:b w:val="1"/>
                <w:bCs w:val="1"/>
                <w:color w:val="auto"/>
                <w:w w:val="99"/>
              </w:rPr>
              <w:t>Part I. Financial Information</w:t>
            </w: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1.</w:t>
            </w:r>
          </w:p>
        </w:tc>
        <w:tc>
          <w:tcPr>
            <w:tcW w:w="9980" w:type="dxa"/>
            <w:vAlign w:val="bottom"/>
            <w:gridSpan w:val="21"/>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7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rPr>
                <w:sz w:val="16"/>
                <w:szCs w:val="16"/>
                <w:color w:val="auto"/>
              </w:rPr>
            </w:pP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Consolidated Balance Sheets as of September 30, 2019 (unaudited) and December 31, 2018</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5</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rPr>
                <w:sz w:val="16"/>
                <w:szCs w:val="16"/>
                <w:color w:val="auto"/>
              </w:rPr>
            </w:pP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Consolidated Statements of Operations (unaudited) for the three and nine months ended September 30, 2019 and 2018</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rPr>
                <w:sz w:val="16"/>
                <w:szCs w:val="16"/>
                <w:color w:val="auto"/>
              </w:rPr>
            </w:pP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7">
              <w:r>
                <w:rPr>
                  <w:rFonts w:ascii="Times New Roman" w:cs="Times New Roman" w:eastAsia="Times New Roman" w:hAnsi="Times New Roman"/>
                  <w:sz w:val="17"/>
                  <w:szCs w:val="17"/>
                  <w:color w:val="0000EE"/>
                </w:rPr>
                <w:t>Consolidated Statements of Changes in Net Assets (unaudited) for the nine months ended September 30, 2019 and 2018</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7</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rPr>
                <w:sz w:val="16"/>
                <w:szCs w:val="16"/>
                <w:color w:val="auto"/>
              </w:rPr>
            </w:pP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8">
              <w:r>
                <w:rPr>
                  <w:rFonts w:ascii="Times New Roman" w:cs="Times New Roman" w:eastAsia="Times New Roman" w:hAnsi="Times New Roman"/>
                  <w:sz w:val="17"/>
                  <w:szCs w:val="17"/>
                  <w:color w:val="0000EE"/>
                </w:rPr>
                <w:t>Consolidated Statements of Cash Flows (unaudited) for the nine months ended September 30, 2019 and 2018</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8</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rPr>
                <w:sz w:val="16"/>
                <w:szCs w:val="16"/>
                <w:color w:val="auto"/>
              </w:rPr>
            </w:pP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9">
              <w:r>
                <w:rPr>
                  <w:rFonts w:ascii="Times New Roman" w:cs="Times New Roman" w:eastAsia="Times New Roman" w:hAnsi="Times New Roman"/>
                  <w:sz w:val="17"/>
                  <w:szCs w:val="17"/>
                  <w:color w:val="0000EE"/>
                </w:rPr>
                <w:t>Consolidated Schedules of Investments as of September 30, 2019 (unaudited) and December 31, 2018</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9</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rPr>
                <w:sz w:val="16"/>
                <w:szCs w:val="16"/>
                <w:color w:val="auto"/>
              </w:rPr>
            </w:pP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25">
              <w:r>
                <w:rPr>
                  <w:rFonts w:ascii="Times New Roman" w:cs="Times New Roman" w:eastAsia="Times New Roman" w:hAnsi="Times New Roman"/>
                  <w:sz w:val="17"/>
                  <w:szCs w:val="17"/>
                  <w:color w:val="0000EE"/>
                </w:rPr>
                <w:t>Consolidated Financial Highlights (unaudited) for the nine months ended September 30, 2019 and 2018</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25</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rPr>
                <w:sz w:val="16"/>
                <w:szCs w:val="16"/>
                <w:color w:val="auto"/>
              </w:rPr>
            </w:pP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26">
              <w:r>
                <w:rPr>
                  <w:rFonts w:ascii="Times New Roman" w:cs="Times New Roman" w:eastAsia="Times New Roman" w:hAnsi="Times New Roman"/>
                  <w:sz w:val="17"/>
                  <w:szCs w:val="17"/>
                  <w:color w:val="0000EE"/>
                </w:rPr>
                <w:t>Notes to Consolidated Financial Statements (unaudited)</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26</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Item 2.</w:t>
            </w: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69">
              <w:r>
                <w:rPr>
                  <w:rFonts w:ascii="Times New Roman" w:cs="Times New Roman" w:eastAsia="Times New Roman" w:hAnsi="Times New Roman"/>
                  <w:sz w:val="17"/>
                  <w:szCs w:val="17"/>
                  <w:color w:val="0000EE"/>
                </w:rPr>
                <w:t>Management’s Discussion and Analysis of Financial Condition and Results of Operations</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69</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Item 3.</w:t>
            </w: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97">
              <w:r>
                <w:rPr>
                  <w:rFonts w:ascii="Times New Roman" w:cs="Times New Roman" w:eastAsia="Times New Roman" w:hAnsi="Times New Roman"/>
                  <w:sz w:val="17"/>
                  <w:szCs w:val="17"/>
                  <w:color w:val="0000EE"/>
                </w:rPr>
                <w:t>Quantitative and Qualitative Disclosures About Market Risk</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97</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Item 4.</w:t>
            </w: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99">
              <w:r>
                <w:rPr>
                  <w:rFonts w:ascii="Times New Roman" w:cs="Times New Roman" w:eastAsia="Times New Roman" w:hAnsi="Times New Roman"/>
                  <w:sz w:val="17"/>
                  <w:szCs w:val="17"/>
                  <w:color w:val="0000EE"/>
                </w:rPr>
                <w:t>Changes in and Disagreements with Accountants on Accounting and Financial Disclosure</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99</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Item 5.</w:t>
            </w: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99">
              <w:r>
                <w:rPr>
                  <w:rFonts w:ascii="Times New Roman" w:cs="Times New Roman" w:eastAsia="Times New Roman" w:hAnsi="Times New Roman"/>
                  <w:sz w:val="17"/>
                  <w:szCs w:val="17"/>
                  <w:color w:val="0000EE"/>
                </w:rPr>
                <w:t>Controls and Procedures</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99</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840" w:type="dxa"/>
            <w:vAlign w:val="bottom"/>
            <w:gridSpan w:val="13"/>
            <w:shd w:val="clear" w:color="auto" w:fill="CCEEFF"/>
          </w:tcPr>
          <w:p>
            <w:pPr>
              <w:jc w:val="center"/>
              <w:ind w:right="3720"/>
              <w:spacing w:after="0" w:line="167" w:lineRule="exact"/>
              <w:rPr>
                <w:rFonts w:ascii="Times New Roman" w:cs="Times New Roman" w:eastAsia="Times New Roman" w:hAnsi="Times New Roman"/>
                <w:sz w:val="17"/>
                <w:szCs w:val="17"/>
                <w:b w:val="1"/>
                <w:bCs w:val="1"/>
                <w:color w:val="0000EE"/>
              </w:rPr>
            </w:pPr>
            <w:hyperlink w:anchor="page100">
              <w:r>
                <w:rPr>
                  <w:rFonts w:ascii="Times New Roman" w:cs="Times New Roman" w:eastAsia="Times New Roman" w:hAnsi="Times New Roman"/>
                  <w:sz w:val="17"/>
                  <w:szCs w:val="17"/>
                  <w:b w:val="1"/>
                  <w:bCs w:val="1"/>
                  <w:color w:val="0000EE"/>
                </w:rPr>
                <w:t>Part II. Other Information</w:t>
              </w:r>
            </w:hyperlink>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Item 1.</w:t>
            </w: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100">
              <w:r>
                <w:rPr>
                  <w:rFonts w:ascii="Times New Roman" w:cs="Times New Roman" w:eastAsia="Times New Roman" w:hAnsi="Times New Roman"/>
                  <w:sz w:val="17"/>
                  <w:szCs w:val="17"/>
                  <w:color w:val="0000EE"/>
                </w:rPr>
                <w:t>Legal Proceedings</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Item 1A.</w:t>
            </w: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100">
              <w:r>
                <w:rPr>
                  <w:rFonts w:ascii="Times New Roman" w:cs="Times New Roman" w:eastAsia="Times New Roman" w:hAnsi="Times New Roman"/>
                  <w:sz w:val="17"/>
                  <w:szCs w:val="17"/>
                  <w:color w:val="0000EE"/>
                </w:rPr>
                <w:t>Risk Factors</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Item 2.</w:t>
            </w: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100">
              <w:r>
                <w:rPr>
                  <w:rFonts w:ascii="Times New Roman" w:cs="Times New Roman" w:eastAsia="Times New Roman" w:hAnsi="Times New Roman"/>
                  <w:sz w:val="17"/>
                  <w:szCs w:val="17"/>
                  <w:color w:val="0000EE"/>
                </w:rPr>
                <w:t>Unregistered Sales of Equity Securities and Use of Proceeds</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Item 3.</w:t>
            </w: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100">
              <w:r>
                <w:rPr>
                  <w:rFonts w:ascii="Times New Roman" w:cs="Times New Roman" w:eastAsia="Times New Roman" w:hAnsi="Times New Roman"/>
                  <w:sz w:val="17"/>
                  <w:szCs w:val="17"/>
                  <w:color w:val="0000EE"/>
                </w:rPr>
                <w:t>Defaults Upon Senior Securities</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Item 4.</w:t>
            </w: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101">
              <w:r>
                <w:rPr>
                  <w:rFonts w:ascii="Times New Roman" w:cs="Times New Roman" w:eastAsia="Times New Roman" w:hAnsi="Times New Roman"/>
                  <w:sz w:val="17"/>
                  <w:szCs w:val="17"/>
                  <w:color w:val="0000EE"/>
                </w:rPr>
                <w:t>Mine Safety Disclosures</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101</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Item 5.</w:t>
            </w: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101">
              <w:r>
                <w:rPr>
                  <w:rFonts w:ascii="Times New Roman" w:cs="Times New Roman" w:eastAsia="Times New Roman" w:hAnsi="Times New Roman"/>
                  <w:sz w:val="17"/>
                  <w:szCs w:val="17"/>
                  <w:color w:val="0000EE"/>
                </w:rPr>
                <w:t>Other Information</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101</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Item 6.</w:t>
            </w:r>
          </w:p>
        </w:tc>
        <w:tc>
          <w:tcPr>
            <w:tcW w:w="9980" w:type="dxa"/>
            <w:vAlign w:val="bottom"/>
            <w:gridSpan w:val="21"/>
            <w:shd w:val="clear" w:color="auto" w:fill="CCEEFF"/>
          </w:tcPr>
          <w:p>
            <w:pPr>
              <w:ind w:left="440"/>
              <w:spacing w:after="0" w:line="167" w:lineRule="exact"/>
              <w:rPr>
                <w:rFonts w:ascii="Times New Roman" w:cs="Times New Roman" w:eastAsia="Times New Roman" w:hAnsi="Times New Roman"/>
                <w:sz w:val="17"/>
                <w:szCs w:val="17"/>
                <w:color w:val="0000EE"/>
              </w:rPr>
            </w:pPr>
            <w:hyperlink w:anchor="page101">
              <w:r>
                <w:rPr>
                  <w:rFonts w:ascii="Times New Roman" w:cs="Times New Roman" w:eastAsia="Times New Roman" w:hAnsi="Times New Roman"/>
                  <w:sz w:val="17"/>
                  <w:szCs w:val="17"/>
                  <w:color w:val="0000EE"/>
                </w:rPr>
                <w:t>Exhibits</w:t>
              </w:r>
            </w:hyperlink>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101</w:t>
            </w:r>
          </w:p>
        </w:tc>
        <w:tc>
          <w:tcPr>
            <w:tcW w:w="40" w:type="dxa"/>
            <w:vAlign w:val="bottom"/>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720" w:type="dxa"/>
            <w:vAlign w:val="bottom"/>
            <w:tcBorders>
              <w:bottom w:val="single" w:sz="8" w:color="0000EE"/>
            </w:tcBorders>
            <w:shd w:val="clear" w:color="auto" w:fill="CCEEFF"/>
          </w:tcPr>
          <w:p>
            <w:pPr>
              <w:spacing w:after="0" w:line="167" w:lineRule="exact"/>
              <w:rPr>
                <w:rFonts w:ascii="Times New Roman" w:cs="Times New Roman" w:eastAsia="Times New Roman" w:hAnsi="Times New Roman"/>
                <w:sz w:val="17"/>
                <w:szCs w:val="17"/>
                <w:color w:val="0000EE"/>
                <w:w w:val="97"/>
              </w:rPr>
            </w:pPr>
            <w:hyperlink w:anchor="page103">
              <w:r>
                <w:rPr>
                  <w:rFonts w:ascii="Times New Roman" w:cs="Times New Roman" w:eastAsia="Times New Roman" w:hAnsi="Times New Roman"/>
                  <w:sz w:val="17"/>
                  <w:szCs w:val="17"/>
                  <w:color w:val="0000EE"/>
                  <w:w w:val="97"/>
                </w:rPr>
                <w:t>Signatures</w:t>
              </w:r>
            </w:hyperlink>
          </w:p>
        </w:tc>
        <w:tc>
          <w:tcPr>
            <w:tcW w:w="4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103</w:t>
            </w:r>
          </w:p>
        </w:tc>
        <w:tc>
          <w:tcPr>
            <w:tcW w:w="40" w:type="dxa"/>
            <w:vAlign w:val="bottom"/>
          </w:tcPr>
          <w:p>
            <w:pPr>
              <w:spacing w:after="0"/>
              <w:rPr>
                <w:sz w:val="16"/>
                <w:szCs w:val="16"/>
                <w:color w:val="auto"/>
              </w:rPr>
            </w:pPr>
          </w:p>
        </w:tc>
      </w:tr>
      <w:tr>
        <w:trPr>
          <w:trHeight w:val="615"/>
        </w:trPr>
        <w:tc>
          <w:tcPr>
            <w:tcW w:w="720" w:type="dxa"/>
            <w:vAlign w:val="bottom"/>
          </w:tcPr>
          <w:p>
            <w:pPr>
              <w:spacing w:after="0"/>
              <w:rPr>
                <w:sz w:val="24"/>
                <w:szCs w:val="24"/>
                <w:color w:val="auto"/>
              </w:rPr>
            </w:pPr>
          </w:p>
        </w:tc>
        <w:tc>
          <w:tcPr>
            <w:tcW w:w="6180" w:type="dxa"/>
            <w:vAlign w:val="bottom"/>
            <w:gridSpan w:val="12"/>
          </w:tcPr>
          <w:p>
            <w:pPr>
              <w:ind w:left="496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7"/>
        </w:trPr>
        <w:tc>
          <w:tcPr>
            <w:tcW w:w="7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19" w:right="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NOTE ABOUT REFERENCES TO PORTMAN RIDGE FINANCE CORPORATION</w:t>
      </w:r>
    </w:p>
    <w:p>
      <w:pPr>
        <w:spacing w:after="0" w:line="179"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7"/>
          <w:szCs w:val="17"/>
          <w:color w:val="auto"/>
        </w:rPr>
        <w:t>In this Quarterly Report on Form 10-Q, the “Company”, “Portman Ridge”, “we”, “us” and “our” refer to Portman Ridge Finance Corporation and its wholly-owned subsidiaries, Great Lakes KCAP Funding I LLC, Kohlberg Capital Funding I LLC, KCAP Senior Funding I, LLC and KCAP Senior Funding I Holdings, LLC, unless the context otherwise requires.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ABOUT FORWARD-LOOKING STATEMENTS</w:t>
      </w:r>
    </w:p>
    <w:p>
      <w:pPr>
        <w:spacing w:after="0" w:line="1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7"/>
          <w:szCs w:val="17"/>
          <w:color w:val="auto"/>
        </w:rPr>
        <w:t>The information contained in this item should be read in conjunction with our consolidated financial statements and notes thereto appearing elsewhere in this Quarterly Report and in conjunction with the financial statements and notes thereto in the Company’s Form 10-K for the year ended December 31, 2018,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Portman Ridge Finance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“outlook,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48" w:lineRule="exact"/>
        <w:rPr>
          <w:sz w:val="20"/>
          <w:szCs w:val="20"/>
          <w:color w:val="auto"/>
        </w:rPr>
      </w:pPr>
    </w:p>
    <w:p>
      <w:pPr>
        <w:ind w:left="880" w:hanging="443"/>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operating results;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prospects and the prospects of our existing and prospective portfolio companies;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return or impact of current and future investments;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contractual arrangements and other relationships with third parties;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dependence of our future success on the general economy and its impact on the industries in which we invest;</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condition and ability of our existing and prospective portfolio companies to achieve their objectives;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expected financings and investments;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regulatory structure and tax treatment;</w:t>
      </w:r>
    </w:p>
    <w:p>
      <w:pPr>
        <w:spacing w:after="0" w:line="175" w:lineRule="exact"/>
        <w:rPr>
          <w:rFonts w:ascii="Times New Roman" w:cs="Times New Roman" w:eastAsia="Times New Roman" w:hAnsi="Times New Roman"/>
          <w:sz w:val="17"/>
          <w:szCs w:val="17"/>
          <w:color w:val="auto"/>
        </w:rPr>
      </w:pPr>
    </w:p>
    <w:p>
      <w:pPr>
        <w:ind w:left="880" w:hanging="443"/>
        <w:spacing w:after="0" w:line="283" w:lineRule="auto"/>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operate as a business development company (“BDC”) and a regulated investment company (“RIC”), including the impact of changes in laws or regulations governing our operations or the operations of our portfolio companies;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00"/>
          </w:cols>
          <w:pgMar w:left="240" w:top="119" w:right="259" w:bottom="1440" w:gutter="0" w:footer="0" w:header="0"/>
        </w:sectPr>
      </w:pPr>
    </w:p>
    <w:bookmarkStart w:id="3" w:name="page4"/>
    <w:bookmarkEnd w:id="3"/>
    <w:p>
      <w:pPr>
        <w:ind w:left="880" w:hanging="443"/>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cash resources and working capital;</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cash flows, if any, from the operations of our portfolio companies;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Sierra Crest Investment Management LLC (the “Adviser”) to locate suitable investments for us to monitor and administer our investments;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Adviser to attract and retain highly talented professionals;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and potential conflicts of interest with the Adviser and its affiliates;</w:t>
      </w:r>
    </w:p>
    <w:p>
      <w:pPr>
        <w:spacing w:after="0" w:line="175" w:lineRule="exact"/>
        <w:rPr>
          <w:rFonts w:ascii="Times New Roman" w:cs="Times New Roman" w:eastAsia="Times New Roman" w:hAnsi="Times New Roman"/>
          <w:sz w:val="17"/>
          <w:szCs w:val="17"/>
          <w:color w:val="auto"/>
        </w:rPr>
      </w:pPr>
    </w:p>
    <w:p>
      <w:pPr>
        <w:ind w:left="880" w:hanging="443"/>
        <w:spacing w:after="0" w:line="283" w:lineRule="auto"/>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qualify and maintain our qualification as a RIC under Subchapter M of the Internal Revenue Code of 1986, as amended (the “Code”), and as a BDC;</w:t>
      </w:r>
    </w:p>
    <w:p>
      <w:pPr>
        <w:spacing w:after="0" w:line="114"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legal, tax, and regulatory changes;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 protracted decline in the liquidity of credit markets on our business;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fluctuations in interest rates on our business;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valuation of our investments in portfolio companies, particularly those having no liquid trading market;</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recover unrealized losses;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and our ability to access additional capital; and</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form and amount of any dividend distributions.</w:t>
      </w:r>
    </w:p>
    <w:p>
      <w:pPr>
        <w:spacing w:after="0" w:line="17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7"/>
          <w:szCs w:val="17"/>
          <w:color w:val="auto"/>
        </w:rPr>
        <w:t>For a more detailed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2018.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PORTMAN RIDGE FINANCE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20" w:type="dxa"/>
            <w:vAlign w:val="bottom"/>
          </w:tcPr>
          <w:p>
            <w:pPr>
              <w:spacing w:after="0"/>
              <w:rPr>
                <w:sz w:val="16"/>
                <w:szCs w:val="16"/>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5"/>
        </w:trPr>
        <w:tc>
          <w:tcPr>
            <w:tcW w:w="7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5"/>
                <w:szCs w:val="15"/>
                <w:b w:val="1"/>
                <w:bCs w:val="1"/>
                <w:color w:val="auto"/>
                <w:w w:val="99"/>
              </w:rPr>
              <w:t>2019</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center"/>
              <w:ind w:right="11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Investments at 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Short-term investments (cost: 2019 - $23,180,863; 2018 - $44,756,478)</w:t>
            </w:r>
          </w:p>
        </w:tc>
        <w:tc>
          <w:tcPr>
            <w:tcW w:w="3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23,180,863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44,756,478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Debt securities (amortized cost: 2019 - $186,442,505; 2018 - $162,264,482)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175,624,345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147,861,744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CLO Fund Securities managed by affiliates (amortized cost: 2019 - $46,022,111; 2018 - $4,407,106)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34,451,281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4,473,840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CLO Fund Securities managed by non-affiliates (amortized cost: 2019 - $2,803,872; 2018 - $51,073,520)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2,420,014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39,851,160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 securities (cost: 2019 - $19,528,755; 2018 - $9,477,763)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6,279,611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2,038,020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Asset Manager Affiliates (cost: 2019 - $17,791,230; 2018 - $17,791,230)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Joint Ventures (cost: 2019 - $49,052,776; 2018 - $37,381,525)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45,426,006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30,857,107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Derivatives (cost: 2019 - $30,609; 2018 - $0)</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9,650</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Investments at Fair Value (cost: 2019 - $344,852,721; 2018 - $327,152,104)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287,391,771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273,308,349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Cash</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5,417,125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1,010,578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3,907,341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Interest receivable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1,248,372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Due from affiliates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670,946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1,007,631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1,602,077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900,830</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481,265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293,165,740</w:t>
            </w: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285,464,681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6.125% Notes Due 2022 (net of offering costs of: 2019-$1,793,546; 2018 - $2,207,341)</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75,613,654</w:t>
            </w:r>
          </w:p>
        </w:tc>
        <w:tc>
          <w:tcPr>
            <w:tcW w:w="28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75,199,858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Great Lakes KCAP Funding I, LLC Revolving Credit Facility (net of offering costs of: 2019-$1,154,688; 2018 -</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$1,155,754)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46,865,797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25,200,331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3,265,081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Payable for open trades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31,489,007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23,204,564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1,439,062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3,591,910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Accrued interest payable</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262,964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Due to affiliates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481,163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Management and incentive fees payable</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1,026,000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160,442,728</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127,443,670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Common stock, par value $0.01 per share, 100,000,000 common shares authorized; 37,566,771 issued, and</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37,371,912 outstanding at September 30, 2019, and 37,521,705 issued, and 37,326,846 outstanding at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December 31, 2018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373,719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373,268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307,210,386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306,784,387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distributable (loss) earnings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(174,861,093)</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(149,136,644)</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132,723,012</w:t>
            </w:r>
          </w:p>
        </w:tc>
        <w:tc>
          <w:tcPr>
            <w:tcW w:w="2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158,021,011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293,165,740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285,464,681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ASSET VALUE PER COMMON SHARE</w:t>
            </w:r>
          </w:p>
        </w:tc>
        <w:tc>
          <w:tcPr>
            <w:tcW w:w="3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2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5"/>
          <w:szCs w:val="15"/>
          <w:b w:val="1"/>
          <w:bCs w:val="1"/>
          <w:color w:val="auto"/>
        </w:rPr>
        <w:t>PORTMAN RIDGE FINANCE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568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8"/>
              <w:spacing w:after="0" w:line="159"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8"/>
              <w:spacing w:after="0" w:line="159"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8"/>
              <w:spacing w:after="0" w:line="159"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8"/>
              <w:spacing w:after="0" w:line="159"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159"/>
        </w:trPr>
        <w:tc>
          <w:tcPr>
            <w:tcW w:w="56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Investment Income:</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6"/>
        </w:trPr>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from investments in debt securities</w:t>
            </w:r>
          </w:p>
        </w:tc>
        <w:tc>
          <w:tcPr>
            <w:tcW w:w="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3,882,096</w:t>
            </w:r>
          </w:p>
        </w:tc>
        <w:tc>
          <w:tcPr>
            <w:tcW w:w="140" w:type="dxa"/>
            <w:vAlign w:val="bottom"/>
          </w:tcPr>
          <w:p>
            <w:pPr>
              <w:spacing w:after="0"/>
              <w:rPr>
                <w:sz w:val="14"/>
                <w:szCs w:val="14"/>
                <w:color w:val="auto"/>
              </w:rPr>
            </w:pPr>
          </w:p>
        </w:tc>
        <w:tc>
          <w:tcPr>
            <w:tcW w:w="4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4,487,575</w:t>
            </w:r>
          </w:p>
        </w:tc>
        <w:tc>
          <w:tcPr>
            <w:tcW w:w="10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10,650,753</w:t>
            </w:r>
          </w:p>
        </w:tc>
        <w:tc>
          <w:tcPr>
            <w:tcW w:w="140" w:type="dxa"/>
            <w:vAlign w:val="bottom"/>
          </w:tcPr>
          <w:p>
            <w:pPr>
              <w:spacing w:after="0"/>
              <w:rPr>
                <w:sz w:val="14"/>
                <w:szCs w:val="14"/>
                <w:color w:val="auto"/>
              </w:rPr>
            </w:pPr>
          </w:p>
        </w:tc>
        <w:tc>
          <w:tcPr>
            <w:tcW w:w="4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11,796,245</w:t>
            </w:r>
          </w:p>
        </w:tc>
        <w:tc>
          <w:tcPr>
            <w:tcW w:w="100" w:type="dxa"/>
            <w:vAlign w:val="bottom"/>
          </w:tcPr>
          <w:p>
            <w:pPr>
              <w:spacing w:after="0"/>
              <w:rPr>
                <w:sz w:val="14"/>
                <w:szCs w:val="14"/>
                <w:color w:val="auto"/>
              </w:rPr>
            </w:pPr>
          </w:p>
        </w:tc>
      </w:tr>
      <w:tr>
        <w:trPr>
          <w:trHeight w:val="166"/>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Payment-in-kind investment income</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311,936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329,365</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325,478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1,061,419</w:t>
            </w:r>
          </w:p>
        </w:tc>
        <w:tc>
          <w:tcPr>
            <w:tcW w:w="100" w:type="dxa"/>
            <w:vAlign w:val="bottom"/>
            <w:shd w:val="clear" w:color="auto" w:fill="CFF0FC"/>
          </w:tcPr>
          <w:p>
            <w:pPr>
              <w:spacing w:after="0"/>
              <w:rPr>
                <w:sz w:val="14"/>
                <w:szCs w:val="14"/>
                <w:color w:val="auto"/>
              </w:rPr>
            </w:pPr>
          </w:p>
        </w:tc>
      </w:tr>
      <w:tr>
        <w:trPr>
          <w:trHeight w:val="166"/>
        </w:trPr>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from cash and time deposits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71,183</w:t>
            </w:r>
          </w:p>
        </w:tc>
        <w:tc>
          <w:tcPr>
            <w:tcW w:w="100" w:type="dxa"/>
            <w:vAlign w:val="bottom"/>
          </w:tcPr>
          <w:p>
            <w:pPr>
              <w:spacing w:after="0"/>
              <w:rPr>
                <w:sz w:val="14"/>
                <w:szCs w:val="14"/>
                <w:color w:val="auto"/>
              </w:rPr>
            </w:pPr>
          </w:p>
        </w:tc>
      </w:tr>
      <w:tr>
        <w:trPr>
          <w:trHeight w:val="166"/>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Investment income on CLO Fund Securities managed by affiliates</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1,454,086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1,179,463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3,193,840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4,428,032</w:t>
            </w:r>
          </w:p>
        </w:tc>
        <w:tc>
          <w:tcPr>
            <w:tcW w:w="100" w:type="dxa"/>
            <w:vAlign w:val="bottom"/>
            <w:shd w:val="clear" w:color="auto" w:fill="CFF0FC"/>
          </w:tcPr>
          <w:p>
            <w:pPr>
              <w:spacing w:after="0"/>
              <w:rPr>
                <w:sz w:val="14"/>
                <w:szCs w:val="14"/>
                <w:color w:val="auto"/>
              </w:rPr>
            </w:pPr>
          </w:p>
        </w:tc>
      </w:tr>
      <w:tr>
        <w:trPr>
          <w:trHeight w:val="166"/>
        </w:trPr>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income on CLO Fund Securities managed by non-affiliates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1,894,737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292,694</w:t>
            </w:r>
          </w:p>
        </w:tc>
        <w:tc>
          <w:tcPr>
            <w:tcW w:w="100" w:type="dxa"/>
            <w:vAlign w:val="bottom"/>
          </w:tcPr>
          <w:p>
            <w:pPr>
              <w:spacing w:after="0"/>
              <w:rPr>
                <w:sz w:val="14"/>
                <w:szCs w:val="14"/>
                <w:color w:val="auto"/>
              </w:rPr>
            </w:pPr>
          </w:p>
        </w:tc>
      </w:tr>
      <w:tr>
        <w:trPr>
          <w:trHeight w:val="166"/>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Dividends from Asset Manager Affiliates</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920,000</w:t>
            </w:r>
          </w:p>
        </w:tc>
        <w:tc>
          <w:tcPr>
            <w:tcW w:w="100" w:type="dxa"/>
            <w:vAlign w:val="bottom"/>
            <w:shd w:val="clear" w:color="auto" w:fill="CFF0FC"/>
          </w:tcPr>
          <w:p>
            <w:pPr>
              <w:spacing w:after="0"/>
              <w:rPr>
                <w:sz w:val="14"/>
                <w:szCs w:val="14"/>
                <w:color w:val="auto"/>
              </w:rPr>
            </w:pPr>
          </w:p>
        </w:tc>
      </w:tr>
      <w:tr>
        <w:trPr>
          <w:trHeight w:val="166"/>
        </w:trPr>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income - Joint Ventures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1,300,590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3,542,257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2,150,000</w:t>
            </w:r>
          </w:p>
        </w:tc>
        <w:tc>
          <w:tcPr>
            <w:tcW w:w="100" w:type="dxa"/>
            <w:vAlign w:val="bottom"/>
          </w:tcPr>
          <w:p>
            <w:pPr>
              <w:spacing w:after="0"/>
              <w:rPr>
                <w:sz w:val="14"/>
                <w:szCs w:val="14"/>
                <w:color w:val="auto"/>
              </w:rPr>
            </w:pPr>
          </w:p>
        </w:tc>
      </w:tr>
      <w:tr>
        <w:trPr>
          <w:trHeight w:val="166"/>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Capital structuring service fees</w:t>
            </w:r>
          </w:p>
        </w:tc>
        <w:tc>
          <w:tcPr>
            <w:tcW w:w="26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7,588</w:t>
            </w:r>
          </w:p>
        </w:tc>
        <w:tc>
          <w:tcPr>
            <w:tcW w:w="1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116,645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114,097</w:t>
            </w:r>
          </w:p>
        </w:tc>
        <w:tc>
          <w:tcPr>
            <w:tcW w:w="100" w:type="dxa"/>
            <w:vAlign w:val="bottom"/>
            <w:shd w:val="clear" w:color="auto" w:fill="CFF0FC"/>
          </w:tcPr>
          <w:p>
            <w:pPr>
              <w:spacing w:after="0"/>
              <w:rPr>
                <w:sz w:val="14"/>
                <w:szCs w:val="14"/>
                <w:color w:val="auto"/>
              </w:rPr>
            </w:pPr>
          </w:p>
        </w:tc>
      </w:tr>
      <w:tr>
        <w:trPr>
          <w:trHeight w:val="159"/>
        </w:trPr>
        <w:tc>
          <w:tcPr>
            <w:tcW w:w="5680" w:type="dxa"/>
            <w:vAlign w:val="bottom"/>
          </w:tcPr>
          <w:p>
            <w:pPr>
              <w:ind w:left="460"/>
              <w:spacing w:after="0" w:line="159" w:lineRule="exact"/>
              <w:rPr>
                <w:sz w:val="20"/>
                <w:szCs w:val="20"/>
                <w:color w:val="auto"/>
              </w:rPr>
            </w:pPr>
            <w:r>
              <w:rPr>
                <w:rFonts w:ascii="Times New Roman" w:cs="Times New Roman" w:eastAsia="Times New Roman" w:hAnsi="Times New Roman"/>
                <w:sz w:val="14"/>
                <w:szCs w:val="14"/>
                <w:color w:val="auto"/>
              </w:rPr>
              <w:t>Total investment income</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7,076,196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7,158,750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19,789,775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20,833,670</w:t>
            </w:r>
          </w:p>
        </w:tc>
        <w:tc>
          <w:tcPr>
            <w:tcW w:w="100" w:type="dxa"/>
            <w:vAlign w:val="bottom"/>
          </w:tcPr>
          <w:p>
            <w:pPr>
              <w:spacing w:after="0"/>
              <w:rPr>
                <w:sz w:val="13"/>
                <w:szCs w:val="13"/>
                <w:color w:val="auto"/>
              </w:rPr>
            </w:pPr>
          </w:p>
        </w:tc>
      </w:tr>
      <w:tr>
        <w:trPr>
          <w:trHeight w:val="16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6"/>
        </w:trPr>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Management fees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Performance-based incentive fees</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and amortization of debt issuance costs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2,280,627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1,871,187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6,063,984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5,582,467</w:t>
            </w:r>
          </w:p>
        </w:tc>
        <w:tc>
          <w:tcPr>
            <w:tcW w:w="100" w:type="dxa"/>
            <w:vAlign w:val="bottom"/>
          </w:tcPr>
          <w:p>
            <w:pPr>
              <w:spacing w:after="0"/>
              <w:rPr>
                <w:sz w:val="14"/>
                <w:szCs w:val="14"/>
                <w:color w:val="auto"/>
              </w:rPr>
            </w:pPr>
          </w:p>
        </w:tc>
      </w:tr>
      <w:tr>
        <w:trPr>
          <w:trHeight w:val="166"/>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Compensation</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1,004,323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3,688,578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3,216,710</w:t>
            </w:r>
          </w:p>
        </w:tc>
        <w:tc>
          <w:tcPr>
            <w:tcW w:w="100" w:type="dxa"/>
            <w:vAlign w:val="bottom"/>
            <w:shd w:val="clear" w:color="auto" w:fill="CFF0FC"/>
          </w:tcPr>
          <w:p>
            <w:pPr>
              <w:spacing w:after="0"/>
              <w:rPr>
                <w:sz w:val="14"/>
                <w:szCs w:val="14"/>
                <w:color w:val="auto"/>
              </w:rPr>
            </w:pPr>
          </w:p>
        </w:tc>
      </w:tr>
      <w:tr>
        <w:trPr>
          <w:trHeight w:val="166"/>
        </w:trPr>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644,485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867,724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2,827,131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2,489,098</w:t>
            </w:r>
          </w:p>
        </w:tc>
        <w:tc>
          <w:tcPr>
            <w:tcW w:w="100" w:type="dxa"/>
            <w:vAlign w:val="bottom"/>
          </w:tcPr>
          <w:p>
            <w:pPr>
              <w:spacing w:after="0"/>
              <w:rPr>
                <w:sz w:val="14"/>
                <w:szCs w:val="14"/>
                <w:color w:val="auto"/>
              </w:rPr>
            </w:pPr>
          </w:p>
        </w:tc>
      </w:tr>
      <w:tr>
        <w:trPr>
          <w:trHeight w:val="166"/>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Insurance</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129,157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79,152</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577,257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236,900</w:t>
            </w:r>
          </w:p>
        </w:tc>
        <w:tc>
          <w:tcPr>
            <w:tcW w:w="100" w:type="dxa"/>
            <w:vAlign w:val="bottom"/>
            <w:shd w:val="clear" w:color="auto" w:fill="CFF0FC"/>
          </w:tcPr>
          <w:p>
            <w:pPr>
              <w:spacing w:after="0"/>
              <w:rPr>
                <w:sz w:val="14"/>
                <w:szCs w:val="14"/>
                <w:color w:val="auto"/>
              </w:rPr>
            </w:pPr>
          </w:p>
        </w:tc>
      </w:tr>
      <w:tr>
        <w:trPr>
          <w:trHeight w:val="166"/>
        </w:trPr>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Administrative services expense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438,502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848,102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314,992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381,835</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1,374,606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1,364,302</w:t>
            </w:r>
          </w:p>
        </w:tc>
        <w:tc>
          <w:tcPr>
            <w:tcW w:w="100" w:type="dxa"/>
            <w:vAlign w:val="bottom"/>
            <w:shd w:val="clear" w:color="auto" w:fill="CFF0FC"/>
          </w:tcPr>
          <w:p>
            <w:pPr>
              <w:spacing w:after="0"/>
              <w:rPr>
                <w:sz w:val="14"/>
                <w:szCs w:val="14"/>
                <w:color w:val="auto"/>
              </w:rPr>
            </w:pPr>
          </w:p>
        </w:tc>
      </w:tr>
      <w:tr>
        <w:trPr>
          <w:trHeight w:val="166"/>
        </w:trPr>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of operating lease right-of-use asset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1,431,030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5680" w:type="dxa"/>
            <w:vAlign w:val="bottom"/>
            <w:tcBorders>
              <w:top w:val="single" w:sz="8" w:color="CFF0FC"/>
            </w:tcBorders>
            <w:shd w:val="clear" w:color="auto" w:fill="CFF0FC"/>
          </w:tcPr>
          <w:p>
            <w:pPr>
              <w:ind w:left="460"/>
              <w:spacing w:after="0" w:line="159" w:lineRule="exact"/>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4,833,763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4,204,221</w:t>
            </w: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18,862,788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12,889,477</w:t>
            </w:r>
          </w:p>
        </w:tc>
        <w:tc>
          <w:tcPr>
            <w:tcW w:w="100" w:type="dxa"/>
            <w:vAlign w:val="bottom"/>
            <w:tcBorders>
              <w:top w:val="single" w:sz="8" w:color="CFF0FC"/>
            </w:tcBorders>
            <w:shd w:val="clear" w:color="auto" w:fill="CFF0FC"/>
          </w:tcPr>
          <w:p>
            <w:pPr>
              <w:spacing w:after="0"/>
              <w:rPr>
                <w:sz w:val="13"/>
                <w:szCs w:val="13"/>
                <w:color w:val="auto"/>
              </w:rPr>
            </w:pPr>
          </w:p>
        </w:tc>
      </w:tr>
      <w:tr>
        <w:trPr>
          <w:trHeight w:val="159"/>
        </w:trPr>
        <w:tc>
          <w:tcPr>
            <w:tcW w:w="5680" w:type="dxa"/>
            <w:vAlign w:val="bottom"/>
            <w:tcBorders>
              <w:bottom w:val="single" w:sz="8" w:color="CFF0FC"/>
            </w:tcBorders>
          </w:tcPr>
          <w:p>
            <w:pPr>
              <w:ind w:left="240"/>
              <w:spacing w:after="0" w:line="159" w:lineRule="exact"/>
              <w:rPr>
                <w:sz w:val="20"/>
                <w:szCs w:val="20"/>
                <w:color w:val="auto"/>
              </w:rPr>
            </w:pPr>
            <w:r>
              <w:rPr>
                <w:rFonts w:ascii="Times New Roman" w:cs="Times New Roman" w:eastAsia="Times New Roman" w:hAnsi="Times New Roman"/>
                <w:sz w:val="14"/>
                <w:szCs w:val="14"/>
                <w:color w:val="auto"/>
              </w:rPr>
              <w:t>Management and performance-based incentive fees waived</w:t>
            </w: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3"/>
                <w:szCs w:val="13"/>
                <w:color w:val="auto"/>
              </w:rPr>
            </w:pPr>
          </w:p>
        </w:tc>
      </w:tr>
      <w:tr>
        <w:trPr>
          <w:trHeight w:val="159"/>
        </w:trPr>
        <w:tc>
          <w:tcPr>
            <w:tcW w:w="5680" w:type="dxa"/>
            <w:vAlign w:val="bottom"/>
            <w:shd w:val="clear" w:color="auto" w:fill="CFF0FC"/>
          </w:tcPr>
          <w:p>
            <w:pPr>
              <w:ind w:left="460"/>
              <w:spacing w:after="0" w:line="159" w:lineRule="exact"/>
              <w:rPr>
                <w:sz w:val="20"/>
                <w:szCs w:val="20"/>
                <w:color w:val="auto"/>
              </w:rPr>
            </w:pPr>
            <w:r>
              <w:rPr>
                <w:rFonts w:ascii="Times New Roman" w:cs="Times New Roman" w:eastAsia="Times New Roman" w:hAnsi="Times New Roman"/>
                <w:sz w:val="14"/>
                <w:szCs w:val="14"/>
                <w:color w:val="auto"/>
              </w:rPr>
              <w:t>Net Expenses</w:t>
            </w:r>
          </w:p>
        </w:tc>
        <w:tc>
          <w:tcPr>
            <w:tcW w:w="26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4,833,763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4,204,221</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18,862,788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12,889,477</w:t>
            </w:r>
          </w:p>
        </w:tc>
        <w:tc>
          <w:tcPr>
            <w:tcW w:w="100" w:type="dxa"/>
            <w:vAlign w:val="bottom"/>
            <w:shd w:val="clear" w:color="auto" w:fill="CFF0FC"/>
          </w:tcPr>
          <w:p>
            <w:pPr>
              <w:spacing w:after="0"/>
              <w:rPr>
                <w:sz w:val="13"/>
                <w:szCs w:val="13"/>
                <w:color w:val="auto"/>
              </w:rPr>
            </w:pPr>
          </w:p>
        </w:tc>
      </w:tr>
      <w:tr>
        <w:trPr>
          <w:trHeight w:val="159"/>
        </w:trPr>
        <w:tc>
          <w:tcPr>
            <w:tcW w:w="568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2,242,433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2,954,529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926,987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7,944,193</w:t>
            </w:r>
          </w:p>
        </w:tc>
        <w:tc>
          <w:tcPr>
            <w:tcW w:w="100" w:type="dxa"/>
            <w:vAlign w:val="bottom"/>
          </w:tcPr>
          <w:p>
            <w:pPr>
              <w:spacing w:after="0"/>
              <w:rPr>
                <w:sz w:val="13"/>
                <w:szCs w:val="13"/>
                <w:color w:val="auto"/>
              </w:rPr>
            </w:pPr>
          </w:p>
        </w:tc>
      </w:tr>
      <w:tr>
        <w:trPr>
          <w:trHeight w:val="16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Realized And Unrealized (Losses) Gains On Investments:</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6"/>
        </w:trPr>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realized (losses) gains from investment transactions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(1,176,073)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(136,766)</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(16,796,465)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(137,336)</w:t>
            </w:r>
          </w:p>
        </w:tc>
      </w:tr>
      <w:tr>
        <w:trPr>
          <w:trHeight w:val="166"/>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Net change in unrealized (depreciation) appreciation on:</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6"/>
        </w:trPr>
        <w:tc>
          <w:tcPr>
            <w:tcW w:w="5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Debt securities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(621,192)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(1,232,216)</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3,584,578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(2,357,578)</w:t>
            </w:r>
          </w:p>
        </w:tc>
      </w:tr>
      <w:tr>
        <w:trPr>
          <w:trHeight w:val="166"/>
        </w:trPr>
        <w:tc>
          <w:tcPr>
            <w:tcW w:w="5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Equity securities</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(909,990)</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(171,775)</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(5,809,402)</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(335,348)</w:t>
            </w:r>
          </w:p>
        </w:tc>
      </w:tr>
      <w:tr>
        <w:trPr>
          <w:trHeight w:val="166"/>
        </w:trPr>
        <w:tc>
          <w:tcPr>
            <w:tcW w:w="5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CLO Fund Securities managed by affiliates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(2,715,673)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682,574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(3,330,808)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(325,678)</w:t>
            </w:r>
          </w:p>
        </w:tc>
      </w:tr>
      <w:tr>
        <w:trPr>
          <w:trHeight w:val="166"/>
        </w:trPr>
        <w:tc>
          <w:tcPr>
            <w:tcW w:w="5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CLO Fund Securities managed by non-affiliates</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55,174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5,427</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2,531,746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200,723</w:t>
            </w:r>
          </w:p>
        </w:tc>
        <w:tc>
          <w:tcPr>
            <w:tcW w:w="100" w:type="dxa"/>
            <w:vAlign w:val="bottom"/>
            <w:shd w:val="clear" w:color="auto" w:fill="CFF0FC"/>
          </w:tcPr>
          <w:p>
            <w:pPr>
              <w:spacing w:after="0"/>
              <w:rPr>
                <w:sz w:val="14"/>
                <w:szCs w:val="14"/>
                <w:color w:val="auto"/>
              </w:rPr>
            </w:pPr>
          </w:p>
        </w:tc>
      </w:tr>
      <w:tr>
        <w:trPr>
          <w:trHeight w:val="166"/>
        </w:trPr>
        <w:tc>
          <w:tcPr>
            <w:tcW w:w="5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Asset Manager Affiliates investments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(1,035,000)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(2,031,000)</w:t>
            </w:r>
          </w:p>
        </w:tc>
      </w:tr>
      <w:tr>
        <w:trPr>
          <w:trHeight w:val="166"/>
        </w:trPr>
        <w:tc>
          <w:tcPr>
            <w:tcW w:w="5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Joint Venture Investments</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(1,104,502)</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282,076</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2,897,649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(142,430)</w:t>
            </w:r>
          </w:p>
        </w:tc>
      </w:tr>
      <w:tr>
        <w:trPr>
          <w:trHeight w:val="166"/>
        </w:trPr>
        <w:tc>
          <w:tcPr>
            <w:tcW w:w="5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(20,959)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(20,959)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5680" w:type="dxa"/>
            <w:vAlign w:val="bottom"/>
            <w:tcBorders>
              <w:top w:val="single" w:sz="8" w:color="CFF0FC"/>
            </w:tcBorders>
            <w:shd w:val="clear" w:color="auto" w:fill="CFF0FC"/>
          </w:tcPr>
          <w:p>
            <w:pPr>
              <w:ind w:left="460"/>
              <w:spacing w:after="0" w:line="159" w:lineRule="exact"/>
              <w:rPr>
                <w:sz w:val="20"/>
                <w:szCs w:val="20"/>
                <w:color w:val="auto"/>
              </w:rPr>
            </w:pPr>
            <w:r>
              <w:rPr>
                <w:rFonts w:ascii="Times New Roman" w:cs="Times New Roman" w:eastAsia="Times New Roman" w:hAnsi="Times New Roman"/>
                <w:sz w:val="14"/>
                <w:szCs w:val="14"/>
                <w:color w:val="auto"/>
              </w:rPr>
              <w:t>Total net change in unrealized appreciation (depreciation)</w:t>
            </w:r>
          </w:p>
        </w:tc>
        <w:tc>
          <w:tcPr>
            <w:tcW w:w="26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(5,317,142)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(1,468,914)</w:t>
            </w: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bottom w:val="single" w:sz="8" w:color="auto"/>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(147,196)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(4,991,311)</w:t>
            </w:r>
          </w:p>
        </w:tc>
        <w:tc>
          <w:tcPr>
            <w:tcW w:w="100" w:type="dxa"/>
            <w:vAlign w:val="bottom"/>
            <w:tcBorders>
              <w:top w:val="single" w:sz="8" w:color="CFF0FC"/>
            </w:tcBorders>
            <w:shd w:val="clear" w:color="auto" w:fill="CFF0FC"/>
          </w:tcPr>
          <w:p>
            <w:pPr>
              <w:spacing w:after="0"/>
              <w:rPr>
                <w:sz w:val="13"/>
                <w:szCs w:val="13"/>
                <w:color w:val="auto"/>
              </w:rPr>
            </w:pPr>
          </w:p>
        </w:tc>
      </w:tr>
      <w:tr>
        <w:trPr>
          <w:trHeight w:val="159"/>
        </w:trPr>
        <w:tc>
          <w:tcPr>
            <w:tcW w:w="5680" w:type="dxa"/>
            <w:vAlign w:val="bottom"/>
            <w:tcBorders>
              <w:bottom w:val="single" w:sz="8" w:color="CFF0FC"/>
            </w:tcBorders>
          </w:tcPr>
          <w:p>
            <w:pPr>
              <w:ind w:left="240"/>
              <w:spacing w:after="0" w:line="159" w:lineRule="exact"/>
              <w:rPr>
                <w:sz w:val="20"/>
                <w:szCs w:val="20"/>
                <w:color w:val="auto"/>
              </w:rPr>
            </w:pPr>
            <w:r>
              <w:rPr>
                <w:rFonts w:ascii="Times New Roman" w:cs="Times New Roman" w:eastAsia="Times New Roman" w:hAnsi="Times New Roman"/>
                <w:sz w:val="14"/>
                <w:szCs w:val="14"/>
                <w:color w:val="auto"/>
              </w:rPr>
              <w:t>Net realized and unrealized (depreciation) on investments</w:t>
            </w: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(6,493,215)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(1,605,680)</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(16,943,661)</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(5,128,647)</w:t>
            </w:r>
          </w:p>
        </w:tc>
        <w:tc>
          <w:tcPr>
            <w:tcW w:w="100" w:type="dxa"/>
            <w:vAlign w:val="bottom"/>
            <w:tcBorders>
              <w:bottom w:val="single" w:sz="8" w:color="CFF0FC"/>
            </w:tcBorders>
          </w:tcPr>
          <w:p>
            <w:pPr>
              <w:spacing w:after="0"/>
              <w:rPr>
                <w:sz w:val="13"/>
                <w:szCs w:val="13"/>
                <w:color w:val="auto"/>
              </w:rPr>
            </w:pPr>
          </w:p>
        </w:tc>
      </w:tr>
      <w:tr>
        <w:trPr>
          <w:trHeight w:val="159"/>
        </w:trPr>
        <w:tc>
          <w:tcPr>
            <w:tcW w:w="56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Realized losses on extinguishments of Debt</w:t>
            </w:r>
          </w:p>
        </w:tc>
        <w:tc>
          <w:tcPr>
            <w:tcW w:w="26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(169,074)</w:t>
            </w:r>
          </w:p>
        </w:tc>
        <w:tc>
          <w:tcPr>
            <w:tcW w:w="100" w:type="dxa"/>
            <w:vAlign w:val="bottom"/>
            <w:shd w:val="clear" w:color="auto" w:fill="CFF0FC"/>
          </w:tcPr>
          <w:p>
            <w:pPr>
              <w:spacing w:after="0"/>
              <w:rPr>
                <w:sz w:val="13"/>
                <w:szCs w:val="13"/>
                <w:color w:val="auto"/>
              </w:rPr>
            </w:pPr>
          </w:p>
        </w:tc>
      </w:tr>
      <w:tr>
        <w:trPr>
          <w:trHeight w:val="199"/>
        </w:trPr>
        <w:tc>
          <w:tcPr>
            <w:tcW w:w="5680" w:type="dxa"/>
            <w:vAlign w:val="bottom"/>
            <w:tcBorders>
              <w:bottom w:val="single" w:sz="8" w:color="CFF0FC"/>
            </w:tcBorders>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Net (Decrease) Increase In Stockholders’ Equity Resulting From Operations</w:t>
            </w:r>
          </w:p>
        </w:tc>
        <w:tc>
          <w:tcPr>
            <w:tcW w:w="2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88"/>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(4,250,782)</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jc w:val="right"/>
              <w:ind w:right="228"/>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1,348,849</w:t>
            </w:r>
          </w:p>
        </w:tc>
        <w:tc>
          <w:tcPr>
            <w:tcW w:w="10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(16,016,674)</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jc w:val="right"/>
              <w:ind w:right="228"/>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2,646,472</w:t>
            </w:r>
          </w:p>
        </w:tc>
        <w:tc>
          <w:tcPr>
            <w:tcW w:w="100" w:type="dxa"/>
            <w:vAlign w:val="bottom"/>
            <w:tcBorders>
              <w:bottom w:val="single" w:sz="8" w:color="CFF0FC"/>
            </w:tcBorders>
          </w:tcPr>
          <w:p>
            <w:pPr>
              <w:spacing w:after="0"/>
              <w:rPr>
                <w:sz w:val="17"/>
                <w:szCs w:val="17"/>
                <w:color w:val="auto"/>
              </w:rPr>
            </w:pPr>
          </w:p>
        </w:tc>
      </w:tr>
      <w:tr>
        <w:trPr>
          <w:trHeight w:val="127"/>
        </w:trPr>
        <w:tc>
          <w:tcPr>
            <w:tcW w:w="5680" w:type="dxa"/>
            <w:vAlign w:val="bottom"/>
            <w:shd w:val="clear" w:color="auto" w:fill="CFF0FC"/>
          </w:tcPr>
          <w:p>
            <w:pPr>
              <w:ind w:left="240"/>
              <w:spacing w:after="0" w:line="128" w:lineRule="exact"/>
              <w:rPr>
                <w:sz w:val="20"/>
                <w:szCs w:val="20"/>
                <w:color w:val="auto"/>
              </w:rPr>
            </w:pPr>
            <w:r>
              <w:rPr>
                <w:rFonts w:ascii="Times New Roman" w:cs="Times New Roman" w:eastAsia="Times New Roman" w:hAnsi="Times New Roman"/>
                <w:sz w:val="14"/>
                <w:szCs w:val="14"/>
                <w:color w:val="auto"/>
              </w:rPr>
              <w:t>Net (Decrease) Increase In Stockholders' Equity Resulting from Operations per Common</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71"/>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Share:</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6"/>
        </w:trPr>
        <w:tc>
          <w:tcPr>
            <w:tcW w:w="5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Basic:</w:t>
            </w:r>
          </w:p>
        </w:tc>
        <w:tc>
          <w:tcPr>
            <w:tcW w:w="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(0.11)</w:t>
            </w:r>
          </w:p>
        </w:tc>
        <w:tc>
          <w:tcPr>
            <w:tcW w:w="4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(0.43)</w:t>
            </w:r>
          </w:p>
        </w:tc>
        <w:tc>
          <w:tcPr>
            <w:tcW w:w="4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4"/>
                <w:szCs w:val="14"/>
                <w:color w:val="auto"/>
              </w:rPr>
            </w:pPr>
          </w:p>
        </w:tc>
      </w:tr>
      <w:tr>
        <w:trPr>
          <w:trHeight w:val="166"/>
        </w:trPr>
        <w:tc>
          <w:tcPr>
            <w:tcW w:w="5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Diluted:</w:t>
            </w:r>
          </w:p>
        </w:tc>
        <w:tc>
          <w:tcPr>
            <w:tcW w:w="5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(0.11)</w:t>
            </w:r>
          </w:p>
        </w:tc>
        <w:tc>
          <w:tcPr>
            <w:tcW w:w="4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(0.43)</w:t>
            </w:r>
          </w:p>
        </w:tc>
        <w:tc>
          <w:tcPr>
            <w:tcW w:w="4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FF0FC"/>
          </w:tcPr>
          <w:p>
            <w:pPr>
              <w:spacing w:after="0"/>
              <w:rPr>
                <w:sz w:val="14"/>
                <w:szCs w:val="14"/>
                <w:color w:val="auto"/>
              </w:rPr>
            </w:pPr>
          </w:p>
        </w:tc>
      </w:tr>
      <w:tr>
        <w:trPr>
          <w:trHeight w:val="166"/>
        </w:trPr>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Investment (Loss) Income Per Common Share: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5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Basic:</w:t>
            </w:r>
          </w:p>
        </w:tc>
        <w:tc>
          <w:tcPr>
            <w:tcW w:w="5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shd w:val="clear" w:color="auto" w:fill="CFF0FC"/>
          </w:tcPr>
          <w:p>
            <w:pPr>
              <w:spacing w:after="0"/>
              <w:rPr>
                <w:sz w:val="14"/>
                <w:szCs w:val="14"/>
                <w:color w:val="auto"/>
              </w:rPr>
            </w:pPr>
          </w:p>
        </w:tc>
      </w:tr>
      <w:tr>
        <w:trPr>
          <w:trHeight w:val="166"/>
        </w:trPr>
        <w:tc>
          <w:tcPr>
            <w:tcW w:w="5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Diluted:</w:t>
            </w:r>
          </w:p>
        </w:tc>
        <w:tc>
          <w:tcPr>
            <w:tcW w:w="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40" w:type="dxa"/>
            <w:vAlign w:val="bottom"/>
          </w:tcPr>
          <w:p>
            <w:pPr>
              <w:spacing w:after="0"/>
              <w:rPr>
                <w:sz w:val="14"/>
                <w:szCs w:val="14"/>
                <w:color w:val="auto"/>
              </w:rPr>
            </w:pPr>
          </w:p>
        </w:tc>
        <w:tc>
          <w:tcPr>
            <w:tcW w:w="4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tcPr>
          <w:p>
            <w:pPr>
              <w:spacing w:after="0"/>
              <w:rPr>
                <w:sz w:val="14"/>
                <w:szCs w:val="14"/>
                <w:color w:val="auto"/>
              </w:rPr>
            </w:pPr>
          </w:p>
        </w:tc>
        <w:tc>
          <w:tcPr>
            <w:tcW w:w="4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4"/>
                <w:szCs w:val="14"/>
                <w:color w:val="auto"/>
              </w:rPr>
            </w:pPr>
          </w:p>
        </w:tc>
      </w:tr>
      <w:tr>
        <w:trPr>
          <w:trHeight w:val="166"/>
        </w:trPr>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Weighted Average Shares of Common Stock Outstanding—Basic</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37,361,746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37,349,904</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37,348,835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37,354,449</w:t>
            </w:r>
          </w:p>
        </w:tc>
        <w:tc>
          <w:tcPr>
            <w:tcW w:w="100" w:type="dxa"/>
            <w:vAlign w:val="bottom"/>
            <w:shd w:val="clear" w:color="auto" w:fill="CFF0FC"/>
          </w:tcPr>
          <w:p>
            <w:pPr>
              <w:spacing w:after="0"/>
              <w:rPr>
                <w:sz w:val="14"/>
                <w:szCs w:val="14"/>
                <w:color w:val="auto"/>
              </w:rPr>
            </w:pPr>
          </w:p>
        </w:tc>
      </w:tr>
      <w:tr>
        <w:trPr>
          <w:trHeight w:val="189"/>
        </w:trPr>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Weighted Average Shares of Common Stock Outstanding—Diluted</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37,361,746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37,349,904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37,348,835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37,354,449</w:t>
            </w:r>
          </w:p>
        </w:tc>
        <w:tc>
          <w:tcPr>
            <w:tcW w:w="100" w:type="dxa"/>
            <w:vAlign w:val="bottom"/>
          </w:tcPr>
          <w:p>
            <w:pPr>
              <w:spacing w:after="0"/>
              <w:rPr>
                <w:sz w:val="16"/>
                <w:szCs w:val="16"/>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PORTMAN RIDGE FINANCE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NET ASSETS</w:t>
      </w:r>
      <w:r>
        <w:rPr>
          <w:rFonts w:ascii="Times New Roman" w:cs="Times New Roman" w:eastAsia="Times New Roman" w:hAnsi="Times New Roman"/>
          <w:sz w:val="14"/>
          <w:szCs w:val="14"/>
          <w:b w:val="1"/>
          <w:bCs w:val="1"/>
          <w:color w:val="auto"/>
        </w:rPr>
        <w:t>(1)</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80" w:type="dxa"/>
            <w:vAlign w:val="bottom"/>
            <w:gridSpan w:val="5"/>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80" w:type="dxa"/>
            <w:vAlign w:val="bottom"/>
            <w:tcBorders>
              <w:top w:val="single" w:sz="8" w:color="auto"/>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Net investment (loss) income</w:t>
            </w:r>
          </w:p>
        </w:tc>
        <w:tc>
          <w:tcPr>
            <w:tcW w:w="16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926,987</w:t>
            </w:r>
          </w:p>
        </w:tc>
        <w:tc>
          <w:tcPr>
            <w:tcW w:w="28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7,944,193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realized (losses) gains from investment transactions</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(16,796,465)</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(137,336)</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Realized losses from extinguishments of debt</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(169,074)</w:t>
            </w: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change in unrealized appreciation on investments</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(147,196)</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(4,991,311)</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7"/>
                <w:szCs w:val="17"/>
                <w:color w:val="auto"/>
              </w:rPr>
              <w:t>Net (decrease) increase in stockholders’ equity resulting from operations</w:t>
            </w:r>
          </w:p>
        </w:tc>
        <w:tc>
          <w:tcPr>
            <w:tcW w:w="132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(16,016,674)</w:t>
            </w:r>
          </w:p>
        </w:tc>
        <w:tc>
          <w:tcPr>
            <w:tcW w:w="28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2,646,472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 distributions: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(9,707,773)</w:t>
            </w: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(11,157,327)</w:t>
            </w: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 share transactions: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Issuance of common stock for:</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Dividend reinvestment plan</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167,512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Common stock withheld for payroll taxes upon vesting of restricted stock</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(86,743)</w:t>
            </w:r>
          </w:p>
        </w:tc>
        <w:tc>
          <w:tcPr>
            <w:tcW w:w="0" w:type="dxa"/>
            <w:vAlign w:val="bottom"/>
          </w:tcPr>
          <w:p>
            <w:pPr>
              <w:spacing w:after="0"/>
              <w:rPr>
                <w:sz w:val="1"/>
                <w:szCs w:val="1"/>
                <w:color w:val="auto"/>
              </w:rPr>
            </w:pPr>
          </w:p>
        </w:tc>
      </w:tr>
      <w:tr>
        <w:trPr>
          <w:trHeight w:val="217"/>
        </w:trPr>
        <w:tc>
          <w:tcPr>
            <w:tcW w:w="6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Stock based compensation</w:t>
            </w:r>
          </w:p>
        </w:tc>
        <w:tc>
          <w:tcPr>
            <w:tcW w:w="13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258,936</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546,927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Net increase in net assets resulting from capital share transactions</w:t>
            </w:r>
          </w:p>
        </w:tc>
        <w:tc>
          <w:tcPr>
            <w:tcW w:w="13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426,448</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614,784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Net assets at beginning of period</w:t>
            </w:r>
          </w:p>
        </w:tc>
        <w:tc>
          <w:tcPr>
            <w:tcW w:w="13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158,021,011</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181,804,576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assets at end of period</w:t>
            </w:r>
          </w:p>
        </w:tc>
        <w:tc>
          <w:tcPr>
            <w:tcW w:w="1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132,723,012</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173,908,505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asset value per common share</w:t>
            </w:r>
          </w:p>
        </w:tc>
        <w:tc>
          <w:tcPr>
            <w:tcW w:w="1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280" w:type="dxa"/>
            <w:vAlign w:val="bottom"/>
          </w:tcPr>
          <w:p>
            <w:pPr>
              <w:spacing w:after="0"/>
              <w:rPr>
                <w:sz w:val="17"/>
                <w:szCs w:val="17"/>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Common shares outstanding at end of period</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37,371,912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37,349,224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600" w:right="2980" w:hanging="3598"/>
        <w:spacing w:after="0" w:line="479" w:lineRule="auto"/>
        <w:tabs>
          <w:tab w:leader="none" w:pos="42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 to note 10 "Stockholders' Equity" for additional information on changes in components of Stockholders' Equity See accompanying notes to consolidated financial statements.</w:t>
      </w: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PORTMAN RIDGE FINANCE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20" w:type="dxa"/>
            <w:vAlign w:val="bottom"/>
            <w:gridSpan w:val="5"/>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199"/>
        </w:trPr>
        <w:tc>
          <w:tcPr>
            <w:tcW w:w="77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2019</w:t>
            </w:r>
          </w:p>
        </w:tc>
        <w:tc>
          <w:tcPr>
            <w:tcW w:w="280" w:type="dxa"/>
            <w:vAlign w:val="bottom"/>
            <w:tcBorders>
              <w:top w:val="single" w:sz="8" w:color="auto"/>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OPERATING ACTIVITIES: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Net (decrease) increase in stockholder's equity resulting from operations</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(16,016,674)</w:t>
            </w:r>
          </w:p>
        </w:tc>
        <w:tc>
          <w:tcPr>
            <w:tcW w:w="3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2,646,472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Adjustments to reconcile net (decrease) increase in stockholder’s equity resulting from operations to net cash (used in)</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provided by in operations: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Net realized losses (gains) on investment transactions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16,796,465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137,336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Net change in unrealized appreciation from investments</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147,196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4,991,311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Purchases of investments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(106,626,968)</w:t>
            </w: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(75,550,935)</w:t>
            </w: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Proceeds from sales and redemptions of investments</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80,926,508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115,362,645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Net accretion of investments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(5,001,145)</w:t>
            </w: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(5,408,308)</w:t>
            </w: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787,011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Realized losses on extinguishments of debt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169,074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Operating lease impairment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1,431,030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Net amortization of operating lease</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(143,016)</w:t>
            </w:r>
          </w:p>
        </w:tc>
        <w:tc>
          <w:tcPr>
            <w:tcW w:w="36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Payment-in-kind interest income</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(325,478)</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(1,061,419)</w:t>
            </w: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258,936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546,927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Increase (decrease) in payable for open trades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8,284,443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(34,215,195)</w:t>
            </w: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(Increase) Decrease in receivable for open trades</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2,993,750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Decrease (increase) in interest and dividends receivable</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94,598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(1,224,891)</w:t>
            </w: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Increase in accrued interest payable</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131,782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86,133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(Increase) decrease in other assets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(419,565)</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Decrease (increase) in due from affiliates</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336,685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308,373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Increase in management and incentive fees payable</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1,026,000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(24,956)</w:t>
            </w: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(Decrease) increase in due to affiliates</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365,338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Decrease (increase) in accounts payable and accrued expenses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(1,777,859)</w:t>
            </w: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(342,250)</w:t>
            </w:r>
          </w:p>
        </w:tc>
        <w:tc>
          <w:tcPr>
            <w:tcW w:w="0" w:type="dxa"/>
            <w:vAlign w:val="bottom"/>
          </w:tcPr>
          <w:p>
            <w:pPr>
              <w:spacing w:after="0"/>
              <w:rPr>
                <w:sz w:val="1"/>
                <w:szCs w:val="1"/>
                <w:color w:val="auto"/>
              </w:rPr>
            </w:pPr>
          </w:p>
        </w:tc>
      </w:tr>
      <w:tr>
        <w:trPr>
          <w:trHeight w:val="20"/>
        </w:trPr>
        <w:tc>
          <w:tcPr>
            <w:tcW w:w="7700" w:type="dxa"/>
            <w:vAlign w:val="bottom"/>
            <w:vMerge w:val="restart"/>
            <w:shd w:val="clear" w:color="auto" w:fill="CFF0FC"/>
          </w:tcPr>
          <w:p>
            <w:pPr>
              <w:ind w:left="700"/>
              <w:spacing w:after="0"/>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70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(19,724,712)</w:t>
            </w: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10,268,804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tcPr>
          <w:p>
            <w:pPr>
              <w:spacing w:after="0"/>
              <w:rPr>
                <w:sz w:val="20"/>
                <w:szCs w:val="20"/>
                <w:color w:val="auto"/>
              </w:rPr>
            </w:pPr>
            <w:r>
              <w:rPr>
                <w:rFonts w:ascii="Times New Roman" w:cs="Times New Roman" w:eastAsia="Times New Roman" w:hAnsi="Times New Roman"/>
                <w:sz w:val="15"/>
                <w:szCs w:val="15"/>
                <w:color w:val="auto"/>
              </w:rPr>
              <w:t>FINANCING ACTIVITIES: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Debt issuance costs</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(372,150)</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(1,459,899)</w:t>
            </w: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Common stock withheld for payroll taxes upon vesting of restricted stock</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(86,743)</w:t>
            </w: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Distributions to stockholders</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(9,540,261)</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(11,002,727)</w:t>
            </w: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Repayment 7.375 Notes Due 2019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(20,000,000)</w:t>
            </w: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Borrowings under Great Lakes KCAP Funding LLC, Revolving Credit Facility</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85,000,000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31,000,000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Repayment of Great Lakes KCAP Funding LLC, Revolving Credit Facility</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(63,335,599)</w:t>
            </w: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(8,051,806)</w:t>
            </w:r>
          </w:p>
        </w:tc>
        <w:tc>
          <w:tcPr>
            <w:tcW w:w="0" w:type="dxa"/>
            <w:vAlign w:val="bottom"/>
          </w:tcPr>
          <w:p>
            <w:pPr>
              <w:spacing w:after="0"/>
              <w:rPr>
                <w:sz w:val="1"/>
                <w:szCs w:val="1"/>
                <w:color w:val="auto"/>
              </w:rPr>
            </w:pPr>
          </w:p>
        </w:tc>
      </w:tr>
      <w:tr>
        <w:trPr>
          <w:trHeight w:val="20"/>
        </w:trPr>
        <w:tc>
          <w:tcPr>
            <w:tcW w:w="7700" w:type="dxa"/>
            <w:vAlign w:val="bottom"/>
            <w:vMerge w:val="restart"/>
            <w:shd w:val="clear" w:color="auto" w:fill="CFF0FC"/>
          </w:tcPr>
          <w:p>
            <w:pPr>
              <w:ind w:left="70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70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11,751,990</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(9,601,175)</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CHANGE IN CASH AND RESTRICTED CASH</w:t>
            </w: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(7,972,722)</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667,629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CASH AND RESTRICTED CASH, BEGINNING OF PERIOD</w:t>
            </w:r>
          </w:p>
        </w:tc>
        <w:tc>
          <w:tcPr>
            <w:tcW w:w="1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9,324,466</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2,034,095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700" w:type="dxa"/>
            <w:vAlign w:val="bottom"/>
          </w:tcPr>
          <w:p>
            <w:pPr>
              <w:spacing w:after="0"/>
              <w:rPr>
                <w:sz w:val="20"/>
                <w:szCs w:val="20"/>
                <w:color w:val="auto"/>
              </w:rPr>
            </w:pPr>
            <w:r>
              <w:rPr>
                <w:rFonts w:ascii="Times New Roman" w:cs="Times New Roman" w:eastAsia="Times New Roman" w:hAnsi="Times New Roman"/>
                <w:sz w:val="15"/>
                <w:szCs w:val="15"/>
                <w:color w:val="auto"/>
              </w:rPr>
              <w:t>CASH AND RESTRICTED CASH, END OF PERIOD</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1,351,744</w:t>
            </w:r>
          </w:p>
        </w:tc>
        <w:tc>
          <w:tcPr>
            <w:tcW w:w="280" w:type="dxa"/>
            <w:vAlign w:val="bottom"/>
          </w:tcPr>
          <w:p>
            <w:pPr>
              <w:spacing w:after="0"/>
              <w:rPr>
                <w:sz w:val="20"/>
                <w:szCs w:val="20"/>
                <w:color w:val="auto"/>
              </w:rPr>
            </w:pPr>
          </w:p>
        </w:tc>
        <w:tc>
          <w:tcPr>
            <w:tcW w:w="3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2,701,724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Supplemental Information:</w:t>
            </w:r>
          </w:p>
        </w:tc>
        <w:tc>
          <w:tcPr>
            <w:tcW w:w="16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Interest paid during the period</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4,772,071</w:t>
            </w:r>
          </w:p>
        </w:tc>
        <w:tc>
          <w:tcPr>
            <w:tcW w:w="280" w:type="dxa"/>
            <w:vAlign w:val="bottom"/>
          </w:tcPr>
          <w:p>
            <w:pPr>
              <w:spacing w:after="0"/>
              <w:rPr>
                <w:sz w:val="17"/>
                <w:szCs w:val="17"/>
                <w:color w:val="auto"/>
              </w:rPr>
            </w:pPr>
          </w:p>
        </w:tc>
        <w:tc>
          <w:tcPr>
            <w:tcW w:w="3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4,830,690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Dividends paid during the period under the dividend reinvestment plan</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167,512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tcPr>
          <w:p>
            <w:pPr>
              <w:spacing w:after="0"/>
              <w:rPr>
                <w:sz w:val="20"/>
                <w:szCs w:val="20"/>
                <w:color w:val="auto"/>
              </w:rPr>
            </w:pPr>
            <w:r>
              <w:rPr>
                <w:rFonts w:ascii="Times New Roman" w:cs="Times New Roman" w:eastAsia="Times New Roman" w:hAnsi="Times New Roman"/>
                <w:sz w:val="15"/>
                <w:szCs w:val="15"/>
                <w:color w:val="auto"/>
              </w:rPr>
              <w:t>Supplemental non-cash information:</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Realized loss on Asset Manager Affiliates</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3,470,000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77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Initial recognition of operating lease right-of-use asset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3,309,131</w:t>
            </w:r>
          </w:p>
        </w:tc>
        <w:tc>
          <w:tcPr>
            <w:tcW w:w="280" w:type="dxa"/>
            <w:vAlign w:val="bottom"/>
          </w:tcPr>
          <w:p>
            <w:pPr>
              <w:spacing w:after="0"/>
              <w:rPr>
                <w:sz w:val="17"/>
                <w:szCs w:val="17"/>
                <w:color w:val="auto"/>
              </w:rPr>
            </w:pPr>
          </w:p>
        </w:tc>
        <w:tc>
          <w:tcPr>
            <w:tcW w:w="3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Initial recognition for operating lease liability</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3,684,121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7700" w:type="dxa"/>
            <w:vAlign w:val="bottom"/>
          </w:tcPr>
          <w:p>
            <w:pPr>
              <w:spacing w:after="0"/>
              <w:rPr>
                <w:sz w:val="20"/>
                <w:szCs w:val="20"/>
                <w:color w:val="auto"/>
              </w:rPr>
            </w:pPr>
            <w:r>
              <w:rPr>
                <w:rFonts w:ascii="Times New Roman" w:cs="Times New Roman" w:eastAsia="Times New Roman" w:hAnsi="Times New Roman"/>
                <w:sz w:val="15"/>
                <w:szCs w:val="15"/>
                <w:color w:val="auto"/>
              </w:rPr>
              <w:t>Amounts per balance sheet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Cash</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341,166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1,713,906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5"/>
                <w:szCs w:val="15"/>
                <w:color w:val="auto"/>
              </w:rPr>
              <w:t>Restricted cash</w:t>
            </w:r>
          </w:p>
        </w:tc>
        <w:tc>
          <w:tcPr>
            <w:tcW w:w="1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1,010,578</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987,818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Total Cash and Restricted cash</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1,351,744</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2,701,724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PORTMAN RIDGE FINANCE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Securities Portfolio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44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80" w:type="dxa"/>
            <w:vAlign w:val="bottom"/>
            <w:gridSpan w:val="2"/>
          </w:tcPr>
          <w:p>
            <w:pPr>
              <w:jc w:val="center"/>
              <w:ind w:right="4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Investment</w:t>
            </w:r>
          </w:p>
        </w:tc>
        <w:tc>
          <w:tcPr>
            <w:tcW w:w="1420" w:type="dxa"/>
            <w:vAlign w:val="bottom"/>
            <w:gridSpan w:val="3"/>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Interest Rate¹ / Maturity</w:t>
            </w:r>
            <w:r>
              <w:rPr>
                <w:rFonts w:ascii="Times New Roman" w:cs="Times New Roman" w:eastAsia="Times New Roman" w:hAnsi="Times New Roman"/>
                <w:sz w:val="10"/>
                <w:szCs w:val="10"/>
                <w:b w:val="1"/>
                <w:bCs w:val="1"/>
                <w:color w:val="auto"/>
                <w:w w:val="99"/>
              </w:rPr>
              <w:t>15</w:t>
            </w:r>
          </w:p>
        </w:tc>
        <w:tc>
          <w:tcPr>
            <w:tcW w:w="140" w:type="dxa"/>
            <w:vAlign w:val="bottom"/>
            <w:tcBorders>
              <w:bottom w:val="single" w:sz="8" w:color="CFF0FC"/>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10"/>
                <w:szCs w:val="10"/>
                <w:b w:val="1"/>
                <w:bCs w:val="1"/>
                <w:color w:val="auto"/>
              </w:rPr>
              <w:t>2</w:t>
            </w:r>
          </w:p>
        </w:tc>
        <w:tc>
          <w:tcPr>
            <w:tcW w:w="100" w:type="dxa"/>
            <w:vAlign w:val="bottom"/>
            <w:tcBorders>
              <w:bottom w:val="single" w:sz="8" w:color="CFF0FC"/>
            </w:tcBorders>
          </w:tcPr>
          <w:p>
            <w:pPr>
              <w:spacing w:after="0"/>
              <w:rPr>
                <w:sz w:val="12"/>
                <w:szCs w:val="12"/>
                <w:color w:val="auto"/>
              </w:rPr>
            </w:pPr>
          </w:p>
        </w:tc>
      </w:tr>
      <w:tr>
        <w:trPr>
          <w:trHeight w:val="118"/>
        </w:trPr>
        <w:tc>
          <w:tcPr>
            <w:tcW w:w="244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Acrisure, LLC</w:t>
            </w:r>
          </w:p>
        </w:tc>
        <w:tc>
          <w:tcPr>
            <w:tcW w:w="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0"/>
                <w:szCs w:val="10"/>
                <w:color w:val="auto"/>
              </w:rPr>
              <w:t>(8)(14)</w:t>
            </w:r>
          </w:p>
        </w:tc>
        <w:tc>
          <w:tcPr>
            <w:tcW w:w="3160" w:type="dxa"/>
            <w:vAlign w:val="bottom"/>
            <w:gridSpan w:val="2"/>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Senior Secured Loan — 2017-2 Refinancing Term Loan (First</w:t>
            </w:r>
          </w:p>
        </w:tc>
        <w:tc>
          <w:tcPr>
            <w:tcW w:w="1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4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Banking, Finance, Insurance &amp; Real Estate</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w:t>
            </w:r>
          </w:p>
        </w:tc>
        <w:tc>
          <w:tcPr>
            <w:tcW w:w="2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8"/>
        </w:trPr>
        <w:tc>
          <w:tcPr>
            <w:tcW w:w="2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6.4% Cash, 3 month LIBOR(2.10%) + 4.25%;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11/23</w:t>
            </w:r>
          </w:p>
        </w:tc>
        <w:tc>
          <w:tcPr>
            <w:tcW w:w="142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2"/>
                <w:szCs w:val="12"/>
                <w:color w:val="auto"/>
              </w:rPr>
              <w:t>9/30/2019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1,994,911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1,992,417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1,992,417</w:t>
            </w:r>
          </w:p>
        </w:tc>
        <w:tc>
          <w:tcPr>
            <w:tcW w:w="100" w:type="dxa"/>
            <w:vAlign w:val="bottom"/>
            <w:shd w:val="clear" w:color="auto" w:fill="CFF0FC"/>
          </w:tcPr>
          <w:p>
            <w:pPr>
              <w:spacing w:after="0"/>
              <w:rPr>
                <w:sz w:val="12"/>
                <w:szCs w:val="12"/>
                <w:color w:val="auto"/>
              </w:rPr>
            </w:pPr>
          </w:p>
        </w:tc>
      </w:tr>
      <w:tr>
        <w:trPr>
          <w:trHeight w:val="141"/>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4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Advanced Lighting Technologies, Inc.</w:t>
            </w:r>
          </w:p>
        </w:tc>
        <w:tc>
          <w:tcPr>
            <w:tcW w:w="2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Second Lien Notes</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4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Consumer goods: Durable</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w w:val="96"/>
              </w:rPr>
              <w:t>19.1%</w:t>
            </w:r>
          </w:p>
        </w:tc>
        <w:tc>
          <w:tcPr>
            <w:tcW w:w="298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2"/>
                <w:szCs w:val="12"/>
                <w:color w:val="auto"/>
              </w:rPr>
              <w:t>PIK, 1 month LIBOR(2.10%) + -2.10%;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4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0"/>
                <w:szCs w:val="10"/>
                <w:color w:val="auto"/>
              </w:rPr>
              <w:t>(5)(8)(13)</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10/23</w:t>
            </w:r>
          </w:p>
        </w:tc>
        <w:tc>
          <w:tcPr>
            <w:tcW w:w="11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2"/>
                <w:szCs w:val="12"/>
                <w:color w:val="auto"/>
                <w:w w:val="98"/>
              </w:rPr>
              <w:t>6/13/2012</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1,163,950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1,069,118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2,474</w:t>
            </w:r>
          </w:p>
        </w:tc>
        <w:tc>
          <w:tcPr>
            <w:tcW w:w="100" w:type="dxa"/>
            <w:vAlign w:val="bottom"/>
            <w:shd w:val="clear" w:color="auto" w:fill="CFF0FC"/>
          </w:tcPr>
          <w:p>
            <w:pPr>
              <w:spacing w:after="0"/>
              <w:rPr>
                <w:sz w:val="12"/>
                <w:szCs w:val="12"/>
                <w:color w:val="auto"/>
              </w:rPr>
            </w:pPr>
          </w:p>
        </w:tc>
      </w:tr>
    </w:tbl>
    <w:p>
      <w:pPr>
        <w:spacing w:after="0" w:line="127" w:lineRule="exact"/>
        <w:rPr>
          <w:sz w:val="20"/>
          <w:szCs w:val="20"/>
          <w:color w:val="auto"/>
        </w:rPr>
      </w:pPr>
    </w:p>
    <w:p>
      <w:pPr>
        <w:sectPr>
          <w:pgSz w:w="11900" w:h="16838" w:orient="portrait"/>
          <w:cols w:equalWidth="0" w:num="1">
            <w:col w:w="11420"/>
          </w:cols>
          <w:pgMar w:left="240" w:top="119" w:right="239" w:bottom="1440" w:gutter="0" w:footer="0" w:header="0"/>
        </w:sectPr>
      </w:pPr>
    </w:p>
    <w:tbl>
      <w:tblPr>
        <w:tblLayout w:type="fixed"/>
        <w:tblInd w:w="0" w:type="dxa"/>
        <w:tblCellMar>
          <w:top w:w="0" w:type="dxa"/>
          <w:left w:w="0" w:type="dxa"/>
          <w:bottom w:w="0" w:type="dxa"/>
          <w:right w:w="0" w:type="dxa"/>
        </w:tblCellMar>
      </w:tblPr>
      <w:tr>
        <w:trPr>
          <w:trHeight w:val="138"/>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Akumin Corp.</w:t>
            </w:r>
          </w:p>
        </w:tc>
        <w:tc>
          <w:tcPr>
            <w:tcW w:w="6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(8)(14)</w:t>
            </w:r>
          </w:p>
        </w:tc>
        <w:tc>
          <w:tcPr>
            <w:tcW w:w="0" w:type="dxa"/>
            <w:vAlign w:val="bottom"/>
          </w:tcPr>
          <w:p>
            <w:pPr>
              <w:spacing w:after="0"/>
              <w:rPr>
                <w:sz w:val="1"/>
                <w:szCs w:val="1"/>
                <w:color w:val="auto"/>
              </w:rPr>
            </w:pPr>
          </w:p>
        </w:tc>
      </w:tr>
      <w:tr>
        <w:trPr>
          <w:trHeight w:val="154"/>
        </w:trPr>
        <w:tc>
          <w:tcPr>
            <w:tcW w:w="2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Anthem Sports &amp; Entertainment Inc.</w:t>
            </w:r>
          </w:p>
        </w:tc>
        <w:tc>
          <w:tcPr>
            <w:tcW w:w="6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54"/>
        </w:trPr>
        <w:tc>
          <w:tcPr>
            <w:tcW w:w="2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Media: Broadcasting &amp; Subscription</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Anthem Sports &amp; Entertainment Inc.</w:t>
            </w:r>
          </w:p>
        </w:tc>
        <w:tc>
          <w:tcPr>
            <w:tcW w:w="6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54"/>
        </w:trPr>
        <w:tc>
          <w:tcPr>
            <w:tcW w:w="2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Media: Broadcasting &amp; Subscription</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BMC Acquisition, Inc. (aka BenefitMall)</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Banking, Finance, Insurance &amp; Real Estate</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auto"/>
                <w:w w:val="97"/>
              </w:rPr>
              <w:t>(8)(13)(14)</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BW NHHC Holdco Inc.</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680" w:type="dxa"/>
            <w:vAlign w:val="bottom"/>
          </w:tcPr>
          <w:p>
            <w:pPr>
              <w:ind w:left="220"/>
              <w:spacing w:after="0"/>
              <w:rPr>
                <w:sz w:val="20"/>
                <w:szCs w:val="20"/>
                <w:color w:val="auto"/>
              </w:rPr>
            </w:pPr>
            <w:r>
              <w:rPr>
                <w:rFonts w:ascii="Times New Roman" w:cs="Times New Roman" w:eastAsia="Times New Roman" w:hAnsi="Times New Roman"/>
                <w:sz w:val="10"/>
                <w:szCs w:val="10"/>
                <w:color w:val="auto"/>
                <w:w w:val="97"/>
              </w:rPr>
              <w:t>(8)(13)(14)</w:t>
            </w:r>
          </w:p>
        </w:tc>
        <w:tc>
          <w:tcPr>
            <w:tcW w:w="0" w:type="dxa"/>
            <w:vAlign w:val="bottom"/>
          </w:tcPr>
          <w:p>
            <w:pPr>
              <w:spacing w:after="0"/>
              <w:rPr>
                <w:sz w:val="1"/>
                <w:szCs w:val="1"/>
                <w:color w:val="auto"/>
              </w:rPr>
            </w:pPr>
          </w:p>
        </w:tc>
      </w:tr>
      <w:tr>
        <w:trPr>
          <w:trHeight w:val="255"/>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Carestream Health, Inc.</w:t>
            </w:r>
          </w:p>
        </w:tc>
        <w:tc>
          <w:tcPr>
            <w:tcW w:w="6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(8)(13)</w:t>
            </w:r>
          </w:p>
        </w:tc>
        <w:tc>
          <w:tcPr>
            <w:tcW w:w="0" w:type="dxa"/>
            <w:vAlign w:val="bottom"/>
          </w:tcPr>
          <w:p>
            <w:pPr>
              <w:spacing w:after="0"/>
              <w:rPr>
                <w:sz w:val="1"/>
                <w:szCs w:val="1"/>
                <w:color w:val="auto"/>
              </w:rPr>
            </w:pPr>
          </w:p>
        </w:tc>
      </w:tr>
      <w:tr>
        <w:trPr>
          <w:trHeight w:val="154"/>
        </w:trPr>
        <w:tc>
          <w:tcPr>
            <w:tcW w:w="2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Child Development Schools, Inc.</w:t>
            </w:r>
          </w:p>
        </w:tc>
        <w:tc>
          <w:tcPr>
            <w:tcW w:w="6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(8)(14)</w:t>
            </w:r>
          </w:p>
        </w:tc>
        <w:tc>
          <w:tcPr>
            <w:tcW w:w="0" w:type="dxa"/>
            <w:vAlign w:val="bottom"/>
          </w:tcPr>
          <w:p>
            <w:pPr>
              <w:spacing w:after="0"/>
              <w:rPr>
                <w:sz w:val="1"/>
                <w:szCs w:val="1"/>
                <w:color w:val="auto"/>
              </w:rPr>
            </w:pPr>
          </w:p>
        </w:tc>
      </w:tr>
      <w:tr>
        <w:trPr>
          <w:trHeight w:val="154"/>
        </w:trPr>
        <w:tc>
          <w:tcPr>
            <w:tcW w:w="2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Services: Consumer</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Senior Secured Loan — Initial Term B Loan</w:t>
            </w:r>
          </w:p>
        </w:tc>
        <w:tc>
          <w:tcPr>
            <w:tcW w:w="1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28"/>
        </w:trPr>
        <w:tc>
          <w:tcPr>
            <w:tcW w:w="34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8.0% Cash, 3 month LIBOR(2.04%) + 6.00%; LIBOR Floor</w:t>
            </w:r>
          </w:p>
        </w:tc>
        <w:tc>
          <w:tcPr>
            <w:tcW w:w="1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1.00% , Due 5/24</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5/31/2019</w:t>
            </w: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2,244,375</w:t>
            </w:r>
          </w:p>
        </w:tc>
        <w:tc>
          <w:tcPr>
            <w:tcW w:w="12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2,202,509</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2,199,488</w:t>
            </w:r>
          </w:p>
        </w:tc>
      </w:tr>
      <w:tr>
        <w:trPr>
          <w:trHeight w:val="255"/>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Senior Secured Loan — Revolving Loan</w:t>
            </w: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28"/>
        </w:trPr>
        <w:tc>
          <w:tcPr>
            <w:tcW w:w="34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11.6% Cash, 3 month LIBOR(2.10%) + 9.50%; LIBOR Floor</w:t>
            </w:r>
          </w:p>
        </w:tc>
        <w:tc>
          <w:tcPr>
            <w:tcW w:w="1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1.00% , Due 9/24</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9/9/2019</w:t>
            </w: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416,667</w:t>
            </w:r>
          </w:p>
        </w:tc>
        <w:tc>
          <w:tcPr>
            <w:tcW w:w="12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374,954</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400,708</w:t>
            </w:r>
          </w:p>
        </w:tc>
      </w:tr>
      <w:tr>
        <w:trPr>
          <w:trHeight w:val="255"/>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Senior Secured Loan — Term Loan</w:t>
            </w: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28"/>
        </w:trPr>
        <w:tc>
          <w:tcPr>
            <w:tcW w:w="34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8.9% Cash, 2.8% PIK, 3 month LIBOR(2.10%) + 6.75%;</w:t>
            </w:r>
          </w:p>
        </w:tc>
        <w:tc>
          <w:tcPr>
            <w:tcW w:w="1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LIBOR Floor 1.00% , Due 9/24</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9/9/2019</w:t>
            </w: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4,590,686</w:t>
            </w:r>
          </w:p>
        </w:tc>
        <w:tc>
          <w:tcPr>
            <w:tcW w:w="12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4,406,856</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4,414,862</w:t>
            </w:r>
          </w:p>
        </w:tc>
      </w:tr>
      <w:tr>
        <w:trPr>
          <w:trHeight w:val="255"/>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Senior Secured Loan — Initial Term Loan</w:t>
            </w: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28"/>
        </w:trPr>
        <w:tc>
          <w:tcPr>
            <w:tcW w:w="34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7.4% Cash, 1 month LIBOR(2.26%) + 5.17%; LIBOR Floor</w:t>
            </w:r>
          </w:p>
        </w:tc>
        <w:tc>
          <w:tcPr>
            <w:tcW w:w="1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1.00% , Due 12/24</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1/2/2018</w:t>
            </w: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2,947,500</w:t>
            </w:r>
          </w:p>
        </w:tc>
        <w:tc>
          <w:tcPr>
            <w:tcW w:w="12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2,946,198</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2,883,539</w:t>
            </w:r>
          </w:p>
        </w:tc>
      </w:tr>
      <w:tr>
        <w:trPr>
          <w:trHeight w:val="255"/>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Senior Secured Loan — Initial Term Loan (First Lien)</w:t>
            </w: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5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7.1% Cash, 1 month LIBOR(2.05%) + 5.00% , Due 5/25</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5/16/2018</w:t>
            </w: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1,975,000</w:t>
            </w:r>
          </w:p>
        </w:tc>
        <w:tc>
          <w:tcPr>
            <w:tcW w:w="12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1,951,130</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1,793,893</w:t>
            </w:r>
          </w:p>
        </w:tc>
      </w:tr>
      <w:tr>
        <w:trPr>
          <w:trHeight w:val="255"/>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Junior Secured Loan — Extended Term Loan (Second Lien)</w:t>
            </w: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28"/>
        </w:trPr>
        <w:tc>
          <w:tcPr>
            <w:tcW w:w="34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11.5% Cash, 3 month LIBOR(2.04%) + 9.50%; LIBOR Floor</w:t>
            </w:r>
          </w:p>
        </w:tc>
        <w:tc>
          <w:tcPr>
            <w:tcW w:w="1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1.00% , Due 6/21</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10/7/2014</w:t>
            </w: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1,510,955</w:t>
            </w:r>
          </w:p>
        </w:tc>
        <w:tc>
          <w:tcPr>
            <w:tcW w:w="12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1,500,652</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1,480,736</w:t>
            </w:r>
          </w:p>
        </w:tc>
      </w:tr>
      <w:tr>
        <w:trPr>
          <w:trHeight w:val="255"/>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Senior Secured Loan — Term Loan</w:t>
            </w: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5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6.5% Cash, 1 month LIBOR(2.26%) + 4.25% , Due 5/23</w:t>
            </w: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6/6/2018</w:t>
            </w: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4,588,691</w:t>
            </w:r>
          </w:p>
        </w:tc>
        <w:tc>
          <w:tcPr>
            <w:tcW w:w="12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4,580,275</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4,594,427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-2068195</wp:posOffset>
            </wp:positionH>
            <wp:positionV relativeFrom="paragraph">
              <wp:posOffset>-2142490</wp:posOffset>
            </wp:positionV>
            <wp:extent cx="7253605" cy="252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5209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-1800860</wp:posOffset>
            </wp:positionV>
            <wp:extent cx="7253605" cy="252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5209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-1459865</wp:posOffset>
            </wp:positionV>
            <wp:extent cx="7253605" cy="252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5209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-1118870</wp:posOffset>
            </wp:positionV>
            <wp:extent cx="7253605" cy="252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5209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-777875</wp:posOffset>
            </wp:positionV>
            <wp:extent cx="7253605" cy="170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17081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-517525</wp:posOffset>
            </wp:positionV>
            <wp:extent cx="7253605" cy="252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5209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-176530</wp:posOffset>
            </wp:positionV>
            <wp:extent cx="7253605" cy="170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17081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3120" w:space="140"/>
            <w:col w:w="8160"/>
          </w:cols>
          <w:pgMar w:left="240" w:top="119" w:right="2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Community Care Health Network, Inc. (aka Matrix</w:t>
            </w:r>
          </w:p>
        </w:tc>
        <w:tc>
          <w:tcPr>
            <w:tcW w:w="54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rPr>
              <w:t>(8)(14)</w:t>
            </w:r>
          </w:p>
        </w:tc>
        <w:tc>
          <w:tcPr>
            <w:tcW w:w="3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Senior Secured Loan — Closing Date Term Loan</w:t>
            </w:r>
          </w:p>
        </w:tc>
        <w:tc>
          <w:tcPr>
            <w:tcW w:w="13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28"/>
        </w:trPr>
        <w:tc>
          <w:tcPr>
            <w:tcW w:w="256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Medical Network)</w:t>
            </w:r>
          </w:p>
        </w:tc>
        <w:tc>
          <w:tcPr>
            <w:tcW w:w="540" w:type="dxa"/>
            <w:vAlign w:val="bottom"/>
            <w:shd w:val="clear" w:color="auto" w:fill="CFF0FC"/>
          </w:tcPr>
          <w:p>
            <w:pPr>
              <w:spacing w:after="0"/>
              <w:rPr>
                <w:sz w:val="11"/>
                <w:szCs w:val="11"/>
                <w:color w:val="auto"/>
              </w:rPr>
            </w:pPr>
          </w:p>
        </w:tc>
        <w:tc>
          <w:tcPr>
            <w:tcW w:w="360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6.8% Cash, 1 month LIBOR(2.04%) + 4.75%; LIBOR Floor</w:t>
            </w:r>
          </w:p>
        </w:tc>
        <w:tc>
          <w:tcPr>
            <w:tcW w:w="13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44"/>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540" w:type="dxa"/>
            <w:vAlign w:val="bottom"/>
            <w:shd w:val="clear" w:color="auto" w:fill="CFF0FC"/>
          </w:tcPr>
          <w:p>
            <w:pPr>
              <w:spacing w:after="0"/>
              <w:rPr>
                <w:sz w:val="12"/>
                <w:szCs w:val="12"/>
                <w:color w:val="auto"/>
              </w:rPr>
            </w:pPr>
          </w:p>
        </w:tc>
        <w:tc>
          <w:tcPr>
            <w:tcW w:w="3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1.00% , Due 2/25</w:t>
            </w:r>
          </w:p>
        </w:tc>
        <w:tc>
          <w:tcPr>
            <w:tcW w:w="1300" w:type="dxa"/>
            <w:vAlign w:val="bottom"/>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2/9/2018</w:t>
            </w:r>
          </w:p>
        </w:tc>
        <w:tc>
          <w:tcPr>
            <w:tcW w:w="118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1,975,000</w:t>
            </w:r>
          </w:p>
        </w:tc>
        <w:tc>
          <w:tcPr>
            <w:tcW w:w="12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1,971,196</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1,848,108</w:t>
            </w: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80" w:type="dxa"/>
            <w:vAlign w:val="bottom"/>
            <w:gridSpan w:val="2"/>
          </w:tcPr>
          <w:p>
            <w:pPr>
              <w:ind w:left="980"/>
              <w:spacing w:after="0" w:line="128"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126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right"/>
              <w:ind w:right="480"/>
              <w:spacing w:after="0" w:line="128"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2"/>
                <w:szCs w:val="12"/>
                <w:b w:val="1"/>
                <w:bCs w:val="1"/>
                <w:color w:val="auto"/>
              </w:rPr>
              <w:t>Interest Rate¹ / Maturity</w:t>
            </w:r>
            <w:r>
              <w:rPr>
                <w:rFonts w:ascii="Times New Roman" w:cs="Times New Roman" w:eastAsia="Times New Roman" w:hAnsi="Times New Roman"/>
                <w:sz w:val="10"/>
                <w:szCs w:val="10"/>
                <w:b w:val="1"/>
                <w:bCs w:val="1"/>
                <w:color w:val="auto"/>
              </w:rPr>
              <w:t>15</w:t>
            </w:r>
          </w:p>
        </w:tc>
        <w:tc>
          <w:tcPr>
            <w:tcW w:w="140" w:type="dxa"/>
            <w:vAlign w:val="bottom"/>
            <w:tcBorders>
              <w:bottom w:val="single" w:sz="8" w:color="CFF0FC"/>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2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4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10"/>
                <w:szCs w:val="10"/>
                <w:b w:val="1"/>
                <w:bCs w:val="1"/>
                <w:color w:val="auto"/>
              </w:rPr>
              <w:t>2</w:t>
            </w:r>
          </w:p>
        </w:tc>
        <w:tc>
          <w:tcPr>
            <w:tcW w:w="100" w:type="dxa"/>
            <w:vAlign w:val="bottom"/>
            <w:tcBorders>
              <w:bottom w:val="single" w:sz="8" w:color="CFF0FC"/>
            </w:tcBorders>
          </w:tcPr>
          <w:p>
            <w:pPr>
              <w:spacing w:after="0"/>
              <w:rPr>
                <w:sz w:val="12"/>
                <w:szCs w:val="12"/>
                <w:color w:val="auto"/>
              </w:rPr>
            </w:pPr>
          </w:p>
        </w:tc>
      </w:tr>
      <w:tr>
        <w:trPr>
          <w:trHeight w:val="118"/>
        </w:trPr>
        <w:tc>
          <w:tcPr>
            <w:tcW w:w="254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Corsair Gaming, Inc.</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w:t>
            </w:r>
          </w:p>
        </w:tc>
        <w:tc>
          <w:tcPr>
            <w:tcW w:w="3160" w:type="dxa"/>
            <w:vAlign w:val="bottom"/>
            <w:gridSpan w:val="2"/>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1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High Tech Industries</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w w:val="96"/>
              </w:rPr>
              <w:t>10.6%</w:t>
            </w:r>
          </w:p>
        </w:tc>
        <w:tc>
          <w:tcPr>
            <w:tcW w:w="298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2"/>
                <w:szCs w:val="12"/>
                <w:color w:val="auto"/>
              </w:rPr>
              <w:t>Cash, 1 month LIBOR(2.10%) + 8.50%;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8/25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9/29/2017</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2,966,199</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2,947,500</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CSM Bakery Solutions Limited (fka CSM Bakery</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Supplies Limited)</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2"/>
                <w:szCs w:val="12"/>
                <w:color w:val="auto"/>
              </w:rPr>
              <w:t>Cash, 1 month LIBOR(2.29%) + 7.75%;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Beverage, Food and Tobacco</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7/21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5/23/2013</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3,004,425</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2,790,000</w:t>
            </w:r>
          </w:p>
        </w:tc>
        <w:tc>
          <w:tcPr>
            <w:tcW w:w="100" w:type="dxa"/>
            <w:vAlign w:val="bottom"/>
            <w:shd w:val="clear" w:color="auto" w:fill="CFF0FC"/>
          </w:tcPr>
          <w:p>
            <w:pPr>
              <w:spacing w:after="0"/>
              <w:rPr>
                <w:sz w:val="12"/>
                <w:szCs w:val="12"/>
                <w:color w:val="auto"/>
              </w:rPr>
            </w:pPr>
          </w:p>
        </w:tc>
      </w:tr>
      <w:tr>
        <w:trPr>
          <w:trHeight w:val="141"/>
        </w:trPr>
        <w:tc>
          <w:tcPr>
            <w:tcW w:w="266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6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Digitran Innovations B.V. (Pomeroy Solutions Holding </w:t>
            </w: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Company, Inc.)</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9.8% Cash, 3 month LIBOR(2.33%) + 7.50%;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High Tech Industries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1.50%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7/24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12/10/2018</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4,962,406</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4,919,934</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3,706,297</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Drilling Info Holdings, Inc.</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2019 Delayed Draw Term Loan (First</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High Tech Industries</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w:t>
            </w:r>
          </w:p>
        </w:tc>
        <w:tc>
          <w:tcPr>
            <w:tcW w:w="2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8"/>
        </w:trPr>
        <w:tc>
          <w:tcPr>
            <w:tcW w:w="2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6.0% Cash, 1 month LIBOR(1.71%) + 4.25%;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7/25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6/27/2019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(4,018)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(4,018)</w:t>
            </w: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Dun &amp; Bradstreet Corporation, The</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Borrowing</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Services: Business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7.1% Cash, 3 month LIBOR(2.05%) + 5.00% , Due 2/26</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4/24/2019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5,043,750</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5,043,750</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Evergreen North America Acquisition, LLC (f/k/a</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Industrial Services Acquisition, LLC)</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7.1% Cash, 1 month LIBOR(2.13%) + 5.00%;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Environmental Industries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6/22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6/21/2016</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1,055,593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1,058,611</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1,055,593</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First American Payment Systems, L.P.</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Tranche B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Banking, Finance, Insurance &amp; Real Estate</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w w:val="96"/>
              </w:rPr>
              <w:t>12.8%</w:t>
            </w:r>
          </w:p>
        </w:tc>
        <w:tc>
          <w:tcPr>
            <w:tcW w:w="298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2"/>
                <w:szCs w:val="12"/>
                <w:color w:val="auto"/>
              </w:rPr>
              <w:t>Cash, 1 month LIBOR(2.31%) + 10.50%;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7/24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1/4/2017</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1,471,358</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1,458,000</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GI Advo Opco, LLC</w:t>
            </w:r>
          </w:p>
        </w:tc>
        <w:tc>
          <w:tcPr>
            <w:tcW w:w="4020" w:type="dxa"/>
            <w:vAlign w:val="bottom"/>
            <w:gridSpan w:val="5"/>
            <w:shd w:val="clear" w:color="auto" w:fill="CFF0FC"/>
          </w:tcPr>
          <w:p>
            <w:pPr>
              <w:ind w:left="120"/>
              <w:spacing w:after="0" w:line="125" w:lineRule="exact"/>
              <w:rPr>
                <w:sz w:val="20"/>
                <w:szCs w:val="20"/>
                <w:color w:val="auto"/>
              </w:rPr>
            </w:pPr>
            <w:r>
              <w:rPr>
                <w:rFonts w:ascii="Times New Roman" w:cs="Times New Roman" w:eastAsia="Times New Roman" w:hAnsi="Times New Roman"/>
                <w:sz w:val="10"/>
                <w:szCs w:val="10"/>
                <w:color w:val="auto"/>
              </w:rPr>
              <w:t xml:space="preserve">(5)(8)(13)(14) </w:t>
            </w:r>
            <w:r>
              <w:rPr>
                <w:rFonts w:ascii="Times New Roman" w:cs="Times New Roman" w:eastAsia="Times New Roman" w:hAnsi="Times New Roman"/>
                <w:sz w:val="11"/>
                <w:szCs w:val="11"/>
                <w:color w:val="auto"/>
              </w:rPr>
              <w:t>Senior Secured Loan —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9.5% Cash, Fixed , Due 11/21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11/19/2015</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180,304</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179,431</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GK Holdings, Inc. (aka Global Knowledge)</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(8)(13)</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Services: Business</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w w:val="96"/>
              </w:rPr>
              <w:t>12.4%</w:t>
            </w:r>
          </w:p>
        </w:tc>
        <w:tc>
          <w:tcPr>
            <w:tcW w:w="298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2"/>
                <w:szCs w:val="12"/>
                <w:color w:val="auto"/>
              </w:rPr>
              <w:t>Cash, 3 month LIBOR(2.10%) + 10.25%;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1/22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1/30/2015</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1,490,055</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1,220,625</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Global Tel*Link Corporation</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Telecommunications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10.3%</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Cash, 1 month LIBOR(2.04%) + 8.25% , Due 11/26</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5/21/2013</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1,968,622</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1,912,600</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Global Tel*Link Corporation</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(8)(13)</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Telecommunications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10.3%</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Cash, 3 month LIBOR(2.04%) + 8.25% , Due 11/26</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5/21/2013</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4,923,901</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4,781,500</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Grupo HIMA San Pablo, Inc.</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(8)(13)</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B Loan (First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Healthcare &amp; Pharmaceuticals</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11.3% Cash, 3 month LIBOR(2.27%) + 9.00%;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1.50%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1/18</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1/30/2013</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2,702,232</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2,702,232</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2,648,188</w:t>
            </w:r>
          </w:p>
        </w:tc>
        <w:tc>
          <w:tcPr>
            <w:tcW w:w="100" w:type="dxa"/>
            <w:vAlign w:val="bottom"/>
            <w:shd w:val="clear" w:color="auto" w:fill="CFF0FC"/>
          </w:tcPr>
          <w:p>
            <w:pPr>
              <w:spacing w:after="0"/>
              <w:rPr>
                <w:sz w:val="12"/>
                <w:szCs w:val="12"/>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12"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38"/>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50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80" w:type="dxa"/>
            <w:vAlign w:val="bottom"/>
            <w:gridSpan w:val="2"/>
          </w:tcPr>
          <w:p>
            <w:pPr>
              <w:ind w:left="980"/>
              <w:spacing w:after="0" w:line="128"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126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2"/>
                <w:szCs w:val="12"/>
                <w:b w:val="1"/>
                <w:bCs w:val="1"/>
                <w:color w:val="auto"/>
              </w:rPr>
              <w:t>Interest Rate¹ / Maturity</w:t>
            </w:r>
            <w:r>
              <w:rPr>
                <w:rFonts w:ascii="Times New Roman" w:cs="Times New Roman" w:eastAsia="Times New Roman" w:hAnsi="Times New Roman"/>
                <w:sz w:val="10"/>
                <w:szCs w:val="10"/>
                <w:b w:val="1"/>
                <w:bCs w:val="1"/>
                <w:color w:val="auto"/>
              </w:rPr>
              <w:t>15</w:t>
            </w:r>
          </w:p>
        </w:tc>
        <w:tc>
          <w:tcPr>
            <w:tcW w:w="140" w:type="dxa"/>
            <w:vAlign w:val="bottom"/>
            <w:tcBorders>
              <w:bottom w:val="single" w:sz="8" w:color="CFF0FC"/>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2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4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10"/>
                <w:szCs w:val="10"/>
                <w:b w:val="1"/>
                <w:bCs w:val="1"/>
                <w:color w:val="auto"/>
              </w:rPr>
              <w:t>2</w:t>
            </w:r>
          </w:p>
        </w:tc>
        <w:tc>
          <w:tcPr>
            <w:tcW w:w="100" w:type="dxa"/>
            <w:vAlign w:val="bottom"/>
            <w:tcBorders>
              <w:bottom w:val="single" w:sz="8" w:color="CFF0FC"/>
            </w:tcBorders>
          </w:tcPr>
          <w:p>
            <w:pPr>
              <w:spacing w:after="0"/>
              <w:rPr>
                <w:sz w:val="12"/>
                <w:szCs w:val="12"/>
                <w:color w:val="auto"/>
              </w:rPr>
            </w:pPr>
          </w:p>
        </w:tc>
      </w:tr>
      <w:tr>
        <w:trPr>
          <w:trHeight w:val="118"/>
        </w:trPr>
        <w:tc>
          <w:tcPr>
            <w:tcW w:w="25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Grupo HIMA San Pablo, Inc.</w:t>
            </w: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(5)(8)(13)</w:t>
            </w:r>
          </w:p>
        </w:tc>
        <w:tc>
          <w:tcPr>
            <w:tcW w:w="3160" w:type="dxa"/>
            <w:vAlign w:val="bottom"/>
            <w:gridSpan w:val="2"/>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1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13.8%</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Cash, Fixed , Due 7/18</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1/30/2013</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7,191,667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7,169,109</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4,152,201</w:t>
            </w:r>
          </w:p>
        </w:tc>
        <w:tc>
          <w:tcPr>
            <w:tcW w:w="100" w:type="dxa"/>
            <w:vAlign w:val="bottom"/>
            <w:shd w:val="clear" w:color="auto" w:fill="CFF0FC"/>
          </w:tcPr>
          <w:p>
            <w:pPr>
              <w:spacing w:after="0"/>
              <w:rPr>
                <w:sz w:val="12"/>
                <w:szCs w:val="12"/>
                <w:color w:val="auto"/>
              </w:rPr>
            </w:pPr>
          </w:p>
        </w:tc>
      </w:tr>
      <w:tr>
        <w:trPr>
          <w:trHeight w:val="141"/>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Hoffmaster Group, Inc.</w:t>
            </w: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0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Forest Products &amp; Paper</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11.5% Cash, 1 month LIBOR(2.04%) + 9.50%;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11/24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5/6/2014</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1,569,078</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1,525,481</w:t>
            </w:r>
          </w:p>
        </w:tc>
        <w:tc>
          <w:tcPr>
            <w:tcW w:w="100" w:type="dxa"/>
            <w:vAlign w:val="bottom"/>
            <w:shd w:val="clear" w:color="auto" w:fill="CFF0FC"/>
          </w:tcPr>
          <w:p>
            <w:pPr>
              <w:spacing w:after="0"/>
              <w:rPr>
                <w:sz w:val="12"/>
                <w:szCs w:val="12"/>
                <w:color w:val="auto"/>
              </w:rPr>
            </w:pPr>
          </w:p>
        </w:tc>
      </w:tr>
      <w:tr>
        <w:trPr>
          <w:trHeight w:val="141"/>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Idera, Inc.</w:t>
            </w: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(8)(14)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0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High Tech Industries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11.1% Cash, 3 month LIBOR(2.05%) + 9.00%;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6/27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6/27/2019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7,390,709</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7,387,500</w:t>
            </w:r>
          </w:p>
        </w:tc>
        <w:tc>
          <w:tcPr>
            <w:tcW w:w="100" w:type="dxa"/>
            <w:vAlign w:val="bottom"/>
            <w:shd w:val="clear" w:color="auto" w:fill="CFF0FC"/>
          </w:tcPr>
          <w:p>
            <w:pPr>
              <w:spacing w:after="0"/>
              <w:rPr>
                <w:sz w:val="12"/>
                <w:szCs w:val="12"/>
                <w:color w:val="auto"/>
              </w:rPr>
            </w:pPr>
          </w:p>
        </w:tc>
      </w:tr>
      <w:tr>
        <w:trPr>
          <w:trHeight w:val="141"/>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Infobase Holdings, Inc.</w:t>
            </w: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0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High Tech Industries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6.6% Cash, 1 month LIBOR(2.16%) + 4.47%;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12/22</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12/13/2017</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3,940,135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3,911,704</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3,916,314</w:t>
            </w:r>
          </w:p>
        </w:tc>
        <w:tc>
          <w:tcPr>
            <w:tcW w:w="100" w:type="dxa"/>
            <w:vAlign w:val="bottom"/>
            <w:shd w:val="clear" w:color="auto" w:fill="CFF0FC"/>
          </w:tcPr>
          <w:p>
            <w:pPr>
              <w:spacing w:after="0"/>
              <w:rPr>
                <w:sz w:val="12"/>
                <w:szCs w:val="12"/>
                <w:color w:val="auto"/>
              </w:rPr>
            </w:pPr>
          </w:p>
        </w:tc>
      </w:tr>
      <w:tr>
        <w:trPr>
          <w:trHeight w:val="141"/>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Ivanti Software, Inc. (fka LANDesk Group, Inc.)</w:t>
            </w: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(8)(13)</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0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High Tech Industries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11.1% Cash, 1 month LIBOR(2.05%) + 9.00%;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1/25</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3/10/2017</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3,228,619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3,228,619</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3,194,396</w:t>
            </w:r>
          </w:p>
        </w:tc>
        <w:tc>
          <w:tcPr>
            <w:tcW w:w="100" w:type="dxa"/>
            <w:vAlign w:val="bottom"/>
            <w:shd w:val="clear" w:color="auto" w:fill="CFF0FC"/>
          </w:tcPr>
          <w:p>
            <w:pPr>
              <w:spacing w:after="0"/>
              <w:rPr>
                <w:sz w:val="12"/>
                <w:szCs w:val="12"/>
                <w:color w:val="auto"/>
              </w:rPr>
            </w:pPr>
          </w:p>
        </w:tc>
      </w:tr>
      <w:tr>
        <w:trPr>
          <w:trHeight w:val="141"/>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Kellermeyer Bergensons Services, LLC</w:t>
            </w: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(8)</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2018 Replacement Term Loan (First</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0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Services: Business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w:t>
            </w:r>
          </w:p>
        </w:tc>
        <w:tc>
          <w:tcPr>
            <w:tcW w:w="2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8"/>
        </w:trPr>
        <w:tc>
          <w:tcPr>
            <w:tcW w:w="25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6.8% Cash, 1 month LIBOR(2.10%) + 4.71%;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10/21</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10/31/2014</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2,077,713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2,075,765</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2,064,623</w:t>
            </w:r>
          </w:p>
        </w:tc>
        <w:tc>
          <w:tcPr>
            <w:tcW w:w="100" w:type="dxa"/>
            <w:vAlign w:val="bottom"/>
            <w:shd w:val="clear" w:color="auto" w:fill="CFF0FC"/>
          </w:tcPr>
          <w:p>
            <w:pPr>
              <w:spacing w:after="0"/>
              <w:rPr>
                <w:sz w:val="12"/>
                <w:szCs w:val="12"/>
                <w:color w:val="auto"/>
              </w:rPr>
            </w:pPr>
          </w:p>
        </w:tc>
      </w:tr>
      <w:tr>
        <w:trPr>
          <w:trHeight w:val="141"/>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Kronos Foods Corp</w:t>
            </w: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Fourth Amendment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Beverage, Food and Tobacco</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6.9% Cash, 3 month LIBOR(2.10%) + 4.75% , Due 9/22</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6/27/2019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4,968,553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4,922,680</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4,918,868</w:t>
            </w:r>
          </w:p>
        </w:tc>
        <w:tc>
          <w:tcPr>
            <w:tcW w:w="100" w:type="dxa"/>
            <w:vAlign w:val="bottom"/>
            <w:shd w:val="clear" w:color="auto" w:fill="CFF0FC"/>
          </w:tcPr>
          <w:p>
            <w:pPr>
              <w:spacing w:after="0"/>
              <w:rPr>
                <w:sz w:val="12"/>
                <w:szCs w:val="12"/>
                <w:color w:val="auto"/>
              </w:rPr>
            </w:pPr>
          </w:p>
        </w:tc>
      </w:tr>
      <w:tr>
        <w:trPr>
          <w:trHeight w:val="141"/>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25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2"/>
                <w:szCs w:val="12"/>
                <w:color w:val="auto"/>
              </w:rPr>
              <w:t>Navex Topco, Inc.</w:t>
            </w: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17" w:lineRule="exact"/>
              <w:rPr>
                <w:sz w:val="20"/>
                <w:szCs w:val="20"/>
                <w:color w:val="auto"/>
              </w:rPr>
            </w:pPr>
            <w:r>
              <w:rPr>
                <w:rFonts w:ascii="Times New Roman" w:cs="Times New Roman" w:eastAsia="Times New Roman" w:hAnsi="Times New Roman"/>
                <w:sz w:val="12"/>
                <w:szCs w:val="12"/>
                <w:color w:val="auto"/>
              </w:rPr>
              <w:t>Junior Secured Loan — Initial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2"/>
        </w:trPr>
        <w:tc>
          <w:tcPr>
            <w:tcW w:w="2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Electronics</w:t>
            </w: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(19)</w:t>
            </w:r>
          </w:p>
        </w:tc>
        <w:tc>
          <w:tcPr>
            <w:tcW w:w="3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9.1% Cash, 3 month LIBOR(2.13%) + 7.00% , Due 9/26</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12/4/2018</w:t>
            </w: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2,972,114</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2,973,750</w:t>
            </w:r>
          </w:p>
        </w:tc>
        <w:tc>
          <w:tcPr>
            <w:tcW w:w="100" w:type="dxa"/>
            <w:vAlign w:val="bottom"/>
            <w:shd w:val="clear" w:color="auto" w:fill="CFF0FC"/>
          </w:tcPr>
          <w:p>
            <w:pPr>
              <w:spacing w:after="0"/>
              <w:rPr>
                <w:sz w:val="13"/>
                <w:szCs w:val="13"/>
                <w:color w:val="auto"/>
              </w:rPr>
            </w:pPr>
          </w:p>
        </w:tc>
      </w:tr>
      <w:tr>
        <w:trPr>
          <w:trHeight w:val="141"/>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PHI Group, Inc.</w:t>
            </w: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(8)(14)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0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Transportation: Cargo</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9.0% Cash, 3 month LIBOR(2.04%) + 7.00%;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9/24</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7/10/2019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8,675,847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8,502,331</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8,502,331</w:t>
            </w:r>
          </w:p>
        </w:tc>
        <w:tc>
          <w:tcPr>
            <w:tcW w:w="100" w:type="dxa"/>
            <w:vAlign w:val="bottom"/>
            <w:shd w:val="clear" w:color="auto" w:fill="CFF0FC"/>
          </w:tcPr>
          <w:p>
            <w:pPr>
              <w:spacing w:after="0"/>
              <w:rPr>
                <w:sz w:val="12"/>
                <w:szCs w:val="12"/>
                <w:color w:val="auto"/>
              </w:rPr>
            </w:pPr>
          </w:p>
        </w:tc>
      </w:tr>
      <w:tr>
        <w:trPr>
          <w:trHeight w:val="141"/>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Pinstripe Holdings, LLC (Aka Cielo)</w:t>
            </w: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0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Services: Business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8.1% Cash, 3 month LIBOR(2.05%) + 6.00%;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1/25</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1/17/2019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4,975,000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4,886,642</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4,883,460</w:t>
            </w:r>
          </w:p>
        </w:tc>
        <w:tc>
          <w:tcPr>
            <w:tcW w:w="100" w:type="dxa"/>
            <w:vAlign w:val="bottom"/>
            <w:shd w:val="clear" w:color="auto" w:fill="CFF0FC"/>
          </w:tcPr>
          <w:p>
            <w:pPr>
              <w:spacing w:after="0"/>
              <w:rPr>
                <w:sz w:val="12"/>
                <w:szCs w:val="12"/>
                <w:color w:val="auto"/>
              </w:rPr>
            </w:pPr>
          </w:p>
        </w:tc>
      </w:tr>
      <w:tr>
        <w:trPr>
          <w:trHeight w:val="141"/>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Playpower, Inc.</w:t>
            </w: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Construction &amp; Building</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7.6% Cash, 3 month LIBOR(2.10%) + 5.50% , Due 5/26</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6/23/2015</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1,520,277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1,528,417</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1,491,999</w:t>
            </w:r>
          </w:p>
        </w:tc>
        <w:tc>
          <w:tcPr>
            <w:tcW w:w="100" w:type="dxa"/>
            <w:vAlign w:val="bottom"/>
            <w:shd w:val="clear" w:color="auto" w:fill="CFF0FC"/>
          </w:tcPr>
          <w:p>
            <w:pPr>
              <w:spacing w:after="0"/>
              <w:rPr>
                <w:sz w:val="12"/>
                <w:szCs w:val="12"/>
                <w:color w:val="auto"/>
              </w:rPr>
            </w:pPr>
          </w:p>
        </w:tc>
      </w:tr>
      <w:tr>
        <w:trPr>
          <w:trHeight w:val="141"/>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PSC Industrial Holdings Corp.</w:t>
            </w: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(8)(13)</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0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Environmental Industries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w w:val="96"/>
              </w:rPr>
              <w:t>10.5%</w:t>
            </w:r>
          </w:p>
        </w:tc>
        <w:tc>
          <w:tcPr>
            <w:tcW w:w="298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2"/>
                <w:szCs w:val="12"/>
                <w:color w:val="auto"/>
              </w:rPr>
              <w:t>Cash, 1 month LIBOR(2.03%) + 8.50%;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10/25</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10/5/2017</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2,953,158</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2,941,194</w:t>
            </w:r>
          </w:p>
        </w:tc>
        <w:tc>
          <w:tcPr>
            <w:tcW w:w="100" w:type="dxa"/>
            <w:vAlign w:val="bottom"/>
            <w:shd w:val="clear" w:color="auto" w:fill="CFF0FC"/>
          </w:tcPr>
          <w:p>
            <w:pPr>
              <w:spacing w:after="0"/>
              <w:rPr>
                <w:sz w:val="12"/>
                <w:szCs w:val="12"/>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1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80" w:type="dxa"/>
            <w:vAlign w:val="bottom"/>
            <w:gridSpan w:val="2"/>
          </w:tcPr>
          <w:p>
            <w:pPr>
              <w:ind w:left="980"/>
              <w:spacing w:after="0" w:line="128"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126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2"/>
                <w:szCs w:val="12"/>
                <w:b w:val="1"/>
                <w:bCs w:val="1"/>
                <w:color w:val="auto"/>
              </w:rPr>
              <w:t>Interest Rate¹ / Maturity</w:t>
            </w:r>
            <w:r>
              <w:rPr>
                <w:rFonts w:ascii="Times New Roman" w:cs="Times New Roman" w:eastAsia="Times New Roman" w:hAnsi="Times New Roman"/>
                <w:sz w:val="10"/>
                <w:szCs w:val="10"/>
                <w:b w:val="1"/>
                <w:bCs w:val="1"/>
                <w:color w:val="auto"/>
              </w:rPr>
              <w:t>15</w:t>
            </w:r>
          </w:p>
        </w:tc>
        <w:tc>
          <w:tcPr>
            <w:tcW w:w="140" w:type="dxa"/>
            <w:vAlign w:val="bottom"/>
            <w:tcBorders>
              <w:bottom w:val="single" w:sz="8" w:color="CFF0FC"/>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2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4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10"/>
                <w:szCs w:val="10"/>
                <w:b w:val="1"/>
                <w:bCs w:val="1"/>
                <w:color w:val="auto"/>
              </w:rPr>
              <w:t>2</w:t>
            </w:r>
          </w:p>
        </w:tc>
        <w:tc>
          <w:tcPr>
            <w:tcW w:w="100" w:type="dxa"/>
            <w:vAlign w:val="bottom"/>
            <w:tcBorders>
              <w:bottom w:val="single" w:sz="8" w:color="CFF0FC"/>
            </w:tcBorders>
          </w:tcPr>
          <w:p>
            <w:pPr>
              <w:spacing w:after="0"/>
              <w:rPr>
                <w:sz w:val="12"/>
                <w:szCs w:val="12"/>
                <w:color w:val="auto"/>
              </w:rPr>
            </w:pPr>
          </w:p>
        </w:tc>
      </w:tr>
      <w:tr>
        <w:trPr>
          <w:trHeight w:val="118"/>
        </w:trPr>
        <w:tc>
          <w:tcPr>
            <w:tcW w:w="254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PVHC Holding Corp</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(8)(13)(14)</w:t>
            </w:r>
          </w:p>
        </w:tc>
        <w:tc>
          <w:tcPr>
            <w:tcW w:w="3160" w:type="dxa"/>
            <w:vAlign w:val="bottom"/>
            <w:gridSpan w:val="2"/>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1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Containers, Packaging and Glass</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6.9% Cash, 1 month LIBOR(2.10%) + 4.75%;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8/24</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8/10/2018</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2,851,200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2,839,628</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2,623,104</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Radiology Partners, Inc.</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B Loan (First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6.8% Cash, 3 month LIBOR(2.00%) + 4.75% , Due 7/25</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9/30/2019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2,984,906</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2,951,325</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2,958,778</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Radius Aerospace, Inc.</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Aerospace and Defense</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7.9% Cash, 3 month LIBOR(2.10%) + 5.75%;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3/25</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6/27/2019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6,965,000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6,865,059</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6,935,747</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Ravn Air Group, Inc.</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Aerospace and Defense</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7.1% Cash, 1 month LIBOR(2.11%) + 5.00%;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7/21</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7/29/2015</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1,814,498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1,814,498</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1,814,498</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Robertshaw US Holding Corp. (fka Fox US Bidco</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(8)(13)</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Corp.)</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w w:val="96"/>
              </w:rPr>
              <w:t>10.1%</w:t>
            </w:r>
          </w:p>
        </w:tc>
        <w:tc>
          <w:tcPr>
            <w:tcW w:w="298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2"/>
                <w:szCs w:val="12"/>
                <w:color w:val="auto"/>
              </w:rPr>
              <w:t>Cash, 1 month LIBOR(2.06%) + 8.00%;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Capital Equipment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2/26</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2/15/2018</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2,975,905</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2,757,468</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Roscoe Medical, Inc.</w:t>
            </w:r>
          </w:p>
        </w:tc>
        <w:tc>
          <w:tcPr>
            <w:tcW w:w="4020" w:type="dxa"/>
            <w:vAlign w:val="bottom"/>
            <w:gridSpan w:val="5"/>
            <w:shd w:val="clear" w:color="auto" w:fill="CFF0FC"/>
          </w:tcPr>
          <w:p>
            <w:pPr>
              <w:ind w:left="120"/>
              <w:spacing w:after="0" w:line="125" w:lineRule="exact"/>
              <w:rPr>
                <w:sz w:val="20"/>
                <w:szCs w:val="20"/>
                <w:color w:val="auto"/>
              </w:rPr>
            </w:pPr>
            <w:r>
              <w:rPr>
                <w:rFonts w:ascii="Times New Roman" w:cs="Times New Roman" w:eastAsia="Times New Roman" w:hAnsi="Times New Roman"/>
                <w:sz w:val="10"/>
                <w:szCs w:val="10"/>
                <w:color w:val="auto"/>
              </w:rPr>
              <w:t xml:space="preserve">(5)(8)(13)(14) </w:t>
            </w:r>
            <w:r>
              <w:rPr>
                <w:rFonts w:ascii="Times New Roman" w:cs="Times New Roman" w:eastAsia="Times New Roman" w:hAnsi="Times New Roman"/>
                <w:sz w:val="11"/>
                <w:szCs w:val="11"/>
                <w:color w:val="auto"/>
              </w:rPr>
              <w:t>Junior Secured Loan —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13.3%</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Cash, Fixed , Due 3/21</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3/26/2014</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4,995,555</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2,708,841</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Roscoe Medical, Inc.</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(5)(8)(13)</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13.3%</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Cash, Fixed , Due 3/21</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3/26/2014</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1,698,486</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921,006</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Salient CRGT Inc.</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High Tech Industries</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8.1% Cash, 1 month LIBOR(2.05%) + 6.00%;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2/22</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2/27/2017</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1,803,408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1,816,631</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1,716,123</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SCSG EA Acquisition Company, Inc.</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Healthcare &amp; Pharmaceuticals</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w w:val="96"/>
              </w:rPr>
              <w:t>10.5%</w:t>
            </w:r>
          </w:p>
        </w:tc>
        <w:tc>
          <w:tcPr>
            <w:tcW w:w="298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2"/>
                <w:szCs w:val="12"/>
                <w:color w:val="auto"/>
              </w:rPr>
              <w:t>Cash, 1 month LIBOR(2.32%) + 8.17%;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9/24</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8/18/2017</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4,964,793</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4,975,000</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SCSG EA Acquisition Company, Inc.</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Healthcare &amp; Pharmaceuticals</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w w:val="96"/>
              </w:rPr>
              <w:t>10.5%</w:t>
            </w:r>
          </w:p>
        </w:tc>
        <w:tc>
          <w:tcPr>
            <w:tcW w:w="298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2"/>
                <w:szCs w:val="12"/>
                <w:color w:val="auto"/>
              </w:rPr>
              <w:t>Cash, 1 month LIBOR(2.32%) + 8.17%;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9/24</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8/18/2017</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992,356</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995,000</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SOS Security Holdings LLC</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Services: Business</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8.8% Cash, 3 month LIBOR(2.26%) + 6.50%;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4/25</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6/5/2019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2,493,750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2,470,123</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2,452,104</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Syndigo LLC</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Incremental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Services: Business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7.5% Cash, 3 month LIBOR(2.04%) + 5.50% , Due 10/24</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8/23/2019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7,937,071</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7,780,530</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7,778,330</w:t>
            </w:r>
          </w:p>
        </w:tc>
        <w:tc>
          <w:tcPr>
            <w:tcW w:w="100" w:type="dxa"/>
            <w:vAlign w:val="bottom"/>
            <w:shd w:val="clear" w:color="auto" w:fill="CFF0FC"/>
          </w:tcPr>
          <w:p>
            <w:pPr>
              <w:spacing w:after="0"/>
              <w:rPr>
                <w:sz w:val="12"/>
                <w:szCs w:val="12"/>
                <w:color w:val="auto"/>
              </w:rPr>
            </w:pPr>
          </w:p>
        </w:tc>
      </w:tr>
      <w:tr>
        <w:trPr>
          <w:trHeight w:val="141"/>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5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Tailwind Randys, LLC</w:t>
            </w:r>
          </w:p>
        </w:tc>
        <w:tc>
          <w:tcPr>
            <w:tcW w:w="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(8)(14)</w:t>
            </w:r>
          </w:p>
        </w:tc>
        <w:tc>
          <w:tcPr>
            <w:tcW w:w="330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5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Automotive</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7.6% Cash, 3 month LIBOR(2.10%) + 5.50%;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6"/>
              </w:rPr>
              <w:t>1.00%</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 Due 5/25</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6/27/2019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4,987,500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4,903,922</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4,887,750</w:t>
            </w:r>
          </w:p>
        </w:tc>
        <w:tc>
          <w:tcPr>
            <w:tcW w:w="100" w:type="dxa"/>
            <w:vAlign w:val="bottom"/>
            <w:shd w:val="clear" w:color="auto" w:fill="CFF0FC"/>
          </w:tcPr>
          <w:p>
            <w:pPr>
              <w:spacing w:after="0"/>
              <w:rPr>
                <w:sz w:val="12"/>
                <w:szCs w:val="12"/>
                <w:color w:val="auto"/>
              </w:rPr>
            </w:pP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1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38"/>
        </w:trPr>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34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300" w:type="dxa"/>
            <w:vAlign w:val="bottom"/>
            <w:gridSpan w:val="2"/>
          </w:tcPr>
          <w:p>
            <w:pPr>
              <w:ind w:left="1300"/>
              <w:spacing w:after="0" w:line="128"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1420" w:type="dxa"/>
            <w:vAlign w:val="bottom"/>
            <w:gridSpan w:val="3"/>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CFF0FC"/>
            </w:tcBorders>
          </w:tcPr>
          <w:p>
            <w:pPr>
              <w:spacing w:after="0"/>
              <w:rPr>
                <w:sz w:val="12"/>
                <w:szCs w:val="12"/>
                <w:color w:val="auto"/>
              </w:rPr>
            </w:pPr>
          </w:p>
        </w:tc>
        <w:tc>
          <w:tcPr>
            <w:tcW w:w="3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2"/>
                <w:szCs w:val="12"/>
                <w:b w:val="1"/>
                <w:bCs w:val="1"/>
                <w:color w:val="auto"/>
              </w:rPr>
              <w:t>Interest Rate¹ / Maturity</w:t>
            </w:r>
            <w:r>
              <w:rPr>
                <w:rFonts w:ascii="Times New Roman" w:cs="Times New Roman" w:eastAsia="Times New Roman" w:hAnsi="Times New Roman"/>
                <w:sz w:val="10"/>
                <w:szCs w:val="10"/>
                <w:b w:val="1"/>
                <w:bCs w:val="1"/>
                <w:color w:val="auto"/>
              </w:rPr>
              <w:t>15</w:t>
            </w:r>
          </w:p>
        </w:tc>
        <w:tc>
          <w:tcPr>
            <w:tcW w:w="140" w:type="dxa"/>
            <w:vAlign w:val="bottom"/>
            <w:tcBorders>
              <w:bottom w:val="single" w:sz="8" w:color="CFF0FC"/>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10"/>
                <w:szCs w:val="10"/>
                <w:b w:val="1"/>
                <w:bCs w:val="1"/>
                <w:color w:val="auto"/>
              </w:rPr>
              <w:t>2</w:t>
            </w:r>
          </w:p>
        </w:tc>
        <w:tc>
          <w:tcPr>
            <w:tcW w:w="100" w:type="dxa"/>
            <w:vAlign w:val="bottom"/>
            <w:tcBorders>
              <w:bottom w:val="single" w:sz="8" w:color="CFF0FC"/>
            </w:tcBorders>
          </w:tcPr>
          <w:p>
            <w:pPr>
              <w:spacing w:after="0"/>
              <w:rPr>
                <w:sz w:val="12"/>
                <w:szCs w:val="12"/>
                <w:color w:val="auto"/>
              </w:rPr>
            </w:pPr>
          </w:p>
        </w:tc>
      </w:tr>
      <w:tr>
        <w:trPr>
          <w:trHeight w:val="118"/>
        </w:trPr>
        <w:tc>
          <w:tcPr>
            <w:tcW w:w="234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Tank Partners Equipment Holdings LLC</w:t>
            </w:r>
          </w:p>
        </w:tc>
        <w:tc>
          <w:tcPr>
            <w:tcW w:w="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(5)(8)(13)</w:t>
            </w:r>
          </w:p>
        </w:tc>
        <w:tc>
          <w:tcPr>
            <w:tcW w:w="316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Senior Unsecured Bond — 10.000% - 02/2022 - TankConvert</w:t>
            </w:r>
          </w:p>
        </w:tc>
        <w:tc>
          <w:tcPr>
            <w:tcW w:w="1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Energy: Oil &amp; Gas</w:t>
            </w: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0.0% Cash, 10.0% PIK, Due 2/22</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2/15/2019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632,924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620,145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532,267</w:t>
            </w:r>
          </w:p>
        </w:tc>
        <w:tc>
          <w:tcPr>
            <w:tcW w:w="100" w:type="dxa"/>
            <w:vAlign w:val="bottom"/>
            <w:shd w:val="clear" w:color="auto" w:fill="CFF0FC"/>
          </w:tcPr>
          <w:p>
            <w:pPr>
              <w:spacing w:after="0"/>
              <w:rPr>
                <w:sz w:val="12"/>
                <w:szCs w:val="12"/>
                <w:color w:val="auto"/>
              </w:rPr>
            </w:pPr>
          </w:p>
        </w:tc>
      </w:tr>
      <w:tr>
        <w:trPr>
          <w:trHeight w:val="141"/>
        </w:trPr>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3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Teneo Holdings LLC</w:t>
            </w:r>
          </w:p>
        </w:tc>
        <w:tc>
          <w:tcPr>
            <w:tcW w:w="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(8)(14)</w:t>
            </w:r>
          </w:p>
        </w:tc>
        <w:tc>
          <w:tcPr>
            <w:tcW w:w="33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 (First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3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Services: Business</w:t>
            </w:r>
          </w:p>
        </w:tc>
        <w:tc>
          <w:tcPr>
            <w:tcW w:w="3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7.3% Cash, 1 month LIBOR(2.04%) + 5.25%;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3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1.00% , Due 7/25</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8/23/2019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4,803,630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4,800,000</w:t>
            </w:r>
          </w:p>
        </w:tc>
        <w:tc>
          <w:tcPr>
            <w:tcW w:w="100" w:type="dxa"/>
            <w:vAlign w:val="bottom"/>
            <w:shd w:val="clear" w:color="auto" w:fill="CFF0FC"/>
          </w:tcPr>
          <w:p>
            <w:pPr>
              <w:spacing w:after="0"/>
              <w:rPr>
                <w:sz w:val="12"/>
                <w:szCs w:val="12"/>
                <w:color w:val="auto"/>
              </w:rPr>
            </w:pPr>
          </w:p>
        </w:tc>
      </w:tr>
      <w:tr>
        <w:trPr>
          <w:trHeight w:val="141"/>
        </w:trPr>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3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Tex-Tech Industries, Inc.</w:t>
            </w:r>
          </w:p>
        </w:tc>
        <w:tc>
          <w:tcPr>
            <w:tcW w:w="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(8)(13)</w:t>
            </w:r>
          </w:p>
        </w:tc>
        <w:tc>
          <w:tcPr>
            <w:tcW w:w="33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3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Textiles and Leather</w:t>
            </w:r>
          </w:p>
        </w:tc>
        <w:tc>
          <w:tcPr>
            <w:tcW w:w="3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11.0% Cash, 1 month LIBOR(2.04%) + 9.00%;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3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1.00% , Due 8/24</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8/24/2017</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12,508,000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12,383,112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12,257,840</w:t>
            </w:r>
          </w:p>
        </w:tc>
        <w:tc>
          <w:tcPr>
            <w:tcW w:w="100" w:type="dxa"/>
            <w:vAlign w:val="bottom"/>
            <w:shd w:val="clear" w:color="auto" w:fill="CFF0FC"/>
          </w:tcPr>
          <w:p>
            <w:pPr>
              <w:spacing w:after="0"/>
              <w:rPr>
                <w:sz w:val="12"/>
                <w:szCs w:val="12"/>
                <w:color w:val="auto"/>
              </w:rPr>
            </w:pPr>
          </w:p>
        </w:tc>
      </w:tr>
      <w:tr>
        <w:trPr>
          <w:trHeight w:val="141"/>
        </w:trPr>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3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Time Manufacturing Acquisition, LLC</w:t>
            </w:r>
          </w:p>
        </w:tc>
        <w:tc>
          <w:tcPr>
            <w:tcW w:w="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3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Capital Equipment</w:t>
            </w:r>
          </w:p>
        </w:tc>
        <w:tc>
          <w:tcPr>
            <w:tcW w:w="3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7.1% Cash, 1 month LIBOR(2.13%) + 5.00%;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3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1.00% , Due 2/23</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2/3/2017</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3,419,837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3,421,112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3,444,207</w:t>
            </w:r>
          </w:p>
        </w:tc>
        <w:tc>
          <w:tcPr>
            <w:tcW w:w="100" w:type="dxa"/>
            <w:vAlign w:val="bottom"/>
            <w:shd w:val="clear" w:color="auto" w:fill="CFF0FC"/>
          </w:tcPr>
          <w:p>
            <w:pPr>
              <w:spacing w:after="0"/>
              <w:rPr>
                <w:sz w:val="12"/>
                <w:szCs w:val="12"/>
                <w:color w:val="auto"/>
              </w:rPr>
            </w:pPr>
          </w:p>
        </w:tc>
      </w:tr>
      <w:tr>
        <w:trPr>
          <w:trHeight w:val="141"/>
        </w:trPr>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3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TLE Holdings, LLC</w:t>
            </w:r>
          </w:p>
        </w:tc>
        <w:tc>
          <w:tcPr>
            <w:tcW w:w="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Delayed Draw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3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Healthcare, Education and Childcare</w:t>
            </w:r>
          </w:p>
        </w:tc>
        <w:tc>
          <w:tcPr>
            <w:tcW w:w="3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7.7% Cash, 3 month LIBOR(2.20%) + 5.50%;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3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1.00% , Due 6/24</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6/27/2019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207,901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206,241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207,069</w:t>
            </w:r>
          </w:p>
        </w:tc>
        <w:tc>
          <w:tcPr>
            <w:tcW w:w="100" w:type="dxa"/>
            <w:vAlign w:val="bottom"/>
            <w:shd w:val="clear" w:color="auto" w:fill="CFF0FC"/>
          </w:tcPr>
          <w:p>
            <w:pPr>
              <w:spacing w:after="0"/>
              <w:rPr>
                <w:sz w:val="12"/>
                <w:szCs w:val="12"/>
                <w:color w:val="auto"/>
              </w:rPr>
            </w:pPr>
          </w:p>
        </w:tc>
      </w:tr>
      <w:tr>
        <w:trPr>
          <w:trHeight w:val="141"/>
        </w:trPr>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3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TLE Holdings, LLC</w:t>
            </w:r>
          </w:p>
        </w:tc>
        <w:tc>
          <w:tcPr>
            <w:tcW w:w="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3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Healthcare, Education and Childcare</w:t>
            </w:r>
          </w:p>
        </w:tc>
        <w:tc>
          <w:tcPr>
            <w:tcW w:w="3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7.7% Cash, 3 month LIBOR(2.20%) + 5.50%;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3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1.00% , Due 6/24</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3/29/2019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5,703,351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5,678,203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5,680,538</w:t>
            </w:r>
          </w:p>
        </w:tc>
        <w:tc>
          <w:tcPr>
            <w:tcW w:w="100" w:type="dxa"/>
            <w:vAlign w:val="bottom"/>
            <w:shd w:val="clear" w:color="auto" w:fill="CFF0FC"/>
          </w:tcPr>
          <w:p>
            <w:pPr>
              <w:spacing w:after="0"/>
              <w:rPr>
                <w:sz w:val="12"/>
                <w:szCs w:val="12"/>
                <w:color w:val="auto"/>
              </w:rPr>
            </w:pPr>
          </w:p>
        </w:tc>
      </w:tr>
      <w:tr>
        <w:trPr>
          <w:trHeight w:val="141"/>
        </w:trPr>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3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TronAir Parent Inc.</w:t>
            </w:r>
          </w:p>
        </w:tc>
        <w:tc>
          <w:tcPr>
            <w:tcW w:w="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(8)(13)(14)</w:t>
            </w:r>
          </w:p>
        </w:tc>
        <w:tc>
          <w:tcPr>
            <w:tcW w:w="33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 (First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3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Aerospace and Defense</w:t>
            </w:r>
          </w:p>
        </w:tc>
        <w:tc>
          <w:tcPr>
            <w:tcW w:w="3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6.9% Cash, 1 month LIBOR(2.18%) + 4.75%;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3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1.00% , Due 9/23</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9/30/2016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979,798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978,100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945,995</w:t>
            </w:r>
          </w:p>
        </w:tc>
        <w:tc>
          <w:tcPr>
            <w:tcW w:w="100" w:type="dxa"/>
            <w:vAlign w:val="bottom"/>
            <w:shd w:val="clear" w:color="auto" w:fill="CFF0FC"/>
          </w:tcPr>
          <w:p>
            <w:pPr>
              <w:spacing w:after="0"/>
              <w:rPr>
                <w:sz w:val="12"/>
                <w:szCs w:val="12"/>
                <w:color w:val="auto"/>
              </w:rPr>
            </w:pPr>
          </w:p>
        </w:tc>
      </w:tr>
      <w:tr>
        <w:trPr>
          <w:trHeight w:val="141"/>
        </w:trPr>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3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TRSO I, Inc.</w:t>
            </w:r>
          </w:p>
        </w:tc>
        <w:tc>
          <w:tcPr>
            <w:tcW w:w="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(8)(13)</w:t>
            </w:r>
          </w:p>
        </w:tc>
        <w:tc>
          <w:tcPr>
            <w:tcW w:w="33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3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Energy: Oil &amp; Gas</w:t>
            </w:r>
          </w:p>
        </w:tc>
        <w:tc>
          <w:tcPr>
            <w:tcW w:w="3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14.0% Cash, 3 month LIBOR(1.00%) + 13.00%;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3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1.00% , Due 12/19</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12/24/2012</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999,343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100" w:type="dxa"/>
            <w:vAlign w:val="bottom"/>
            <w:shd w:val="clear" w:color="auto" w:fill="CFF0FC"/>
          </w:tcPr>
          <w:p>
            <w:pPr>
              <w:spacing w:after="0"/>
              <w:rPr>
                <w:sz w:val="12"/>
                <w:szCs w:val="12"/>
                <w:color w:val="auto"/>
              </w:rPr>
            </w:pPr>
          </w:p>
        </w:tc>
      </w:tr>
      <w:tr>
        <w:trPr>
          <w:trHeight w:val="141"/>
        </w:trPr>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3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WireCo WorldGroup Inc.</w:t>
            </w:r>
          </w:p>
        </w:tc>
        <w:tc>
          <w:tcPr>
            <w:tcW w:w="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(8)(13)</w:t>
            </w:r>
          </w:p>
        </w:tc>
        <w:tc>
          <w:tcPr>
            <w:tcW w:w="33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340" w:type="dxa"/>
            <w:vAlign w:val="bottom"/>
            <w:shd w:val="clear" w:color="auto" w:fill="CFF0FC"/>
          </w:tcPr>
          <w:p>
            <w:pPr>
              <w:ind w:left="160"/>
              <w:spacing w:after="0" w:line="128" w:lineRule="exact"/>
              <w:rPr>
                <w:sz w:val="20"/>
                <w:szCs w:val="20"/>
                <w:color w:val="auto"/>
              </w:rPr>
            </w:pPr>
            <w:r>
              <w:rPr>
                <w:rFonts w:ascii="Times New Roman" w:cs="Times New Roman" w:eastAsia="Times New Roman" w:hAnsi="Times New Roman"/>
                <w:sz w:val="12"/>
                <w:szCs w:val="12"/>
                <w:color w:val="auto"/>
              </w:rPr>
              <w:t>Capital Equipment</w:t>
            </w:r>
          </w:p>
        </w:tc>
        <w:tc>
          <w:tcPr>
            <w:tcW w:w="3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11.0% Cash, 3 month LIBOR(2.04%) + 9.00%;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3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1.00% , Due 9/24</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8/9/2016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2,971,831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2,878,193</w:t>
            </w:r>
          </w:p>
        </w:tc>
        <w:tc>
          <w:tcPr>
            <w:tcW w:w="100" w:type="dxa"/>
            <w:vAlign w:val="bottom"/>
            <w:shd w:val="clear" w:color="auto" w:fill="CFF0FC"/>
          </w:tcPr>
          <w:p>
            <w:pPr>
              <w:spacing w:after="0"/>
              <w:rPr>
                <w:sz w:val="12"/>
                <w:szCs w:val="12"/>
                <w:color w:val="auto"/>
              </w:rPr>
            </w:pPr>
          </w:p>
        </w:tc>
      </w:tr>
      <w:tr>
        <w:trPr>
          <w:trHeight w:val="141"/>
        </w:trPr>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3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33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 Lien)</w:t>
            </w: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34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Zest Acquisition Corp.</w:t>
            </w:r>
          </w:p>
        </w:tc>
        <w:tc>
          <w:tcPr>
            <w:tcW w:w="3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9.7% Cash, 1 month LIBOR(2.18%) + 7.50%; LIBOR Floor</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Healthcare, Education and Childcare</w:t>
            </w:r>
          </w:p>
        </w:tc>
        <w:tc>
          <w:tcPr>
            <w:tcW w:w="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(8)(13)(19)</w:t>
            </w: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1.00% , Due 3/26</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3/8/2018</w:t>
            </w:r>
          </w:p>
        </w:tc>
        <w:tc>
          <w:tcPr>
            <w:tcW w:w="1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3,500,000</w:t>
            </w:r>
          </w:p>
        </w:tc>
        <w:tc>
          <w:tcPr>
            <w:tcW w:w="2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3,481,846</w:t>
            </w:r>
          </w:p>
        </w:tc>
        <w:tc>
          <w:tcPr>
            <w:tcW w:w="2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3,231,683</w:t>
            </w:r>
          </w:p>
        </w:tc>
        <w:tc>
          <w:tcPr>
            <w:tcW w:w="100" w:type="dxa"/>
            <w:vAlign w:val="bottom"/>
            <w:shd w:val="clear" w:color="auto" w:fill="CFF0FC"/>
          </w:tcPr>
          <w:p>
            <w:pPr>
              <w:spacing w:after="0"/>
              <w:rPr>
                <w:sz w:val="12"/>
                <w:szCs w:val="12"/>
                <w:color w:val="auto"/>
              </w:rPr>
            </w:pPr>
          </w:p>
        </w:tc>
      </w:tr>
      <w:tr>
        <w:trPr>
          <w:trHeight w:val="114"/>
        </w:trPr>
        <w:tc>
          <w:tcPr>
            <w:tcW w:w="2340" w:type="dxa"/>
            <w:vAlign w:val="bottom"/>
          </w:tcPr>
          <w:p>
            <w:pPr>
              <w:spacing w:after="0" w:line="114" w:lineRule="exact"/>
              <w:rPr>
                <w:sz w:val="20"/>
                <w:szCs w:val="20"/>
                <w:color w:val="auto"/>
              </w:rPr>
            </w:pPr>
            <w:r>
              <w:rPr>
                <w:rFonts w:ascii="Times New Roman" w:cs="Times New Roman" w:eastAsia="Times New Roman" w:hAnsi="Times New Roman"/>
                <w:sz w:val="12"/>
                <w:szCs w:val="12"/>
                <w:b w:val="1"/>
                <w:bCs w:val="1"/>
                <w:color w:val="auto"/>
              </w:rPr>
              <w:t>Total Investment in Debt Securities</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8"/>
        </w:trPr>
        <w:tc>
          <w:tcPr>
            <w:tcW w:w="23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(132% of net asset value at fair value)</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188,475,225</w:t>
            </w:r>
          </w:p>
        </w:tc>
        <w:tc>
          <w:tcPr>
            <w:tcW w:w="24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186,442,505</w:t>
            </w:r>
          </w:p>
        </w:tc>
        <w:tc>
          <w:tcPr>
            <w:tcW w:w="24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175,624,345</w:t>
            </w:r>
          </w:p>
        </w:tc>
        <w:tc>
          <w:tcPr>
            <w:tcW w:w="100" w:type="dxa"/>
            <w:vAlign w:val="bottom"/>
          </w:tcPr>
          <w:p>
            <w:pPr>
              <w:spacing w:after="0"/>
              <w:rPr>
                <w:sz w:val="12"/>
                <w:szCs w:val="12"/>
                <w:color w:val="auto"/>
              </w:rPr>
            </w:pPr>
          </w:p>
        </w:tc>
      </w:tr>
      <w:tr>
        <w:trPr>
          <w:trHeight w:val="20"/>
        </w:trPr>
        <w:tc>
          <w:tcPr>
            <w:tcW w:w="2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Equity Securities Portfolio</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320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1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1840" w:type="dxa"/>
            <w:vAlign w:val="bottom"/>
            <w:gridSpan w:val="3"/>
          </w:tcPr>
          <w:p>
            <w:pPr>
              <w:jc w:val="center"/>
              <w:ind w:right="506"/>
              <w:spacing w:after="0" w:line="12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140" w:type="dxa"/>
            <w:vAlign w:val="bottom"/>
          </w:tcPr>
          <w:p>
            <w:pPr>
              <w:spacing w:after="0"/>
              <w:rPr>
                <w:sz w:val="12"/>
                <w:szCs w:val="12"/>
                <w:color w:val="auto"/>
              </w:rPr>
            </w:pPr>
          </w:p>
        </w:tc>
        <w:tc>
          <w:tcPr>
            <w:tcW w:w="2080" w:type="dxa"/>
            <w:vAlign w:val="bottom"/>
            <w:gridSpan w:val="2"/>
          </w:tcPr>
          <w:p>
            <w:pPr>
              <w:ind w:left="620"/>
              <w:spacing w:after="0"/>
              <w:rPr>
                <w:sz w:val="20"/>
                <w:szCs w:val="20"/>
                <w:color w:val="auto"/>
              </w:rPr>
            </w:pPr>
            <w:r>
              <w:rPr>
                <w:rFonts w:ascii="Times New Roman" w:cs="Times New Roman" w:eastAsia="Times New Roman" w:hAnsi="Times New Roman"/>
                <w:sz w:val="12"/>
                <w:szCs w:val="12"/>
                <w:b w:val="1"/>
                <w:bCs w:val="1"/>
                <w:color w:val="auto"/>
              </w:rPr>
              <w:t>Investment</w:t>
            </w:r>
            <w:r>
              <w:rPr>
                <w:rFonts w:ascii="Times New Roman" w:cs="Times New Roman" w:eastAsia="Times New Roman" w:hAnsi="Times New Roman"/>
                <w:sz w:val="10"/>
                <w:szCs w:val="10"/>
                <w:b w:val="1"/>
                <w:bCs w:val="1"/>
                <w:color w:val="auto"/>
              </w:rPr>
              <w:t>15</w:t>
            </w: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840" w:type="dxa"/>
            <w:vAlign w:val="bottom"/>
            <w:gridSpan w:val="3"/>
          </w:tcPr>
          <w:p>
            <w:pPr>
              <w:jc w:val="center"/>
              <w:ind w:right="486"/>
              <w:spacing w:after="0"/>
              <w:rPr>
                <w:sz w:val="20"/>
                <w:szCs w:val="20"/>
                <w:color w:val="auto"/>
              </w:rPr>
            </w:pPr>
            <w:r>
              <w:rPr>
                <w:rFonts w:ascii="Times New Roman" w:cs="Times New Roman" w:eastAsia="Times New Roman" w:hAnsi="Times New Roman"/>
                <w:sz w:val="12"/>
                <w:szCs w:val="12"/>
                <w:b w:val="1"/>
                <w:bCs w:val="1"/>
                <w:color w:val="auto"/>
                <w:w w:val="99"/>
              </w:rPr>
              <w:t>Ownership/Shares</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12"/>
                <w:szCs w:val="12"/>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10"/>
                <w:szCs w:val="10"/>
                <w:b w:val="1"/>
                <w:bCs w:val="1"/>
                <w:color w:val="auto"/>
              </w:rPr>
              <w:t>2</w:t>
            </w:r>
          </w:p>
        </w:tc>
      </w:tr>
      <w:tr>
        <w:trPr>
          <w:trHeight w:val="118"/>
        </w:trPr>
        <w:tc>
          <w:tcPr>
            <w:tcW w:w="320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AAPC Holdings LLC.</w:t>
            </w:r>
            <w:r>
              <w:rPr>
                <w:rFonts w:ascii="Times New Roman" w:cs="Times New Roman" w:eastAsia="Times New Roman" w:hAnsi="Times New Roman"/>
                <w:sz w:val="10"/>
                <w:szCs w:val="10"/>
                <w:color w:val="auto"/>
              </w:rPr>
              <w:t>(8)(13)</w:t>
            </w:r>
          </w:p>
        </w:tc>
        <w:tc>
          <w:tcPr>
            <w:tcW w:w="140" w:type="dxa"/>
            <w:vAlign w:val="bottom"/>
            <w:tcBorders>
              <w:top w:val="single" w:sz="8" w:color="CFF0FC"/>
            </w:tcBorders>
            <w:shd w:val="clear" w:color="auto" w:fill="CFF0FC"/>
          </w:tcPr>
          <w:p>
            <w:pPr>
              <w:spacing w:after="0"/>
              <w:rPr>
                <w:sz w:val="10"/>
                <w:szCs w:val="10"/>
                <w:color w:val="auto"/>
              </w:rPr>
            </w:pPr>
          </w:p>
        </w:tc>
        <w:tc>
          <w:tcPr>
            <w:tcW w:w="194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Class A Preferred Units; 18% PIK; No</w:t>
            </w:r>
          </w:p>
        </w:tc>
        <w:tc>
          <w:tcPr>
            <w:tcW w:w="140" w:type="dxa"/>
            <w:vAlign w:val="bottom"/>
            <w:tcBorders>
              <w:top w:val="single" w:sz="8" w:color="CFF0FC"/>
            </w:tcBorders>
            <w:shd w:val="clear" w:color="auto" w:fill="CFF0FC"/>
          </w:tcPr>
          <w:p>
            <w:pPr>
              <w:spacing w:after="0"/>
              <w:rPr>
                <w:sz w:val="10"/>
                <w:szCs w:val="10"/>
                <w:color w:val="auto"/>
              </w:rPr>
            </w:pPr>
          </w:p>
        </w:tc>
        <w:tc>
          <w:tcPr>
            <w:tcW w:w="13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2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44"/>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22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maturity</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6/27/2019</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2.99%</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5,500,000</w:t>
            </w:r>
          </w:p>
        </w:tc>
        <w:tc>
          <w:tcPr>
            <w:tcW w:w="100" w:type="dxa"/>
            <w:vAlign w:val="bottom"/>
            <w:shd w:val="clear" w:color="auto" w:fill="CFF0FC"/>
          </w:tcPr>
          <w:p>
            <w:pPr>
              <w:spacing w:after="0"/>
              <w:rPr>
                <w:sz w:val="12"/>
                <w:szCs w:val="12"/>
                <w:color w:val="auto"/>
              </w:rPr>
            </w:pPr>
          </w:p>
        </w:tc>
      </w:tr>
      <w:tr>
        <w:trPr>
          <w:trHeight w:val="141"/>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Advanced Lighting Technologies, Inc.</w:t>
            </w:r>
            <w:r>
              <w:rPr>
                <w:rFonts w:ascii="Times New Roman" w:cs="Times New Roman" w:eastAsia="Times New Roman" w:hAnsi="Times New Roman"/>
                <w:sz w:val="10"/>
                <w:szCs w:val="10"/>
                <w:color w:val="auto"/>
              </w:rPr>
              <w:t>(8)(13)(20)</w:t>
            </w:r>
          </w:p>
        </w:tc>
        <w:tc>
          <w:tcPr>
            <w:tcW w:w="222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2"/>
                <w:szCs w:val="12"/>
                <w:color w:val="auto"/>
              </w:rPr>
              <w:t>Warrant</w:t>
            </w: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Consumer goods: Durable</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6/13/2012</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1.90%</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Advanced Lighting Technologies, Inc.</w:t>
            </w:r>
            <w:r>
              <w:rPr>
                <w:rFonts w:ascii="Times New Roman" w:cs="Times New Roman" w:eastAsia="Times New Roman" w:hAnsi="Times New Roman"/>
                <w:sz w:val="10"/>
                <w:szCs w:val="10"/>
                <w:color w:val="auto"/>
              </w:rPr>
              <w:t>(8)(13)(20)</w:t>
            </w:r>
          </w:p>
        </w:tc>
        <w:tc>
          <w:tcPr>
            <w:tcW w:w="222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2"/>
                <w:szCs w:val="12"/>
                <w:color w:val="auto"/>
              </w:rPr>
              <w:t>Membership Interests</w:t>
            </w: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Consumer goods: Durable</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6/13/2012</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0.40%</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181,999</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Anthem Sports &amp; Entertainment Inc. </w:t>
            </w:r>
            <w:r>
              <w:rPr>
                <w:rFonts w:ascii="Times New Roman" w:cs="Times New Roman" w:eastAsia="Times New Roman" w:hAnsi="Times New Roman"/>
                <w:sz w:val="11"/>
                <w:szCs w:val="11"/>
                <w:color w:val="auto"/>
              </w:rPr>
              <w:t>(8)(13)(20)</w:t>
            </w:r>
          </w:p>
        </w:tc>
        <w:tc>
          <w:tcPr>
            <w:tcW w:w="222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2"/>
                <w:szCs w:val="12"/>
                <w:color w:val="auto"/>
              </w:rPr>
              <w:t>Warrant Class A, 9/29 maturity</w:t>
            </w: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Media: Broadcasting &amp; Subscription</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9/9/2019</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0.50%</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45,914</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45,914</w:t>
            </w:r>
          </w:p>
        </w:tc>
        <w:tc>
          <w:tcPr>
            <w:tcW w:w="100" w:type="dxa"/>
            <w:vAlign w:val="bottom"/>
            <w:shd w:val="clear" w:color="auto" w:fill="CFF0FC"/>
          </w:tcPr>
          <w:p>
            <w:pPr>
              <w:spacing w:after="0"/>
              <w:rPr>
                <w:sz w:val="12"/>
                <w:szCs w:val="12"/>
                <w:color w:val="auto"/>
              </w:rPr>
            </w:pPr>
          </w:p>
        </w:tc>
      </w:tr>
      <w:tr>
        <w:trPr>
          <w:trHeight w:val="141"/>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Anthem Sports &amp; Entertainment Inc. </w:t>
            </w:r>
            <w:r>
              <w:rPr>
                <w:rFonts w:ascii="Times New Roman" w:cs="Times New Roman" w:eastAsia="Times New Roman" w:hAnsi="Times New Roman"/>
                <w:sz w:val="10"/>
                <w:szCs w:val="10"/>
                <w:color w:val="auto"/>
              </w:rPr>
              <w:t>(8)(13)(20)</w:t>
            </w:r>
          </w:p>
        </w:tc>
        <w:tc>
          <w:tcPr>
            <w:tcW w:w="222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2"/>
                <w:szCs w:val="12"/>
                <w:color w:val="auto"/>
              </w:rPr>
              <w:t>Warrant Class B, 9/29 maturity</w:t>
            </w: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Media: Broadcasting &amp; Subscription</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9/9/2019</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0.50%</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r>
      <w:tr>
        <w:trPr>
          <w:trHeight w:val="141"/>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Anthem Sports &amp; Entertainment Inc. </w:t>
            </w:r>
            <w:r>
              <w:rPr>
                <w:rFonts w:ascii="Times New Roman" w:cs="Times New Roman" w:eastAsia="Times New Roman" w:hAnsi="Times New Roman"/>
                <w:sz w:val="10"/>
                <w:szCs w:val="10"/>
                <w:color w:val="auto"/>
              </w:rPr>
              <w:t>(8)(13)(20)</w:t>
            </w:r>
          </w:p>
        </w:tc>
        <w:tc>
          <w:tcPr>
            <w:tcW w:w="222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2"/>
                <w:szCs w:val="12"/>
                <w:color w:val="auto"/>
              </w:rPr>
              <w:t>Warrant Common Stock, 9/29 maturity</w:t>
            </w: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Media: Broadcasting &amp; Subscription</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9/9/2019</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0.50%</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r>
      <w:tr>
        <w:trPr>
          <w:trHeight w:val="141"/>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Caribe Media Inc. (fka Caribe Information</w:t>
            </w:r>
          </w:p>
        </w:tc>
        <w:tc>
          <w:tcPr>
            <w:tcW w:w="222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2"/>
                <w:szCs w:val="12"/>
                <w:color w:val="auto"/>
              </w:rPr>
              <w:t>Common</w:t>
            </w: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00" w:type="dxa"/>
            <w:vAlign w:val="bottom"/>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Investments Incorporated)</w:t>
            </w:r>
            <w:r>
              <w:rPr>
                <w:rFonts w:ascii="Times New Roman" w:cs="Times New Roman" w:eastAsia="Times New Roman" w:hAnsi="Times New Roman"/>
                <w:sz w:val="10"/>
                <w:szCs w:val="10"/>
                <w:color w:val="auto"/>
              </w:rPr>
              <w:t>(8)(13)(20)</w:t>
            </w:r>
          </w:p>
        </w:tc>
        <w:tc>
          <w:tcPr>
            <w:tcW w:w="140" w:type="dxa"/>
            <w:vAlign w:val="bottom"/>
            <w:shd w:val="clear" w:color="auto" w:fill="CFF0FC"/>
          </w:tcPr>
          <w:p>
            <w:pPr>
              <w:spacing w:after="0"/>
              <w:rPr>
                <w:sz w:val="11"/>
                <w:szCs w:val="11"/>
                <w:color w:val="auto"/>
              </w:rPr>
            </w:pP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Media: Advertising, Printing &amp; Publishing</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12/18/2006</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1.17%</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359,765</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98,827</w:t>
            </w:r>
          </w:p>
        </w:tc>
        <w:tc>
          <w:tcPr>
            <w:tcW w:w="100" w:type="dxa"/>
            <w:vAlign w:val="bottom"/>
            <w:shd w:val="clear" w:color="auto" w:fill="CFF0FC"/>
          </w:tcPr>
          <w:p>
            <w:pPr>
              <w:spacing w:after="0"/>
              <w:rPr>
                <w:sz w:val="12"/>
                <w:szCs w:val="12"/>
                <w:color w:val="auto"/>
              </w:rPr>
            </w:pPr>
          </w:p>
        </w:tc>
      </w:tr>
      <w:tr>
        <w:trPr>
          <w:trHeight w:val="141"/>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eInstruction Acquisition, LLC</w:t>
            </w:r>
            <w:r>
              <w:rPr>
                <w:rFonts w:ascii="Times New Roman" w:cs="Times New Roman" w:eastAsia="Times New Roman" w:hAnsi="Times New Roman"/>
                <w:sz w:val="10"/>
                <w:szCs w:val="10"/>
                <w:color w:val="auto"/>
              </w:rPr>
              <w:t>(8)(13)(20)</w:t>
            </w:r>
          </w:p>
        </w:tc>
        <w:tc>
          <w:tcPr>
            <w:tcW w:w="222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2"/>
                <w:szCs w:val="12"/>
                <w:color w:val="auto"/>
              </w:rPr>
              <w:t>Membership Units</w:t>
            </w: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Services: Business</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7/2/2007</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1.10%</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1,079,617</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FP WRCA Coinvestment Fund VII, Ltd.</w:t>
            </w:r>
            <w:r>
              <w:rPr>
                <w:rFonts w:ascii="Times New Roman" w:cs="Times New Roman" w:eastAsia="Times New Roman" w:hAnsi="Times New Roman"/>
                <w:sz w:val="10"/>
                <w:szCs w:val="10"/>
                <w:color w:val="auto"/>
              </w:rPr>
              <w:t>(3)(13)(20)</w:t>
            </w:r>
          </w:p>
        </w:tc>
        <w:tc>
          <w:tcPr>
            <w:tcW w:w="222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2"/>
                <w:szCs w:val="12"/>
                <w:color w:val="auto"/>
              </w:rPr>
              <w:t>Class A Shares</w:t>
            </w: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Capital Equipment</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2/2/2007</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0.41%</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541,500</w:t>
            </w:r>
          </w:p>
        </w:tc>
        <w:tc>
          <w:tcPr>
            <w:tcW w:w="100" w:type="dxa"/>
            <w:vAlign w:val="bottom"/>
            <w:shd w:val="clear" w:color="auto" w:fill="CFF0FC"/>
          </w:tcPr>
          <w:p>
            <w:pPr>
              <w:spacing w:after="0"/>
              <w:rPr>
                <w:sz w:val="12"/>
                <w:szCs w:val="12"/>
                <w:color w:val="auto"/>
              </w:rPr>
            </w:pPr>
          </w:p>
        </w:tc>
      </w:tr>
      <w:tr>
        <w:trPr>
          <w:trHeight w:val="141"/>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New Millennium Holdco, Inc. (Millennium</w:t>
            </w:r>
          </w:p>
        </w:tc>
        <w:tc>
          <w:tcPr>
            <w:tcW w:w="222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2"/>
                <w:szCs w:val="12"/>
                <w:color w:val="auto"/>
              </w:rPr>
              <w:t>Common</w:t>
            </w: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00" w:type="dxa"/>
            <w:vAlign w:val="bottom"/>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Health, LLC)</w:t>
            </w:r>
            <w:r>
              <w:rPr>
                <w:rFonts w:ascii="Times New Roman" w:cs="Times New Roman" w:eastAsia="Times New Roman" w:hAnsi="Times New Roman"/>
                <w:sz w:val="10"/>
                <w:szCs w:val="10"/>
                <w:color w:val="auto"/>
              </w:rPr>
              <w:t>(8)(13)(20)</w:t>
            </w:r>
          </w:p>
        </w:tc>
        <w:tc>
          <w:tcPr>
            <w:tcW w:w="140" w:type="dxa"/>
            <w:vAlign w:val="bottom"/>
            <w:shd w:val="clear" w:color="auto" w:fill="CFF0FC"/>
          </w:tcPr>
          <w:p>
            <w:pPr>
              <w:spacing w:after="0"/>
              <w:rPr>
                <w:sz w:val="11"/>
                <w:szCs w:val="11"/>
                <w:color w:val="auto"/>
              </w:rPr>
            </w:pP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10/7/2014</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0.20%</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1,953,299</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Roscoe Investors, LLC</w:t>
            </w:r>
            <w:r>
              <w:rPr>
                <w:rFonts w:ascii="Times New Roman" w:cs="Times New Roman" w:eastAsia="Times New Roman" w:hAnsi="Times New Roman"/>
                <w:sz w:val="10"/>
                <w:szCs w:val="10"/>
                <w:color w:val="auto"/>
              </w:rPr>
              <w:t>(8)(13)(20)</w:t>
            </w:r>
          </w:p>
        </w:tc>
        <w:tc>
          <w:tcPr>
            <w:tcW w:w="222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2"/>
                <w:szCs w:val="12"/>
                <w:color w:val="auto"/>
              </w:rPr>
              <w:t>Class A Units</w:t>
            </w: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3/26/2014</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1.56%</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1"/>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Tank Partners Equipment Holdings, LLC</w:t>
            </w:r>
            <w:r>
              <w:rPr>
                <w:rFonts w:ascii="Times New Roman" w:cs="Times New Roman" w:eastAsia="Times New Roman" w:hAnsi="Times New Roman"/>
                <w:sz w:val="10"/>
                <w:szCs w:val="10"/>
                <w:color w:val="auto"/>
              </w:rPr>
              <w:t>(8)(9)(10)(13)(20)</w:t>
            </w:r>
          </w:p>
        </w:tc>
        <w:tc>
          <w:tcPr>
            <w:tcW w:w="222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2"/>
                <w:szCs w:val="12"/>
                <w:color w:val="auto"/>
              </w:rPr>
              <w:t>Class A Units</w:t>
            </w: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Energy: Oil &amp; Gas</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8/28/2014</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48.5%</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6,228,000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r>
      <w:tr>
        <w:trPr>
          <w:trHeight w:val="141"/>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Ohene Holdings B.V.</w:t>
            </w:r>
            <w:r>
              <w:rPr>
                <w:rFonts w:ascii="Times New Roman" w:cs="Times New Roman" w:eastAsia="Times New Roman" w:hAnsi="Times New Roman"/>
                <w:sz w:val="10"/>
                <w:szCs w:val="10"/>
                <w:color w:val="auto"/>
              </w:rPr>
              <w:t>(13)(20)</w:t>
            </w:r>
          </w:p>
        </w:tc>
        <w:tc>
          <w:tcPr>
            <w:tcW w:w="222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2"/>
                <w:szCs w:val="12"/>
                <w:color w:val="auto"/>
              </w:rPr>
              <w:t>Warrants</w:t>
            </w: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Services: Business</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3/31/2019</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0.2%</w:t>
            </w:r>
          </w:p>
        </w:tc>
        <w:tc>
          <w:tcPr>
            <w:tcW w:w="3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TRSO II, Inc.</w:t>
            </w:r>
            <w:r>
              <w:rPr>
                <w:rFonts w:ascii="Times New Roman" w:cs="Times New Roman" w:eastAsia="Times New Roman" w:hAnsi="Times New Roman"/>
                <w:sz w:val="10"/>
                <w:szCs w:val="10"/>
                <w:color w:val="auto"/>
              </w:rPr>
              <w:t>(8)(13)(20)</w:t>
            </w:r>
          </w:p>
        </w:tc>
        <w:tc>
          <w:tcPr>
            <w:tcW w:w="222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Energy: Oil &amp; Gas</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12/24/2012</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5.40%</w:t>
            </w:r>
          </w:p>
        </w:tc>
        <w:tc>
          <w:tcPr>
            <w:tcW w:w="3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1,680,161</w:t>
            </w:r>
          </w:p>
        </w:tc>
        <w:tc>
          <w:tcPr>
            <w:tcW w:w="2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88,369</w:t>
            </w:r>
          </w:p>
        </w:tc>
        <w:tc>
          <w:tcPr>
            <w:tcW w:w="100" w:type="dxa"/>
            <w:vAlign w:val="bottom"/>
            <w:shd w:val="clear" w:color="auto" w:fill="CFF0FC"/>
          </w:tcPr>
          <w:p>
            <w:pPr>
              <w:spacing w:after="0"/>
              <w:rPr>
                <w:sz w:val="12"/>
                <w:szCs w:val="12"/>
                <w:color w:val="auto"/>
              </w:rPr>
            </w:pPr>
          </w:p>
        </w:tc>
      </w:tr>
      <w:tr>
        <w:trPr>
          <w:trHeight w:val="134"/>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320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Total Investment in Equity Securities</w:t>
            </w:r>
          </w:p>
        </w:tc>
        <w:tc>
          <w:tcPr>
            <w:tcW w:w="140" w:type="dxa"/>
            <w:vAlign w:val="bottom"/>
            <w:shd w:val="clear" w:color="auto" w:fill="CFF0FC"/>
          </w:tcPr>
          <w:p>
            <w:pPr>
              <w:spacing w:after="0"/>
              <w:rPr>
                <w:sz w:val="10"/>
                <w:szCs w:val="10"/>
                <w:color w:val="auto"/>
              </w:rPr>
            </w:pPr>
          </w:p>
        </w:tc>
        <w:tc>
          <w:tcPr>
            <w:tcW w:w="19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8"/>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color w:val="auto"/>
              </w:rPr>
              <w:t>(5% of net asset value at fair value)</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19,528,755</w:t>
            </w:r>
          </w:p>
        </w:tc>
        <w:tc>
          <w:tcPr>
            <w:tcW w:w="2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6,279,611</w:t>
            </w:r>
          </w:p>
        </w:tc>
        <w:tc>
          <w:tcPr>
            <w:tcW w:w="100" w:type="dxa"/>
            <w:vAlign w:val="bottom"/>
            <w:shd w:val="clear" w:color="auto" w:fill="CFF0FC"/>
          </w:tcPr>
          <w:p>
            <w:pPr>
              <w:spacing w:after="0"/>
              <w:rPr>
                <w:sz w:val="12"/>
                <w:szCs w:val="12"/>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CLO Subordinated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1220" w:type="dxa"/>
            <w:vAlign w:val="bottom"/>
            <w:gridSpan w:val="2"/>
          </w:tcPr>
          <w:p>
            <w:pPr>
              <w:jc w:val="right"/>
              <w:ind w:right="460"/>
              <w:spacing w:after="0" w:line="128"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40" w:type="dxa"/>
            <w:vAlign w:val="bottom"/>
          </w:tcPr>
          <w:p>
            <w:pPr>
              <w:spacing w:after="0"/>
              <w:rPr>
                <w:sz w:val="11"/>
                <w:szCs w:val="11"/>
                <w:color w:val="auto"/>
              </w:rPr>
            </w:pPr>
          </w:p>
        </w:tc>
        <w:tc>
          <w:tcPr>
            <w:tcW w:w="1080" w:type="dxa"/>
            <w:vAlign w:val="bottom"/>
            <w:gridSpan w:val="2"/>
          </w:tcPr>
          <w:p>
            <w:pPr>
              <w:jc w:val="center"/>
              <w:ind w:right="3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240" w:type="dxa"/>
            <w:vAlign w:val="bottom"/>
          </w:tcPr>
          <w:p>
            <w:pPr>
              <w:spacing w:after="0"/>
              <w:rPr>
                <w:sz w:val="11"/>
                <w:szCs w:val="11"/>
                <w:color w:val="auto"/>
              </w:rPr>
            </w:pPr>
          </w:p>
        </w:tc>
        <w:tc>
          <w:tcPr>
            <w:tcW w:w="100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Fair</w:t>
            </w:r>
          </w:p>
        </w:tc>
      </w:tr>
      <w:tr>
        <w:trPr>
          <w:trHeight w:val="148"/>
        </w:trPr>
        <w:tc>
          <w:tcPr>
            <w:tcW w:w="2820" w:type="dxa"/>
            <w:vAlign w:val="bottom"/>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Portfolio Company</w:t>
            </w:r>
          </w:p>
        </w:tc>
        <w:tc>
          <w:tcPr>
            <w:tcW w:w="3680" w:type="dxa"/>
            <w:vAlign w:val="bottom"/>
            <w:gridSpan w:val="2"/>
          </w:tcPr>
          <w:p>
            <w:pPr>
              <w:ind w:left="1360"/>
              <w:spacing w:after="0"/>
              <w:rPr>
                <w:sz w:val="20"/>
                <w:szCs w:val="20"/>
                <w:color w:val="auto"/>
              </w:rPr>
            </w:pPr>
            <w:r>
              <w:rPr>
                <w:rFonts w:ascii="Times New Roman" w:cs="Times New Roman" w:eastAsia="Times New Roman" w:hAnsi="Times New Roman"/>
                <w:sz w:val="12"/>
                <w:szCs w:val="12"/>
                <w:b w:val="1"/>
                <w:bCs w:val="1"/>
                <w:color w:val="auto"/>
              </w:rPr>
              <w:t>Investment</w:t>
            </w:r>
            <w:r>
              <w:rPr>
                <w:rFonts w:ascii="Times New Roman" w:cs="Times New Roman" w:eastAsia="Times New Roman" w:hAnsi="Times New Roman"/>
                <w:sz w:val="10"/>
                <w:szCs w:val="10"/>
                <w:b w:val="1"/>
                <w:bCs w:val="1"/>
                <w:color w:val="auto"/>
              </w:rPr>
              <w:t>15,11</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14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24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6"/>
              </w:rPr>
              <w:t>Value</w:t>
            </w:r>
            <w:r>
              <w:rPr>
                <w:rFonts w:ascii="Times New Roman" w:cs="Times New Roman" w:eastAsia="Times New Roman" w:hAnsi="Times New Roman"/>
                <w:sz w:val="10"/>
                <w:szCs w:val="10"/>
                <w:b w:val="1"/>
                <w:bCs w:val="1"/>
                <w:color w:val="auto"/>
                <w:w w:val="96"/>
              </w:rPr>
              <w:t>2</w:t>
            </w:r>
          </w:p>
        </w:tc>
      </w:tr>
      <w:tr>
        <w:trPr>
          <w:trHeight w:val="118"/>
        </w:trPr>
        <w:tc>
          <w:tcPr>
            <w:tcW w:w="268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Katonah III, Ltd.</w:t>
            </w:r>
            <w:r>
              <w:rPr>
                <w:rFonts w:ascii="Times New Roman" w:cs="Times New Roman" w:eastAsia="Times New Roman" w:hAnsi="Times New Roman"/>
                <w:sz w:val="10"/>
                <w:szCs w:val="10"/>
                <w:color w:val="auto"/>
              </w:rPr>
              <w:t>(3)(12)(13)</w:t>
            </w:r>
          </w:p>
        </w:tc>
        <w:tc>
          <w:tcPr>
            <w:tcW w:w="140" w:type="dxa"/>
            <w:vAlign w:val="bottom"/>
            <w:tcBorders>
              <w:top w:val="single" w:sz="8" w:color="CFF0FC"/>
            </w:tcBorders>
            <w:shd w:val="clear" w:color="auto" w:fill="CFF0FC"/>
          </w:tcPr>
          <w:p>
            <w:pPr>
              <w:spacing w:after="0"/>
              <w:rPr>
                <w:sz w:val="10"/>
                <w:szCs w:val="10"/>
                <w:color w:val="auto"/>
              </w:rPr>
            </w:pPr>
          </w:p>
        </w:tc>
        <w:tc>
          <w:tcPr>
            <w:tcW w:w="354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Subordinated Securities, effective interest N/M,</w:t>
            </w:r>
          </w:p>
        </w:tc>
        <w:tc>
          <w:tcPr>
            <w:tcW w:w="14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44"/>
        </w:trPr>
        <w:tc>
          <w:tcPr>
            <w:tcW w:w="2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 xml:space="preserve">5/15 maturity </w:t>
            </w:r>
            <w:r>
              <w:rPr>
                <w:rFonts w:ascii="Times New Roman" w:cs="Times New Roman" w:eastAsia="Times New Roman" w:hAnsi="Times New Roman"/>
                <w:sz w:val="10"/>
                <w:szCs w:val="10"/>
                <w:color w:val="auto"/>
              </w:rPr>
              <w:t>(16)</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12/11/2006</w:t>
            </w: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23.1%</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1,287,155</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487,508</w:t>
            </w:r>
          </w:p>
        </w:tc>
        <w:tc>
          <w:tcPr>
            <w:tcW w:w="100" w:type="dxa"/>
            <w:vAlign w:val="bottom"/>
            <w:shd w:val="clear" w:color="auto" w:fill="CFF0FC"/>
          </w:tcPr>
          <w:p>
            <w:pPr>
              <w:spacing w:after="0"/>
              <w:rPr>
                <w:sz w:val="12"/>
                <w:szCs w:val="12"/>
                <w:color w:val="auto"/>
              </w:rPr>
            </w:pPr>
          </w:p>
        </w:tc>
      </w:tr>
      <w:tr>
        <w:trPr>
          <w:trHeight w:val="125"/>
        </w:trPr>
        <w:tc>
          <w:tcPr>
            <w:tcW w:w="282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Catamaran CLO 2013- 1 Ltd.</w:t>
            </w:r>
            <w:r>
              <w:rPr>
                <w:rFonts w:ascii="Times New Roman" w:cs="Times New Roman" w:eastAsia="Times New Roman" w:hAnsi="Times New Roman"/>
                <w:sz w:val="10"/>
                <w:szCs w:val="10"/>
                <w:color w:val="auto"/>
              </w:rPr>
              <w:t>(3)(6)(13)(19)</w:t>
            </w:r>
          </w:p>
        </w:tc>
        <w:tc>
          <w:tcPr>
            <w:tcW w:w="368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21.1%,</w:t>
            </w: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1/28 maturity</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6/4/2013</w:t>
            </w:r>
          </w:p>
        </w:tc>
        <w:tc>
          <w:tcPr>
            <w:tcW w:w="14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23.3%</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6,294,986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6,268,534</w:t>
            </w:r>
          </w:p>
        </w:tc>
        <w:tc>
          <w:tcPr>
            <w:tcW w:w="100" w:type="dxa"/>
            <w:vAlign w:val="bottom"/>
          </w:tcPr>
          <w:p>
            <w:pPr>
              <w:spacing w:after="0"/>
              <w:rPr>
                <w:sz w:val="12"/>
                <w:szCs w:val="12"/>
                <w:color w:val="auto"/>
              </w:rPr>
            </w:pPr>
          </w:p>
        </w:tc>
      </w:tr>
      <w:tr>
        <w:trPr>
          <w:trHeight w:val="125"/>
        </w:trPr>
        <w:tc>
          <w:tcPr>
            <w:tcW w:w="282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Catamaran CLO 2014-1 Ltd.</w:t>
            </w:r>
            <w:r>
              <w:rPr>
                <w:rFonts w:ascii="Times New Roman" w:cs="Times New Roman" w:eastAsia="Times New Roman" w:hAnsi="Times New Roman"/>
                <w:sz w:val="10"/>
                <w:szCs w:val="10"/>
                <w:color w:val="auto"/>
              </w:rPr>
              <w:t>(3)(6)(13)(19)</w:t>
            </w:r>
          </w:p>
        </w:tc>
        <w:tc>
          <w:tcPr>
            <w:tcW w:w="368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12.6%,</w:t>
            </w:r>
          </w:p>
        </w:tc>
        <w:tc>
          <w:tcPr>
            <w:tcW w:w="1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4/30 maturity</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5/6/2014</w:t>
            </w: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22.2%</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10,192,718</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8,302,955</w:t>
            </w:r>
          </w:p>
        </w:tc>
        <w:tc>
          <w:tcPr>
            <w:tcW w:w="100" w:type="dxa"/>
            <w:vAlign w:val="bottom"/>
            <w:shd w:val="clear" w:color="auto" w:fill="CFF0FC"/>
          </w:tcPr>
          <w:p>
            <w:pPr>
              <w:spacing w:after="0"/>
              <w:rPr>
                <w:sz w:val="12"/>
                <w:szCs w:val="12"/>
                <w:color w:val="auto"/>
              </w:rPr>
            </w:pPr>
          </w:p>
        </w:tc>
      </w:tr>
      <w:tr>
        <w:trPr>
          <w:trHeight w:val="125"/>
        </w:trPr>
        <w:tc>
          <w:tcPr>
            <w:tcW w:w="282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Dryden 30 Senior Loan Fund</w:t>
            </w:r>
            <w:r>
              <w:rPr>
                <w:rFonts w:ascii="Times New Roman" w:cs="Times New Roman" w:eastAsia="Times New Roman" w:hAnsi="Times New Roman"/>
                <w:sz w:val="10"/>
                <w:szCs w:val="10"/>
                <w:color w:val="auto"/>
              </w:rPr>
              <w:t>(3)(13)</w:t>
            </w:r>
          </w:p>
        </w:tc>
        <w:tc>
          <w:tcPr>
            <w:tcW w:w="368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29.0%,</w:t>
            </w: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12/29 maturity</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10/10/2013</w:t>
            </w:r>
          </w:p>
        </w:tc>
        <w:tc>
          <w:tcPr>
            <w:tcW w:w="14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6.8%</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1,516,717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1,932,505</w:t>
            </w:r>
          </w:p>
        </w:tc>
        <w:tc>
          <w:tcPr>
            <w:tcW w:w="100" w:type="dxa"/>
            <w:vAlign w:val="bottom"/>
          </w:tcPr>
          <w:p>
            <w:pPr>
              <w:spacing w:after="0"/>
              <w:rPr>
                <w:sz w:val="12"/>
                <w:szCs w:val="12"/>
                <w:color w:val="auto"/>
              </w:rPr>
            </w:pPr>
          </w:p>
        </w:tc>
      </w:tr>
      <w:tr>
        <w:trPr>
          <w:trHeight w:val="125"/>
        </w:trPr>
        <w:tc>
          <w:tcPr>
            <w:tcW w:w="282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Catamaran CLO 2014-2 Ltd.</w:t>
            </w:r>
            <w:r>
              <w:rPr>
                <w:rFonts w:ascii="Times New Roman" w:cs="Times New Roman" w:eastAsia="Times New Roman" w:hAnsi="Times New Roman"/>
                <w:sz w:val="10"/>
                <w:szCs w:val="10"/>
                <w:color w:val="auto"/>
              </w:rPr>
              <w:t>(3)(6)(13)(19)</w:t>
            </w:r>
          </w:p>
        </w:tc>
        <w:tc>
          <w:tcPr>
            <w:tcW w:w="368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4.7%,</w:t>
            </w:r>
          </w:p>
        </w:tc>
        <w:tc>
          <w:tcPr>
            <w:tcW w:w="1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11/25 maturity</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8/15/2014</w:t>
            </w: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24.9%</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6,132,465</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1,221,236</w:t>
            </w:r>
          </w:p>
        </w:tc>
        <w:tc>
          <w:tcPr>
            <w:tcW w:w="100" w:type="dxa"/>
            <w:vAlign w:val="bottom"/>
            <w:shd w:val="clear" w:color="auto" w:fill="CFF0FC"/>
          </w:tcPr>
          <w:p>
            <w:pPr>
              <w:spacing w:after="0"/>
              <w:rPr>
                <w:sz w:val="12"/>
                <w:szCs w:val="12"/>
                <w:color w:val="auto"/>
              </w:rPr>
            </w:pPr>
          </w:p>
        </w:tc>
      </w:tr>
      <w:tr>
        <w:trPr>
          <w:trHeight w:val="125"/>
        </w:trPr>
        <w:tc>
          <w:tcPr>
            <w:tcW w:w="282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Catamaran CLO 2015-1 Ltd.</w:t>
            </w:r>
            <w:r>
              <w:rPr>
                <w:rFonts w:ascii="Times New Roman" w:cs="Times New Roman" w:eastAsia="Times New Roman" w:hAnsi="Times New Roman"/>
                <w:sz w:val="10"/>
                <w:szCs w:val="10"/>
                <w:color w:val="auto"/>
              </w:rPr>
              <w:t>(3)(6)(13)(19)</w:t>
            </w:r>
          </w:p>
        </w:tc>
        <w:tc>
          <w:tcPr>
            <w:tcW w:w="368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12.5%,</w:t>
            </w: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10/26 maturity</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5/5/2015</w:t>
            </w:r>
          </w:p>
        </w:tc>
        <w:tc>
          <w:tcPr>
            <w:tcW w:w="14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9.9%</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4,190,443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2,856,878</w:t>
            </w:r>
          </w:p>
        </w:tc>
        <w:tc>
          <w:tcPr>
            <w:tcW w:w="100" w:type="dxa"/>
            <w:vAlign w:val="bottom"/>
          </w:tcPr>
          <w:p>
            <w:pPr>
              <w:spacing w:after="0"/>
              <w:rPr>
                <w:sz w:val="12"/>
                <w:szCs w:val="12"/>
                <w:color w:val="auto"/>
              </w:rPr>
            </w:pPr>
          </w:p>
        </w:tc>
      </w:tr>
      <w:tr>
        <w:trPr>
          <w:trHeight w:val="125"/>
        </w:trPr>
        <w:tc>
          <w:tcPr>
            <w:tcW w:w="282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Catamaran CLO 2016-1 Ltd.</w:t>
            </w:r>
            <w:r>
              <w:rPr>
                <w:rFonts w:ascii="Times New Roman" w:cs="Times New Roman" w:eastAsia="Times New Roman" w:hAnsi="Times New Roman"/>
                <w:sz w:val="10"/>
                <w:szCs w:val="10"/>
                <w:color w:val="auto"/>
              </w:rPr>
              <w:t>(3)(6)(13)(19)</w:t>
            </w:r>
          </w:p>
        </w:tc>
        <w:tc>
          <w:tcPr>
            <w:tcW w:w="368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9.9%,</w:t>
            </w:r>
          </w:p>
        </w:tc>
        <w:tc>
          <w:tcPr>
            <w:tcW w:w="1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4/27 maturity</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12/21/2016</w:t>
            </w: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24.9%</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9,440,106</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6,854,783</w:t>
            </w:r>
          </w:p>
        </w:tc>
        <w:tc>
          <w:tcPr>
            <w:tcW w:w="100" w:type="dxa"/>
            <w:vAlign w:val="bottom"/>
            <w:shd w:val="clear" w:color="auto" w:fill="CFF0FC"/>
          </w:tcPr>
          <w:p>
            <w:pPr>
              <w:spacing w:after="0"/>
              <w:rPr>
                <w:sz w:val="12"/>
                <w:szCs w:val="12"/>
                <w:color w:val="auto"/>
              </w:rPr>
            </w:pPr>
          </w:p>
        </w:tc>
      </w:tr>
      <w:tr>
        <w:trPr>
          <w:trHeight w:val="125"/>
        </w:trPr>
        <w:tc>
          <w:tcPr>
            <w:tcW w:w="282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Catamaran CLO 2018-1 Ltd</w:t>
            </w:r>
            <w:r>
              <w:rPr>
                <w:rFonts w:ascii="Times New Roman" w:cs="Times New Roman" w:eastAsia="Times New Roman" w:hAnsi="Times New Roman"/>
                <w:sz w:val="10"/>
                <w:szCs w:val="10"/>
                <w:color w:val="auto"/>
              </w:rPr>
              <w:t>(3)(6)(13)(19)</w:t>
            </w:r>
          </w:p>
        </w:tc>
        <w:tc>
          <w:tcPr>
            <w:tcW w:w="368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13.3%,</w:t>
            </w: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6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10/31 maturity</w:t>
            </w:r>
          </w:p>
        </w:tc>
        <w:tc>
          <w:tcPr>
            <w:tcW w:w="1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2"/>
                <w:szCs w:val="12"/>
                <w:color w:val="auto"/>
              </w:rPr>
              <w:t>9/27/2018</w:t>
            </w:r>
          </w:p>
        </w:tc>
        <w:tc>
          <w:tcPr>
            <w:tcW w:w="140" w:type="dxa"/>
            <w:vAlign w:val="bottom"/>
            <w:tcBorders>
              <w:bottom w:val="single" w:sz="8" w:color="CFF0FC"/>
            </w:tcBorders>
          </w:tcPr>
          <w:p>
            <w:pPr>
              <w:spacing w:after="0"/>
              <w:rPr>
                <w:sz w:val="12"/>
                <w:szCs w:val="12"/>
                <w:color w:val="auto"/>
              </w:rPr>
            </w:pPr>
          </w:p>
        </w:tc>
        <w:tc>
          <w:tcPr>
            <w:tcW w:w="1220" w:type="dxa"/>
            <w:vAlign w:val="bottom"/>
            <w:tcBorders>
              <w:bottom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24.8%</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9,771,393</w:t>
            </w:r>
          </w:p>
        </w:tc>
        <w:tc>
          <w:tcPr>
            <w:tcW w:w="2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8,946,896</w:t>
            </w:r>
          </w:p>
        </w:tc>
        <w:tc>
          <w:tcPr>
            <w:tcW w:w="100" w:type="dxa"/>
            <w:vAlign w:val="bottom"/>
            <w:tcBorders>
              <w:bottom w:val="single" w:sz="8" w:color="CFF0FC"/>
            </w:tcBorders>
          </w:tcPr>
          <w:p>
            <w:pPr>
              <w:spacing w:after="0"/>
              <w:rPr>
                <w:sz w:val="12"/>
                <w:szCs w:val="12"/>
                <w:color w:val="auto"/>
              </w:rPr>
            </w:pPr>
          </w:p>
        </w:tc>
      </w:tr>
      <w:tr>
        <w:trPr>
          <w:trHeight w:val="134"/>
        </w:trPr>
        <w:tc>
          <w:tcPr>
            <w:tcW w:w="2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1"/>
        </w:trPr>
        <w:tc>
          <w:tcPr>
            <w:tcW w:w="282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Total Investment in CLO Fund</w:t>
            </w:r>
          </w:p>
        </w:tc>
        <w:tc>
          <w:tcPr>
            <w:tcW w:w="3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8"/>
        </w:trPr>
        <w:tc>
          <w:tcPr>
            <w:tcW w:w="282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b w:val="1"/>
                <w:bCs w:val="1"/>
                <w:color w:val="auto"/>
              </w:rPr>
              <w:t>Securities (28% of net asset</w:t>
            </w:r>
          </w:p>
        </w:tc>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value at fair value)</w:t>
            </w: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48,825,983</w:t>
            </w: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36,871,295</w:t>
            </w:r>
          </w:p>
        </w:tc>
        <w:tc>
          <w:tcPr>
            <w:tcW w:w="100" w:type="dxa"/>
            <w:vAlign w:val="bottom"/>
          </w:tcPr>
          <w:p>
            <w:pPr>
              <w:spacing w:after="0"/>
              <w:rPr>
                <w:sz w:val="12"/>
                <w:szCs w:val="12"/>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Asset Manager Affiliates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Portfolio Company /</w:t>
            </w:r>
          </w:p>
        </w:tc>
        <w:tc>
          <w:tcPr>
            <w:tcW w:w="1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12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Principal Business</w:t>
            </w:r>
          </w:p>
        </w:tc>
        <w:tc>
          <w:tcPr>
            <w:tcW w:w="140" w:type="dxa"/>
            <w:vAlign w:val="bottom"/>
            <w:tcBorders>
              <w:bottom w:val="single" w:sz="8" w:color="CFF0FC"/>
            </w:tcBorders>
          </w:tcPr>
          <w:p>
            <w:pPr>
              <w:spacing w:after="0"/>
              <w:rPr>
                <w:sz w:val="12"/>
                <w:szCs w:val="12"/>
                <w:color w:val="auto"/>
              </w:rPr>
            </w:pPr>
          </w:p>
        </w:tc>
        <w:tc>
          <w:tcPr>
            <w:tcW w:w="31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2"/>
                <w:szCs w:val="12"/>
                <w:b w:val="1"/>
                <w:bCs w:val="1"/>
                <w:color w:val="auto"/>
              </w:rPr>
              <w:t>Investment</w:t>
            </w:r>
            <w:r>
              <w:rPr>
                <w:rFonts w:ascii="Times New Roman" w:cs="Times New Roman" w:eastAsia="Times New Roman" w:hAnsi="Times New Roman"/>
                <w:sz w:val="10"/>
                <w:szCs w:val="10"/>
                <w:b w:val="1"/>
                <w:bCs w:val="1"/>
                <w:color w:val="auto"/>
              </w:rPr>
              <w:t>15</w:t>
            </w:r>
          </w:p>
        </w:tc>
        <w:tc>
          <w:tcPr>
            <w:tcW w:w="16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2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6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Asset Manager Affiliates</w:t>
            </w:r>
            <w:r>
              <w:rPr>
                <w:rFonts w:ascii="Times New Roman" w:cs="Times New Roman" w:eastAsia="Times New Roman" w:hAnsi="Times New Roman"/>
                <w:sz w:val="10"/>
                <w:szCs w:val="10"/>
                <w:color w:val="auto"/>
              </w:rPr>
              <w:t>(8)(9)(13)(17)</w:t>
            </w:r>
          </w:p>
        </w:tc>
        <w:tc>
          <w:tcPr>
            <w:tcW w:w="140" w:type="dxa"/>
            <w:vAlign w:val="bottom"/>
            <w:shd w:val="clear" w:color="auto" w:fill="CFF0FC"/>
          </w:tcPr>
          <w:p>
            <w:pPr>
              <w:spacing w:after="0"/>
              <w:rPr>
                <w:sz w:val="11"/>
                <w:szCs w:val="11"/>
                <w:color w:val="auto"/>
              </w:rPr>
            </w:pPr>
          </w:p>
        </w:tc>
        <w:tc>
          <w:tcPr>
            <w:tcW w:w="314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Asset Management Company</w:t>
            </w: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12/11/2006</w:t>
            </w: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160"/>
              <w:spacing w:after="0" w:line="134" w:lineRule="exact"/>
              <w:rPr>
                <w:sz w:val="20"/>
                <w:szCs w:val="20"/>
                <w:color w:val="auto"/>
              </w:rPr>
            </w:pPr>
            <w:r>
              <w:rPr>
                <w:rFonts w:ascii="Times New Roman" w:cs="Times New Roman" w:eastAsia="Times New Roman" w:hAnsi="Times New Roman"/>
                <w:sz w:val="12"/>
                <w:szCs w:val="12"/>
                <w:color w:val="auto"/>
              </w:rPr>
              <w:t>100%</w:t>
            </w: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17,791,230</w:t>
            </w:r>
          </w:p>
        </w:tc>
        <w:tc>
          <w:tcPr>
            <w:tcW w:w="26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1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Total Investment in Asset Manager</w:t>
            </w:r>
          </w:p>
        </w:tc>
        <w:tc>
          <w:tcPr>
            <w:tcW w:w="140" w:type="dxa"/>
            <w:vAlign w:val="bottom"/>
            <w:shd w:val="clear" w:color="auto" w:fill="CFF0FC"/>
          </w:tcPr>
          <w:p>
            <w:pPr>
              <w:spacing w:after="0"/>
              <w:rPr>
                <w:sz w:val="10"/>
                <w:szCs w:val="10"/>
                <w:color w:val="auto"/>
              </w:rPr>
            </w:pPr>
          </w:p>
        </w:tc>
        <w:tc>
          <w:tcPr>
            <w:tcW w:w="3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color w:val="auto"/>
              </w:rPr>
              <w:t>Affiliates (0% of net asset value at fair value)</w:t>
            </w:r>
          </w:p>
        </w:tc>
        <w:tc>
          <w:tcPr>
            <w:tcW w:w="140" w:type="dxa"/>
            <w:vAlign w:val="bottom"/>
            <w:shd w:val="clear" w:color="auto" w:fill="CFF0FC"/>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17,791,230</w:t>
            </w: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1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Portfolio Company /</w:t>
            </w:r>
          </w:p>
        </w:tc>
        <w:tc>
          <w:tcPr>
            <w:tcW w:w="1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Principal Business</w:t>
            </w:r>
          </w:p>
        </w:tc>
        <w:tc>
          <w:tcPr>
            <w:tcW w:w="140" w:type="dxa"/>
            <w:vAlign w:val="bottom"/>
          </w:tcPr>
          <w:p>
            <w:pPr>
              <w:spacing w:after="0"/>
              <w:rPr>
                <w:sz w:val="12"/>
                <w:szCs w:val="12"/>
                <w:color w:val="auto"/>
              </w:rPr>
            </w:pPr>
          </w:p>
        </w:tc>
        <w:tc>
          <w:tcPr>
            <w:tcW w:w="3300" w:type="dxa"/>
            <w:vAlign w:val="bottom"/>
            <w:gridSpan w:val="2"/>
          </w:tcPr>
          <w:p>
            <w:pPr>
              <w:ind w:left="1240"/>
              <w:spacing w:after="0"/>
              <w:rPr>
                <w:sz w:val="20"/>
                <w:szCs w:val="20"/>
                <w:color w:val="auto"/>
              </w:rPr>
            </w:pPr>
            <w:r>
              <w:rPr>
                <w:rFonts w:ascii="Times New Roman" w:cs="Times New Roman" w:eastAsia="Times New Roman" w:hAnsi="Times New Roman"/>
                <w:sz w:val="12"/>
                <w:szCs w:val="12"/>
                <w:b w:val="1"/>
                <w:bCs w:val="1"/>
                <w:color w:val="auto"/>
              </w:rPr>
              <w:t>Investment</w:t>
            </w:r>
            <w:r>
              <w:rPr>
                <w:rFonts w:ascii="Times New Roman" w:cs="Times New Roman" w:eastAsia="Times New Roman" w:hAnsi="Times New Roman"/>
                <w:sz w:val="10"/>
                <w:szCs w:val="10"/>
                <w:b w:val="1"/>
                <w:bCs w:val="1"/>
                <w:color w:val="auto"/>
              </w:rPr>
              <w:t>15</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18"/>
        </w:trPr>
        <w:tc>
          <w:tcPr>
            <w:tcW w:w="316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Advantage Capital Holdings LLC.</w:t>
            </w:r>
            <w:r>
              <w:rPr>
                <w:rFonts w:ascii="Times New Roman" w:cs="Times New Roman" w:eastAsia="Times New Roman" w:hAnsi="Times New Roman"/>
                <w:sz w:val="10"/>
                <w:szCs w:val="10"/>
                <w:color w:val="auto"/>
              </w:rPr>
              <w:t>(13)</w:t>
            </w:r>
          </w:p>
        </w:tc>
        <w:tc>
          <w:tcPr>
            <w:tcW w:w="140" w:type="dxa"/>
            <w:vAlign w:val="bottom"/>
            <w:tcBorders>
              <w:top w:val="single" w:sz="8" w:color="CFF0FC"/>
            </w:tcBorders>
            <w:shd w:val="clear" w:color="auto" w:fill="CFF0FC"/>
          </w:tcPr>
          <w:p>
            <w:pPr>
              <w:spacing w:after="0"/>
              <w:rPr>
                <w:sz w:val="10"/>
                <w:szCs w:val="10"/>
                <w:color w:val="auto"/>
              </w:rPr>
            </w:pPr>
          </w:p>
        </w:tc>
        <w:tc>
          <w:tcPr>
            <w:tcW w:w="31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Banking, Finance, Insurance &amp; Real Estate</w:t>
            </w:r>
          </w:p>
        </w:tc>
        <w:tc>
          <w:tcPr>
            <w:tcW w:w="34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Securities Swap and Option Agreement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9/30/2019</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(20,959)</w:t>
            </w: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16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Anthem Sports &amp; Entertainment Inc. </w:t>
            </w:r>
            <w:r>
              <w:rPr>
                <w:rFonts w:ascii="Times New Roman" w:cs="Times New Roman" w:eastAsia="Times New Roman" w:hAnsi="Times New Roman"/>
                <w:sz w:val="10"/>
                <w:szCs w:val="10"/>
                <w:color w:val="auto"/>
              </w:rPr>
              <w:t>(13)</w:t>
            </w:r>
          </w:p>
        </w:tc>
        <w:tc>
          <w:tcPr>
            <w:tcW w:w="140" w:type="dxa"/>
            <w:vAlign w:val="bottom"/>
            <w:shd w:val="clear" w:color="auto" w:fill="CFF0FC"/>
          </w:tcPr>
          <w:p>
            <w:pPr>
              <w:spacing w:after="0"/>
              <w:rPr>
                <w:sz w:val="10"/>
                <w:szCs w:val="10"/>
                <w:color w:val="auto"/>
              </w:rPr>
            </w:pPr>
          </w:p>
        </w:tc>
        <w:tc>
          <w:tcPr>
            <w:tcW w:w="3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Media: Broadcasting &amp; Subscription</w:t>
            </w:r>
          </w:p>
        </w:tc>
        <w:tc>
          <w:tcPr>
            <w:tcW w:w="34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Call Option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9/9/2019</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30,609</w:t>
            </w: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30,609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 Derivatives (0% of net asset value at fair value)</w:t>
            </w:r>
          </w:p>
        </w:tc>
        <w:tc>
          <w:tcPr>
            <w:tcW w:w="140" w:type="dxa"/>
            <w:vAlign w:val="bottom"/>
            <w:shd w:val="clear" w:color="auto" w:fill="CFF0FC"/>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30,609</w:t>
            </w: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9,650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Joint Ventures</w:t>
            </w:r>
          </w:p>
        </w:tc>
        <w:tc>
          <w:tcPr>
            <w:tcW w:w="1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1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Portfolio Company /</w:t>
            </w:r>
          </w:p>
        </w:tc>
        <w:tc>
          <w:tcPr>
            <w:tcW w:w="1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12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Principal Business</w:t>
            </w:r>
          </w:p>
        </w:tc>
        <w:tc>
          <w:tcPr>
            <w:tcW w:w="140" w:type="dxa"/>
            <w:vAlign w:val="bottom"/>
            <w:tcBorders>
              <w:bottom w:val="single" w:sz="8" w:color="CFF0FC"/>
            </w:tcBorders>
          </w:tcPr>
          <w:p>
            <w:pPr>
              <w:spacing w:after="0"/>
              <w:rPr>
                <w:sz w:val="12"/>
                <w:szCs w:val="12"/>
                <w:color w:val="auto"/>
              </w:rPr>
            </w:pPr>
          </w:p>
        </w:tc>
        <w:tc>
          <w:tcPr>
            <w:tcW w:w="31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2"/>
                <w:szCs w:val="12"/>
                <w:b w:val="1"/>
                <w:bCs w:val="1"/>
                <w:color w:val="auto"/>
              </w:rPr>
              <w:t>Investment</w:t>
            </w:r>
            <w:r>
              <w:rPr>
                <w:rFonts w:ascii="Times New Roman" w:cs="Times New Roman" w:eastAsia="Times New Roman" w:hAnsi="Times New Roman"/>
                <w:sz w:val="10"/>
                <w:szCs w:val="10"/>
                <w:b w:val="1"/>
                <w:bCs w:val="1"/>
                <w:color w:val="auto"/>
              </w:rPr>
              <w:t>15</w:t>
            </w:r>
          </w:p>
        </w:tc>
        <w:tc>
          <w:tcPr>
            <w:tcW w:w="16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2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6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KCAP Freedom 3 LLC</w:t>
            </w:r>
            <w:r>
              <w:rPr>
                <w:rFonts w:ascii="Times New Roman" w:cs="Times New Roman" w:eastAsia="Times New Roman" w:hAnsi="Times New Roman"/>
                <w:sz w:val="10"/>
                <w:szCs w:val="10"/>
                <w:color w:val="auto"/>
              </w:rPr>
              <w:t>(9)(13)</w:t>
            </w:r>
          </w:p>
        </w:tc>
        <w:tc>
          <w:tcPr>
            <w:tcW w:w="140" w:type="dxa"/>
            <w:vAlign w:val="bottom"/>
            <w:shd w:val="clear" w:color="auto" w:fill="CFF0FC"/>
          </w:tcPr>
          <w:p>
            <w:pPr>
              <w:spacing w:after="0"/>
              <w:rPr>
                <w:sz w:val="11"/>
                <w:szCs w:val="11"/>
                <w:color w:val="auto"/>
              </w:rPr>
            </w:pPr>
          </w:p>
        </w:tc>
        <w:tc>
          <w:tcPr>
            <w:tcW w:w="314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Joint Venture</w:t>
            </w: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7/19/2017</w:t>
            </w: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160"/>
              <w:spacing w:after="0" w:line="134" w:lineRule="exact"/>
              <w:rPr>
                <w:sz w:val="20"/>
                <w:szCs w:val="20"/>
                <w:color w:val="auto"/>
              </w:rPr>
            </w:pPr>
            <w:r>
              <w:rPr>
                <w:rFonts w:ascii="Times New Roman" w:cs="Times New Roman" w:eastAsia="Times New Roman" w:hAnsi="Times New Roman"/>
                <w:sz w:val="12"/>
                <w:szCs w:val="12"/>
                <w:color w:val="auto"/>
              </w:rPr>
              <w:t>60%</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24,914,858</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21,235,739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BCP Great Lakes Holdings LP</w:t>
            </w:r>
            <w:r>
              <w:rPr>
                <w:rFonts w:ascii="Times New Roman" w:cs="Times New Roman" w:eastAsia="Times New Roman" w:hAnsi="Times New Roman"/>
                <w:sz w:val="10"/>
                <w:szCs w:val="10"/>
                <w:color w:val="auto"/>
              </w:rPr>
              <w:t>(9)(10)(17)(18)</w:t>
            </w:r>
          </w:p>
        </w:tc>
        <w:tc>
          <w:tcPr>
            <w:tcW w:w="1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6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2"/>
                <w:szCs w:val="12"/>
                <w:color w:val="auto"/>
              </w:rPr>
              <w:t>Limited Partnership</w:t>
            </w:r>
          </w:p>
        </w:tc>
        <w:tc>
          <w:tcPr>
            <w:tcW w:w="3440" w:type="dxa"/>
            <w:vAlign w:val="bottom"/>
            <w:tcBorders>
              <w:bottom w:val="single" w:sz="8" w:color="CFF0FC"/>
            </w:tcBorders>
            <w:gridSpan w:val="3"/>
          </w:tcPr>
          <w:p>
            <w:pPr>
              <w:ind w:left="140"/>
              <w:spacing w:after="0"/>
              <w:rPr>
                <w:sz w:val="20"/>
                <w:szCs w:val="20"/>
                <w:color w:val="auto"/>
              </w:rPr>
            </w:pPr>
            <w:r>
              <w:rPr>
                <w:rFonts w:ascii="Times New Roman" w:cs="Times New Roman" w:eastAsia="Times New Roman" w:hAnsi="Times New Roman"/>
                <w:sz w:val="12"/>
                <w:szCs w:val="12"/>
                <w:color w:val="auto"/>
              </w:rPr>
              <w:t>Joint Venture</w:t>
            </w:r>
          </w:p>
        </w:tc>
        <w:tc>
          <w:tcPr>
            <w:tcW w:w="1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2"/>
                <w:szCs w:val="12"/>
                <w:color w:val="auto"/>
              </w:rPr>
              <w:t>12/11/2018</w:t>
            </w:r>
          </w:p>
        </w:tc>
        <w:tc>
          <w:tcPr>
            <w:tcW w:w="14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48%</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24,137,918</w:t>
            </w: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24,190,267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Total Investment in Joint Ventures</w:t>
            </w:r>
          </w:p>
        </w:tc>
        <w:tc>
          <w:tcPr>
            <w:tcW w:w="1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(34% of net asset value at fair value)</w:t>
            </w:r>
          </w:p>
        </w:tc>
        <w:tc>
          <w:tcPr>
            <w:tcW w:w="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49,052,776</w:t>
            </w:r>
          </w:p>
        </w:tc>
        <w:tc>
          <w:tcPr>
            <w:tcW w:w="26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45,426,006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3"/>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Short-term Investments</w:t>
            </w:r>
          </w:p>
        </w:tc>
        <w:tc>
          <w:tcPr>
            <w:tcW w:w="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6"/>
              </w:rPr>
              <w:t>Par</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28" w:lineRule="exact"/>
              <w:rPr>
                <w:sz w:val="20"/>
                <w:szCs w:val="20"/>
                <w:color w:val="auto"/>
              </w:rPr>
            </w:pPr>
            <w:r>
              <w:rPr>
                <w:rFonts w:ascii="Times New Roman" w:cs="Times New Roman" w:eastAsia="Times New Roman" w:hAnsi="Times New Roman"/>
                <w:sz w:val="12"/>
                <w:szCs w:val="12"/>
                <w:b w:val="1"/>
                <w:bCs w:val="1"/>
                <w:color w:val="auto"/>
                <w:w w:val="99"/>
              </w:rPr>
              <w:t>/Amortized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Short-term Investments</w:t>
            </w:r>
          </w:p>
        </w:tc>
        <w:tc>
          <w:tcPr>
            <w:tcW w:w="140" w:type="dxa"/>
            <w:vAlign w:val="bottom"/>
            <w:tcBorders>
              <w:bottom w:val="single" w:sz="8" w:color="CFF0FC"/>
            </w:tcBorders>
          </w:tcPr>
          <w:p>
            <w:pPr>
              <w:spacing w:after="0"/>
              <w:rPr>
                <w:sz w:val="12"/>
                <w:szCs w:val="12"/>
                <w:color w:val="auto"/>
              </w:rPr>
            </w:pPr>
          </w:p>
        </w:tc>
        <w:tc>
          <w:tcPr>
            <w:tcW w:w="31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2"/>
                <w:szCs w:val="12"/>
                <w:b w:val="1"/>
                <w:bCs w:val="1"/>
                <w:color w:val="auto"/>
              </w:rPr>
              <w:t>Investment</w:t>
            </w:r>
            <w:r>
              <w:rPr>
                <w:rFonts w:ascii="Times New Roman" w:cs="Times New Roman" w:eastAsia="Times New Roman" w:hAnsi="Times New Roman"/>
                <w:sz w:val="10"/>
                <w:szCs w:val="10"/>
                <w:b w:val="1"/>
                <w:bCs w:val="1"/>
                <w:color w:val="auto"/>
              </w:rPr>
              <w:t>15</w:t>
            </w:r>
          </w:p>
        </w:tc>
        <w:tc>
          <w:tcPr>
            <w:tcW w:w="16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Yield</w:t>
            </w:r>
          </w:p>
        </w:tc>
        <w:tc>
          <w:tcPr>
            <w:tcW w:w="2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Fair Value</w:t>
            </w:r>
            <w:r>
              <w:rPr>
                <w:rFonts w:ascii="Times New Roman" w:cs="Times New Roman" w:eastAsia="Times New Roman" w:hAnsi="Times New Roman"/>
                <w:sz w:val="10"/>
                <w:szCs w:val="10"/>
                <w:b w:val="1"/>
                <w:bCs w:val="1"/>
                <w:color w:val="auto"/>
                <w:w w:val="96"/>
              </w:rPr>
              <w:t>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6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US Bank Money Market Account</w:t>
            </w:r>
            <w:r>
              <w:rPr>
                <w:rFonts w:ascii="Times New Roman" w:cs="Times New Roman" w:eastAsia="Times New Roman" w:hAnsi="Times New Roman"/>
                <w:sz w:val="10"/>
                <w:szCs w:val="10"/>
                <w:color w:val="auto"/>
              </w:rPr>
              <w:t>(7)(8)</w:t>
            </w:r>
          </w:p>
        </w:tc>
        <w:tc>
          <w:tcPr>
            <w:tcW w:w="140" w:type="dxa"/>
            <w:vAlign w:val="bottom"/>
            <w:shd w:val="clear" w:color="auto" w:fill="CFF0FC"/>
          </w:tcPr>
          <w:p>
            <w:pPr>
              <w:spacing w:after="0"/>
              <w:rPr>
                <w:sz w:val="11"/>
                <w:szCs w:val="11"/>
                <w:color w:val="auto"/>
              </w:rPr>
            </w:pPr>
          </w:p>
        </w:tc>
        <w:tc>
          <w:tcPr>
            <w:tcW w:w="314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Money Market Account</w:t>
            </w: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N/A</w:t>
            </w: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160"/>
              <w:spacing w:after="0" w:line="134" w:lineRule="exact"/>
              <w:rPr>
                <w:sz w:val="20"/>
                <w:szCs w:val="20"/>
                <w:color w:val="auto"/>
              </w:rPr>
            </w:pPr>
            <w:r>
              <w:rPr>
                <w:rFonts w:ascii="Times New Roman" w:cs="Times New Roman" w:eastAsia="Times New Roman" w:hAnsi="Times New Roman"/>
                <w:sz w:val="12"/>
                <w:szCs w:val="12"/>
                <w:color w:val="auto"/>
              </w:rPr>
              <w:t>0.20%</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13,181,681</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13,181,681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3440" w:type="dxa"/>
            <w:vAlign w:val="bottom"/>
            <w:gridSpan w:val="3"/>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US Treasury Bill (Cusip:9127965L4)</w:t>
            </w:r>
            <w:r>
              <w:rPr>
                <w:rFonts w:ascii="Times New Roman" w:cs="Times New Roman" w:eastAsia="Times New Roman" w:hAnsi="Times New Roman"/>
                <w:sz w:val="10"/>
                <w:szCs w:val="10"/>
                <w:color w:val="auto"/>
              </w:rPr>
              <w:t>(8)</w:t>
            </w:r>
          </w:p>
        </w:tc>
        <w:tc>
          <w:tcPr>
            <w:tcW w:w="34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U.S. Government Obligation</w:t>
            </w: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1.50%</w:t>
            </w: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9,999,183</w:t>
            </w: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9,999,183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160" w:type="dxa"/>
            <w:vAlign w:val="bottom"/>
          </w:tcPr>
          <w:p>
            <w:pPr>
              <w:spacing w:after="0" w:line="114" w:lineRule="exact"/>
              <w:rPr>
                <w:sz w:val="20"/>
                <w:szCs w:val="20"/>
                <w:color w:val="auto"/>
              </w:rPr>
            </w:pPr>
            <w:r>
              <w:rPr>
                <w:rFonts w:ascii="Times New Roman" w:cs="Times New Roman" w:eastAsia="Times New Roman" w:hAnsi="Times New Roman"/>
                <w:sz w:val="12"/>
                <w:szCs w:val="12"/>
                <w:b w:val="1"/>
                <w:bCs w:val="1"/>
                <w:color w:val="auto"/>
              </w:rPr>
              <w:t>Total Short-term Investments</w:t>
            </w:r>
          </w:p>
        </w:tc>
        <w:tc>
          <w:tcPr>
            <w:tcW w:w="1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16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(17% of net asset value at fair value)</w:t>
            </w:r>
          </w:p>
        </w:tc>
        <w:tc>
          <w:tcPr>
            <w:tcW w:w="140" w:type="dxa"/>
            <w:vAlign w:val="bottom"/>
            <w:tcBorders>
              <w:bottom w:val="single" w:sz="8" w:color="CFF0FC"/>
            </w:tcBorders>
          </w:tcPr>
          <w:p>
            <w:pPr>
              <w:spacing w:after="0"/>
              <w:rPr>
                <w:sz w:val="12"/>
                <w:szCs w:val="12"/>
                <w:color w:val="auto"/>
              </w:rPr>
            </w:pPr>
          </w:p>
        </w:tc>
        <w:tc>
          <w:tcPr>
            <w:tcW w:w="31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1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9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23,180,863</w:t>
            </w: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23,180,863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Investments</w:t>
            </w:r>
            <w:r>
              <w:rPr>
                <w:rFonts w:ascii="Times New Roman" w:cs="Times New Roman" w:eastAsia="Times New Roman" w:hAnsi="Times New Roman"/>
                <w:sz w:val="10"/>
                <w:szCs w:val="10"/>
                <w:b w:val="1"/>
                <w:bCs w:val="1"/>
                <w:color w:val="auto"/>
              </w:rPr>
              <w:t>4</w:t>
            </w:r>
          </w:p>
        </w:tc>
        <w:tc>
          <w:tcPr>
            <w:tcW w:w="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344,852,721</w:t>
            </w:r>
          </w:p>
        </w:tc>
        <w:tc>
          <w:tcPr>
            <w:tcW w:w="26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287,391,771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15" w:name="page16"/>
    <w:bookmarkEnd w:id="15"/>
    <w:p>
      <w:pPr>
        <w:ind w:left="438" w:right="220" w:hanging="438"/>
        <w:spacing w:after="0" w:line="256" w:lineRule="auto"/>
        <w:tabs>
          <w:tab w:leader="none" w:pos="43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September 30, 2019. As noted in the table above, 72% (based on par) of debt securities contain floors</w:t>
      </w:r>
    </w:p>
    <w:p>
      <w:pPr>
        <w:spacing w:after="0" w:line="2" w:lineRule="exact"/>
        <w:rPr>
          <w:sz w:val="20"/>
          <w:szCs w:val="20"/>
          <w:color w:val="auto"/>
        </w:rPr>
      </w:pPr>
    </w:p>
    <w:p>
      <w:pPr>
        <w:ind w:left="438"/>
        <w:spacing w:after="0"/>
        <w:rPr>
          <w:sz w:val="20"/>
          <w:szCs w:val="20"/>
          <w:color w:val="auto"/>
        </w:rPr>
      </w:pPr>
      <w:r>
        <w:rPr>
          <w:rFonts w:ascii="Times New Roman" w:cs="Times New Roman" w:eastAsia="Times New Roman" w:hAnsi="Times New Roman"/>
          <w:sz w:val="17"/>
          <w:szCs w:val="17"/>
          <w:color w:val="auto"/>
        </w:rPr>
        <w:t>which range between 1.00% and 1.50%.</w:t>
      </w:r>
    </w:p>
    <w:p>
      <w:pPr>
        <w:spacing w:after="0" w:line="7" w:lineRule="exact"/>
        <w:rPr>
          <w:sz w:val="20"/>
          <w:szCs w:val="20"/>
          <w:color w:val="auto"/>
        </w:rPr>
      </w:pPr>
    </w:p>
    <w:p>
      <w:pPr>
        <w:ind w:left="438" w:hanging="438"/>
        <w:spacing w:after="0"/>
        <w:tabs>
          <w:tab w:leader="none" w:pos="43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Reflects the fair market value of all investments as of September 30, 2019 as determined by the Company’s Board of Directors.</w:t>
      </w:r>
    </w:p>
    <w:p>
      <w:pPr>
        <w:spacing w:after="0" w:line="9" w:lineRule="exact"/>
        <w:rPr>
          <w:sz w:val="20"/>
          <w:szCs w:val="20"/>
          <w:color w:val="auto"/>
        </w:rPr>
      </w:pPr>
    </w:p>
    <w:p>
      <w:pPr>
        <w:ind w:left="438" w:hanging="438"/>
        <w:spacing w:after="0"/>
        <w:tabs>
          <w:tab w:leader="none" w:pos="43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Non-U.S. company or principal place of business outside the U.S.</w:t>
      </w:r>
    </w:p>
    <w:p>
      <w:pPr>
        <w:spacing w:after="0" w:line="9" w:lineRule="exact"/>
        <w:rPr>
          <w:sz w:val="20"/>
          <w:szCs w:val="20"/>
          <w:color w:val="auto"/>
        </w:rPr>
      </w:pPr>
    </w:p>
    <w:p>
      <w:pPr>
        <w:ind w:left="438" w:hanging="438"/>
        <w:spacing w:after="0" w:line="251" w:lineRule="auto"/>
        <w:tabs>
          <w:tab w:leader="none" w:pos="43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aggregate cost of investments for federal income tax purposes is approximately $345 million. The aggregate gross unrealized appreciation is approximately $0.2 million, the aggregate gross unrealized depreciation is approximately $57.7 million, and the net unrealized depreciation is approximately $57.5 million.</w:t>
      </w:r>
    </w:p>
    <w:p>
      <w:pPr>
        <w:ind w:left="438" w:hanging="438"/>
        <w:spacing w:after="0"/>
        <w:tabs>
          <w:tab w:leader="none" w:pos="43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Loan or debt security is on non-accrual status and therefore is considered non-income producing.</w:t>
      </w:r>
    </w:p>
    <w:p>
      <w:pPr>
        <w:spacing w:after="0" w:line="9" w:lineRule="exact"/>
        <w:rPr>
          <w:sz w:val="20"/>
          <w:szCs w:val="20"/>
          <w:color w:val="auto"/>
        </w:rPr>
      </w:pPr>
    </w:p>
    <w:p>
      <w:pPr>
        <w:ind w:left="438" w:hanging="438"/>
        <w:spacing w:after="0"/>
        <w:tabs>
          <w:tab w:leader="none" w:pos="43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 CLO Fund managed by an affiliate of LibreMax.</w:t>
      </w:r>
    </w:p>
    <w:p>
      <w:pPr>
        <w:spacing w:after="0" w:line="9" w:lineRule="exact"/>
        <w:rPr>
          <w:sz w:val="20"/>
          <w:szCs w:val="20"/>
          <w:color w:val="auto"/>
        </w:rPr>
      </w:pPr>
    </w:p>
    <w:p>
      <w:pPr>
        <w:ind w:left="438" w:hanging="438"/>
        <w:spacing w:after="0"/>
        <w:tabs>
          <w:tab w:leader="none" w:pos="43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Money market account.</w:t>
      </w:r>
    </w:p>
    <w:p>
      <w:pPr>
        <w:spacing w:after="0" w:line="9" w:lineRule="exact"/>
        <w:rPr>
          <w:sz w:val="20"/>
          <w:szCs w:val="20"/>
          <w:color w:val="auto"/>
        </w:rPr>
      </w:pPr>
    </w:p>
    <w:p>
      <w:pPr>
        <w:ind w:left="438" w:hanging="438"/>
        <w:spacing w:after="0"/>
        <w:tabs>
          <w:tab w:leader="none" w:pos="43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Qualified asset for purposes of section 55(a) of the Investment Company Act of 1940, as amended (the “1940 Act”). Qualifying assets represent approximately</w:t>
      </w:r>
    </w:p>
    <w:p>
      <w:pPr>
        <w:spacing w:after="0" w:line="11" w:lineRule="exact"/>
        <w:rPr>
          <w:sz w:val="20"/>
          <w:szCs w:val="20"/>
          <w:color w:val="auto"/>
        </w:rPr>
      </w:pPr>
    </w:p>
    <w:p>
      <w:pPr>
        <w:ind w:left="438"/>
        <w:spacing w:after="0"/>
        <w:rPr>
          <w:sz w:val="20"/>
          <w:szCs w:val="20"/>
          <w:color w:val="auto"/>
        </w:rPr>
      </w:pPr>
      <w:r>
        <w:rPr>
          <w:rFonts w:ascii="Times New Roman" w:cs="Times New Roman" w:eastAsia="Times New Roman" w:hAnsi="Times New Roman"/>
          <w:sz w:val="17"/>
          <w:szCs w:val="17"/>
          <w:color w:val="auto"/>
        </w:rPr>
        <w:t>71.7% of the total assets at September 30, 2019.</w:t>
      </w:r>
    </w:p>
    <w:p>
      <w:pPr>
        <w:spacing w:after="0" w:line="7" w:lineRule="exact"/>
        <w:rPr>
          <w:sz w:val="20"/>
          <w:szCs w:val="20"/>
          <w:color w:val="auto"/>
        </w:rPr>
      </w:pPr>
    </w:p>
    <w:p>
      <w:pPr>
        <w:jc w:val="both"/>
        <w:ind w:left="438" w:right="80" w:hanging="438"/>
        <w:spacing w:after="0" w:line="252" w:lineRule="auto"/>
        <w:tabs>
          <w:tab w:leader="none" w:pos="43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1" w:lineRule="exact"/>
        <w:rPr>
          <w:sz w:val="20"/>
          <w:szCs w:val="20"/>
          <w:color w:val="auto"/>
        </w:rPr>
      </w:pPr>
    </w:p>
    <w:p>
      <w:pPr>
        <w:ind w:left="438" w:right="340"/>
        <w:spacing w:after="0" w:line="250" w:lineRule="auto"/>
        <w:rPr>
          <w:sz w:val="20"/>
          <w:szCs w:val="20"/>
          <w:color w:val="auto"/>
        </w:rPr>
      </w:pPr>
      <w:r>
        <w:rPr>
          <w:rFonts w:ascii="Times New Roman" w:cs="Times New Roman" w:eastAsia="Times New Roman" w:hAnsi="Times New Roman"/>
          <w:sz w:val="17"/>
          <w:szCs w:val="17"/>
          <w:color w:val="auto"/>
        </w:rPr>
        <w:t>(including through a management agreement). Other than for purposes of the 1940 Act, the Company does not believe that it has control over this portfolio company.</w:t>
      </w:r>
    </w:p>
    <w:p>
      <w:pPr>
        <w:ind w:left="438" w:hanging="438"/>
        <w:spacing w:after="0"/>
        <w:tabs>
          <w:tab w:leader="none" w:pos="43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Non-voting.</w:t>
      </w:r>
    </w:p>
    <w:p>
      <w:pPr>
        <w:spacing w:after="0" w:line="11" w:lineRule="exact"/>
        <w:rPr>
          <w:rFonts w:ascii="Times New Roman" w:cs="Times New Roman" w:eastAsia="Times New Roman" w:hAnsi="Times New Roman"/>
          <w:sz w:val="14"/>
          <w:szCs w:val="14"/>
          <w:color w:val="auto"/>
        </w:rPr>
      </w:pPr>
    </w:p>
    <w:p>
      <w:pPr>
        <w:ind w:left="438" w:right="20" w:hanging="438"/>
        <w:spacing w:after="0" w:line="251" w:lineRule="auto"/>
        <w:tabs>
          <w:tab w:leader="none" w:pos="43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ind w:left="438" w:hanging="438"/>
        <w:spacing w:after="0"/>
        <w:tabs>
          <w:tab w:leader="none" w:pos="43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Notice of redemption has been received for this security.</w:t>
      </w:r>
    </w:p>
    <w:p>
      <w:pPr>
        <w:spacing w:after="0" w:line="9" w:lineRule="exact"/>
        <w:rPr>
          <w:rFonts w:ascii="Times New Roman" w:cs="Times New Roman" w:eastAsia="Times New Roman" w:hAnsi="Times New Roman"/>
          <w:sz w:val="14"/>
          <w:szCs w:val="14"/>
          <w:color w:val="auto"/>
        </w:rPr>
      </w:pPr>
    </w:p>
    <w:p>
      <w:pPr>
        <w:ind w:left="438" w:hanging="438"/>
        <w:spacing w:after="0"/>
        <w:tabs>
          <w:tab w:leader="none" w:pos="43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Fair value of this investment was determined using significant unobservable inputs.</w:t>
      </w:r>
    </w:p>
    <w:p>
      <w:pPr>
        <w:spacing w:after="0" w:line="9" w:lineRule="exact"/>
        <w:rPr>
          <w:rFonts w:ascii="Times New Roman" w:cs="Times New Roman" w:eastAsia="Times New Roman" w:hAnsi="Times New Roman"/>
          <w:sz w:val="14"/>
          <w:szCs w:val="14"/>
          <w:color w:val="auto"/>
        </w:rPr>
      </w:pPr>
    </w:p>
    <w:p>
      <w:pPr>
        <w:ind w:left="438" w:right="160" w:hanging="438"/>
        <w:spacing w:after="0" w:line="251" w:lineRule="auto"/>
        <w:tabs>
          <w:tab w:leader="none" w:pos="43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As of September 30, 2019, this investment is owned by Great Lakes KCAP Funding I, LLC and was pledged to secure Great Lakes KCAP Funding I, LLC’s debt obligation pursuant to its senior secured revolving credit facility (the “Revolving Credit Facility”) with the Company, as the servicer, certain institutional lenders, State Bank and Trust Company, as the administrative agent, lead arranger and bookrunner, and CIBC Bank USA, as documentation agent.</w:t>
      </w:r>
    </w:p>
    <w:p>
      <w:pPr>
        <w:ind w:left="438" w:right="40" w:hanging="438"/>
        <w:spacing w:after="0" w:line="251" w:lineRule="auto"/>
        <w:tabs>
          <w:tab w:leader="none" w:pos="43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ind w:left="438" w:right="100" w:hanging="438"/>
        <w:spacing w:after="0" w:line="251" w:lineRule="auto"/>
        <w:tabs>
          <w:tab w:leader="none" w:pos="43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remaining collateral in this CLO Fund portfolio is illiquid and not producing meaningful cash flows, and thus, the Company’s investment in the CLO Subordinated securities are not currently receiving periodic cash distributions. Accordingly, the Company is no longer recording any investment income from these investments, and has thus noted the effective interest as not meaningful, or N/M. The fair value of the investment reflects the Company’s estimated share of the fair value of the underlying collateral.</w:t>
      </w:r>
    </w:p>
    <w:p>
      <w:pPr>
        <w:jc w:val="both"/>
        <w:ind w:left="438" w:right="40" w:hanging="438"/>
        <w:spacing w:after="0" w:line="251" w:lineRule="auto"/>
        <w:tabs>
          <w:tab w:leader="none" w:pos="43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ind w:left="438" w:hanging="438"/>
        <w:spacing w:after="0"/>
        <w:tabs>
          <w:tab w:leader="none" w:pos="43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Ownership of LP interest held through the holding company BCP Great Lakes Fund, L.P.</w:t>
      </w:r>
    </w:p>
    <w:p>
      <w:pPr>
        <w:spacing w:after="0" w:line="9" w:lineRule="exact"/>
        <w:rPr>
          <w:rFonts w:ascii="Times New Roman" w:cs="Times New Roman" w:eastAsia="Times New Roman" w:hAnsi="Times New Roman"/>
          <w:sz w:val="14"/>
          <w:szCs w:val="14"/>
          <w:color w:val="auto"/>
        </w:rPr>
      </w:pPr>
    </w:p>
    <w:p>
      <w:pPr>
        <w:ind w:left="438" w:right="140" w:hanging="438"/>
        <w:spacing w:after="0" w:line="220" w:lineRule="auto"/>
        <w:tabs>
          <w:tab w:leader="none" w:pos="438"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2" w:lineRule="exact"/>
        <w:rPr>
          <w:rFonts w:ascii="Times New Roman" w:cs="Times New Roman" w:eastAsia="Times New Roman" w:hAnsi="Times New Roman"/>
          <w:sz w:val="24"/>
          <w:szCs w:val="24"/>
          <w:color w:val="auto"/>
          <w:vertAlign w:val="superscript"/>
        </w:rPr>
      </w:pPr>
    </w:p>
    <w:p>
      <w:pPr>
        <w:ind w:left="438" w:hanging="438"/>
        <w:spacing w:after="0" w:line="185" w:lineRule="auto"/>
        <w:tabs>
          <w:tab w:leader="none" w:pos="43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Non-income producing.</w:t>
      </w:r>
    </w:p>
    <w:p>
      <w:pPr>
        <w:spacing w:after="0" w:line="150"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14"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29551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58"/>
          </w:cols>
          <w:pgMar w:left="242" w:top="532" w:right="2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PORTMAN RIDGE FINANCE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December 31, 2018</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Securities Portfolio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32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4000" w:type="dxa"/>
            <w:vAlign w:val="bottom"/>
            <w:gridSpan w:val="2"/>
          </w:tcPr>
          <w:p>
            <w:pPr>
              <w:ind w:left="1640"/>
              <w:spacing w:after="0" w:line="128"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1200" w:type="dxa"/>
            <w:vAlign w:val="bottom"/>
            <w:gridSpan w:val="3"/>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00"/>
              <w:spacing w:after="0" w:line="128"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4000" w:type="dxa"/>
            <w:vAlign w:val="bottom"/>
            <w:gridSpan w:val="2"/>
          </w:tcPr>
          <w:p>
            <w:pPr>
              <w:ind w:left="1260"/>
              <w:spacing w:after="0"/>
              <w:rPr>
                <w:sz w:val="20"/>
                <w:szCs w:val="20"/>
                <w:color w:val="auto"/>
              </w:rPr>
            </w:pPr>
            <w:r>
              <w:rPr>
                <w:rFonts w:ascii="Times New Roman" w:cs="Times New Roman" w:eastAsia="Times New Roman" w:hAnsi="Times New Roman"/>
                <w:sz w:val="12"/>
                <w:szCs w:val="12"/>
                <w:b w:val="1"/>
                <w:bCs w:val="1"/>
                <w:color w:val="auto"/>
              </w:rPr>
              <w:t>Interest Rate¹ / Maturity</w:t>
            </w:r>
            <w:r>
              <w:rPr>
                <w:rFonts w:ascii="Times New Roman" w:cs="Times New Roman" w:eastAsia="Times New Roman" w:hAnsi="Times New Roman"/>
                <w:sz w:val="10"/>
                <w:szCs w:val="10"/>
                <w:b w:val="1"/>
                <w:bCs w:val="1"/>
                <w:color w:val="auto"/>
              </w:rPr>
              <w:t>15</w:t>
            </w: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100" w:type="dxa"/>
            <w:vAlign w:val="bottom"/>
          </w:tcPr>
          <w:p>
            <w:pPr>
              <w:spacing w:after="0"/>
              <w:rPr>
                <w:sz w:val="12"/>
                <w:szCs w:val="12"/>
                <w:color w:val="auto"/>
              </w:rPr>
            </w:pP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10"/>
                <w:szCs w:val="10"/>
                <w:b w:val="1"/>
                <w:bCs w:val="1"/>
                <w:color w:val="auto"/>
              </w:rPr>
              <w:t>2</w:t>
            </w:r>
          </w:p>
        </w:tc>
      </w:tr>
      <w:tr>
        <w:trPr>
          <w:trHeight w:val="118"/>
        </w:trPr>
        <w:tc>
          <w:tcPr>
            <w:tcW w:w="312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Advanced Lighting Technologies,</w:t>
            </w:r>
          </w:p>
        </w:tc>
        <w:tc>
          <w:tcPr>
            <w:tcW w:w="120" w:type="dxa"/>
            <w:vAlign w:val="bottom"/>
            <w:tcBorders>
              <w:top w:val="single" w:sz="8" w:color="CFF0FC"/>
            </w:tcBorders>
            <w:shd w:val="clear" w:color="auto" w:fill="CFF0FC"/>
          </w:tcPr>
          <w:p>
            <w:pPr>
              <w:spacing w:after="0"/>
              <w:rPr>
                <w:sz w:val="10"/>
                <w:szCs w:val="10"/>
                <w:color w:val="auto"/>
              </w:rPr>
            </w:pPr>
          </w:p>
        </w:tc>
        <w:tc>
          <w:tcPr>
            <w:tcW w:w="388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Junior Secured Loan — Second Lien Notes 9.8%</w:t>
            </w:r>
          </w:p>
        </w:tc>
        <w:tc>
          <w:tcPr>
            <w:tcW w:w="120" w:type="dxa"/>
            <w:vAlign w:val="bottom"/>
            <w:tcBorders>
              <w:top w:val="single" w:sz="8" w:color="CFF0FC"/>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Inc.</w:t>
            </w:r>
            <w:r>
              <w:rPr>
                <w:rFonts w:ascii="Times New Roman" w:cs="Times New Roman" w:eastAsia="Times New Roman" w:hAnsi="Times New Roman"/>
                <w:sz w:val="10"/>
                <w:szCs w:val="10"/>
                <w:color w:val="auto"/>
              </w:rPr>
              <w:t>(5)(8)(13)</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Cash, 10.0% PIK, 3 month LIBOR(2.80%)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Consumer goods: Durable</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7.00%; LIBOR Floor 1.00% , Due 10/23</w:t>
            </w:r>
          </w:p>
        </w:tc>
        <w:tc>
          <w:tcPr>
            <w:tcW w:w="1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6/13/2012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1,007,062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958,499</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362,240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AlixPartners, LLP</w:t>
            </w:r>
            <w:r>
              <w:rPr>
                <w:rFonts w:ascii="Times New Roman" w:cs="Times New Roman" w:eastAsia="Times New Roman" w:hAnsi="Times New Roman"/>
                <w:sz w:val="10"/>
                <w:szCs w:val="10"/>
                <w:color w:val="auto"/>
              </w:rPr>
              <w:t>(8)(13)</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2017 Refinancing Term</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80"/>
              <w:spacing w:after="0" w:line="128" w:lineRule="exact"/>
              <w:rPr>
                <w:sz w:val="20"/>
                <w:szCs w:val="20"/>
                <w:color w:val="auto"/>
              </w:rPr>
            </w:pPr>
            <w:r>
              <w:rPr>
                <w:rFonts w:ascii="Times New Roman" w:cs="Times New Roman" w:eastAsia="Times New Roman" w:hAnsi="Times New Roman"/>
                <w:sz w:val="12"/>
                <w:szCs w:val="12"/>
                <w:color w:val="auto"/>
              </w:rPr>
              <w:t>Services: Business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Loan 5.3% Cash, 1 month LIBOR(2.52%)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2.75%; LIBOR Floor 1.00% , Due 4/24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12/28/2018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997,462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957,563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957,563</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Asurion, LLC (fka Asurion</w:t>
            </w:r>
          </w:p>
        </w:tc>
        <w:tc>
          <w:tcPr>
            <w:tcW w:w="3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Corporation)</w:t>
            </w:r>
            <w:r>
              <w:rPr>
                <w:rFonts w:ascii="Times New Roman" w:cs="Times New Roman" w:eastAsia="Times New Roman" w:hAnsi="Times New Roman"/>
                <w:sz w:val="10"/>
                <w:szCs w:val="10"/>
                <w:color w:val="auto"/>
              </w:rPr>
              <w:t>(8)(13)</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Senior Secured Loan — Amendment No. 14</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8"/>
        </w:trPr>
        <w:tc>
          <w:tcPr>
            <w:tcW w:w="3240" w:type="dxa"/>
            <w:vAlign w:val="bottom"/>
            <w:gridSpan w:val="2"/>
            <w:shd w:val="clear" w:color="auto" w:fill="CFF0FC"/>
          </w:tcPr>
          <w:p>
            <w:pPr>
              <w:ind w:left="80"/>
              <w:spacing w:after="0" w:line="128" w:lineRule="exact"/>
              <w:rPr>
                <w:sz w:val="20"/>
                <w:szCs w:val="20"/>
                <w:color w:val="auto"/>
              </w:rPr>
            </w:pPr>
            <w:r>
              <w:rPr>
                <w:rFonts w:ascii="Times New Roman" w:cs="Times New Roman" w:eastAsia="Times New Roman" w:hAnsi="Times New Roman"/>
                <w:sz w:val="12"/>
                <w:szCs w:val="12"/>
                <w:color w:val="auto"/>
              </w:rPr>
              <w:t>Banking, Finance, Insurance &amp;</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Replacement B-4 Term Loan 5.5% Cash, 1 month</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Real Estate</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LIBOR(2.52%)+ 3.00%; LIBOR Floor 1.00% , Due 8/22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12/28/2018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1,520,851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1,463,819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1,460,001</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BMC Acquisition, Inc. (aka</w:t>
            </w:r>
          </w:p>
        </w:tc>
        <w:tc>
          <w:tcPr>
            <w:tcW w:w="3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BenefitMall)</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Senior Secured Loan — Initial Term Loan 7.8%</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8"/>
        </w:trPr>
        <w:tc>
          <w:tcPr>
            <w:tcW w:w="3240" w:type="dxa"/>
            <w:vAlign w:val="bottom"/>
            <w:gridSpan w:val="2"/>
            <w:shd w:val="clear" w:color="auto" w:fill="CFF0FC"/>
          </w:tcPr>
          <w:p>
            <w:pPr>
              <w:ind w:left="80"/>
              <w:spacing w:after="0" w:line="128" w:lineRule="exact"/>
              <w:rPr>
                <w:sz w:val="20"/>
                <w:szCs w:val="20"/>
                <w:color w:val="auto"/>
              </w:rPr>
            </w:pPr>
            <w:r>
              <w:rPr>
                <w:rFonts w:ascii="Times New Roman" w:cs="Times New Roman" w:eastAsia="Times New Roman" w:hAnsi="Times New Roman"/>
                <w:sz w:val="12"/>
                <w:szCs w:val="12"/>
                <w:color w:val="auto"/>
              </w:rPr>
              <w:t>Banking, Finance, Insurance &amp;</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Cash, 6 month LIBOR(2.59%) + 5.25%;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Real Estate</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12/24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2,970,000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2,968,502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2,942,082</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BW NHHC Holdco Inc.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 (First</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Healthcare &amp; Pharmaceuticals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 7.5% Cash, 1 month LIBOR(2.47%)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5.00% , Due 5/25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5/16/2018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1,990,000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1,962,751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1,950,200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Carestream Health, Inc.</w:t>
            </w:r>
            <w:r>
              <w:rPr>
                <w:rFonts w:ascii="Times New Roman" w:cs="Times New Roman" w:eastAsia="Times New Roman" w:hAnsi="Times New Roman"/>
                <w:sz w:val="10"/>
                <w:szCs w:val="10"/>
                <w:color w:val="auto"/>
              </w:rPr>
              <w:t>(8)(13)</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Extended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Healthcare &amp; Pharmaceuticals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(Second Lien) 12.0% Cash, 1 month</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8"/>
        </w:trPr>
        <w:tc>
          <w:tcPr>
            <w:tcW w:w="3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LIBOR(2.52%) + 9.50%; LIBOR Floor 1.00%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Due 6/21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10/7/2014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1,510,955</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1,496,079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1,480,736</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Child Development Schools,</w:t>
            </w:r>
          </w:p>
        </w:tc>
        <w:tc>
          <w:tcPr>
            <w:tcW w:w="3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Inc.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Senior Secured Loan — Term Loan 6.7% Cash,</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Services: Business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3 month LIBOR(2.50%) + 4.25% , Due 5/23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4,794,521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4,783,918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4,782,534</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Community Care Health Network,</w:t>
            </w:r>
          </w:p>
        </w:tc>
        <w:tc>
          <w:tcPr>
            <w:tcW w:w="3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Inc. (aka Matrix Medical Network)</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Senior Secured Loan — Closing Date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8"/>
        </w:trPr>
        <w:tc>
          <w:tcPr>
            <w:tcW w:w="3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(8)(14)</w:t>
            </w:r>
          </w:p>
        </w:tc>
        <w:tc>
          <w:tcPr>
            <w:tcW w:w="120" w:type="dxa"/>
            <w:vAlign w:val="bottom"/>
            <w:shd w:val="clear" w:color="auto" w:fill="CFF0FC"/>
          </w:tcPr>
          <w:p>
            <w:pPr>
              <w:spacing w:after="0"/>
              <w:rPr>
                <w:sz w:val="11"/>
                <w:szCs w:val="11"/>
                <w:color w:val="auto"/>
              </w:rPr>
            </w:pP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7.3% Cash, 1 month LIBOR(2.52%) + 4.75%;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2/25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1,990,000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1,985,635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1,873,784</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Corsair Gaming, Inc.</w:t>
            </w:r>
            <w:r>
              <w:rPr>
                <w:rFonts w:ascii="Times New Roman" w:cs="Times New Roman" w:eastAsia="Times New Roman" w:hAnsi="Times New Roman"/>
                <w:sz w:val="10"/>
                <w:szCs w:val="10"/>
                <w:color w:val="auto"/>
              </w:rPr>
              <w:t>(8)</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High Tech Industries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11.3% Cash, 3 month LIBOR(2.80%) + 8.50%;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8/25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9/29/2017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4,936,538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4,929,000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Corsair Gaming, Inc.</w:t>
            </w:r>
            <w:r>
              <w:rPr>
                <w:rFonts w:ascii="Times New Roman" w:cs="Times New Roman" w:eastAsia="Times New Roman" w:hAnsi="Times New Roman"/>
                <w:sz w:val="10"/>
                <w:szCs w:val="10"/>
                <w:color w:val="auto"/>
              </w:rPr>
              <w:t>(8)(14)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Loan (First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High Tech Industries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7.1% Cash, 3 month LIBOR(2.80%) + 4.25%;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8/24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9/29/2017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1,989,954</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1,985,554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1,968,678</w:t>
            </w:r>
          </w:p>
        </w:tc>
        <w:tc>
          <w:tcPr>
            <w:tcW w:w="100" w:type="dxa"/>
            <w:vAlign w:val="bottom"/>
            <w:shd w:val="clear" w:color="auto" w:fill="CFF0FC"/>
          </w:tcPr>
          <w:p>
            <w:pPr>
              <w:spacing w:after="0"/>
              <w:rPr>
                <w:sz w:val="12"/>
                <w:szCs w:val="12"/>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32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4000" w:type="dxa"/>
            <w:vAlign w:val="bottom"/>
            <w:gridSpan w:val="2"/>
          </w:tcPr>
          <w:p>
            <w:pPr>
              <w:ind w:left="1640"/>
              <w:spacing w:after="0" w:line="128"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108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4000" w:type="dxa"/>
            <w:vAlign w:val="bottom"/>
            <w:gridSpan w:val="2"/>
          </w:tcPr>
          <w:p>
            <w:pPr>
              <w:ind w:left="1260"/>
              <w:spacing w:after="0"/>
              <w:rPr>
                <w:sz w:val="20"/>
                <w:szCs w:val="20"/>
                <w:color w:val="auto"/>
              </w:rPr>
            </w:pPr>
            <w:r>
              <w:rPr>
                <w:rFonts w:ascii="Times New Roman" w:cs="Times New Roman" w:eastAsia="Times New Roman" w:hAnsi="Times New Roman"/>
                <w:sz w:val="12"/>
                <w:szCs w:val="12"/>
                <w:b w:val="1"/>
                <w:bCs w:val="1"/>
                <w:color w:val="auto"/>
              </w:rPr>
              <w:t>Interest Rate¹ / Maturity</w:t>
            </w:r>
            <w:r>
              <w:rPr>
                <w:rFonts w:ascii="Times New Roman" w:cs="Times New Roman" w:eastAsia="Times New Roman" w:hAnsi="Times New Roman"/>
                <w:sz w:val="10"/>
                <w:szCs w:val="10"/>
                <w:b w:val="1"/>
                <w:bCs w:val="1"/>
                <w:color w:val="auto"/>
              </w:rPr>
              <w:t>15</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10"/>
                <w:szCs w:val="10"/>
                <w:b w:val="1"/>
                <w:bCs w:val="1"/>
                <w:color w:val="auto"/>
              </w:rPr>
              <w:t>2</w:t>
            </w:r>
          </w:p>
        </w:tc>
      </w:tr>
      <w:tr>
        <w:trPr>
          <w:trHeight w:val="118"/>
        </w:trPr>
        <w:tc>
          <w:tcPr>
            <w:tcW w:w="312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CSM Bakery Solutions Limited (fka</w:t>
            </w:r>
          </w:p>
        </w:tc>
        <w:tc>
          <w:tcPr>
            <w:tcW w:w="120" w:type="dxa"/>
            <w:vAlign w:val="bottom"/>
            <w:tcBorders>
              <w:top w:val="single" w:sz="8" w:color="CFF0FC"/>
            </w:tcBorders>
            <w:shd w:val="clear" w:color="auto" w:fill="CFF0FC"/>
          </w:tcPr>
          <w:p>
            <w:pPr>
              <w:spacing w:after="0"/>
              <w:rPr>
                <w:sz w:val="10"/>
                <w:szCs w:val="10"/>
                <w:color w:val="auto"/>
              </w:rPr>
            </w:pPr>
          </w:p>
        </w:tc>
        <w:tc>
          <w:tcPr>
            <w:tcW w:w="388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Junior Secured Loan — Term Loan (Second</w:t>
            </w:r>
          </w:p>
        </w:tc>
        <w:tc>
          <w:tcPr>
            <w:tcW w:w="120" w:type="dxa"/>
            <w:vAlign w:val="bottom"/>
            <w:tcBorders>
              <w:top w:val="single" w:sz="8" w:color="CFF0FC"/>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CSM Bakery Supplies Limited)</w:t>
            </w:r>
            <w:r>
              <w:rPr>
                <w:rFonts w:ascii="Times New Roman" w:cs="Times New Roman" w:eastAsia="Times New Roman" w:hAnsi="Times New Roman"/>
                <w:sz w:val="10"/>
                <w:szCs w:val="10"/>
                <w:color w:val="auto"/>
              </w:rPr>
              <w:t>(8)</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Lien)10.2% Cash, 3 month LIBOR(2.41%)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Beverage, Food and Tobacco</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7.75%; LIBOR Floor 1.00% , Due 7/21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5/23/2013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3,006,304</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2,841,300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CT Technologies Intermediate</w:t>
            </w:r>
          </w:p>
        </w:tc>
        <w:tc>
          <w:tcPr>
            <w:tcW w:w="3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Holdings, Inc. (Smart Holdings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Senior Secured Loan — New Term Loan Facility</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Corp.) (aka HealthPort)</w:t>
            </w:r>
            <w:r>
              <w:rPr>
                <w:rFonts w:ascii="Times New Roman" w:cs="Times New Roman" w:eastAsia="Times New Roman" w:hAnsi="Times New Roman"/>
                <w:sz w:val="10"/>
                <w:szCs w:val="10"/>
                <w:color w:val="auto"/>
              </w:rPr>
              <w:t>(8)(14)</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6.8% Cash, 1 month LIBOR(2.52%) + 4.25%;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12/21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11/19/2014</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3,964,063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3,958,001</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3,306,683</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Decolin Inc.</w:t>
            </w:r>
            <w:r>
              <w:rPr>
                <w:rFonts w:ascii="Times New Roman" w:cs="Times New Roman" w:eastAsia="Times New Roman" w:hAnsi="Times New Roman"/>
                <w:sz w:val="10"/>
                <w:szCs w:val="10"/>
                <w:color w:val="auto"/>
              </w:rPr>
              <w:t>(3)(13)(14)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Textiles and Leather</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7.0% Cash, 1 month LIBOR(2.51%) + 4.50%;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12/23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2,190,363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2,181,096</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2,092,454</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Dell International L.L.C. (EMC</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Refinancing Term B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Corporation)</w:t>
            </w:r>
            <w:r>
              <w:rPr>
                <w:rFonts w:ascii="Times New Roman" w:cs="Times New Roman" w:eastAsia="Times New Roman" w:hAnsi="Times New Roman"/>
                <w:sz w:val="10"/>
                <w:szCs w:val="10"/>
                <w:color w:val="auto"/>
              </w:rPr>
              <w:t>(8)(13)</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4.5% Cash, 1 month LIBOR(2.53%) + 2.00%;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High Tech Industries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0.75% , Due 9/23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12/28/2018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1,930,000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1,930,000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Digitran Innovations B.V. (Pomeroy</w:t>
            </w:r>
          </w:p>
        </w:tc>
        <w:tc>
          <w:tcPr>
            <w:tcW w:w="3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Solutions Holding Company,</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Senior Secured Loan —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Inc.)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10.3% Cash, 3 month LIBOR(2.81%) + 7.50%;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High Tech Industries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1.50% , Due 7/24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12/10/2018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4,987,469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4,938,132</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4,937,594</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Drew Marine Group Inc.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Transportation: Cargo</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9.5% Cash, 1 month LIBOR(2.52%) + 7.00%;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5/21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11/19/2013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4,000,634</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4,000,400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Evergreen North America Acquisition,</w:t>
            </w:r>
          </w:p>
        </w:tc>
        <w:tc>
          <w:tcPr>
            <w:tcW w:w="3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LLC (f/k/a Industrial Services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Senior Secured Loan —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Acquisition, LLC)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7.8% Cash, 3 month LIBOR(2.81%) + 5.00%;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Environmental Industries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6/22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6/21/2016</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1,103,728</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1,107,755</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1,103,728</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First American Payment Systems,</w:t>
            </w:r>
          </w:p>
        </w:tc>
        <w:tc>
          <w:tcPr>
            <w:tcW w:w="3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L.P.</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Banking, Finance, Insurance &amp;</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13.0% Cash, 3 month LIBOR(2.54%) + 10.50%;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Real Estate</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7/24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1,466,870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1,399,200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Flexera Software LLC (fka Flexera</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Software, Inc.)</w:t>
            </w:r>
            <w:r>
              <w:rPr>
                <w:rFonts w:ascii="Times New Roman" w:cs="Times New Roman" w:eastAsia="Times New Roman" w:hAnsi="Times New Roman"/>
                <w:sz w:val="10"/>
                <w:szCs w:val="10"/>
                <w:color w:val="auto"/>
              </w:rPr>
              <w:t>(8)</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 9.8% Cash, 1 month LIBOR(2.53%)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High Tech Industries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7.25%; LIBOR Floor 1.00% , Due 2/26</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1,099,654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1,111,477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1,090,032</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GI Advo Opco, LLC(5)</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9.5% Cash, Due 11/21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11/19/2015</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180,304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179,431</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117,919</w:t>
            </w:r>
          </w:p>
        </w:tc>
        <w:tc>
          <w:tcPr>
            <w:tcW w:w="100" w:type="dxa"/>
            <w:vAlign w:val="bottom"/>
            <w:shd w:val="clear" w:color="auto" w:fill="CFF0FC"/>
          </w:tcPr>
          <w:p>
            <w:pPr>
              <w:spacing w:after="0"/>
              <w:rPr>
                <w:sz w:val="12"/>
                <w:szCs w:val="12"/>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1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32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4000" w:type="dxa"/>
            <w:vAlign w:val="bottom"/>
            <w:gridSpan w:val="2"/>
          </w:tcPr>
          <w:p>
            <w:pPr>
              <w:ind w:left="1640"/>
              <w:spacing w:after="0" w:line="128"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108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4000" w:type="dxa"/>
            <w:vAlign w:val="bottom"/>
            <w:gridSpan w:val="2"/>
          </w:tcPr>
          <w:p>
            <w:pPr>
              <w:ind w:left="1260"/>
              <w:spacing w:after="0"/>
              <w:rPr>
                <w:sz w:val="20"/>
                <w:szCs w:val="20"/>
                <w:color w:val="auto"/>
              </w:rPr>
            </w:pPr>
            <w:r>
              <w:rPr>
                <w:rFonts w:ascii="Times New Roman" w:cs="Times New Roman" w:eastAsia="Times New Roman" w:hAnsi="Times New Roman"/>
                <w:sz w:val="12"/>
                <w:szCs w:val="12"/>
                <w:b w:val="1"/>
                <w:bCs w:val="1"/>
                <w:color w:val="auto"/>
              </w:rPr>
              <w:t>Interest Rate¹ / Maturity</w:t>
            </w:r>
            <w:r>
              <w:rPr>
                <w:rFonts w:ascii="Times New Roman" w:cs="Times New Roman" w:eastAsia="Times New Roman" w:hAnsi="Times New Roman"/>
                <w:sz w:val="10"/>
                <w:szCs w:val="10"/>
                <w:b w:val="1"/>
                <w:bCs w:val="1"/>
                <w:color w:val="auto"/>
              </w:rPr>
              <w:t>15</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10"/>
                <w:szCs w:val="10"/>
                <w:b w:val="1"/>
                <w:bCs w:val="1"/>
                <w:color w:val="auto"/>
              </w:rPr>
              <w:t>2</w:t>
            </w:r>
          </w:p>
        </w:tc>
      </w:tr>
      <w:tr>
        <w:trPr>
          <w:trHeight w:val="118"/>
        </w:trPr>
        <w:tc>
          <w:tcPr>
            <w:tcW w:w="312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GK Holdings, Inc. (aka Global</w:t>
            </w:r>
          </w:p>
        </w:tc>
        <w:tc>
          <w:tcPr>
            <w:tcW w:w="120" w:type="dxa"/>
            <w:vAlign w:val="bottom"/>
            <w:tcBorders>
              <w:top w:val="single" w:sz="8" w:color="CFF0FC"/>
            </w:tcBorders>
            <w:shd w:val="clear" w:color="auto" w:fill="CFF0FC"/>
          </w:tcPr>
          <w:p>
            <w:pPr>
              <w:spacing w:after="0"/>
              <w:rPr>
                <w:sz w:val="10"/>
                <w:szCs w:val="10"/>
                <w:color w:val="auto"/>
              </w:rPr>
            </w:pPr>
          </w:p>
        </w:tc>
        <w:tc>
          <w:tcPr>
            <w:tcW w:w="388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Junior Secured Loan — Initial Term Loan (Second Lien)</w:t>
            </w:r>
          </w:p>
        </w:tc>
        <w:tc>
          <w:tcPr>
            <w:tcW w:w="120" w:type="dxa"/>
            <w:vAlign w:val="bottom"/>
            <w:tcBorders>
              <w:top w:val="single" w:sz="8" w:color="CFF0FC"/>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Knowledge)</w:t>
            </w:r>
            <w:r>
              <w:rPr>
                <w:rFonts w:ascii="Times New Roman" w:cs="Times New Roman" w:eastAsia="Times New Roman" w:hAnsi="Times New Roman"/>
                <w:sz w:val="10"/>
                <w:szCs w:val="10"/>
                <w:color w:val="auto"/>
              </w:rPr>
              <w:t>(8)(13)</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13.1% Cash, 3 month LIBOR(2.80%) + 10.25%;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Services: Business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1/30/2015</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1,486,831</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1,376,250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Global Tel*Link Corporation</w:t>
            </w:r>
            <w:r>
              <w:rPr>
                <w:rFonts w:ascii="Times New Roman" w:cs="Times New Roman" w:eastAsia="Times New Roman" w:hAnsi="Times New Roman"/>
                <w:sz w:val="10"/>
                <w:szCs w:val="10"/>
                <w:color w:val="auto"/>
              </w:rPr>
              <w:t>(8)(13)</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Loan (Second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Telecommunications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11.0% Cash, 3 month LIBOR(2.71%) + 8.25%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Due 11/26</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5/21/2013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4,915,960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4,912,500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Global Tel*Link Corporation</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Loan (Second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Telecommunications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11.0% Cash, 3 month LIBOR(2.71%) + 8.25%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Due 11/26</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5/21/2013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1,965,349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1,965,000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Global Tel*Link Corporation</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Loan (First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Telecommunications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7.0% Cash, 3 month LIBOR(2.71%) + 4.25%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Due 11/25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1,473,788</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1,470,466</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1,466,419</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Grupo HIMA San Pablo, Inc.</w:t>
            </w:r>
            <w:r>
              <w:rPr>
                <w:rFonts w:ascii="Times New Roman" w:cs="Times New Roman" w:eastAsia="Times New Roman" w:hAnsi="Times New Roman"/>
                <w:sz w:val="10"/>
                <w:szCs w:val="10"/>
                <w:color w:val="auto"/>
              </w:rPr>
              <w:t>(8)(13)</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B Loan (First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Healthcare &amp; Pharmaceuticals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9.5% Cash, 3 month LIBOR(2.52%) + 7.00%;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1.50% , Due 1/18</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1/30/2013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2,813,058</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2,813,058</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2,728,666</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Grupo HIMA San Pablo, Inc.</w:t>
            </w:r>
            <w:r>
              <w:rPr>
                <w:rFonts w:ascii="Times New Roman" w:cs="Times New Roman" w:eastAsia="Times New Roman" w:hAnsi="Times New Roman"/>
                <w:sz w:val="10"/>
                <w:szCs w:val="10"/>
                <w:color w:val="auto"/>
              </w:rPr>
              <w:t>(5)(13)(14)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13.8% Cash, Due 7/18</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1/30/2013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7,191,667</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7,169,109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4,789,650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Harland Clarke Holdings Corp. (fka Clarke</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American Corp.)</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7.6% Cash, 3 month LIBOR(2.80%) + 4.75%;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Media: Advertising, Printing &amp; Publishing</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11/23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6/18/2013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2,817,177</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2,836,587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2,564,688</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Hoffmaster Group, Inc.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Forest Products &amp; Paper</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12.0% Cash, 1 month LIBOR(2.52%) + 9.50%;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11/24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5/6/2014</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1,564,583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1,553,920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Infobase Holdings, Inc.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High Tech Industries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7.1% Cash, 3 month LIBOR(2.63%) + 4.50%;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12/22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12/13/2017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4,017,393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3,981,675</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3,977,219</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Ion Media Networks, Inc.</w:t>
            </w:r>
            <w:r>
              <w:rPr>
                <w:rFonts w:ascii="Times New Roman" w:cs="Times New Roman" w:eastAsia="Times New Roman" w:hAnsi="Times New Roman"/>
                <w:sz w:val="10"/>
                <w:szCs w:val="10"/>
                <w:color w:val="auto"/>
              </w:rPr>
              <w:t>(8)(13)</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B-3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Media: Advertising, Printing &amp; Publishing</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5.3% Cash, 1 month LIBOR(2.53%) + 2.75%;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12/20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12/28/2018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2,917,500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2,917,500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Ivanti Software, Inc. (fka LANDesk</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Loan (Second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Group, Inc.)</w:t>
            </w:r>
            <w:r>
              <w:rPr>
                <w:rFonts w:ascii="Times New Roman" w:cs="Times New Roman" w:eastAsia="Times New Roman" w:hAnsi="Times New Roman"/>
                <w:sz w:val="10"/>
                <w:szCs w:val="10"/>
                <w:color w:val="auto"/>
              </w:rPr>
              <w:t>(8)(13)</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11.4% Cash, 1 month LIBOR(2.35%) + 9.00%;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High Tech Industries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3/10/2017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3,228,619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3,228,619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3,071,062</w:t>
            </w:r>
          </w:p>
        </w:tc>
        <w:tc>
          <w:tcPr>
            <w:tcW w:w="100" w:type="dxa"/>
            <w:vAlign w:val="bottom"/>
            <w:shd w:val="clear" w:color="auto" w:fill="CFF0FC"/>
          </w:tcPr>
          <w:p>
            <w:pPr>
              <w:spacing w:after="0"/>
              <w:rPr>
                <w:sz w:val="12"/>
                <w:szCs w:val="12"/>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1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32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4000" w:type="dxa"/>
            <w:vAlign w:val="bottom"/>
            <w:gridSpan w:val="2"/>
          </w:tcPr>
          <w:p>
            <w:pPr>
              <w:ind w:left="1640"/>
              <w:spacing w:after="0" w:line="128"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108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4000" w:type="dxa"/>
            <w:vAlign w:val="bottom"/>
            <w:gridSpan w:val="2"/>
          </w:tcPr>
          <w:p>
            <w:pPr>
              <w:ind w:left="1260"/>
              <w:spacing w:after="0"/>
              <w:rPr>
                <w:sz w:val="20"/>
                <w:szCs w:val="20"/>
                <w:color w:val="auto"/>
              </w:rPr>
            </w:pPr>
            <w:r>
              <w:rPr>
                <w:rFonts w:ascii="Times New Roman" w:cs="Times New Roman" w:eastAsia="Times New Roman" w:hAnsi="Times New Roman"/>
                <w:sz w:val="12"/>
                <w:szCs w:val="12"/>
                <w:b w:val="1"/>
                <w:bCs w:val="1"/>
                <w:color w:val="auto"/>
              </w:rPr>
              <w:t>Interest Rate¹ / Maturity</w:t>
            </w:r>
            <w:r>
              <w:rPr>
                <w:rFonts w:ascii="Times New Roman" w:cs="Times New Roman" w:eastAsia="Times New Roman" w:hAnsi="Times New Roman"/>
                <w:sz w:val="10"/>
                <w:szCs w:val="10"/>
                <w:b w:val="1"/>
                <w:bCs w:val="1"/>
                <w:color w:val="auto"/>
              </w:rPr>
              <w:t>15</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10"/>
                <w:szCs w:val="10"/>
                <w:b w:val="1"/>
                <w:bCs w:val="1"/>
                <w:color w:val="auto"/>
              </w:rPr>
              <w:t>2</w:t>
            </w:r>
          </w:p>
        </w:tc>
      </w:tr>
      <w:tr>
        <w:trPr>
          <w:trHeight w:val="118"/>
        </w:trPr>
        <w:tc>
          <w:tcPr>
            <w:tcW w:w="312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Jane Street Group, LLC</w:t>
            </w:r>
            <w:r>
              <w:rPr>
                <w:rFonts w:ascii="Times New Roman" w:cs="Times New Roman" w:eastAsia="Times New Roman" w:hAnsi="Times New Roman"/>
                <w:sz w:val="10"/>
                <w:szCs w:val="10"/>
                <w:color w:val="auto"/>
              </w:rPr>
              <w:t>(8)(13)</w:t>
            </w:r>
          </w:p>
        </w:tc>
        <w:tc>
          <w:tcPr>
            <w:tcW w:w="120" w:type="dxa"/>
            <w:vAlign w:val="bottom"/>
            <w:tcBorders>
              <w:top w:val="single" w:sz="8" w:color="CFF0FC"/>
            </w:tcBorders>
            <w:shd w:val="clear" w:color="auto" w:fill="CFF0FC"/>
          </w:tcPr>
          <w:p>
            <w:pPr>
              <w:spacing w:after="0"/>
              <w:rPr>
                <w:sz w:val="10"/>
                <w:szCs w:val="10"/>
                <w:color w:val="auto"/>
              </w:rPr>
            </w:pPr>
          </w:p>
        </w:tc>
        <w:tc>
          <w:tcPr>
            <w:tcW w:w="388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Senior Secured Loan — Dollar Term Loan (2018)</w:t>
            </w:r>
          </w:p>
        </w:tc>
        <w:tc>
          <w:tcPr>
            <w:tcW w:w="120" w:type="dxa"/>
            <w:vAlign w:val="bottom"/>
            <w:tcBorders>
              <w:top w:val="single" w:sz="8" w:color="CFF0FC"/>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Banking, Finance, Insurance &amp;</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5.5% Cash, 1 month LIBOR(2.50%) + 3.00%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Real Estate</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Due 8/22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12/28/2018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2,992,500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2,932,650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2,932,650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Kellermeyer Bergensons Services, LLC</w:t>
            </w:r>
            <w:r>
              <w:rPr>
                <w:rFonts w:ascii="Times New Roman" w:cs="Times New Roman" w:eastAsia="Times New Roman" w:hAnsi="Times New Roman"/>
                <w:sz w:val="10"/>
                <w:szCs w:val="10"/>
                <w:color w:val="auto"/>
              </w:rPr>
              <w:t>(8)</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2018 Replacement Term</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Services: Business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Loan (First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8"/>
        </w:trPr>
        <w:tc>
          <w:tcPr>
            <w:tcW w:w="3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7.5% Cash, 3 month LIBOR(2.71%) + 4.75%;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10/21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10/31/2014</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2,093,452</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2,090,784</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2,096,069</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MB Aerospace Holdings II Corp.</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 (First</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Aerospace and Defense</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 6.0% Cash, 1 month LIBOR(2.52%) + 3.50%;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5/10/2013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1,237,500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1,232,118</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1,149,390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Navex Topco, Inc.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Electronics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 9.5% Cash, 1 month LIBOR(2.53%) + 7.00%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Due 9/26</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3,007,500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3,007,500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Playpower, Inc.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 (First</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Construction &amp; Building</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 7.6% Cash, 3 month LIBOR(2.80%) + 4.75%;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6/21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6/23/2015</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1,393,745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1,400,223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1,394,163</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PSC Industrial Holdings Corp.</w:t>
            </w:r>
            <w:r>
              <w:rPr>
                <w:rFonts w:ascii="Times New Roman" w:cs="Times New Roman" w:eastAsia="Times New Roman" w:hAnsi="Times New Roman"/>
                <w:sz w:val="10"/>
                <w:szCs w:val="10"/>
                <w:color w:val="auto"/>
              </w:rPr>
              <w:t>(8)(13)</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Environmental Industries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 10.96% Cash, 1 month LIBOR(2.46%) + 8.50%;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2,949,039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2,940,300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PVHC Holding Corp</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Chemicals, Plastics and Rubber</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7.57% Cash, 3 month LIBOR(2.82%) + 4.75%;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8/24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8/10/2018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2,872,800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2,859,340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2,859,872</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Q Holding Company (fka Lexington</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B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Precision Corporation)</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7.5% Cash, 1 month LIBOR(2.52%) + 5.00%;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Chemicals, Plastics and Rubber</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12/21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12/16/2016</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1,979,381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2,002,724</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1,941,773</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Ravn Air Group, Inc.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Aerospace and Defense</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7.8% Cash, 3 month LIBOR(2.81%) + 5.00%;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7/21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7/29/2015</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1,894,549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1,894,549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1,894,549</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Robertshaw US Holding Corp. (fka Fox</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 xml:space="preserve">US Bidco Corp.) </w:t>
            </w:r>
            <w:r>
              <w:rPr>
                <w:rFonts w:ascii="Times New Roman" w:cs="Times New Roman" w:eastAsia="Times New Roman" w:hAnsi="Times New Roman"/>
                <w:sz w:val="10"/>
                <w:szCs w:val="10"/>
                <w:color w:val="auto"/>
              </w:rPr>
              <w:t>(8)(13</w:t>
            </w:r>
            <w:r>
              <w:rPr>
                <w:rFonts w:ascii="Times New Roman" w:cs="Times New Roman" w:eastAsia="Times New Roman" w:hAnsi="Times New Roman"/>
                <w:sz w:val="12"/>
                <w:szCs w:val="12"/>
                <w:color w:val="auto"/>
              </w:rPr>
              <w:t>)</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 10.6% Cash, 1 month LIBOR(2.56%) + 8.00%;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Capital Equipment</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2/26</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2/15/2018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2,973,097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2,775,000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Roscoe Medical, Inc.</w:t>
            </w:r>
            <w:r>
              <w:rPr>
                <w:rFonts w:ascii="Times New Roman" w:cs="Times New Roman" w:eastAsia="Times New Roman" w:hAnsi="Times New Roman"/>
                <w:sz w:val="10"/>
                <w:szCs w:val="10"/>
                <w:color w:val="auto"/>
              </w:rPr>
              <w:t>(8)(13)</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11.3% Cash, Due 9/19</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3/26/2014</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1,697,733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1,525,750</w:t>
            </w:r>
          </w:p>
        </w:tc>
        <w:tc>
          <w:tcPr>
            <w:tcW w:w="100" w:type="dxa"/>
            <w:vAlign w:val="bottom"/>
            <w:shd w:val="clear" w:color="auto" w:fill="CFF0FC"/>
          </w:tcPr>
          <w:p>
            <w:pPr>
              <w:spacing w:after="0"/>
              <w:rPr>
                <w:sz w:val="12"/>
                <w:szCs w:val="12"/>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12"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32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4000" w:type="dxa"/>
            <w:vAlign w:val="bottom"/>
            <w:gridSpan w:val="2"/>
          </w:tcPr>
          <w:p>
            <w:pPr>
              <w:ind w:left="1640"/>
              <w:spacing w:after="0" w:line="128"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108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4000" w:type="dxa"/>
            <w:vAlign w:val="bottom"/>
            <w:gridSpan w:val="2"/>
          </w:tcPr>
          <w:p>
            <w:pPr>
              <w:ind w:left="1260"/>
              <w:spacing w:after="0"/>
              <w:rPr>
                <w:sz w:val="20"/>
                <w:szCs w:val="20"/>
                <w:color w:val="auto"/>
              </w:rPr>
            </w:pPr>
            <w:r>
              <w:rPr>
                <w:rFonts w:ascii="Times New Roman" w:cs="Times New Roman" w:eastAsia="Times New Roman" w:hAnsi="Times New Roman"/>
                <w:sz w:val="12"/>
                <w:szCs w:val="12"/>
                <w:b w:val="1"/>
                <w:bCs w:val="1"/>
                <w:color w:val="auto"/>
              </w:rPr>
              <w:t>Interest Rate¹ / Maturity</w:t>
            </w:r>
            <w:r>
              <w:rPr>
                <w:rFonts w:ascii="Times New Roman" w:cs="Times New Roman" w:eastAsia="Times New Roman" w:hAnsi="Times New Roman"/>
                <w:sz w:val="10"/>
                <w:szCs w:val="10"/>
                <w:b w:val="1"/>
                <w:bCs w:val="1"/>
                <w:color w:val="auto"/>
              </w:rPr>
              <w:t>15</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10"/>
                <w:szCs w:val="10"/>
                <w:b w:val="1"/>
                <w:bCs w:val="1"/>
                <w:color w:val="auto"/>
              </w:rPr>
              <w:t>2</w:t>
            </w:r>
          </w:p>
        </w:tc>
      </w:tr>
      <w:tr>
        <w:trPr>
          <w:trHeight w:val="118"/>
        </w:trPr>
        <w:tc>
          <w:tcPr>
            <w:tcW w:w="312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Roscoe Medical, Inc.</w:t>
            </w:r>
            <w:r>
              <w:rPr>
                <w:rFonts w:ascii="Times New Roman" w:cs="Times New Roman" w:eastAsia="Times New Roman" w:hAnsi="Times New Roman"/>
                <w:sz w:val="10"/>
                <w:szCs w:val="10"/>
                <w:color w:val="auto"/>
              </w:rPr>
              <w:t>(8)(13)(14)</w:t>
            </w:r>
          </w:p>
        </w:tc>
        <w:tc>
          <w:tcPr>
            <w:tcW w:w="120" w:type="dxa"/>
            <w:vAlign w:val="bottom"/>
            <w:tcBorders>
              <w:top w:val="single" w:sz="8" w:color="CFF0FC"/>
            </w:tcBorders>
            <w:shd w:val="clear" w:color="auto" w:fill="CFF0FC"/>
          </w:tcPr>
          <w:p>
            <w:pPr>
              <w:spacing w:after="0"/>
              <w:rPr>
                <w:sz w:val="10"/>
                <w:szCs w:val="10"/>
                <w:color w:val="auto"/>
              </w:rPr>
            </w:pPr>
          </w:p>
        </w:tc>
        <w:tc>
          <w:tcPr>
            <w:tcW w:w="388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120" w:type="dxa"/>
            <w:vAlign w:val="bottom"/>
            <w:tcBorders>
              <w:top w:val="single" w:sz="8" w:color="CFF0FC"/>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11.3% Cash, Due 9/19</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3/26/2014</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4,993,345</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4,487,500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Salient CRGT Inc.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HighTech Industries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8.3% Cash, 1 month LIBOR(2.52%) + 5.75%;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2/22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2/27/2017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1,841,753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1,859,440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1,758,874</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SCSG EA Acquisition Company, Inc.</w:t>
            </w:r>
            <w:r>
              <w:rPr>
                <w:rFonts w:ascii="Times New Roman" w:cs="Times New Roman" w:eastAsia="Times New Roman" w:hAnsi="Times New Roman"/>
                <w:sz w:val="10"/>
                <w:szCs w:val="10"/>
                <w:color w:val="auto"/>
              </w:rPr>
              <w:t>(8)</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Healthcare &amp; Pharmaceuticals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 10.6% Cash, 3 month LIBOR(2.40%) + 8.25%;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9/24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8/18/2017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991,195</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990,400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SCSG EA Acquisition Company, Inc.</w:t>
            </w:r>
            <w:r>
              <w:rPr>
                <w:rFonts w:ascii="Times New Roman" w:cs="Times New Roman" w:eastAsia="Times New Roman" w:hAnsi="Times New Roman"/>
                <w:sz w:val="10"/>
                <w:szCs w:val="10"/>
                <w:color w:val="auto"/>
              </w:rPr>
              <w:t>(8)(14)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Healthcare &amp; Pharmaceuticals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 10.6% Cash, 3 month LIBOR(2.40%) + 8.25%;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9/24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8/18/2017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4,959,445</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4,952,000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Sierra Enterprises, LLC (aka Lyons</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Tranche B-1 Term Loan (First</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Magnus)</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 6.0% Cash, 1 month LIBOR(2.52%) + 3.50%;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Beverage, Food and Tobacco</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11/24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11/3/2017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2,970,056</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2,957,029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2,955,206</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Stafford Logistics, Inc.(dba Custom</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Restructured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Ecology, Inc.)</w:t>
            </w:r>
            <w:r>
              <w:rPr>
                <w:rFonts w:ascii="Times New Roman" w:cs="Times New Roman" w:eastAsia="Times New Roman" w:hAnsi="Times New Roman"/>
                <w:sz w:val="10"/>
                <w:szCs w:val="10"/>
                <w:color w:val="auto"/>
              </w:rPr>
              <w:t>(5)(8)(13)</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1.0% Cash, 8.3% PIK, 3 month LIBOR (2.80%)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Environmental Industries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5.50% , Due 10/22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6/25/2013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2,035,770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1,941,220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560,855</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Stafford Logistics, Inc.(dba Custom</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Ecology, Inc.)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14.8% Cash, 3 month LIBOR(2.82%) + 12.00%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Environmental Industries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Due 10/22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6/25/2013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339,788</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339,788</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339,788</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Tank Partners Holdings, LLC</w:t>
            </w:r>
            <w:r>
              <w:rPr>
                <w:rFonts w:ascii="Times New Roman" w:cs="Times New Roman" w:eastAsia="Times New Roman" w:hAnsi="Times New Roman"/>
                <w:sz w:val="10"/>
                <w:szCs w:val="10"/>
                <w:color w:val="auto"/>
              </w:rPr>
              <w:t>(5)(8)(13)</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Energy: Oil &amp; Gas</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3.0% Cash, 12.5% PIK, 1 month PRIME</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(5.00%)+7.5%; PRIME Floor 3.00% , Due 8/19</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8/28/2014</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15,295,083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14,149,836</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7,398,223</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Tex-Tech Industries, Inc.</w:t>
            </w:r>
            <w:r>
              <w:rPr>
                <w:rFonts w:ascii="Times New Roman" w:cs="Times New Roman" w:eastAsia="Times New Roman" w:hAnsi="Times New Roman"/>
                <w:sz w:val="10"/>
                <w:szCs w:val="10"/>
                <w:color w:val="auto"/>
              </w:rPr>
              <w:t>(8)(13)</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Textiles and Leather</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11.5% Cash, 1 month LIBOR (2.52%) + 9.00%;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8/24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8/24/2017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8,008,000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7,959,567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7,847,840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Time Manufacturing Acquisition,</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LLC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7.6% Cash, 6 month LIBOR(2.63%) + 5.00%;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Capital Equipment</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2/23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3,446,143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3,447,715</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3,430,291</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TronAir Parent Inc.</w:t>
            </w:r>
            <w:r>
              <w:rPr>
                <w:rFonts w:ascii="Times New Roman" w:cs="Times New Roman" w:eastAsia="Times New Roman" w:hAnsi="Times New Roman"/>
                <w:sz w:val="10"/>
                <w:szCs w:val="10"/>
                <w:color w:val="auto"/>
              </w:rPr>
              <w:t>(8)(13)(14)</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Initial Term Loan (First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Aerospace and Defense</w:t>
            </w:r>
          </w:p>
        </w:tc>
        <w:tc>
          <w:tcPr>
            <w:tcW w:w="400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7.6% Cash, 6 month LIBOR(2.82%) + 4.75%;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9/23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9/30/2016</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987,374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985,337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954,001</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TRSO I, Inc.</w:t>
            </w:r>
            <w:r>
              <w:rPr>
                <w:rFonts w:ascii="Times New Roman" w:cs="Times New Roman" w:eastAsia="Times New Roman" w:hAnsi="Times New Roman"/>
                <w:sz w:val="10"/>
                <w:szCs w:val="10"/>
                <w:color w:val="auto"/>
              </w:rPr>
              <w:t>(8)(13)</w:t>
            </w:r>
          </w:p>
        </w:tc>
        <w:tc>
          <w:tcPr>
            <w:tcW w:w="40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Term Loan (Second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Energy: Oil &amp; Gas</w:t>
            </w: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14.0% Cash, Due 12/19</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12/24/2012</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997,207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100" w:type="dxa"/>
            <w:vAlign w:val="bottom"/>
            <w:shd w:val="clear" w:color="auto" w:fill="CFF0FC"/>
          </w:tcPr>
          <w:p>
            <w:pPr>
              <w:spacing w:after="0"/>
              <w:rPr>
                <w:sz w:val="12"/>
                <w:szCs w:val="12"/>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32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gridSpan w:val="2"/>
          </w:tcPr>
          <w:p>
            <w:pPr>
              <w:ind w:left="760"/>
              <w:spacing w:after="0" w:line="128"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jc w:val="center"/>
              <w:ind w:right="40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jc w:val="center"/>
              <w:ind w:left="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Interest Rate¹ / Maturity</w:t>
            </w:r>
            <w:r>
              <w:rPr>
                <w:rFonts w:ascii="Times New Roman" w:cs="Times New Roman" w:eastAsia="Times New Roman" w:hAnsi="Times New Roman"/>
                <w:sz w:val="10"/>
                <w:szCs w:val="10"/>
                <w:b w:val="1"/>
                <w:bCs w:val="1"/>
                <w:color w:val="auto"/>
              </w:rPr>
              <w:t>15</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60" w:type="dxa"/>
            <w:vAlign w:val="bottom"/>
            <w:gridSpan w:val="4"/>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w w:val="97"/>
              </w:rPr>
              <w:t>Principal</w:t>
            </w:r>
          </w:p>
        </w:tc>
        <w:tc>
          <w:tcPr>
            <w:tcW w:w="240" w:type="dxa"/>
            <w:vAlign w:val="bottom"/>
          </w:tcPr>
          <w:p>
            <w:pPr>
              <w:spacing w:after="0"/>
              <w:rPr>
                <w:sz w:val="12"/>
                <w:szCs w:val="12"/>
                <w:color w:val="auto"/>
              </w:rPr>
            </w:pPr>
          </w:p>
        </w:tc>
        <w:tc>
          <w:tcPr>
            <w:tcW w:w="74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10"/>
                <w:szCs w:val="10"/>
                <w:b w:val="1"/>
                <w:bCs w:val="1"/>
                <w:color w:val="auto"/>
              </w:rPr>
              <w:t>2</w:t>
            </w:r>
          </w:p>
        </w:tc>
      </w:tr>
      <w:tr>
        <w:trPr>
          <w:trHeight w:val="118"/>
        </w:trPr>
        <w:tc>
          <w:tcPr>
            <w:tcW w:w="312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Verdesian Life Sciences, LLC</w:t>
            </w:r>
            <w:r>
              <w:rPr>
                <w:rFonts w:ascii="Times New Roman" w:cs="Times New Roman" w:eastAsia="Times New Roman" w:hAnsi="Times New Roman"/>
                <w:sz w:val="10"/>
                <w:szCs w:val="10"/>
                <w:color w:val="auto"/>
              </w:rPr>
              <w:t>(8)(13)(14)</w:t>
            </w:r>
          </w:p>
        </w:tc>
        <w:tc>
          <w:tcPr>
            <w:tcW w:w="120" w:type="dxa"/>
            <w:vAlign w:val="bottom"/>
            <w:tcBorders>
              <w:top w:val="single" w:sz="8" w:color="CFF0FC"/>
            </w:tcBorders>
            <w:shd w:val="clear" w:color="auto" w:fill="CFF0FC"/>
          </w:tcPr>
          <w:p>
            <w:pPr>
              <w:spacing w:after="0"/>
              <w:rPr>
                <w:sz w:val="10"/>
                <w:szCs w:val="10"/>
                <w:color w:val="auto"/>
              </w:rPr>
            </w:pPr>
          </w:p>
        </w:tc>
        <w:tc>
          <w:tcPr>
            <w:tcW w:w="2860" w:type="dxa"/>
            <w:vAlign w:val="bottom"/>
            <w:tcBorders>
              <w:top w:val="single" w:sz="8" w:color="auto"/>
            </w:tcBorders>
            <w:gridSpan w:val="4"/>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Senior Secured Loan — Initial Term Loan</w:t>
            </w:r>
          </w:p>
        </w:tc>
        <w:tc>
          <w:tcPr>
            <w:tcW w:w="10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right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Environmental Industries</w:t>
            </w:r>
          </w:p>
        </w:tc>
        <w:tc>
          <w:tcPr>
            <w:tcW w:w="2860" w:type="dxa"/>
            <w:vAlign w:val="bottom"/>
            <w:gridSpan w:val="4"/>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7.5% Cash, 1 month LIBOR(2.53%) + 5.00%;</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7/20</w:t>
            </w: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6/25/2014</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1"/>
              </w:rPr>
              <w:t>2,075,305</w:t>
            </w:r>
          </w:p>
        </w:tc>
        <w:tc>
          <w:tcPr>
            <w:tcW w:w="10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2,033,378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1,993,123</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Weiman Products, LLC</w:t>
            </w:r>
            <w:r>
              <w:rPr>
                <w:rFonts w:ascii="Times New Roman" w:cs="Times New Roman" w:eastAsia="Times New Roman" w:hAnsi="Times New Roman"/>
                <w:sz w:val="10"/>
                <w:szCs w:val="10"/>
                <w:color w:val="auto"/>
              </w:rPr>
              <w:t>(8)(13)(14)</w:t>
            </w:r>
          </w:p>
        </w:tc>
        <w:tc>
          <w:tcPr>
            <w:tcW w:w="2860" w:type="dxa"/>
            <w:vAlign w:val="bottom"/>
            <w:gridSpan w:val="4"/>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Senior Secured Loan — Term Loan</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Consumer goods: Non-durable</w:t>
            </w:r>
          </w:p>
        </w:tc>
        <w:tc>
          <w:tcPr>
            <w:tcW w:w="2860" w:type="dxa"/>
            <w:vAlign w:val="bottom"/>
            <w:gridSpan w:val="4"/>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7.3% Cash, 3 month LIBOR(2.80%) + 4.50%;</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11/21</w:t>
            </w: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11/22/2013</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1"/>
              </w:rPr>
              <w:t>1,440,525</w:t>
            </w:r>
          </w:p>
        </w:tc>
        <w:tc>
          <w:tcPr>
            <w:tcW w:w="10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1,434,568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1,440,525</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WireCo WorldGroup Inc. </w:t>
            </w:r>
            <w:r>
              <w:rPr>
                <w:rFonts w:ascii="Times New Roman" w:cs="Times New Roman" w:eastAsia="Times New Roman" w:hAnsi="Times New Roman"/>
                <w:sz w:val="10"/>
                <w:szCs w:val="10"/>
                <w:color w:val="auto"/>
              </w:rPr>
              <w:t>(8)(13)</w:t>
            </w:r>
          </w:p>
        </w:tc>
        <w:tc>
          <w:tcPr>
            <w:tcW w:w="2860" w:type="dxa"/>
            <w:vAlign w:val="bottom"/>
            <w:gridSpan w:val="4"/>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Capital Equipment</w:t>
            </w:r>
          </w:p>
        </w:tc>
        <w:tc>
          <w:tcPr>
            <w:tcW w:w="2860" w:type="dxa"/>
            <w:vAlign w:val="bottom"/>
            <w:gridSpan w:val="4"/>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 11.5% Cash, 1 month LIBOR(2.52%) + 9.00%;</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9/24</w:t>
            </w: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8/9/2016</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1"/>
              </w:rPr>
              <w:t>3,000,000</w:t>
            </w:r>
          </w:p>
        </w:tc>
        <w:tc>
          <w:tcPr>
            <w:tcW w:w="10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2,967,619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2,957,100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Zest Acquisition Corp.</w:t>
            </w:r>
            <w:r>
              <w:rPr>
                <w:rFonts w:ascii="Times New Roman" w:cs="Times New Roman" w:eastAsia="Times New Roman" w:hAnsi="Times New Roman"/>
                <w:sz w:val="10"/>
                <w:szCs w:val="10"/>
                <w:color w:val="auto"/>
              </w:rPr>
              <w:t>(8)(13)</w:t>
            </w:r>
          </w:p>
        </w:tc>
        <w:tc>
          <w:tcPr>
            <w:tcW w:w="2860" w:type="dxa"/>
            <w:vAlign w:val="bottom"/>
            <w:gridSpan w:val="4"/>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Junior Secured Loan — Initial Term Loan (Second</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Healthcare &amp; Pharmaceuticals</w:t>
            </w:r>
          </w:p>
        </w:tc>
        <w:tc>
          <w:tcPr>
            <w:tcW w:w="2860" w:type="dxa"/>
            <w:vAlign w:val="bottom"/>
            <w:gridSpan w:val="4"/>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Lien) 10.0% Cash, 1 month LIBOR(2.45%) + 7.50%;</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Floor 1.00% , Due 3/26</w:t>
            </w: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3/8/2018</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1"/>
              </w:rPr>
              <w:t>3,500,000</w:t>
            </w:r>
          </w:p>
        </w:tc>
        <w:tc>
          <w:tcPr>
            <w:tcW w:w="10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3,479,741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3,430,000</w:t>
            </w:r>
          </w:p>
        </w:tc>
        <w:tc>
          <w:tcPr>
            <w:tcW w:w="100" w:type="dxa"/>
            <w:vAlign w:val="bottom"/>
            <w:shd w:val="clear" w:color="auto" w:fill="CFF0FC"/>
          </w:tcPr>
          <w:p>
            <w:pPr>
              <w:spacing w:after="0"/>
              <w:rPr>
                <w:sz w:val="12"/>
                <w:szCs w:val="12"/>
                <w:color w:val="auto"/>
              </w:rPr>
            </w:pPr>
          </w:p>
        </w:tc>
      </w:tr>
      <w:tr>
        <w:trPr>
          <w:trHeight w:val="141"/>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(94% of net asset value at fair value)</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164,541,812</w:t>
            </w:r>
          </w:p>
        </w:tc>
        <w:tc>
          <w:tcPr>
            <w:tcW w:w="10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   162,264,482</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147,861,744</w:t>
            </w:r>
          </w:p>
        </w:tc>
        <w:tc>
          <w:tcPr>
            <w:tcW w:w="100" w:type="dxa"/>
            <w:vAlign w:val="bottom"/>
            <w:shd w:val="clear" w:color="auto" w:fill="CFF0FC"/>
          </w:tcPr>
          <w:p>
            <w:pPr>
              <w:spacing w:after="0"/>
              <w:rPr>
                <w:sz w:val="12"/>
                <w:szCs w:val="12"/>
                <w:color w:val="auto"/>
              </w:rPr>
            </w:pPr>
          </w:p>
        </w:tc>
      </w:tr>
      <w:tr>
        <w:trPr>
          <w:trHeight w:val="403"/>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Equity Securities Portfolio</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32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ind w:left="560"/>
              <w:spacing w:after="0"/>
              <w:rPr>
                <w:sz w:val="20"/>
                <w:szCs w:val="20"/>
                <w:color w:val="auto"/>
              </w:rPr>
            </w:pPr>
            <w:r>
              <w:rPr>
                <w:rFonts w:ascii="Times New Roman" w:cs="Times New Roman" w:eastAsia="Times New Roman" w:hAnsi="Times New Roman"/>
                <w:sz w:val="12"/>
                <w:szCs w:val="12"/>
                <w:b w:val="1"/>
                <w:bCs w:val="1"/>
                <w:color w:val="auto"/>
              </w:rPr>
              <w:t>Investment</w:t>
            </w:r>
            <w:r>
              <w:rPr>
                <w:rFonts w:ascii="Times New Roman" w:cs="Times New Roman" w:eastAsia="Times New Roman" w:hAnsi="Times New Roman"/>
                <w:sz w:val="10"/>
                <w:szCs w:val="10"/>
                <w:b w:val="1"/>
                <w:bCs w:val="1"/>
                <w:color w:val="auto"/>
              </w:rPr>
              <w:t>15</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Ownership/Shares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10"/>
                <w:szCs w:val="10"/>
                <w:b w:val="1"/>
                <w:bCs w:val="1"/>
                <w:color w:val="auto"/>
              </w:rPr>
              <w:t>2</w:t>
            </w:r>
          </w:p>
        </w:tc>
      </w:tr>
      <w:tr>
        <w:trPr>
          <w:trHeight w:val="118"/>
        </w:trPr>
        <w:tc>
          <w:tcPr>
            <w:tcW w:w="3240" w:type="dxa"/>
            <w:vAlign w:val="bottom"/>
            <w:tcBorders>
              <w:top w:val="single" w:sz="8" w:color="auto"/>
            </w:tcBorders>
            <w:gridSpan w:val="2"/>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Advanced Lighting Technologies, Inc,</w:t>
            </w:r>
            <w:r>
              <w:rPr>
                <w:rFonts w:ascii="Times New Roman" w:cs="Times New Roman" w:eastAsia="Times New Roman" w:hAnsi="Times New Roman"/>
                <w:sz w:val="10"/>
                <w:szCs w:val="10"/>
                <w:color w:val="auto"/>
              </w:rPr>
              <w:t>(8)(13)</w:t>
            </w:r>
          </w:p>
        </w:tc>
        <w:tc>
          <w:tcPr>
            <w:tcW w:w="7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8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right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Consumer goods: Durable</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Warrants</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w w:val="98"/>
              </w:rPr>
              <w:t>6/13/2012</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480" w:type="dxa"/>
            <w:vAlign w:val="bottom"/>
            <w:gridSpan w:val="2"/>
            <w:shd w:val="clear" w:color="auto" w:fill="CFF0FC"/>
          </w:tcPr>
          <w:p>
            <w:pPr>
              <w:jc w:val="right"/>
              <w:ind w:right="206"/>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Advanced Lighting Technologies, Inc.</w:t>
            </w:r>
            <w:r>
              <w:rPr>
                <w:rFonts w:ascii="Times New Roman" w:cs="Times New Roman" w:eastAsia="Times New Roman" w:hAnsi="Times New Roman"/>
                <w:sz w:val="10"/>
                <w:szCs w:val="10"/>
                <w:color w:val="auto"/>
              </w:rPr>
              <w:t>(8)(13)</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Consumer goods: Durable</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Membership Interests</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w w:val="98"/>
              </w:rPr>
              <w:t>6/13/2012</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181,999</w:t>
            </w:r>
          </w:p>
        </w:tc>
        <w:tc>
          <w:tcPr>
            <w:tcW w:w="2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Aerostructures Holdings L.P.</w:t>
            </w:r>
            <w:r>
              <w:rPr>
                <w:rFonts w:ascii="Times New Roman" w:cs="Times New Roman" w:eastAsia="Times New Roman" w:hAnsi="Times New Roman"/>
                <w:sz w:val="10"/>
                <w:szCs w:val="10"/>
                <w:color w:val="auto"/>
              </w:rPr>
              <w:t>(8)(13)</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Aerospace and Defense</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Partnership Interests</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w w:val="98"/>
              </w:rPr>
              <w:t>2/28/2007</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157,717</w:t>
            </w:r>
          </w:p>
        </w:tc>
        <w:tc>
          <w:tcPr>
            <w:tcW w:w="2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100" w:type="dxa"/>
            <w:vAlign w:val="bottom"/>
            <w:shd w:val="clear" w:color="auto" w:fill="CFF0FC"/>
          </w:tcPr>
          <w:p>
            <w:pPr>
              <w:spacing w:after="0"/>
              <w:rPr>
                <w:sz w:val="12"/>
                <w:szCs w:val="12"/>
                <w:color w:val="auto"/>
              </w:rPr>
            </w:pPr>
          </w:p>
        </w:tc>
      </w:tr>
      <w:tr>
        <w:trPr>
          <w:trHeight w:val="141"/>
        </w:trPr>
        <w:tc>
          <w:tcPr>
            <w:tcW w:w="32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Caribe Media Inc. (fka Caribe Information Investments</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Incorporated)</w:t>
            </w:r>
            <w:r>
              <w:rPr>
                <w:rFonts w:ascii="Times New Roman" w:cs="Times New Roman" w:eastAsia="Times New Roman" w:hAnsi="Times New Roman"/>
                <w:sz w:val="10"/>
                <w:szCs w:val="10"/>
                <w:color w:val="auto"/>
              </w:rPr>
              <w:t>(8)(13)</w:t>
            </w: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Media: Advertising, Printing &amp; Publishing</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Common</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rPr>
              <w:t>12/18/2006</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359,765</w:t>
            </w:r>
          </w:p>
        </w:tc>
        <w:tc>
          <w:tcPr>
            <w:tcW w:w="2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108,675</w:t>
            </w:r>
          </w:p>
        </w:tc>
        <w:tc>
          <w:tcPr>
            <w:tcW w:w="100" w:type="dxa"/>
            <w:vAlign w:val="bottom"/>
            <w:shd w:val="clear" w:color="auto" w:fill="CFF0FC"/>
          </w:tcPr>
          <w:p>
            <w:pPr>
              <w:spacing w:after="0"/>
              <w:rPr>
                <w:sz w:val="12"/>
                <w:szCs w:val="12"/>
                <w:color w:val="auto"/>
              </w:rPr>
            </w:pPr>
          </w:p>
        </w:tc>
      </w:tr>
      <w:tr>
        <w:trPr>
          <w:trHeight w:val="141"/>
        </w:trPr>
        <w:tc>
          <w:tcPr>
            <w:tcW w:w="32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eInstruction Acquisition, LLC</w:t>
            </w:r>
            <w:r>
              <w:rPr>
                <w:rFonts w:ascii="Times New Roman" w:cs="Times New Roman" w:eastAsia="Times New Roman" w:hAnsi="Times New Roman"/>
                <w:sz w:val="10"/>
                <w:szCs w:val="10"/>
                <w:color w:val="auto"/>
              </w:rPr>
              <w:t>(3)(13)</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Services: Business</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Membership Units</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rPr>
              <w:t>7/2/2007</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1,079,617</w:t>
            </w:r>
          </w:p>
        </w:tc>
        <w:tc>
          <w:tcPr>
            <w:tcW w:w="2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FP WRCA Coinvestment Fund VII, Ltd.</w:t>
            </w:r>
            <w:r>
              <w:rPr>
                <w:rFonts w:ascii="Times New Roman" w:cs="Times New Roman" w:eastAsia="Times New Roman" w:hAnsi="Times New Roman"/>
                <w:sz w:val="10"/>
                <w:szCs w:val="10"/>
                <w:color w:val="auto"/>
              </w:rPr>
              <w:t>(13)</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Capital Equipment</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Class A Shares</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rPr>
              <w:t>2/2/2007</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0.41%</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w:t>
            </w:r>
          </w:p>
        </w:tc>
        <w:tc>
          <w:tcPr>
            <w:tcW w:w="2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669,000</w:t>
            </w:r>
          </w:p>
        </w:tc>
        <w:tc>
          <w:tcPr>
            <w:tcW w:w="100" w:type="dxa"/>
            <w:vAlign w:val="bottom"/>
            <w:shd w:val="clear" w:color="auto" w:fill="CFF0FC"/>
          </w:tcPr>
          <w:p>
            <w:pPr>
              <w:spacing w:after="0"/>
              <w:rPr>
                <w:sz w:val="12"/>
                <w:szCs w:val="12"/>
                <w:color w:val="auto"/>
              </w:rPr>
            </w:pPr>
          </w:p>
        </w:tc>
      </w:tr>
      <w:tr>
        <w:trPr>
          <w:trHeight w:val="141"/>
        </w:trPr>
        <w:tc>
          <w:tcPr>
            <w:tcW w:w="32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New Millennium Holdco, Inc. (Millennium Health,</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LLC)</w:t>
            </w:r>
            <w:r>
              <w:rPr>
                <w:rFonts w:ascii="Times New Roman" w:cs="Times New Roman" w:eastAsia="Times New Roman" w:hAnsi="Times New Roman"/>
                <w:sz w:val="10"/>
                <w:szCs w:val="10"/>
                <w:color w:val="auto"/>
              </w:rPr>
              <w:t>(13)</w:t>
            </w: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Healthcare &amp; Pharmaceuticals</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Common</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w w:val="98"/>
              </w:rPr>
              <w:t>10/7/2014</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0.20%</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1,953,299</w:t>
            </w:r>
          </w:p>
        </w:tc>
        <w:tc>
          <w:tcPr>
            <w:tcW w:w="2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Perseus Holding Corp.</w:t>
            </w:r>
            <w:r>
              <w:rPr>
                <w:rFonts w:ascii="Times New Roman" w:cs="Times New Roman" w:eastAsia="Times New Roman" w:hAnsi="Times New Roman"/>
                <w:sz w:val="10"/>
                <w:szCs w:val="10"/>
                <w:color w:val="auto"/>
              </w:rPr>
              <w:t>(8)(13)</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Hotel, Gaming &amp; Leisure</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Common</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rPr>
              <w:t>4/5/2007</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0.19%</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2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Roscoe Investors, LLC</w:t>
            </w:r>
            <w:r>
              <w:rPr>
                <w:rFonts w:ascii="Times New Roman" w:cs="Times New Roman" w:eastAsia="Times New Roman" w:hAnsi="Times New Roman"/>
                <w:sz w:val="10"/>
                <w:szCs w:val="10"/>
                <w:color w:val="auto"/>
              </w:rPr>
              <w:t>(8)(13)</w:t>
            </w:r>
            <w:r>
              <w:rPr>
                <w:rFonts w:ascii="Times New Roman" w:cs="Times New Roman" w:eastAsia="Times New Roman" w:hAnsi="Times New Roman"/>
                <w:sz w:val="12"/>
                <w:szCs w:val="12"/>
                <w:color w:val="auto"/>
              </w:rPr>
              <w:t xml:space="preserve"> Healthcare &amp;</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Pharmaceuticals</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Class A Units</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w w:val="98"/>
              </w:rPr>
              <w:t>3/26/2014</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2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653,000</w:t>
            </w:r>
          </w:p>
        </w:tc>
        <w:tc>
          <w:tcPr>
            <w:tcW w:w="100" w:type="dxa"/>
            <w:vAlign w:val="bottom"/>
            <w:shd w:val="clear" w:color="auto" w:fill="CFF0FC"/>
          </w:tcPr>
          <w:p>
            <w:pPr>
              <w:spacing w:after="0"/>
              <w:rPr>
                <w:sz w:val="12"/>
                <w:szCs w:val="12"/>
                <w:color w:val="auto"/>
              </w:rPr>
            </w:pPr>
          </w:p>
        </w:tc>
      </w:tr>
      <w:tr>
        <w:trPr>
          <w:trHeight w:val="141"/>
        </w:trPr>
        <w:tc>
          <w:tcPr>
            <w:tcW w:w="32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Stafford Logistics, Inc.(dba Custom Ecology, Inc.)</w:t>
            </w:r>
            <w:r>
              <w:rPr>
                <w:rFonts w:ascii="Times New Roman" w:cs="Times New Roman" w:eastAsia="Times New Roman" w:hAnsi="Times New Roman"/>
                <w:sz w:val="10"/>
                <w:szCs w:val="10"/>
                <w:color w:val="auto"/>
              </w:rPr>
              <w:t>(8)(13)</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Environmental Industries</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Class B Units</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w w:val="98"/>
              </w:rPr>
              <w:t>6/25/2013</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Stafford Logistics, Inc.(dba Custom</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3240" w:type="dxa"/>
            <w:vAlign w:val="bottom"/>
            <w:gridSpan w:val="2"/>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color w:val="auto"/>
              </w:rPr>
              <w:t>Ecology, Inc.)</w:t>
            </w:r>
            <w:r>
              <w:rPr>
                <w:rFonts w:ascii="Times New Roman" w:cs="Times New Roman" w:eastAsia="Times New Roman" w:hAnsi="Times New Roman"/>
                <w:sz w:val="10"/>
                <w:szCs w:val="10"/>
                <w:color w:val="auto"/>
              </w:rPr>
              <w:t>(8)(10)(13)</w:t>
            </w: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Environmental Industries</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Class B Equity</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w w:val="98"/>
              </w:rPr>
              <w:t>6/25/2013</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Tank Partners Holdings, LLC</w:t>
            </w:r>
            <w:r>
              <w:rPr>
                <w:rFonts w:ascii="Times New Roman" w:cs="Times New Roman" w:eastAsia="Times New Roman" w:hAnsi="Times New Roman"/>
                <w:sz w:val="10"/>
                <w:szCs w:val="10"/>
                <w:color w:val="auto"/>
              </w:rPr>
              <w:t>(8)(13)</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Aerospace and Defense</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Unit</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w w:val="98"/>
              </w:rPr>
              <w:t>8/28/2014</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980,000</w:t>
            </w:r>
          </w:p>
        </w:tc>
        <w:tc>
          <w:tcPr>
            <w:tcW w:w="2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Tank Partners Holdings, LLC</w:t>
            </w:r>
            <w:r>
              <w:rPr>
                <w:rFonts w:ascii="Times New Roman" w:cs="Times New Roman" w:eastAsia="Times New Roman" w:hAnsi="Times New Roman"/>
                <w:sz w:val="10"/>
                <w:szCs w:val="10"/>
                <w:color w:val="auto"/>
              </w:rPr>
              <w:t>(8)(13)</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Aerospace and Defense</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Warrants</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w w:val="98"/>
              </w:rPr>
              <w:t>8/28/2014</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185,205</w:t>
            </w:r>
          </w:p>
        </w:tc>
        <w:tc>
          <w:tcPr>
            <w:tcW w:w="2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2"/>
                <w:szCs w:val="12"/>
                <w:color w:val="auto"/>
              </w:rPr>
            </w:pPr>
          </w:p>
        </w:tc>
      </w:tr>
      <w:tr>
        <w:trPr>
          <w:trHeight w:val="141"/>
        </w:trPr>
        <w:tc>
          <w:tcPr>
            <w:tcW w:w="32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24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TRSO II, Inc.</w:t>
            </w:r>
            <w:r>
              <w:rPr>
                <w:rFonts w:ascii="Times New Roman" w:cs="Times New Roman" w:eastAsia="Times New Roman" w:hAnsi="Times New Roman"/>
                <w:sz w:val="10"/>
                <w:szCs w:val="10"/>
                <w:color w:val="auto"/>
              </w:rPr>
              <w:t>(8)(13)</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Energy: Oil &amp; Gas</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020" w:type="dxa"/>
            <w:vAlign w:val="bottom"/>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rPr>
              <w:t>12/24/2012</w:t>
            </w:r>
          </w:p>
        </w:tc>
        <w:tc>
          <w:tcPr>
            <w:tcW w:w="120" w:type="dxa"/>
            <w:vAlign w:val="bottom"/>
            <w:shd w:val="clear" w:color="auto" w:fill="CFF0FC"/>
          </w:tcPr>
          <w:p>
            <w:pPr>
              <w:spacing w:after="0"/>
              <w:rPr>
                <w:sz w:val="12"/>
                <w:szCs w:val="12"/>
                <w:color w:val="auto"/>
              </w:rPr>
            </w:pPr>
          </w:p>
        </w:tc>
        <w:tc>
          <w:tcPr>
            <w:tcW w:w="144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16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1,680,161</w:t>
            </w:r>
          </w:p>
        </w:tc>
        <w:tc>
          <w:tcPr>
            <w:tcW w:w="2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548,345</w:t>
            </w:r>
          </w:p>
        </w:tc>
        <w:tc>
          <w:tcPr>
            <w:tcW w:w="100" w:type="dxa"/>
            <w:vAlign w:val="bottom"/>
            <w:shd w:val="clear" w:color="auto" w:fill="CFF0FC"/>
          </w:tcPr>
          <w:p>
            <w:pPr>
              <w:spacing w:after="0"/>
              <w:rPr>
                <w:sz w:val="12"/>
                <w:szCs w:val="12"/>
                <w:color w:val="auto"/>
              </w:rPr>
            </w:pPr>
          </w:p>
        </w:tc>
      </w:tr>
      <w:tr>
        <w:trPr>
          <w:trHeight w:val="134"/>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3240" w:type="dxa"/>
            <w:vAlign w:val="bottom"/>
            <w:gridSpan w:val="2"/>
            <w:shd w:val="clear" w:color="auto" w:fill="CFF0FC"/>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Total Investment in Equity Securities (9% of</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8"/>
        </w:trPr>
        <w:tc>
          <w:tcPr>
            <w:tcW w:w="3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color w:val="auto"/>
              </w:rPr>
              <w:t>net asset value at fair value)</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9,477,763</w:t>
            </w:r>
          </w:p>
        </w:tc>
        <w:tc>
          <w:tcPr>
            <w:tcW w:w="2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2,038,020</w:t>
            </w:r>
          </w:p>
        </w:tc>
        <w:tc>
          <w:tcPr>
            <w:tcW w:w="100" w:type="dxa"/>
            <w:vAlign w:val="bottom"/>
            <w:shd w:val="clear" w:color="auto" w:fill="CFF0FC"/>
          </w:tcPr>
          <w:p>
            <w:pPr>
              <w:spacing w:after="0"/>
              <w:rPr>
                <w:sz w:val="12"/>
                <w:szCs w:val="12"/>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12"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CLO Fund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CLO Subordinated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5"/>
              </w:rPr>
              <w:t>Initial</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4"/>
          </w:tcPr>
          <w:p>
            <w:pPr>
              <w:jc w:val="center"/>
              <w:ind w:right="2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140" w:type="dxa"/>
            <w:vAlign w:val="bottom"/>
          </w:tcPr>
          <w:p>
            <w:pPr>
              <w:spacing w:after="0"/>
              <w:rPr>
                <w:sz w:val="11"/>
                <w:szCs w:val="11"/>
                <w:color w:val="auto"/>
              </w:rPr>
            </w:pPr>
          </w:p>
        </w:tc>
        <w:tc>
          <w:tcPr>
            <w:tcW w:w="860" w:type="dxa"/>
            <w:vAlign w:val="bottom"/>
            <w:gridSpan w:val="4"/>
          </w:tcPr>
          <w:p>
            <w:pPr>
              <w:jc w:val="right"/>
              <w:ind w:right="100"/>
              <w:spacing w:after="0" w:line="128"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860" w:type="dxa"/>
            <w:vAlign w:val="bottom"/>
            <w:gridSpan w:val="3"/>
          </w:tcPr>
          <w:p>
            <w:pPr>
              <w:ind w:left="860"/>
              <w:spacing w:after="0"/>
              <w:rPr>
                <w:sz w:val="20"/>
                <w:szCs w:val="20"/>
                <w:color w:val="auto"/>
              </w:rPr>
            </w:pPr>
            <w:r>
              <w:rPr>
                <w:rFonts w:ascii="Times New Roman" w:cs="Times New Roman" w:eastAsia="Times New Roman" w:hAnsi="Times New Roman"/>
                <w:sz w:val="12"/>
                <w:szCs w:val="12"/>
                <w:b w:val="1"/>
                <w:bCs w:val="1"/>
                <w:color w:val="auto"/>
              </w:rPr>
              <w:t>Portfolio Company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60" w:type="dxa"/>
            <w:vAlign w:val="bottom"/>
            <w:gridSpan w:val="2"/>
          </w:tcPr>
          <w:p>
            <w:pPr>
              <w:ind w:left="1180"/>
              <w:spacing w:after="0"/>
              <w:rPr>
                <w:sz w:val="20"/>
                <w:szCs w:val="20"/>
                <w:color w:val="auto"/>
              </w:rPr>
            </w:pPr>
            <w:r>
              <w:rPr>
                <w:rFonts w:ascii="Times New Roman" w:cs="Times New Roman" w:eastAsia="Times New Roman" w:hAnsi="Times New Roman"/>
                <w:sz w:val="12"/>
                <w:szCs w:val="12"/>
                <w:b w:val="1"/>
                <w:bCs w:val="1"/>
                <w:color w:val="auto"/>
              </w:rPr>
              <w:t>Investment</w:t>
            </w:r>
            <w:r>
              <w:rPr>
                <w:rFonts w:ascii="Times New Roman" w:cs="Times New Roman" w:eastAsia="Times New Roman" w:hAnsi="Times New Roman"/>
                <w:sz w:val="10"/>
                <w:szCs w:val="10"/>
                <w:b w:val="1"/>
                <w:bCs w:val="1"/>
                <w:color w:val="auto"/>
              </w:rPr>
              <w:t>15,11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 w:type="dxa"/>
            <w:vAlign w:val="bottom"/>
          </w:tcPr>
          <w:p>
            <w:pPr>
              <w:spacing w:after="0"/>
              <w:rPr>
                <w:sz w:val="12"/>
                <w:szCs w:val="12"/>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18"/>
        </w:trPr>
        <w:tc>
          <w:tcPr>
            <w:tcW w:w="272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Katonah III, Ltd.</w:t>
            </w:r>
            <w:r>
              <w:rPr>
                <w:rFonts w:ascii="Times New Roman" w:cs="Times New Roman" w:eastAsia="Times New Roman" w:hAnsi="Times New Roman"/>
                <w:sz w:val="10"/>
                <w:szCs w:val="10"/>
                <w:color w:val="auto"/>
              </w:rPr>
              <w:t>(3)(12)(13)</w:t>
            </w: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2980" w:type="dxa"/>
            <w:vAlign w:val="bottom"/>
            <w:tcBorders>
              <w:top w:val="single" w:sz="8" w:color="auto"/>
            </w:tcBorders>
            <w:gridSpan w:val="5"/>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Subordinated Securities, effective interest N/M,</w:t>
            </w:r>
          </w:p>
        </w:tc>
        <w:tc>
          <w:tcPr>
            <w:tcW w:w="1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right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44"/>
        </w:trPr>
        <w:tc>
          <w:tcPr>
            <w:tcW w:w="2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2"/>
                <w:szCs w:val="12"/>
                <w:color w:val="auto"/>
              </w:rPr>
              <w:t>5/15 maturity</w:t>
            </w:r>
            <w:r>
              <w:rPr>
                <w:rFonts w:ascii="Times New Roman" w:cs="Times New Roman" w:eastAsia="Times New Roman" w:hAnsi="Times New Roman"/>
                <w:sz w:val="10"/>
                <w:szCs w:val="10"/>
                <w:color w:val="auto"/>
              </w:rPr>
              <w:t>16</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gridSpan w:val="4"/>
            <w:shd w:val="clear" w:color="auto" w:fill="CFF0FC"/>
          </w:tcPr>
          <w:p>
            <w:pPr>
              <w:jc w:val="center"/>
              <w:ind w:left="100"/>
              <w:spacing w:after="0"/>
              <w:rPr>
                <w:sz w:val="20"/>
                <w:szCs w:val="20"/>
                <w:color w:val="auto"/>
              </w:rPr>
            </w:pPr>
            <w:r>
              <w:rPr>
                <w:rFonts w:ascii="Times New Roman" w:cs="Times New Roman" w:eastAsia="Times New Roman" w:hAnsi="Times New Roman"/>
                <w:sz w:val="12"/>
                <w:szCs w:val="12"/>
                <w:color w:val="auto"/>
                <w:w w:val="98"/>
              </w:rPr>
              <w:t>12/11/2006</w:t>
            </w:r>
          </w:p>
        </w:tc>
        <w:tc>
          <w:tcPr>
            <w:tcW w:w="200" w:type="dxa"/>
            <w:vAlign w:val="bottom"/>
            <w:shd w:val="clear" w:color="auto" w:fill="CFF0FC"/>
          </w:tcPr>
          <w:p>
            <w:pPr>
              <w:spacing w:after="0"/>
              <w:rPr>
                <w:sz w:val="12"/>
                <w:szCs w:val="12"/>
                <w:color w:val="auto"/>
              </w:rPr>
            </w:pPr>
          </w:p>
        </w:tc>
        <w:tc>
          <w:tcPr>
            <w:tcW w:w="1440" w:type="dxa"/>
            <w:vAlign w:val="bottom"/>
            <w:gridSpan w:val="9"/>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23.1%   $</w:t>
            </w:r>
          </w:p>
        </w:tc>
        <w:tc>
          <w:tcPr>
            <w:tcW w:w="9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1,287,155</w:t>
            </w: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369,280</w:t>
            </w:r>
          </w:p>
        </w:tc>
        <w:tc>
          <w:tcPr>
            <w:tcW w:w="100" w:type="dxa"/>
            <w:vAlign w:val="bottom"/>
            <w:shd w:val="clear" w:color="auto" w:fill="CFF0FC"/>
          </w:tcPr>
          <w:p>
            <w:pPr>
              <w:spacing w:after="0"/>
              <w:rPr>
                <w:sz w:val="12"/>
                <w:szCs w:val="12"/>
                <w:color w:val="auto"/>
              </w:rPr>
            </w:pPr>
          </w:p>
        </w:tc>
      </w:tr>
      <w:tr>
        <w:trPr>
          <w:trHeight w:val="125"/>
        </w:trPr>
        <w:tc>
          <w:tcPr>
            <w:tcW w:w="2860" w:type="dxa"/>
            <w:vAlign w:val="bottom"/>
            <w:gridSpan w:val="3"/>
          </w:tcPr>
          <w:p>
            <w:pPr>
              <w:spacing w:after="0" w:line="125" w:lineRule="exact"/>
              <w:rPr>
                <w:sz w:val="20"/>
                <w:szCs w:val="20"/>
                <w:color w:val="auto"/>
              </w:rPr>
            </w:pPr>
            <w:r>
              <w:rPr>
                <w:rFonts w:ascii="Times New Roman" w:cs="Times New Roman" w:eastAsia="Times New Roman" w:hAnsi="Times New Roman"/>
                <w:sz w:val="12"/>
                <w:szCs w:val="12"/>
                <w:color w:val="auto"/>
              </w:rPr>
              <w:t>Catamaran CLO 2013- 1 Ltd.</w:t>
            </w:r>
            <w:r>
              <w:rPr>
                <w:rFonts w:ascii="Times New Roman" w:cs="Times New Roman" w:eastAsia="Times New Roman" w:hAnsi="Times New Roman"/>
                <w:sz w:val="10"/>
                <w:szCs w:val="10"/>
                <w:color w:val="auto"/>
              </w:rPr>
              <w:t>(3)(13)</w:t>
            </w:r>
          </w:p>
        </w:tc>
        <w:tc>
          <w:tcPr>
            <w:tcW w:w="2980" w:type="dxa"/>
            <w:vAlign w:val="bottom"/>
            <w:gridSpan w:val="5"/>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21.9%,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1/28 maturity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left="100"/>
              <w:spacing w:after="0"/>
              <w:rPr>
                <w:sz w:val="20"/>
                <w:szCs w:val="20"/>
                <w:color w:val="auto"/>
              </w:rPr>
            </w:pPr>
            <w:r>
              <w:rPr>
                <w:rFonts w:ascii="Times New Roman" w:cs="Times New Roman" w:eastAsia="Times New Roman" w:hAnsi="Times New Roman"/>
                <w:sz w:val="12"/>
                <w:szCs w:val="12"/>
                <w:color w:val="auto"/>
                <w:w w:val="98"/>
              </w:rPr>
              <w:t>6/4/2013</w:t>
            </w:r>
          </w:p>
        </w:tc>
        <w:tc>
          <w:tcPr>
            <w:tcW w:w="200" w:type="dxa"/>
            <w:vAlign w:val="bottom"/>
          </w:tcPr>
          <w:p>
            <w:pPr>
              <w:spacing w:after="0"/>
              <w:rPr>
                <w:sz w:val="12"/>
                <w:szCs w:val="12"/>
                <w:color w:val="auto"/>
              </w:rPr>
            </w:pPr>
          </w:p>
        </w:tc>
        <w:tc>
          <w:tcPr>
            <w:tcW w:w="1380" w:type="dxa"/>
            <w:vAlign w:val="bottom"/>
            <w:gridSpan w:val="8"/>
          </w:tcPr>
          <w:p>
            <w:pPr>
              <w:jc w:val="right"/>
              <w:ind w:right="106"/>
              <w:spacing w:after="0"/>
              <w:rPr>
                <w:sz w:val="20"/>
                <w:szCs w:val="20"/>
                <w:color w:val="auto"/>
              </w:rPr>
            </w:pPr>
            <w:r>
              <w:rPr>
                <w:rFonts w:ascii="Times New Roman" w:cs="Times New Roman" w:eastAsia="Times New Roman" w:hAnsi="Times New Roman"/>
                <w:sz w:val="12"/>
                <w:szCs w:val="12"/>
                <w:color w:val="auto"/>
              </w:rPr>
              <w:t>23.3%</w:t>
            </w:r>
          </w:p>
        </w:tc>
        <w:tc>
          <w:tcPr>
            <w:tcW w:w="60" w:type="dxa"/>
            <w:vAlign w:val="bottom"/>
          </w:tcPr>
          <w:p>
            <w:pPr>
              <w:spacing w:after="0"/>
              <w:rPr>
                <w:sz w:val="12"/>
                <w:szCs w:val="12"/>
                <w:color w:val="auto"/>
              </w:rPr>
            </w:pPr>
          </w:p>
        </w:tc>
        <w:tc>
          <w:tcPr>
            <w:tcW w:w="92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6,378,611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7,016,733</w:t>
            </w:r>
          </w:p>
        </w:tc>
        <w:tc>
          <w:tcPr>
            <w:tcW w:w="100" w:type="dxa"/>
            <w:vAlign w:val="bottom"/>
          </w:tcPr>
          <w:p>
            <w:pPr>
              <w:spacing w:after="0"/>
              <w:rPr>
                <w:sz w:val="12"/>
                <w:szCs w:val="12"/>
                <w:color w:val="auto"/>
              </w:rPr>
            </w:pPr>
          </w:p>
        </w:tc>
      </w:tr>
      <w:tr>
        <w:trPr>
          <w:trHeight w:val="125"/>
        </w:trPr>
        <w:tc>
          <w:tcPr>
            <w:tcW w:w="286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Catamaran CLO 2014-1 Ltd.</w:t>
            </w:r>
            <w:r>
              <w:rPr>
                <w:rFonts w:ascii="Times New Roman" w:cs="Times New Roman" w:eastAsia="Times New Roman" w:hAnsi="Times New Roman"/>
                <w:sz w:val="10"/>
                <w:szCs w:val="10"/>
                <w:color w:val="auto"/>
              </w:rPr>
              <w:t>(3)(13)</w:t>
            </w:r>
          </w:p>
        </w:tc>
        <w:tc>
          <w:tcPr>
            <w:tcW w:w="2980" w:type="dxa"/>
            <w:vAlign w:val="bottom"/>
            <w:gridSpan w:val="5"/>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13.6%,</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2"/>
                <w:szCs w:val="12"/>
                <w:color w:val="auto"/>
              </w:rPr>
              <w:t>4/30 maturity</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gridSpan w:val="4"/>
            <w:shd w:val="clear" w:color="auto" w:fill="CFF0FC"/>
          </w:tcPr>
          <w:p>
            <w:pPr>
              <w:jc w:val="center"/>
              <w:ind w:left="100"/>
              <w:spacing w:after="0"/>
              <w:rPr>
                <w:sz w:val="20"/>
                <w:szCs w:val="20"/>
                <w:color w:val="auto"/>
              </w:rPr>
            </w:pPr>
            <w:r>
              <w:rPr>
                <w:rFonts w:ascii="Times New Roman" w:cs="Times New Roman" w:eastAsia="Times New Roman" w:hAnsi="Times New Roman"/>
                <w:sz w:val="12"/>
                <w:szCs w:val="12"/>
                <w:color w:val="auto"/>
                <w:w w:val="98"/>
              </w:rPr>
              <w:t>5/6/2014</w:t>
            </w:r>
          </w:p>
        </w:tc>
        <w:tc>
          <w:tcPr>
            <w:tcW w:w="200" w:type="dxa"/>
            <w:vAlign w:val="bottom"/>
            <w:shd w:val="clear" w:color="auto" w:fill="CFF0FC"/>
          </w:tcPr>
          <w:p>
            <w:pPr>
              <w:spacing w:after="0"/>
              <w:rPr>
                <w:sz w:val="12"/>
                <w:szCs w:val="12"/>
                <w:color w:val="auto"/>
              </w:rPr>
            </w:pPr>
          </w:p>
        </w:tc>
        <w:tc>
          <w:tcPr>
            <w:tcW w:w="1380" w:type="dxa"/>
            <w:vAlign w:val="bottom"/>
            <w:gridSpan w:val="8"/>
            <w:shd w:val="clear" w:color="auto" w:fill="CFF0FC"/>
          </w:tcPr>
          <w:p>
            <w:pPr>
              <w:jc w:val="right"/>
              <w:ind w:right="106"/>
              <w:spacing w:after="0"/>
              <w:rPr>
                <w:sz w:val="20"/>
                <w:szCs w:val="20"/>
                <w:color w:val="auto"/>
              </w:rPr>
            </w:pPr>
            <w:r>
              <w:rPr>
                <w:rFonts w:ascii="Times New Roman" w:cs="Times New Roman" w:eastAsia="Times New Roman" w:hAnsi="Times New Roman"/>
                <w:sz w:val="12"/>
                <w:szCs w:val="12"/>
                <w:color w:val="auto"/>
              </w:rPr>
              <w:t>25.1%</w:t>
            </w:r>
          </w:p>
        </w:tc>
        <w:tc>
          <w:tcPr>
            <w:tcW w:w="60" w:type="dxa"/>
            <w:vAlign w:val="bottom"/>
            <w:shd w:val="clear" w:color="auto" w:fill="CFF0FC"/>
          </w:tcPr>
          <w:p>
            <w:pPr>
              <w:spacing w:after="0"/>
              <w:rPr>
                <w:sz w:val="12"/>
                <w:szCs w:val="12"/>
                <w:color w:val="auto"/>
              </w:rPr>
            </w:pPr>
          </w:p>
        </w:tc>
        <w:tc>
          <w:tcPr>
            <w:tcW w:w="9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11,740,622</w:t>
            </w: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9,777,251</w:t>
            </w:r>
          </w:p>
        </w:tc>
        <w:tc>
          <w:tcPr>
            <w:tcW w:w="100" w:type="dxa"/>
            <w:vAlign w:val="bottom"/>
            <w:shd w:val="clear" w:color="auto" w:fill="CFF0FC"/>
          </w:tcPr>
          <w:p>
            <w:pPr>
              <w:spacing w:after="0"/>
              <w:rPr>
                <w:sz w:val="12"/>
                <w:szCs w:val="12"/>
                <w:color w:val="auto"/>
              </w:rPr>
            </w:pPr>
          </w:p>
        </w:tc>
      </w:tr>
      <w:tr>
        <w:trPr>
          <w:trHeight w:val="125"/>
        </w:trPr>
        <w:tc>
          <w:tcPr>
            <w:tcW w:w="2860" w:type="dxa"/>
            <w:vAlign w:val="bottom"/>
            <w:gridSpan w:val="3"/>
          </w:tcPr>
          <w:p>
            <w:pPr>
              <w:spacing w:after="0" w:line="125" w:lineRule="exact"/>
              <w:rPr>
                <w:sz w:val="20"/>
                <w:szCs w:val="20"/>
                <w:color w:val="auto"/>
              </w:rPr>
            </w:pPr>
            <w:r>
              <w:rPr>
                <w:rFonts w:ascii="Times New Roman" w:cs="Times New Roman" w:eastAsia="Times New Roman" w:hAnsi="Times New Roman"/>
                <w:sz w:val="12"/>
                <w:szCs w:val="12"/>
                <w:color w:val="auto"/>
              </w:rPr>
              <w:t>Dryden 30 Senior Loan Fund</w:t>
            </w:r>
            <w:r>
              <w:rPr>
                <w:rFonts w:ascii="Times New Roman" w:cs="Times New Roman" w:eastAsia="Times New Roman" w:hAnsi="Times New Roman"/>
                <w:sz w:val="10"/>
                <w:szCs w:val="10"/>
                <w:color w:val="auto"/>
              </w:rPr>
              <w:t>(3)(13)</w:t>
            </w:r>
          </w:p>
        </w:tc>
        <w:tc>
          <w:tcPr>
            <w:tcW w:w="2980" w:type="dxa"/>
            <w:vAlign w:val="bottom"/>
            <w:gridSpan w:val="5"/>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27.0%,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12/29 maturity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left="100"/>
              <w:spacing w:after="0"/>
              <w:rPr>
                <w:sz w:val="20"/>
                <w:szCs w:val="20"/>
                <w:color w:val="auto"/>
              </w:rPr>
            </w:pPr>
            <w:r>
              <w:rPr>
                <w:rFonts w:ascii="Times New Roman" w:cs="Times New Roman" w:eastAsia="Times New Roman" w:hAnsi="Times New Roman"/>
                <w:sz w:val="12"/>
                <w:szCs w:val="12"/>
                <w:color w:val="auto"/>
                <w:w w:val="98"/>
              </w:rPr>
              <w:t>10/10/2013</w:t>
            </w:r>
          </w:p>
        </w:tc>
        <w:tc>
          <w:tcPr>
            <w:tcW w:w="200" w:type="dxa"/>
            <w:vAlign w:val="bottom"/>
          </w:tcPr>
          <w:p>
            <w:pPr>
              <w:spacing w:after="0"/>
              <w:rPr>
                <w:sz w:val="12"/>
                <w:szCs w:val="12"/>
                <w:color w:val="auto"/>
              </w:rPr>
            </w:pPr>
          </w:p>
        </w:tc>
        <w:tc>
          <w:tcPr>
            <w:tcW w:w="1380" w:type="dxa"/>
            <w:vAlign w:val="bottom"/>
            <w:gridSpan w:val="8"/>
          </w:tcPr>
          <w:p>
            <w:pPr>
              <w:jc w:val="right"/>
              <w:ind w:right="106"/>
              <w:spacing w:after="0"/>
              <w:rPr>
                <w:sz w:val="20"/>
                <w:szCs w:val="20"/>
                <w:color w:val="auto"/>
              </w:rPr>
            </w:pPr>
            <w:r>
              <w:rPr>
                <w:rFonts w:ascii="Times New Roman" w:cs="Times New Roman" w:eastAsia="Times New Roman" w:hAnsi="Times New Roman"/>
                <w:sz w:val="12"/>
                <w:szCs w:val="12"/>
                <w:color w:val="auto"/>
              </w:rPr>
              <w:t>6.8%</w:t>
            </w:r>
          </w:p>
        </w:tc>
        <w:tc>
          <w:tcPr>
            <w:tcW w:w="60" w:type="dxa"/>
            <w:vAlign w:val="bottom"/>
          </w:tcPr>
          <w:p>
            <w:pPr>
              <w:spacing w:after="0"/>
              <w:rPr>
                <w:sz w:val="12"/>
                <w:szCs w:val="12"/>
                <w:color w:val="auto"/>
              </w:rPr>
            </w:pPr>
          </w:p>
        </w:tc>
        <w:tc>
          <w:tcPr>
            <w:tcW w:w="92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1,438,701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1,913,925</w:t>
            </w:r>
          </w:p>
        </w:tc>
        <w:tc>
          <w:tcPr>
            <w:tcW w:w="100" w:type="dxa"/>
            <w:vAlign w:val="bottom"/>
          </w:tcPr>
          <w:p>
            <w:pPr>
              <w:spacing w:after="0"/>
              <w:rPr>
                <w:sz w:val="12"/>
                <w:szCs w:val="12"/>
                <w:color w:val="auto"/>
              </w:rPr>
            </w:pPr>
          </w:p>
        </w:tc>
      </w:tr>
      <w:tr>
        <w:trPr>
          <w:trHeight w:val="125"/>
        </w:trPr>
        <w:tc>
          <w:tcPr>
            <w:tcW w:w="286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Catamaran CLO 2014-2 Ltd.</w:t>
            </w:r>
            <w:r>
              <w:rPr>
                <w:rFonts w:ascii="Times New Roman" w:cs="Times New Roman" w:eastAsia="Times New Roman" w:hAnsi="Times New Roman"/>
                <w:sz w:val="10"/>
                <w:szCs w:val="10"/>
                <w:color w:val="auto"/>
              </w:rPr>
              <w:t>(3)(13)</w:t>
            </w:r>
          </w:p>
        </w:tc>
        <w:tc>
          <w:tcPr>
            <w:tcW w:w="2980" w:type="dxa"/>
            <w:vAlign w:val="bottom"/>
            <w:gridSpan w:val="5"/>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10.4%,</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2"/>
                <w:szCs w:val="12"/>
                <w:color w:val="auto"/>
              </w:rPr>
              <w:t>11/25 maturity</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gridSpan w:val="4"/>
            <w:shd w:val="clear" w:color="auto" w:fill="CFF0FC"/>
          </w:tcPr>
          <w:p>
            <w:pPr>
              <w:jc w:val="center"/>
              <w:ind w:left="120"/>
              <w:spacing w:after="0"/>
              <w:rPr>
                <w:sz w:val="20"/>
                <w:szCs w:val="20"/>
                <w:color w:val="auto"/>
              </w:rPr>
            </w:pPr>
            <w:r>
              <w:rPr>
                <w:rFonts w:ascii="Times New Roman" w:cs="Times New Roman" w:eastAsia="Times New Roman" w:hAnsi="Times New Roman"/>
                <w:sz w:val="12"/>
                <w:szCs w:val="12"/>
                <w:color w:val="auto"/>
                <w:w w:val="98"/>
              </w:rPr>
              <w:t>8/15/2014</w:t>
            </w:r>
          </w:p>
        </w:tc>
        <w:tc>
          <w:tcPr>
            <w:tcW w:w="200" w:type="dxa"/>
            <w:vAlign w:val="bottom"/>
            <w:shd w:val="clear" w:color="auto" w:fill="CFF0FC"/>
          </w:tcPr>
          <w:p>
            <w:pPr>
              <w:spacing w:after="0"/>
              <w:rPr>
                <w:sz w:val="12"/>
                <w:szCs w:val="12"/>
                <w:color w:val="auto"/>
              </w:rPr>
            </w:pPr>
          </w:p>
        </w:tc>
        <w:tc>
          <w:tcPr>
            <w:tcW w:w="1380" w:type="dxa"/>
            <w:vAlign w:val="bottom"/>
            <w:gridSpan w:val="8"/>
            <w:shd w:val="clear" w:color="auto" w:fill="CFF0FC"/>
          </w:tcPr>
          <w:p>
            <w:pPr>
              <w:jc w:val="right"/>
              <w:ind w:right="106"/>
              <w:spacing w:after="0"/>
              <w:rPr>
                <w:sz w:val="20"/>
                <w:szCs w:val="20"/>
                <w:color w:val="auto"/>
              </w:rPr>
            </w:pPr>
            <w:r>
              <w:rPr>
                <w:rFonts w:ascii="Times New Roman" w:cs="Times New Roman" w:eastAsia="Times New Roman" w:hAnsi="Times New Roman"/>
                <w:sz w:val="12"/>
                <w:szCs w:val="12"/>
                <w:color w:val="auto"/>
              </w:rPr>
              <w:t>24.9%</w:t>
            </w:r>
          </w:p>
        </w:tc>
        <w:tc>
          <w:tcPr>
            <w:tcW w:w="60" w:type="dxa"/>
            <w:vAlign w:val="bottom"/>
            <w:shd w:val="clear" w:color="auto" w:fill="CFF0FC"/>
          </w:tcPr>
          <w:p>
            <w:pPr>
              <w:spacing w:after="0"/>
              <w:rPr>
                <w:sz w:val="12"/>
                <w:szCs w:val="12"/>
                <w:color w:val="auto"/>
              </w:rPr>
            </w:pPr>
          </w:p>
        </w:tc>
        <w:tc>
          <w:tcPr>
            <w:tcW w:w="9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6,314,484</w:t>
            </w: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2,158,200</w:t>
            </w:r>
          </w:p>
        </w:tc>
        <w:tc>
          <w:tcPr>
            <w:tcW w:w="100" w:type="dxa"/>
            <w:vAlign w:val="bottom"/>
            <w:shd w:val="clear" w:color="auto" w:fill="CFF0FC"/>
          </w:tcPr>
          <w:p>
            <w:pPr>
              <w:spacing w:after="0"/>
              <w:rPr>
                <w:sz w:val="12"/>
                <w:szCs w:val="12"/>
                <w:color w:val="auto"/>
              </w:rPr>
            </w:pPr>
          </w:p>
        </w:tc>
      </w:tr>
      <w:tr>
        <w:trPr>
          <w:trHeight w:val="125"/>
        </w:trPr>
        <w:tc>
          <w:tcPr>
            <w:tcW w:w="2860" w:type="dxa"/>
            <w:vAlign w:val="bottom"/>
            <w:gridSpan w:val="3"/>
          </w:tcPr>
          <w:p>
            <w:pPr>
              <w:spacing w:after="0" w:line="125" w:lineRule="exact"/>
              <w:rPr>
                <w:sz w:val="20"/>
                <w:szCs w:val="20"/>
                <w:color w:val="auto"/>
              </w:rPr>
            </w:pPr>
            <w:r>
              <w:rPr>
                <w:rFonts w:ascii="Times New Roman" w:cs="Times New Roman" w:eastAsia="Times New Roman" w:hAnsi="Times New Roman"/>
                <w:sz w:val="12"/>
                <w:szCs w:val="12"/>
                <w:color w:val="auto"/>
              </w:rPr>
              <w:t>Catamaran CLO 2015-1 Ltd.</w:t>
            </w:r>
            <w:r>
              <w:rPr>
                <w:rFonts w:ascii="Times New Roman" w:cs="Times New Roman" w:eastAsia="Times New Roman" w:hAnsi="Times New Roman"/>
                <w:sz w:val="10"/>
                <w:szCs w:val="10"/>
                <w:color w:val="auto"/>
              </w:rPr>
              <w:t>(3)(13)</w:t>
            </w:r>
          </w:p>
        </w:tc>
        <w:tc>
          <w:tcPr>
            <w:tcW w:w="2980" w:type="dxa"/>
            <w:vAlign w:val="bottom"/>
            <w:gridSpan w:val="5"/>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11.4%,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10/26 maturity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left="100"/>
              <w:spacing w:after="0"/>
              <w:rPr>
                <w:sz w:val="20"/>
                <w:szCs w:val="20"/>
                <w:color w:val="auto"/>
              </w:rPr>
            </w:pPr>
            <w:r>
              <w:rPr>
                <w:rFonts w:ascii="Times New Roman" w:cs="Times New Roman" w:eastAsia="Times New Roman" w:hAnsi="Times New Roman"/>
                <w:sz w:val="12"/>
                <w:szCs w:val="12"/>
                <w:color w:val="auto"/>
                <w:w w:val="98"/>
              </w:rPr>
              <w:t>5/5/2015</w:t>
            </w:r>
          </w:p>
        </w:tc>
        <w:tc>
          <w:tcPr>
            <w:tcW w:w="200" w:type="dxa"/>
            <w:vAlign w:val="bottom"/>
          </w:tcPr>
          <w:p>
            <w:pPr>
              <w:spacing w:after="0"/>
              <w:rPr>
                <w:sz w:val="12"/>
                <w:szCs w:val="12"/>
                <w:color w:val="auto"/>
              </w:rPr>
            </w:pPr>
          </w:p>
        </w:tc>
        <w:tc>
          <w:tcPr>
            <w:tcW w:w="1380" w:type="dxa"/>
            <w:vAlign w:val="bottom"/>
            <w:gridSpan w:val="8"/>
          </w:tcPr>
          <w:p>
            <w:pPr>
              <w:jc w:val="right"/>
              <w:ind w:right="106"/>
              <w:spacing w:after="0"/>
              <w:rPr>
                <w:sz w:val="20"/>
                <w:szCs w:val="20"/>
                <w:color w:val="auto"/>
              </w:rPr>
            </w:pPr>
            <w:r>
              <w:rPr>
                <w:rFonts w:ascii="Times New Roman" w:cs="Times New Roman" w:eastAsia="Times New Roman" w:hAnsi="Times New Roman"/>
                <w:sz w:val="12"/>
                <w:szCs w:val="12"/>
                <w:color w:val="auto"/>
              </w:rPr>
              <w:t>9.9%</w:t>
            </w:r>
          </w:p>
        </w:tc>
        <w:tc>
          <w:tcPr>
            <w:tcW w:w="60" w:type="dxa"/>
            <w:vAlign w:val="bottom"/>
          </w:tcPr>
          <w:p>
            <w:pPr>
              <w:spacing w:after="0"/>
              <w:rPr>
                <w:sz w:val="12"/>
                <w:szCs w:val="12"/>
                <w:color w:val="auto"/>
              </w:rPr>
            </w:pPr>
          </w:p>
        </w:tc>
        <w:tc>
          <w:tcPr>
            <w:tcW w:w="92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4,353,347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3,048,698</w:t>
            </w:r>
          </w:p>
        </w:tc>
        <w:tc>
          <w:tcPr>
            <w:tcW w:w="100" w:type="dxa"/>
            <w:vAlign w:val="bottom"/>
          </w:tcPr>
          <w:p>
            <w:pPr>
              <w:spacing w:after="0"/>
              <w:rPr>
                <w:sz w:val="12"/>
                <w:szCs w:val="12"/>
                <w:color w:val="auto"/>
              </w:rPr>
            </w:pPr>
          </w:p>
        </w:tc>
      </w:tr>
      <w:tr>
        <w:trPr>
          <w:trHeight w:val="125"/>
        </w:trPr>
        <w:tc>
          <w:tcPr>
            <w:tcW w:w="286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Catamaran CLO 2016-1 Ltd.</w:t>
            </w:r>
            <w:r>
              <w:rPr>
                <w:rFonts w:ascii="Times New Roman" w:cs="Times New Roman" w:eastAsia="Times New Roman" w:hAnsi="Times New Roman"/>
                <w:sz w:val="10"/>
                <w:szCs w:val="10"/>
                <w:color w:val="auto"/>
              </w:rPr>
              <w:t>(3)(13)</w:t>
            </w:r>
          </w:p>
        </w:tc>
        <w:tc>
          <w:tcPr>
            <w:tcW w:w="2980" w:type="dxa"/>
            <w:vAlign w:val="bottom"/>
            <w:gridSpan w:val="5"/>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9.1%,</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2"/>
                <w:szCs w:val="12"/>
                <w:color w:val="auto"/>
              </w:rPr>
              <w:t>4/27 maturity</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gridSpan w:val="4"/>
            <w:shd w:val="clear" w:color="auto" w:fill="CFF0FC"/>
          </w:tcPr>
          <w:p>
            <w:pPr>
              <w:jc w:val="center"/>
              <w:ind w:left="100"/>
              <w:spacing w:after="0"/>
              <w:rPr>
                <w:sz w:val="20"/>
                <w:szCs w:val="20"/>
                <w:color w:val="auto"/>
              </w:rPr>
            </w:pPr>
            <w:r>
              <w:rPr>
                <w:rFonts w:ascii="Times New Roman" w:cs="Times New Roman" w:eastAsia="Times New Roman" w:hAnsi="Times New Roman"/>
                <w:sz w:val="12"/>
                <w:szCs w:val="12"/>
                <w:color w:val="auto"/>
                <w:w w:val="98"/>
              </w:rPr>
              <w:t>12/21/2016</w:t>
            </w:r>
          </w:p>
        </w:tc>
        <w:tc>
          <w:tcPr>
            <w:tcW w:w="200" w:type="dxa"/>
            <w:vAlign w:val="bottom"/>
            <w:shd w:val="clear" w:color="auto" w:fill="CFF0FC"/>
          </w:tcPr>
          <w:p>
            <w:pPr>
              <w:spacing w:after="0"/>
              <w:rPr>
                <w:sz w:val="12"/>
                <w:szCs w:val="12"/>
                <w:color w:val="auto"/>
              </w:rPr>
            </w:pPr>
          </w:p>
        </w:tc>
        <w:tc>
          <w:tcPr>
            <w:tcW w:w="1380" w:type="dxa"/>
            <w:vAlign w:val="bottom"/>
            <w:gridSpan w:val="8"/>
            <w:shd w:val="clear" w:color="auto" w:fill="CFF0FC"/>
          </w:tcPr>
          <w:p>
            <w:pPr>
              <w:jc w:val="right"/>
              <w:ind w:right="106"/>
              <w:spacing w:after="0"/>
              <w:rPr>
                <w:sz w:val="20"/>
                <w:szCs w:val="20"/>
                <w:color w:val="auto"/>
              </w:rPr>
            </w:pPr>
            <w:r>
              <w:rPr>
                <w:rFonts w:ascii="Times New Roman" w:cs="Times New Roman" w:eastAsia="Times New Roman" w:hAnsi="Times New Roman"/>
                <w:sz w:val="12"/>
                <w:szCs w:val="12"/>
                <w:color w:val="auto"/>
              </w:rPr>
              <w:t>24.9%</w:t>
            </w:r>
          </w:p>
        </w:tc>
        <w:tc>
          <w:tcPr>
            <w:tcW w:w="60" w:type="dxa"/>
            <w:vAlign w:val="bottom"/>
            <w:shd w:val="clear" w:color="auto" w:fill="CFF0FC"/>
          </w:tcPr>
          <w:p>
            <w:pPr>
              <w:spacing w:after="0"/>
              <w:rPr>
                <w:sz w:val="12"/>
                <w:szCs w:val="12"/>
                <w:color w:val="auto"/>
              </w:rPr>
            </w:pPr>
          </w:p>
        </w:tc>
        <w:tc>
          <w:tcPr>
            <w:tcW w:w="9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9,717,150</w:t>
            </w: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7,067,073</w:t>
            </w:r>
          </w:p>
        </w:tc>
        <w:tc>
          <w:tcPr>
            <w:tcW w:w="100" w:type="dxa"/>
            <w:vAlign w:val="bottom"/>
            <w:shd w:val="clear" w:color="auto" w:fill="CFF0FC"/>
          </w:tcPr>
          <w:p>
            <w:pPr>
              <w:spacing w:after="0"/>
              <w:rPr>
                <w:sz w:val="12"/>
                <w:szCs w:val="12"/>
                <w:color w:val="auto"/>
              </w:rPr>
            </w:pPr>
          </w:p>
        </w:tc>
      </w:tr>
      <w:tr>
        <w:trPr>
          <w:trHeight w:val="125"/>
        </w:trPr>
        <w:tc>
          <w:tcPr>
            <w:tcW w:w="2860" w:type="dxa"/>
            <w:vAlign w:val="bottom"/>
            <w:gridSpan w:val="3"/>
          </w:tcPr>
          <w:p>
            <w:pPr>
              <w:spacing w:after="0" w:line="125" w:lineRule="exact"/>
              <w:rPr>
                <w:sz w:val="20"/>
                <w:szCs w:val="20"/>
                <w:color w:val="auto"/>
              </w:rPr>
            </w:pPr>
            <w:r>
              <w:rPr>
                <w:rFonts w:ascii="Times New Roman" w:cs="Times New Roman" w:eastAsia="Times New Roman" w:hAnsi="Times New Roman"/>
                <w:sz w:val="12"/>
                <w:szCs w:val="12"/>
                <w:color w:val="auto"/>
              </w:rPr>
              <w:t>Catamaran CLO 2018-1 Ltd</w:t>
            </w:r>
            <w:r>
              <w:rPr>
                <w:rFonts w:ascii="Times New Roman" w:cs="Times New Roman" w:eastAsia="Times New Roman" w:hAnsi="Times New Roman"/>
                <w:sz w:val="10"/>
                <w:szCs w:val="10"/>
                <w:color w:val="auto"/>
              </w:rPr>
              <w:t>(3)(13)</w:t>
            </w:r>
          </w:p>
        </w:tc>
        <w:tc>
          <w:tcPr>
            <w:tcW w:w="2980" w:type="dxa"/>
            <w:vAlign w:val="bottom"/>
            <w:gridSpan w:val="5"/>
          </w:tcPr>
          <w:p>
            <w:pPr>
              <w:spacing w:after="0" w:line="125" w:lineRule="exact"/>
              <w:rPr>
                <w:sz w:val="20"/>
                <w:szCs w:val="20"/>
                <w:color w:val="auto"/>
              </w:rPr>
            </w:pPr>
            <w:r>
              <w:rPr>
                <w:rFonts w:ascii="Times New Roman" w:cs="Times New Roman" w:eastAsia="Times New Roman" w:hAnsi="Times New Roman"/>
                <w:sz w:val="12"/>
                <w:szCs w:val="12"/>
                <w:color w:val="auto"/>
              </w:rPr>
              <w:t>Subordinated Securities, effective interest 14.5%,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7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2980" w:type="dxa"/>
            <w:vAlign w:val="bottom"/>
            <w:tcBorders>
              <w:bottom w:val="single" w:sz="8" w:color="CFF0FC"/>
            </w:tcBorders>
            <w:gridSpan w:val="5"/>
          </w:tcPr>
          <w:p>
            <w:pPr>
              <w:spacing w:after="0"/>
              <w:rPr>
                <w:sz w:val="20"/>
                <w:szCs w:val="20"/>
                <w:color w:val="auto"/>
              </w:rPr>
            </w:pPr>
            <w:r>
              <w:rPr>
                <w:rFonts w:ascii="Times New Roman" w:cs="Times New Roman" w:eastAsia="Times New Roman" w:hAnsi="Times New Roman"/>
                <w:sz w:val="12"/>
                <w:szCs w:val="12"/>
                <w:color w:val="auto"/>
              </w:rPr>
              <w:t>10/31 maturity</w:t>
            </w:r>
          </w:p>
        </w:tc>
        <w:tc>
          <w:tcPr>
            <w:tcW w:w="16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900" w:type="dxa"/>
            <w:vAlign w:val="bottom"/>
            <w:tcBorders>
              <w:bottom w:val="single" w:sz="8" w:color="CFF0FC"/>
            </w:tcBorders>
            <w:gridSpan w:val="4"/>
          </w:tcPr>
          <w:p>
            <w:pPr>
              <w:jc w:val="center"/>
              <w:ind w:left="120"/>
              <w:spacing w:after="0"/>
              <w:rPr>
                <w:sz w:val="20"/>
                <w:szCs w:val="20"/>
                <w:color w:val="auto"/>
              </w:rPr>
            </w:pPr>
            <w:r>
              <w:rPr>
                <w:rFonts w:ascii="Times New Roman" w:cs="Times New Roman" w:eastAsia="Times New Roman" w:hAnsi="Times New Roman"/>
                <w:sz w:val="12"/>
                <w:szCs w:val="12"/>
                <w:color w:val="auto"/>
                <w:w w:val="98"/>
              </w:rPr>
              <w:t>9/27/2018</w:t>
            </w:r>
          </w:p>
        </w:tc>
        <w:tc>
          <w:tcPr>
            <w:tcW w:w="200" w:type="dxa"/>
            <w:vAlign w:val="bottom"/>
            <w:tcBorders>
              <w:bottom w:val="single" w:sz="8" w:color="CFF0FC"/>
            </w:tcBorders>
          </w:tcPr>
          <w:p>
            <w:pPr>
              <w:spacing w:after="0"/>
              <w:rPr>
                <w:sz w:val="12"/>
                <w:szCs w:val="12"/>
                <w:color w:val="auto"/>
              </w:rPr>
            </w:pPr>
          </w:p>
        </w:tc>
        <w:tc>
          <w:tcPr>
            <w:tcW w:w="1380" w:type="dxa"/>
            <w:vAlign w:val="bottom"/>
            <w:tcBorders>
              <w:bottom w:val="single" w:sz="8" w:color="CFF0FC"/>
            </w:tcBorders>
            <w:gridSpan w:val="8"/>
          </w:tcPr>
          <w:p>
            <w:pPr>
              <w:jc w:val="right"/>
              <w:ind w:right="106"/>
              <w:spacing w:after="0"/>
              <w:rPr>
                <w:sz w:val="20"/>
                <w:szCs w:val="20"/>
                <w:color w:val="auto"/>
              </w:rPr>
            </w:pPr>
            <w:r>
              <w:rPr>
                <w:rFonts w:ascii="Times New Roman" w:cs="Times New Roman" w:eastAsia="Times New Roman" w:hAnsi="Times New Roman"/>
                <w:sz w:val="12"/>
                <w:szCs w:val="12"/>
                <w:color w:val="auto"/>
              </w:rPr>
              <w:t>24.8%</w:t>
            </w: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9,843,450</w:t>
            </w: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8,500,000</w:t>
            </w:r>
          </w:p>
        </w:tc>
        <w:tc>
          <w:tcPr>
            <w:tcW w:w="100" w:type="dxa"/>
            <w:vAlign w:val="bottom"/>
            <w:tcBorders>
              <w:bottom w:val="single" w:sz="8" w:color="CFF0FC"/>
            </w:tcBorders>
          </w:tcPr>
          <w:p>
            <w:pPr>
              <w:spacing w:after="0"/>
              <w:rPr>
                <w:sz w:val="12"/>
                <w:szCs w:val="12"/>
                <w:color w:val="auto"/>
              </w:rPr>
            </w:pPr>
          </w:p>
        </w:tc>
      </w:tr>
      <w:tr>
        <w:trPr>
          <w:trHeight w:val="114"/>
        </w:trPr>
        <w:tc>
          <w:tcPr>
            <w:tcW w:w="2860" w:type="dxa"/>
            <w:vAlign w:val="bottom"/>
            <w:gridSpan w:val="3"/>
            <w:shd w:val="clear" w:color="auto" w:fill="CFF0FC"/>
          </w:tcPr>
          <w:p>
            <w:pPr>
              <w:spacing w:after="0" w:line="114" w:lineRule="exact"/>
              <w:rPr>
                <w:sz w:val="20"/>
                <w:szCs w:val="20"/>
                <w:color w:val="auto"/>
              </w:rPr>
            </w:pPr>
            <w:r>
              <w:rPr>
                <w:rFonts w:ascii="Times New Roman" w:cs="Times New Roman" w:eastAsia="Times New Roman" w:hAnsi="Times New Roman"/>
                <w:sz w:val="12"/>
                <w:szCs w:val="12"/>
                <w:b w:val="1"/>
                <w:bCs w:val="1"/>
                <w:color w:val="auto"/>
              </w:rPr>
              <w:t>Total Investment in CLO</w:t>
            </w: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6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48"/>
        </w:trPr>
        <w:tc>
          <w:tcPr>
            <w:tcW w:w="28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color w:val="auto"/>
              </w:rPr>
              <w:t>Subordinated Securities</w:t>
            </w: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51,073,520</w:t>
            </w: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39,851,160</w:t>
            </w:r>
          </w:p>
        </w:tc>
        <w:tc>
          <w:tcPr>
            <w:tcW w:w="100" w:type="dxa"/>
            <w:vAlign w:val="bottom"/>
            <w:shd w:val="clear" w:color="auto" w:fill="CFF0FC"/>
          </w:tcPr>
          <w:p>
            <w:pPr>
              <w:spacing w:after="0"/>
              <w:rPr>
                <w:sz w:val="12"/>
                <w:szCs w:val="12"/>
                <w:color w:val="auto"/>
              </w:rPr>
            </w:pPr>
          </w:p>
        </w:tc>
      </w:tr>
      <w:tr>
        <w:trPr>
          <w:trHeight w:val="403"/>
        </w:trPr>
        <w:tc>
          <w:tcPr>
            <w:tcW w:w="2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CLO Rated-Note Investment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8"/>
          </w:tcPr>
          <w:p>
            <w:pPr>
              <w:jc w:val="right"/>
              <w:ind w:right="860"/>
              <w:spacing w:after="0" w:line="128"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860" w:type="dxa"/>
            <w:vAlign w:val="bottom"/>
            <w:gridSpan w:val="3"/>
          </w:tcPr>
          <w:p>
            <w:pPr>
              <w:ind w:left="900"/>
              <w:spacing w:after="0"/>
              <w:rPr>
                <w:sz w:val="20"/>
                <w:szCs w:val="20"/>
                <w:color w:val="auto"/>
              </w:rPr>
            </w:pPr>
            <w:r>
              <w:rPr>
                <w:rFonts w:ascii="Times New Roman" w:cs="Times New Roman" w:eastAsia="Times New Roman" w:hAnsi="Times New Roman"/>
                <w:sz w:val="12"/>
                <w:szCs w:val="12"/>
                <w:b w:val="1"/>
                <w:bCs w:val="1"/>
                <w:color w:val="auto"/>
              </w:rPr>
              <w:t>Portfolio Company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60" w:type="dxa"/>
            <w:vAlign w:val="bottom"/>
            <w:gridSpan w:val="2"/>
          </w:tcPr>
          <w:p>
            <w:pPr>
              <w:ind w:left="900"/>
              <w:spacing w:after="0"/>
              <w:rPr>
                <w:sz w:val="20"/>
                <w:szCs w:val="20"/>
                <w:color w:val="auto"/>
              </w:rPr>
            </w:pPr>
            <w:r>
              <w:rPr>
                <w:rFonts w:ascii="Times New Roman" w:cs="Times New Roman" w:eastAsia="Times New Roman" w:hAnsi="Times New Roman"/>
                <w:sz w:val="12"/>
                <w:szCs w:val="12"/>
                <w:b w:val="1"/>
                <w:bCs w:val="1"/>
                <w:color w:val="auto"/>
              </w:rPr>
              <w:t>Investment</w:t>
            </w:r>
            <w:r>
              <w:rPr>
                <w:rFonts w:ascii="Times New Roman" w:cs="Times New Roman" w:eastAsia="Times New Roman" w:hAnsi="Times New Roman"/>
                <w:sz w:val="10"/>
                <w:szCs w:val="10"/>
                <w:b w:val="1"/>
                <w:bCs w:val="1"/>
                <w:color w:val="auto"/>
              </w:rPr>
              <w:t>15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8"/>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1300" w:type="dxa"/>
            <w:vAlign w:val="bottom"/>
            <w:gridSpan w:val="7"/>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6"/>
              </w:rPr>
              <w:t>Amortized Cost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18"/>
        </w:trPr>
        <w:tc>
          <w:tcPr>
            <w:tcW w:w="2800" w:type="dxa"/>
            <w:vAlign w:val="bottom"/>
            <w:tcBorders>
              <w:top w:val="single" w:sz="8" w:color="auto"/>
            </w:tcBorders>
            <w:gridSpan w:val="2"/>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KCAP 2017-1A</w:t>
            </w:r>
            <w:r>
              <w:rPr>
                <w:rFonts w:ascii="Times New Roman" w:cs="Times New Roman" w:eastAsia="Times New Roman" w:hAnsi="Times New Roman"/>
                <w:sz w:val="10"/>
                <w:szCs w:val="10"/>
                <w:color w:val="auto"/>
              </w:rPr>
              <w:t>(6)(13)</w:t>
            </w:r>
          </w:p>
        </w:tc>
        <w:tc>
          <w:tcPr>
            <w:tcW w:w="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2760" w:type="dxa"/>
            <w:vAlign w:val="bottom"/>
            <w:tcBorders>
              <w:top w:val="single" w:sz="8" w:color="auto"/>
            </w:tcBorders>
            <w:gridSpan w:val="2"/>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Class E Notes, 10.29% Cash, 3 month</w:t>
            </w:r>
          </w:p>
        </w:tc>
        <w:tc>
          <w:tcPr>
            <w:tcW w:w="14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right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44"/>
        </w:trPr>
        <w:tc>
          <w:tcPr>
            <w:tcW w:w="2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LIBOR (2.79%) + 7.50%, Due 12/29</w:t>
            </w:r>
          </w:p>
        </w:tc>
        <w:tc>
          <w:tcPr>
            <w:tcW w:w="760" w:type="dxa"/>
            <w:vAlign w:val="bottom"/>
            <w:gridSpan w:val="4"/>
            <w:shd w:val="clear" w:color="auto" w:fill="CFF0FC"/>
          </w:tcPr>
          <w:p>
            <w:pPr>
              <w:jc w:val="center"/>
              <w:ind w:left="140"/>
              <w:spacing w:after="0"/>
              <w:rPr>
                <w:sz w:val="20"/>
                <w:szCs w:val="20"/>
                <w:color w:val="auto"/>
              </w:rPr>
            </w:pPr>
            <w:r>
              <w:rPr>
                <w:rFonts w:ascii="Times New Roman" w:cs="Times New Roman" w:eastAsia="Times New Roman" w:hAnsi="Times New Roman"/>
                <w:sz w:val="12"/>
                <w:szCs w:val="12"/>
                <w:color w:val="auto"/>
              </w:rPr>
              <w:t>10/24/2017</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4"/>
            <w:shd w:val="clear" w:color="auto" w:fill="CFF0FC"/>
          </w:tcPr>
          <w:p>
            <w:pPr>
              <w:jc w:val="right"/>
              <w:ind w:right="6"/>
              <w:spacing w:after="0"/>
              <w:rPr>
                <w:sz w:val="20"/>
                <w:szCs w:val="20"/>
                <w:color w:val="auto"/>
              </w:rPr>
            </w:pPr>
            <w:r>
              <w:rPr>
                <w:rFonts w:ascii="Times New Roman" w:cs="Times New Roman" w:eastAsia="Times New Roman" w:hAnsi="Times New Roman"/>
                <w:sz w:val="12"/>
                <w:szCs w:val="12"/>
                <w:color w:val="auto"/>
              </w:rPr>
              <w:t>27.4%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4,407,106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4,473,840</w:t>
            </w:r>
          </w:p>
        </w:tc>
        <w:tc>
          <w:tcPr>
            <w:tcW w:w="100" w:type="dxa"/>
            <w:vAlign w:val="bottom"/>
            <w:shd w:val="clear" w:color="auto" w:fill="CFF0FC"/>
          </w:tcPr>
          <w:p>
            <w:pPr>
              <w:spacing w:after="0"/>
              <w:rPr>
                <w:sz w:val="12"/>
                <w:szCs w:val="12"/>
                <w:color w:val="auto"/>
              </w:rPr>
            </w:pPr>
          </w:p>
        </w:tc>
      </w:tr>
      <w:tr>
        <w:trPr>
          <w:trHeight w:val="141"/>
        </w:trPr>
        <w:tc>
          <w:tcPr>
            <w:tcW w:w="2800" w:type="dxa"/>
            <w:vAlign w:val="bottom"/>
            <w:tcBorders>
              <w:bottom w:val="single" w:sz="8" w:color="CFF0FC"/>
            </w:tcBorders>
            <w:gridSpan w:val="2"/>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6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500" w:type="dxa"/>
            <w:vAlign w:val="bottom"/>
            <w:tcBorders>
              <w:bottom w:val="single" w:sz="8" w:color="CFF0FC"/>
            </w:tcBorders>
            <w:gridSpan w:val="2"/>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134"/>
        </w:trPr>
        <w:tc>
          <w:tcPr>
            <w:tcW w:w="2860" w:type="dxa"/>
            <w:vAlign w:val="bottom"/>
            <w:gridSpan w:val="3"/>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Total Investment in CLO Rated-Note</w:t>
            </w: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gridSpan w:val="2"/>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4,407,106</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right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4,473,840</w:t>
            </w:r>
          </w:p>
        </w:tc>
        <w:tc>
          <w:tcPr>
            <w:tcW w:w="100" w:type="dxa"/>
            <w:vAlign w:val="bottom"/>
            <w:shd w:val="clear" w:color="auto" w:fill="CFF0FC"/>
          </w:tcPr>
          <w:p>
            <w:pPr>
              <w:spacing w:after="0"/>
              <w:rPr>
                <w:sz w:val="11"/>
                <w:szCs w:val="11"/>
                <w:color w:val="auto"/>
              </w:rPr>
            </w:pPr>
          </w:p>
        </w:tc>
      </w:tr>
      <w:tr>
        <w:trPr>
          <w:trHeight w:val="134"/>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2860" w:type="dxa"/>
            <w:vAlign w:val="bottom"/>
            <w:gridSpan w:val="3"/>
            <w:shd w:val="clear" w:color="auto" w:fill="CFF0FC"/>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Total Investment in CLO Fund</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860" w:type="dxa"/>
            <w:vAlign w:val="bottom"/>
            <w:gridSpan w:val="3"/>
            <w:shd w:val="clear" w:color="auto" w:fill="CFF0FC"/>
          </w:tcPr>
          <w:p>
            <w:pPr>
              <w:ind w:left="60"/>
              <w:spacing w:after="0" w:line="128" w:lineRule="exact"/>
              <w:rPr>
                <w:sz w:val="20"/>
                <w:szCs w:val="20"/>
                <w:color w:val="auto"/>
              </w:rPr>
            </w:pPr>
            <w:r>
              <w:rPr>
                <w:rFonts w:ascii="Times New Roman" w:cs="Times New Roman" w:eastAsia="Times New Roman" w:hAnsi="Times New Roman"/>
                <w:sz w:val="12"/>
                <w:szCs w:val="12"/>
                <w:b w:val="1"/>
                <w:bCs w:val="1"/>
                <w:color w:val="auto"/>
              </w:rPr>
              <w:t>Securities (28% of net asset</w:t>
            </w: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28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color w:val="auto"/>
              </w:rPr>
              <w:t>value at fair value)</w:t>
            </w: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4"/>
            <w:shd w:val="clear" w:color="auto" w:fill="CFF0FC"/>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55,480,626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44,325,000</w:t>
            </w:r>
          </w:p>
        </w:tc>
        <w:tc>
          <w:tcPr>
            <w:tcW w:w="100" w:type="dxa"/>
            <w:vAlign w:val="bottom"/>
            <w:shd w:val="clear" w:color="auto" w:fill="CFF0FC"/>
          </w:tcPr>
          <w:p>
            <w:pPr>
              <w:spacing w:after="0"/>
              <w:rPr>
                <w:sz w:val="12"/>
                <w:szCs w:val="12"/>
                <w:color w:val="auto"/>
              </w:rPr>
            </w:pPr>
          </w:p>
        </w:tc>
      </w:tr>
      <w:tr>
        <w:trPr>
          <w:trHeight w:val="403"/>
        </w:trPr>
        <w:tc>
          <w:tcPr>
            <w:tcW w:w="2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Asset Manager Affiliates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7"/>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w w:val="95"/>
              </w:rPr>
              <w:t>Initial</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286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8"/>
          </w:tcPr>
          <w:p>
            <w:pPr>
              <w:jc w:val="center"/>
              <w:ind w:right="3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1000" w:type="dxa"/>
            <w:vAlign w:val="bottom"/>
            <w:gridSpan w:val="5"/>
          </w:tcPr>
          <w:p>
            <w:pPr>
              <w:jc w:val="right"/>
              <w:ind w:right="400"/>
              <w:spacing w:after="0" w:line="128"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76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2"/>
                <w:szCs w:val="12"/>
                <w:b w:val="1"/>
                <w:bCs w:val="1"/>
                <w:color w:val="auto"/>
              </w:rPr>
              <w:t>Investment</w:t>
            </w:r>
            <w:r>
              <w:rPr>
                <w:rFonts w:ascii="Times New Roman" w:cs="Times New Roman" w:eastAsia="Times New Roman" w:hAnsi="Times New Roman"/>
                <w:sz w:val="10"/>
                <w:szCs w:val="10"/>
                <w:b w:val="1"/>
                <w:bCs w:val="1"/>
                <w:color w:val="auto"/>
              </w:rPr>
              <w:t>15</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Fair Value2</w:t>
            </w:r>
          </w:p>
        </w:tc>
        <w:tc>
          <w:tcPr>
            <w:tcW w:w="100" w:type="dxa"/>
            <w:vAlign w:val="bottom"/>
            <w:tcBorders>
              <w:bottom w:val="single" w:sz="8" w:color="CFF0FC"/>
            </w:tcBorders>
          </w:tcPr>
          <w:p>
            <w:pPr>
              <w:spacing w:after="0"/>
              <w:rPr>
                <w:sz w:val="12"/>
                <w:szCs w:val="12"/>
                <w:color w:val="auto"/>
              </w:rPr>
            </w:pPr>
          </w:p>
        </w:tc>
      </w:tr>
      <w:tr>
        <w:trPr>
          <w:trHeight w:val="134"/>
        </w:trPr>
        <w:tc>
          <w:tcPr>
            <w:tcW w:w="2860" w:type="dxa"/>
            <w:vAlign w:val="bottom"/>
            <w:gridSpan w:val="3"/>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Asset Manager Affiliates</w:t>
            </w:r>
            <w:r>
              <w:rPr>
                <w:rFonts w:ascii="Times New Roman" w:cs="Times New Roman" w:eastAsia="Times New Roman" w:hAnsi="Times New Roman"/>
                <w:sz w:val="10"/>
                <w:szCs w:val="10"/>
                <w:color w:val="auto"/>
              </w:rPr>
              <w:t>(8)(13)(17)</w:t>
            </w: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Asset Management Company</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0" w:type="dxa"/>
            <w:vAlign w:val="bottom"/>
            <w:gridSpan w:val="6"/>
            <w:shd w:val="clear" w:color="auto" w:fill="CFF0FC"/>
          </w:tcPr>
          <w:p>
            <w:pPr>
              <w:jc w:val="center"/>
              <w:spacing w:after="0" w:line="134" w:lineRule="exact"/>
              <w:rPr>
                <w:sz w:val="20"/>
                <w:szCs w:val="20"/>
                <w:color w:val="auto"/>
              </w:rPr>
            </w:pPr>
            <w:r>
              <w:rPr>
                <w:rFonts w:ascii="Times New Roman" w:cs="Times New Roman" w:eastAsia="Times New Roman" w:hAnsi="Times New Roman"/>
                <w:sz w:val="12"/>
                <w:szCs w:val="12"/>
                <w:color w:val="auto"/>
                <w:w w:val="98"/>
              </w:rPr>
              <w:t>12/11/2006</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gridSpan w:val="5"/>
            <w:shd w:val="clear" w:color="auto" w:fill="CFF0FC"/>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100%</w:t>
            </w:r>
          </w:p>
        </w:tc>
        <w:tc>
          <w:tcPr>
            <w:tcW w:w="140" w:type="dxa"/>
            <w:vAlign w:val="bottom"/>
            <w:gridSpan w:val="2"/>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gridSpan w:val="2"/>
            <w:shd w:val="clear" w:color="auto" w:fill="CFF0FC"/>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17,791,230</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80" w:type="dxa"/>
            <w:vAlign w:val="bottom"/>
            <w:tcBorders>
              <w:right w:val="single" w:sz="8" w:color="CFF0FC"/>
            </w:tcBorders>
            <w:gridSpan w:val="2"/>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3,470,000</w:t>
            </w:r>
          </w:p>
        </w:tc>
        <w:tc>
          <w:tcPr>
            <w:tcW w:w="100" w:type="dxa"/>
            <w:vAlign w:val="bottom"/>
            <w:shd w:val="clear" w:color="auto" w:fill="CFF0FC"/>
          </w:tcPr>
          <w:p>
            <w:pPr>
              <w:spacing w:after="0"/>
              <w:rPr>
                <w:sz w:val="11"/>
                <w:szCs w:val="11"/>
                <w:color w:val="auto"/>
              </w:rPr>
            </w:pPr>
          </w:p>
        </w:tc>
      </w:tr>
      <w:tr>
        <w:trPr>
          <w:trHeight w:val="134"/>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2860" w:type="dxa"/>
            <w:vAlign w:val="bottom"/>
            <w:gridSpan w:val="3"/>
            <w:shd w:val="clear" w:color="auto" w:fill="CFF0FC"/>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Total Investment in Asset Manager</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8"/>
        </w:trPr>
        <w:tc>
          <w:tcPr>
            <w:tcW w:w="2860" w:type="dxa"/>
            <w:vAlign w:val="bottom"/>
            <w:gridSpan w:val="3"/>
            <w:shd w:val="clear" w:color="auto" w:fill="CFF0FC"/>
          </w:tcPr>
          <w:p>
            <w:pPr>
              <w:ind w:left="100"/>
              <w:spacing w:after="0" w:line="128" w:lineRule="exact"/>
              <w:rPr>
                <w:sz w:val="20"/>
                <w:szCs w:val="20"/>
                <w:color w:val="auto"/>
              </w:rPr>
            </w:pPr>
            <w:r>
              <w:rPr>
                <w:rFonts w:ascii="Times New Roman" w:cs="Times New Roman" w:eastAsia="Times New Roman" w:hAnsi="Times New Roman"/>
                <w:sz w:val="12"/>
                <w:szCs w:val="12"/>
                <w:b w:val="1"/>
                <w:bCs w:val="1"/>
                <w:color w:val="auto"/>
              </w:rPr>
              <w:t>Affiliates (2% of net asset value</w:t>
            </w: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28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color w:val="auto"/>
              </w:rPr>
              <w:t>at fair value)</w:t>
            </w: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gridSpan w:val="3"/>
            <w:shd w:val="clear" w:color="auto" w:fill="CFF0FC"/>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17,791,230</w:t>
            </w:r>
          </w:p>
        </w:tc>
        <w:tc>
          <w:tcPr>
            <w:tcW w:w="60" w:type="dxa"/>
            <w:vAlign w:val="bottom"/>
            <w:shd w:val="clear" w:color="auto" w:fill="CFF0FC"/>
          </w:tcPr>
          <w:p>
            <w:pPr>
              <w:spacing w:after="0"/>
              <w:rPr>
                <w:sz w:val="12"/>
                <w:szCs w:val="12"/>
                <w:color w:val="auto"/>
              </w:rPr>
            </w:pPr>
          </w:p>
        </w:tc>
        <w:tc>
          <w:tcPr>
            <w:tcW w:w="300" w:type="dxa"/>
            <w:vAlign w:val="bottom"/>
            <w:gridSpan w:val="4"/>
            <w:shd w:val="clear" w:color="auto" w:fill="CFF0FC"/>
          </w:tcPr>
          <w:p>
            <w:pPr>
              <w:jc w:val="right"/>
              <w:ind w:right="16"/>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3,470,000</w:t>
            </w:r>
          </w:p>
        </w:tc>
        <w:tc>
          <w:tcPr>
            <w:tcW w:w="100" w:type="dxa"/>
            <w:vAlign w:val="bottom"/>
            <w:shd w:val="clear" w:color="auto" w:fill="CFF0FC"/>
          </w:tcPr>
          <w:p>
            <w:pPr>
              <w:spacing w:after="0"/>
              <w:rPr>
                <w:sz w:val="12"/>
                <w:szCs w:val="12"/>
                <w:color w:val="auto"/>
              </w:rPr>
            </w:pPr>
          </w:p>
        </w:tc>
      </w:tr>
      <w:tr>
        <w:trPr>
          <w:trHeight w:val="403"/>
        </w:trPr>
        <w:tc>
          <w:tcPr>
            <w:tcW w:w="2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Joint Ventures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7"/>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w w:val="95"/>
              </w:rPr>
              <w:t>Initial</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286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Portfolio Company /</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8"/>
          </w:tcPr>
          <w:p>
            <w:pPr>
              <w:jc w:val="center"/>
              <w:ind w:right="3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1000" w:type="dxa"/>
            <w:vAlign w:val="bottom"/>
            <w:gridSpan w:val="5"/>
          </w:tcPr>
          <w:p>
            <w:pPr>
              <w:jc w:val="right"/>
              <w:ind w:right="400"/>
              <w:spacing w:after="0" w:line="128"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Principal Business</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76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2"/>
                <w:szCs w:val="12"/>
                <w:b w:val="1"/>
                <w:bCs w:val="1"/>
                <w:color w:val="auto"/>
              </w:rPr>
              <w:t>Investment</w:t>
            </w:r>
            <w:r>
              <w:rPr>
                <w:rFonts w:ascii="Times New Roman" w:cs="Times New Roman" w:eastAsia="Times New Roman" w:hAnsi="Times New Roman"/>
                <w:sz w:val="10"/>
                <w:szCs w:val="10"/>
                <w:b w:val="1"/>
                <w:bCs w:val="1"/>
                <w:color w:val="auto"/>
              </w:rPr>
              <w:t>15</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00" w:type="dxa"/>
            <w:vAlign w:val="bottom"/>
            <w:tcBorders>
              <w:bottom w:val="single" w:sz="8" w:color="CFF0FC"/>
            </w:tcBorders>
          </w:tcPr>
          <w:p>
            <w:pPr>
              <w:spacing w:after="0"/>
              <w:rPr>
                <w:sz w:val="12"/>
                <w:szCs w:val="12"/>
                <w:color w:val="auto"/>
              </w:rPr>
            </w:pPr>
          </w:p>
        </w:tc>
      </w:tr>
      <w:tr>
        <w:trPr>
          <w:trHeight w:val="134"/>
        </w:trPr>
        <w:tc>
          <w:tcPr>
            <w:tcW w:w="2860" w:type="dxa"/>
            <w:vAlign w:val="bottom"/>
            <w:gridSpan w:val="3"/>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KCAP Freedom 3 LLC(9)(13)</w:t>
            </w: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Joint Venture</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740" w:type="dxa"/>
            <w:vAlign w:val="bottom"/>
            <w:gridSpan w:val="3"/>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7/19/2017</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gridSpan w:val="5"/>
            <w:shd w:val="clear" w:color="auto" w:fill="CFF0FC"/>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60%</w:t>
            </w:r>
          </w:p>
        </w:tc>
        <w:tc>
          <w:tcPr>
            <w:tcW w:w="140" w:type="dxa"/>
            <w:vAlign w:val="bottom"/>
            <w:gridSpan w:val="2"/>
            <w:shd w:val="clear" w:color="auto" w:fill="CFF0FC"/>
          </w:tcPr>
          <w:p>
            <w:pPr>
              <w:spacing w:after="0"/>
              <w:rPr>
                <w:sz w:val="11"/>
                <w:szCs w:val="11"/>
                <w:color w:val="auto"/>
              </w:rPr>
            </w:pP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24,914,858</w:t>
            </w:r>
          </w:p>
        </w:tc>
        <w:tc>
          <w:tcPr>
            <w:tcW w:w="60" w:type="dxa"/>
            <w:vAlign w:val="bottom"/>
            <w:shd w:val="clear" w:color="auto" w:fill="CFF0FC"/>
          </w:tcPr>
          <w:p>
            <w:pPr>
              <w:spacing w:after="0"/>
              <w:rPr>
                <w:sz w:val="11"/>
                <w:szCs w:val="11"/>
                <w:color w:val="auto"/>
              </w:rPr>
            </w:pPr>
          </w:p>
        </w:tc>
        <w:tc>
          <w:tcPr>
            <w:tcW w:w="220" w:type="dxa"/>
            <w:vAlign w:val="bottom"/>
            <w:tcBorders>
              <w:right w:val="single" w:sz="8" w:color="CFF0FC"/>
            </w:tcBorders>
            <w:gridSpan w:val="3"/>
            <w:shd w:val="clear" w:color="auto" w:fill="CFF0FC"/>
          </w:tcPr>
          <w:p>
            <w:pPr>
              <w:spacing w:after="0"/>
              <w:rPr>
                <w:sz w:val="11"/>
                <w:szCs w:val="11"/>
                <w:color w:val="auto"/>
              </w:rPr>
            </w:pPr>
          </w:p>
        </w:tc>
        <w:tc>
          <w:tcPr>
            <w:tcW w:w="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18,390,440</w:t>
            </w:r>
          </w:p>
        </w:tc>
        <w:tc>
          <w:tcPr>
            <w:tcW w:w="100" w:type="dxa"/>
            <w:vAlign w:val="bottom"/>
            <w:shd w:val="clear" w:color="auto" w:fill="CFF0FC"/>
          </w:tcPr>
          <w:p>
            <w:pPr>
              <w:spacing w:after="0"/>
              <w:rPr>
                <w:sz w:val="11"/>
                <w:szCs w:val="11"/>
                <w:color w:val="auto"/>
              </w:rPr>
            </w:pPr>
          </w:p>
        </w:tc>
      </w:tr>
      <w:tr>
        <w:trPr>
          <w:trHeight w:val="141"/>
        </w:trPr>
        <w:tc>
          <w:tcPr>
            <w:tcW w:w="286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860" w:type="dxa"/>
            <w:vAlign w:val="bottom"/>
            <w:gridSpan w:val="3"/>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BCP Great Lakes Holdings LP</w:t>
            </w:r>
            <w:r>
              <w:rPr>
                <w:rFonts w:ascii="Times New Roman" w:cs="Times New Roman" w:eastAsia="Times New Roman" w:hAnsi="Times New Roman"/>
                <w:sz w:val="10"/>
                <w:szCs w:val="10"/>
                <w:color w:val="auto"/>
              </w:rPr>
              <w:t>(17)</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8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Limited Partnership</w:t>
            </w: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Joint Venture</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12/11/2018</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55.6%</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12,466,667</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12,466,667</w:t>
            </w:r>
          </w:p>
        </w:tc>
        <w:tc>
          <w:tcPr>
            <w:tcW w:w="100" w:type="dxa"/>
            <w:vAlign w:val="bottom"/>
            <w:shd w:val="clear" w:color="auto" w:fill="CFF0FC"/>
          </w:tcPr>
          <w:p>
            <w:pPr>
              <w:spacing w:after="0"/>
              <w:rPr>
                <w:sz w:val="12"/>
                <w:szCs w:val="12"/>
                <w:color w:val="auto"/>
              </w:rPr>
            </w:pPr>
          </w:p>
        </w:tc>
      </w:tr>
      <w:tr>
        <w:trPr>
          <w:trHeight w:val="114"/>
        </w:trPr>
        <w:tc>
          <w:tcPr>
            <w:tcW w:w="2860" w:type="dxa"/>
            <w:vAlign w:val="bottom"/>
            <w:tcBorders>
              <w:top w:val="single" w:sz="8" w:color="auto"/>
            </w:tcBorders>
            <w:gridSpan w:val="3"/>
          </w:tcPr>
          <w:p>
            <w:pPr>
              <w:spacing w:after="0" w:line="114" w:lineRule="exact"/>
              <w:rPr>
                <w:sz w:val="20"/>
                <w:szCs w:val="20"/>
                <w:color w:val="auto"/>
              </w:rPr>
            </w:pPr>
            <w:r>
              <w:rPr>
                <w:rFonts w:ascii="Times New Roman" w:cs="Times New Roman" w:eastAsia="Times New Roman" w:hAnsi="Times New Roman"/>
                <w:sz w:val="12"/>
                <w:szCs w:val="12"/>
                <w:b w:val="1"/>
                <w:bCs w:val="1"/>
                <w:color w:val="auto"/>
              </w:rPr>
              <w:t>Total Investment in Joint Ventures</w:t>
            </w: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48"/>
        </w:trPr>
        <w:tc>
          <w:tcPr>
            <w:tcW w:w="286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(20% of net asset value at fair value)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37,381,525</w:t>
            </w:r>
          </w:p>
        </w:tc>
        <w:tc>
          <w:tcPr>
            <w:tcW w:w="60" w:type="dxa"/>
            <w:vAlign w:val="bottom"/>
          </w:tcPr>
          <w:p>
            <w:pPr>
              <w:spacing w:after="0"/>
              <w:rPr>
                <w:sz w:val="12"/>
                <w:szCs w:val="12"/>
                <w:color w:val="auto"/>
              </w:rPr>
            </w:pPr>
          </w:p>
        </w:tc>
        <w:tc>
          <w:tcPr>
            <w:tcW w:w="300" w:type="dxa"/>
            <w:vAlign w:val="bottom"/>
            <w:gridSpan w:val="4"/>
          </w:tcPr>
          <w:p>
            <w:pPr>
              <w:jc w:val="right"/>
              <w:ind w:right="16"/>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30,857,107</w:t>
            </w:r>
          </w:p>
        </w:tc>
        <w:tc>
          <w:tcPr>
            <w:tcW w:w="100" w:type="dxa"/>
            <w:vAlign w:val="bottom"/>
          </w:tcPr>
          <w:p>
            <w:pPr>
              <w:spacing w:after="0"/>
              <w:rPr>
                <w:sz w:val="12"/>
                <w:szCs w:val="12"/>
                <w:color w:val="auto"/>
              </w:rPr>
            </w:pPr>
          </w:p>
        </w:tc>
      </w:tr>
      <w:tr>
        <w:trPr>
          <w:trHeight w:val="20"/>
        </w:trPr>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Short-term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Initial</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Par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100"/>
              <w:spacing w:after="0" w:line="128" w:lineRule="exact"/>
              <w:rPr>
                <w:sz w:val="20"/>
                <w:szCs w:val="20"/>
                <w:color w:val="auto"/>
              </w:rPr>
            </w:pPr>
            <w:r>
              <w:rPr>
                <w:rFonts w:ascii="Times New Roman" w:cs="Times New Roman" w:eastAsia="Times New Roman" w:hAnsi="Times New Roman"/>
                <w:sz w:val="12"/>
                <w:szCs w:val="12"/>
                <w:b w:val="1"/>
                <w:bCs w:val="1"/>
                <w:color w:val="auto"/>
                <w:w w:val="99"/>
              </w:rPr>
              <w:t>/Amortized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Short-term Investments</w:t>
            </w:r>
          </w:p>
        </w:tc>
        <w:tc>
          <w:tcPr>
            <w:tcW w:w="160" w:type="dxa"/>
            <w:vAlign w:val="bottom"/>
            <w:tcBorders>
              <w:bottom w:val="single" w:sz="8" w:color="CFF0FC"/>
            </w:tcBorders>
          </w:tcPr>
          <w:p>
            <w:pPr>
              <w:spacing w:after="0"/>
              <w:rPr>
                <w:sz w:val="12"/>
                <w:szCs w:val="12"/>
                <w:color w:val="auto"/>
              </w:rPr>
            </w:pPr>
          </w:p>
        </w:tc>
        <w:tc>
          <w:tcPr>
            <w:tcW w:w="29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2"/>
                <w:szCs w:val="12"/>
                <w:b w:val="1"/>
                <w:bCs w:val="1"/>
                <w:color w:val="auto"/>
              </w:rPr>
              <w:t>Investment</w:t>
            </w:r>
            <w:r>
              <w:rPr>
                <w:rFonts w:ascii="Times New Roman" w:cs="Times New Roman" w:eastAsia="Times New Roman" w:hAnsi="Times New Roman"/>
                <w:sz w:val="10"/>
                <w:szCs w:val="10"/>
                <w:b w:val="1"/>
                <w:bCs w:val="1"/>
                <w:color w:val="auto"/>
              </w:rPr>
              <w:t>15</w:t>
            </w:r>
          </w:p>
        </w:tc>
        <w:tc>
          <w:tcPr>
            <w:tcW w:w="160" w:type="dxa"/>
            <w:vAlign w:val="bottom"/>
            <w:tcBorders>
              <w:bottom w:val="single" w:sz="8" w:color="CFF0FC"/>
            </w:tcBorders>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16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Yield</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Fair Value2</w:t>
            </w:r>
          </w:p>
        </w:tc>
        <w:tc>
          <w:tcPr>
            <w:tcW w:w="100" w:type="dxa"/>
            <w:vAlign w:val="bottom"/>
            <w:tcBorders>
              <w:bottom w:val="single" w:sz="8" w:color="CFF0FC"/>
            </w:tcBorders>
          </w:tcPr>
          <w:p>
            <w:pPr>
              <w:spacing w:after="0"/>
              <w:rPr>
                <w:sz w:val="12"/>
                <w:szCs w:val="12"/>
                <w:color w:val="auto"/>
              </w:rPr>
            </w:pPr>
          </w:p>
        </w:tc>
      </w:tr>
      <w:tr>
        <w:trPr>
          <w:trHeight w:val="134"/>
        </w:trPr>
        <w:tc>
          <w:tcPr>
            <w:tcW w:w="29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US Bank Money Market Account(7)(8)</w:t>
            </w:r>
          </w:p>
        </w:tc>
        <w:tc>
          <w:tcPr>
            <w:tcW w:w="160" w:type="dxa"/>
            <w:vAlign w:val="bottom"/>
            <w:shd w:val="clear" w:color="auto" w:fill="CFF0FC"/>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Money Market Account</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N/A</w:t>
            </w:r>
          </w:p>
        </w:tc>
        <w:tc>
          <w:tcPr>
            <w:tcW w:w="16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rPr>
              <w:t>0.20%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34,757,129</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color w:val="auto"/>
              </w:rPr>
              <w:t>34,757,129</w:t>
            </w:r>
          </w:p>
        </w:tc>
        <w:tc>
          <w:tcPr>
            <w:tcW w:w="100" w:type="dxa"/>
            <w:vAlign w:val="bottom"/>
            <w:shd w:val="clear" w:color="auto" w:fill="CFF0FC"/>
          </w:tcPr>
          <w:p>
            <w:pPr>
              <w:spacing w:after="0"/>
              <w:rPr>
                <w:sz w:val="11"/>
                <w:szCs w:val="11"/>
                <w:color w:val="auto"/>
              </w:rPr>
            </w:pPr>
          </w:p>
        </w:tc>
      </w:tr>
      <w:tr>
        <w:trPr>
          <w:trHeight w:val="141"/>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US Treasury Bill (Cusip:912796UH0)(8)</w:t>
            </w:r>
          </w:p>
        </w:tc>
        <w:tc>
          <w:tcPr>
            <w:tcW w:w="324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U.S. Government Obligation</w:t>
            </w: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9,999,349</w:t>
            </w:r>
          </w:p>
        </w:tc>
        <w:tc>
          <w:tcPr>
            <w:tcW w:w="2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9,999,349</w:t>
            </w:r>
          </w:p>
        </w:tc>
        <w:tc>
          <w:tcPr>
            <w:tcW w:w="100" w:type="dxa"/>
            <w:vAlign w:val="bottom"/>
            <w:shd w:val="clear" w:color="auto" w:fill="CFF0FC"/>
          </w:tcPr>
          <w:p>
            <w:pPr>
              <w:spacing w:after="0"/>
              <w:rPr>
                <w:sz w:val="12"/>
                <w:szCs w:val="12"/>
                <w:color w:val="auto"/>
              </w:rPr>
            </w:pPr>
          </w:p>
        </w:tc>
      </w:tr>
      <w:tr>
        <w:trPr>
          <w:trHeight w:val="114"/>
        </w:trPr>
        <w:tc>
          <w:tcPr>
            <w:tcW w:w="2920" w:type="dxa"/>
            <w:vAlign w:val="bottom"/>
          </w:tcPr>
          <w:p>
            <w:pPr>
              <w:spacing w:after="0" w:line="114" w:lineRule="exact"/>
              <w:rPr>
                <w:sz w:val="20"/>
                <w:szCs w:val="20"/>
                <w:color w:val="auto"/>
              </w:rPr>
            </w:pPr>
            <w:r>
              <w:rPr>
                <w:rFonts w:ascii="Times New Roman" w:cs="Times New Roman" w:eastAsia="Times New Roman" w:hAnsi="Times New Roman"/>
                <w:sz w:val="12"/>
                <w:szCs w:val="12"/>
                <w:b w:val="1"/>
                <w:bCs w:val="1"/>
                <w:color w:val="auto"/>
              </w:rPr>
              <w:t>Total Short-term Investments</w:t>
            </w:r>
          </w:p>
        </w:tc>
        <w:tc>
          <w:tcPr>
            <w:tcW w:w="1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8"/>
        </w:trPr>
        <w:tc>
          <w:tcPr>
            <w:tcW w:w="29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(28% of net asset value at fair value)</w:t>
            </w:r>
          </w:p>
        </w:tc>
        <w:tc>
          <w:tcPr>
            <w:tcW w:w="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44,756,478</w:t>
            </w:r>
          </w:p>
        </w:tc>
        <w:tc>
          <w:tcPr>
            <w:tcW w:w="40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44,756,478</w:t>
            </w:r>
          </w:p>
        </w:tc>
        <w:tc>
          <w:tcPr>
            <w:tcW w:w="100" w:type="dxa"/>
            <w:vAlign w:val="bottom"/>
          </w:tcPr>
          <w:p>
            <w:pPr>
              <w:spacing w:after="0"/>
              <w:rPr>
                <w:sz w:val="12"/>
                <w:szCs w:val="12"/>
                <w:color w:val="auto"/>
              </w:rPr>
            </w:pPr>
          </w:p>
        </w:tc>
      </w:tr>
      <w:tr>
        <w:trPr>
          <w:trHeight w:val="134"/>
        </w:trPr>
        <w:tc>
          <w:tcPr>
            <w:tcW w:w="2920" w:type="dxa"/>
            <w:vAlign w:val="bottom"/>
            <w:tcBorders>
              <w:top w:val="single" w:sz="8" w:color="CFF0FC"/>
              <w:bottom w:val="single" w:sz="8" w:color="CFF0FC"/>
            </w:tcBorders>
            <w:shd w:val="clear" w:color="auto" w:fill="CFF0FC"/>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Total Investments4</w:t>
            </w:r>
          </w:p>
        </w:tc>
        <w:tc>
          <w:tcPr>
            <w:tcW w:w="160" w:type="dxa"/>
            <w:vAlign w:val="bottom"/>
            <w:tcBorders>
              <w:top w:val="single" w:sz="8" w:color="CFF0FC"/>
              <w:bottom w:val="single" w:sz="8" w:color="CFF0FC"/>
            </w:tcBorders>
            <w:shd w:val="clear" w:color="auto" w:fill="CFF0FC"/>
          </w:tcPr>
          <w:p>
            <w:pPr>
              <w:spacing w:after="0"/>
              <w:rPr>
                <w:sz w:val="11"/>
                <w:szCs w:val="11"/>
                <w:color w:val="auto"/>
              </w:rPr>
            </w:pPr>
          </w:p>
        </w:tc>
        <w:tc>
          <w:tcPr>
            <w:tcW w:w="2920" w:type="dxa"/>
            <w:vAlign w:val="bottom"/>
            <w:tcBorders>
              <w:top w:val="single" w:sz="8" w:color="CFF0FC"/>
              <w:bottom w:val="single" w:sz="8" w:color="CFF0FC"/>
            </w:tcBorders>
            <w:shd w:val="clear" w:color="auto" w:fill="CFF0FC"/>
          </w:tcPr>
          <w:p>
            <w:pPr>
              <w:spacing w:after="0"/>
              <w:rPr>
                <w:sz w:val="11"/>
                <w:szCs w:val="11"/>
                <w:color w:val="auto"/>
              </w:rPr>
            </w:pPr>
          </w:p>
        </w:tc>
        <w:tc>
          <w:tcPr>
            <w:tcW w:w="160" w:type="dxa"/>
            <w:vAlign w:val="bottom"/>
            <w:tcBorders>
              <w:top w:val="single" w:sz="8" w:color="CFF0FC"/>
              <w:bottom w:val="single" w:sz="8" w:color="CFF0FC"/>
            </w:tcBorders>
            <w:shd w:val="clear" w:color="auto" w:fill="CFF0FC"/>
          </w:tcPr>
          <w:p>
            <w:pPr>
              <w:spacing w:after="0"/>
              <w:rPr>
                <w:sz w:val="11"/>
                <w:szCs w:val="11"/>
                <w:color w:val="auto"/>
              </w:rPr>
            </w:pPr>
          </w:p>
        </w:tc>
        <w:tc>
          <w:tcPr>
            <w:tcW w:w="1200" w:type="dxa"/>
            <w:vAlign w:val="bottom"/>
            <w:tcBorders>
              <w:top w:val="single" w:sz="8" w:color="CFF0FC"/>
              <w:bottom w:val="single" w:sz="8" w:color="CFF0FC"/>
            </w:tcBorders>
            <w:shd w:val="clear" w:color="auto" w:fill="CFF0FC"/>
          </w:tcPr>
          <w:p>
            <w:pPr>
              <w:spacing w:after="0"/>
              <w:rPr>
                <w:sz w:val="11"/>
                <w:szCs w:val="11"/>
                <w:color w:val="auto"/>
              </w:rPr>
            </w:pPr>
          </w:p>
        </w:tc>
        <w:tc>
          <w:tcPr>
            <w:tcW w:w="160" w:type="dxa"/>
            <w:vAlign w:val="bottom"/>
            <w:tcBorders>
              <w:top w:val="single" w:sz="8" w:color="CFF0FC"/>
              <w:bottom w:val="single" w:sz="8" w:color="CFF0FC"/>
            </w:tcBorders>
            <w:shd w:val="clear" w:color="auto" w:fill="CFF0FC"/>
          </w:tcPr>
          <w:p>
            <w:pPr>
              <w:spacing w:after="0"/>
              <w:rPr>
                <w:sz w:val="11"/>
                <w:szCs w:val="11"/>
                <w:color w:val="auto"/>
              </w:rPr>
            </w:pPr>
          </w:p>
        </w:tc>
        <w:tc>
          <w:tcPr>
            <w:tcW w:w="1080" w:type="dxa"/>
            <w:vAlign w:val="bottom"/>
            <w:tcBorders>
              <w:top w:val="single" w:sz="8" w:color="CFF0FC"/>
              <w:bottom w:val="single" w:sz="8" w:color="CFF0FC"/>
            </w:tcBorders>
            <w:shd w:val="clear" w:color="auto" w:fill="CFF0FC"/>
          </w:tcPr>
          <w:p>
            <w:pPr>
              <w:spacing w:after="0"/>
              <w:rPr>
                <w:sz w:val="11"/>
                <w:szCs w:val="11"/>
                <w:color w:val="auto"/>
              </w:rPr>
            </w:pPr>
          </w:p>
        </w:tc>
        <w:tc>
          <w:tcPr>
            <w:tcW w:w="180" w:type="dxa"/>
            <w:vAlign w:val="bottom"/>
            <w:tcBorders>
              <w:top w:val="single" w:sz="8" w:color="CFF0FC"/>
              <w:bottom w:val="single" w:sz="8" w:color="CFF0FC"/>
            </w:tcBorders>
            <w:shd w:val="clear" w:color="auto" w:fill="CFF0FC"/>
          </w:tcPr>
          <w:p>
            <w:pPr>
              <w:spacing w:after="0"/>
              <w:rPr>
                <w:sz w:val="11"/>
                <w:szCs w:val="11"/>
                <w:color w:val="auto"/>
              </w:rPr>
            </w:pPr>
          </w:p>
        </w:tc>
        <w:tc>
          <w:tcPr>
            <w:tcW w:w="80" w:type="dxa"/>
            <w:vAlign w:val="bottom"/>
            <w:tcBorders>
              <w:top w:val="single" w:sz="8" w:color="CFF0FC"/>
              <w:bottom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b w:val="1"/>
                <w:bCs w:val="1"/>
                <w:color w:val="auto"/>
              </w:rPr>
              <w:t>327,152,104</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2"/>
                <w:szCs w:val="12"/>
                <w:b w:val="1"/>
                <w:bCs w:val="1"/>
                <w:color w:val="auto"/>
              </w:rPr>
              <w:t>273,308,349</w:t>
            </w: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right="280" w:hanging="438"/>
        <w:spacing w:after="0" w:line="256" w:lineRule="auto"/>
        <w:tabs>
          <w:tab w:leader="none" w:pos="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2018. As noted in the table above, 81% (based on par) of debt securities contain floors</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which range between 0.75% and 3.00%.</w:t>
      </w:r>
    </w:p>
    <w:p>
      <w:pPr>
        <w:spacing w:after="0" w:line="7" w:lineRule="exact"/>
        <w:rPr>
          <w:sz w:val="20"/>
          <w:szCs w:val="20"/>
          <w:color w:val="auto"/>
        </w:rPr>
      </w:pPr>
    </w:p>
    <w:p>
      <w:pPr>
        <w:ind w:left="440" w:hanging="438"/>
        <w:spacing w:after="0"/>
        <w:tabs>
          <w:tab w:leader="none" w:pos="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Reflects the fair market value of all investments as of December 31, 2018, as determined by the Company’s Board of Directors.</w:t>
      </w:r>
    </w:p>
    <w:p>
      <w:pPr>
        <w:spacing w:after="0" w:line="9" w:lineRule="exact"/>
        <w:rPr>
          <w:sz w:val="20"/>
          <w:szCs w:val="20"/>
          <w:color w:val="auto"/>
        </w:rPr>
      </w:pPr>
    </w:p>
    <w:p>
      <w:pPr>
        <w:ind w:left="440" w:hanging="438"/>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Non-U.S. company or principal place of business outside the U.S.</w:t>
      </w:r>
    </w:p>
    <w:p>
      <w:pPr>
        <w:spacing w:after="0" w:line="9" w:lineRule="exact"/>
        <w:rPr>
          <w:sz w:val="20"/>
          <w:szCs w:val="20"/>
          <w:color w:val="auto"/>
        </w:rPr>
      </w:pPr>
    </w:p>
    <w:p>
      <w:pPr>
        <w:ind w:left="440" w:right="60" w:hanging="438"/>
        <w:spacing w:after="0" w:line="251" w:lineRule="auto"/>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aggregate cost of investments for federal income tax purposes is approximately $327 million. The aggregate gross unrealized appreciation is approximately $0 million, the aggregate gross unrealized depreciation is approximately $53.8 million, and the net unrealized depreciation is approximately $53.8 million.</w:t>
      </w:r>
    </w:p>
    <w:p>
      <w:pPr>
        <w:ind w:left="440" w:hanging="438"/>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Loan or debt security is on non-accrual status and therefore is considered non-income producing.</w:t>
      </w:r>
    </w:p>
    <w:p>
      <w:pPr>
        <w:spacing w:after="0" w:line="9" w:lineRule="exact"/>
        <w:rPr>
          <w:sz w:val="20"/>
          <w:szCs w:val="20"/>
          <w:color w:val="auto"/>
        </w:rPr>
      </w:pPr>
    </w:p>
    <w:p>
      <w:pPr>
        <w:ind w:left="440" w:hanging="438"/>
        <w:spacing w:after="0"/>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 affiliate CLO Fund managed by an Asset Manager Affiliate (as such term is defined in the notes to the consolidated financial statements).</w:t>
      </w:r>
    </w:p>
    <w:p>
      <w:pPr>
        <w:spacing w:after="0" w:line="9" w:lineRule="exact"/>
        <w:rPr>
          <w:sz w:val="20"/>
          <w:szCs w:val="20"/>
          <w:color w:val="auto"/>
        </w:rPr>
      </w:pPr>
    </w:p>
    <w:p>
      <w:pPr>
        <w:ind w:left="440" w:hanging="438"/>
        <w:spacing w:after="0"/>
        <w:tabs>
          <w:tab w:leader="none" w:pos="4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Money market account.</w:t>
      </w:r>
    </w:p>
    <w:p>
      <w:pPr>
        <w:spacing w:after="0" w:line="9" w:lineRule="exact"/>
        <w:rPr>
          <w:sz w:val="20"/>
          <w:szCs w:val="20"/>
          <w:color w:val="auto"/>
        </w:rPr>
      </w:pPr>
    </w:p>
    <w:p>
      <w:pPr>
        <w:ind w:left="440" w:hanging="438"/>
        <w:spacing w:after="0"/>
        <w:tabs>
          <w:tab w:leader="none" w:pos="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Qualified asset for purposes of section 55(a) of the Investment Company Act of 1940, as amended (the “1940 Act”). Qualifying assets represent approximately</w:t>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72.0% of the total assets at December 31, 2018.</w:t>
      </w:r>
    </w:p>
    <w:p>
      <w:pPr>
        <w:spacing w:after="0" w:line="7" w:lineRule="exact"/>
        <w:rPr>
          <w:sz w:val="20"/>
          <w:szCs w:val="20"/>
          <w:color w:val="auto"/>
        </w:rPr>
      </w:pPr>
    </w:p>
    <w:p>
      <w:pPr>
        <w:jc w:val="both"/>
        <w:ind w:left="440" w:right="140" w:hanging="438"/>
        <w:spacing w:after="0" w:line="252" w:lineRule="auto"/>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1" w:lineRule="exact"/>
        <w:rPr>
          <w:sz w:val="20"/>
          <w:szCs w:val="20"/>
          <w:color w:val="auto"/>
        </w:rPr>
      </w:pPr>
    </w:p>
    <w:p>
      <w:pPr>
        <w:ind w:left="440" w:right="400"/>
        <w:spacing w:after="0" w:line="250" w:lineRule="auto"/>
        <w:rPr>
          <w:sz w:val="20"/>
          <w:szCs w:val="20"/>
          <w:color w:val="auto"/>
        </w:rPr>
      </w:pPr>
      <w:r>
        <w:rPr>
          <w:rFonts w:ascii="Times New Roman" w:cs="Times New Roman" w:eastAsia="Times New Roman" w:hAnsi="Times New Roman"/>
          <w:sz w:val="17"/>
          <w:szCs w:val="17"/>
          <w:color w:val="auto"/>
        </w:rPr>
        <w:t>(including through a management agreement). Other than for purposes of the 1940 Act, the Company does not believe that it has control over this portfolio company.</w:t>
      </w:r>
    </w:p>
    <w:p>
      <w:pPr>
        <w:ind w:left="440" w:hanging="438"/>
        <w:spacing w:after="0"/>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Non-voting.</w:t>
      </w:r>
    </w:p>
    <w:p>
      <w:pPr>
        <w:spacing w:after="0" w:line="11" w:lineRule="exact"/>
        <w:rPr>
          <w:rFonts w:ascii="Times New Roman" w:cs="Times New Roman" w:eastAsia="Times New Roman" w:hAnsi="Times New Roman"/>
          <w:sz w:val="14"/>
          <w:szCs w:val="14"/>
          <w:color w:val="auto"/>
        </w:rPr>
      </w:pPr>
    </w:p>
    <w:p>
      <w:pPr>
        <w:ind w:left="440" w:right="80" w:hanging="438"/>
        <w:spacing w:after="0" w:line="251" w:lineRule="auto"/>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ind w:left="440" w:hanging="438"/>
        <w:spacing w:after="0"/>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Notice of redemption has been received for this security.</w:t>
      </w:r>
    </w:p>
    <w:p>
      <w:pPr>
        <w:spacing w:after="0" w:line="9" w:lineRule="exact"/>
        <w:rPr>
          <w:rFonts w:ascii="Times New Roman" w:cs="Times New Roman" w:eastAsia="Times New Roman" w:hAnsi="Times New Roman"/>
          <w:sz w:val="14"/>
          <w:szCs w:val="14"/>
          <w:color w:val="auto"/>
        </w:rPr>
      </w:pPr>
    </w:p>
    <w:p>
      <w:pPr>
        <w:ind w:left="440" w:hanging="438"/>
        <w:spacing w:after="0"/>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Fair value of this investment was determined using significant unobservable inputs.</w:t>
      </w:r>
    </w:p>
    <w:p>
      <w:pPr>
        <w:spacing w:after="0" w:line="9" w:lineRule="exact"/>
        <w:rPr>
          <w:rFonts w:ascii="Times New Roman" w:cs="Times New Roman" w:eastAsia="Times New Roman" w:hAnsi="Times New Roman"/>
          <w:sz w:val="14"/>
          <w:szCs w:val="14"/>
          <w:color w:val="auto"/>
        </w:rPr>
      </w:pPr>
    </w:p>
    <w:p>
      <w:pPr>
        <w:ind w:left="440" w:right="40" w:hanging="438"/>
        <w:spacing w:after="0" w:line="251" w:lineRule="auto"/>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As of December 31, 2018, this investment is owned by KCAP Funding I, LLC and was pledged to secure KCAP Funding I, LLC’s debt obligation pursuant to its senior secured revolving credit facility (the “Revolving Credit Facility”) with the Company, as the servicer, certain institutional lenders, State Bank and Trust Company, as the administrative agent, lead arranger and bookrunner, and CIBC Bank USA, as documentation agent.</w:t>
      </w:r>
    </w:p>
    <w:p>
      <w:pPr>
        <w:ind w:left="440" w:right="100" w:hanging="438"/>
        <w:spacing w:after="0" w:line="251" w:lineRule="auto"/>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ind w:left="440" w:right="160" w:hanging="438"/>
        <w:spacing w:after="0" w:line="251" w:lineRule="auto"/>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remaining collateral in these CLO Fund portfolios are illiquid and not producing meaningful cash flows, and thus, the Company’s investment in the CLO Subordinated securities are not currently receiving periodic cash distributions. Accordingly, the Company is no longer recording any investment income from these investments, and has thus noted the effective interest as not meaningful, or N/M. The fair value of the investment reflects the Company’s estimated share of the fair value of the underlying collateral.</w:t>
      </w:r>
    </w:p>
    <w:p>
      <w:pPr>
        <w:jc w:val="both"/>
        <w:ind w:left="440" w:right="100" w:hanging="438"/>
        <w:spacing w:after="0" w:line="262" w:lineRule="auto"/>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PORTMAN RIDGE FINANCE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5"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30"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5080</wp:posOffset>
            </wp:positionV>
            <wp:extent cx="22498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49805"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2019</w:t>
            </w:r>
            <w:r>
              <w:rPr>
                <w:rFonts w:ascii="Times New Roman" w:cs="Times New Roman" w:eastAsia="Times New Roman" w:hAnsi="Times New Roman"/>
                <w:sz w:val="14"/>
                <w:szCs w:val="14"/>
                <w:b w:val="1"/>
                <w:bCs w:val="1"/>
                <w:color w:val="auto"/>
              </w:rPr>
              <w:t>4</w:t>
            </w:r>
          </w:p>
        </w:tc>
        <w:tc>
          <w:tcPr>
            <w:tcW w:w="4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2018</w:t>
            </w:r>
            <w:r>
              <w:rPr>
                <w:rFonts w:ascii="Times New Roman" w:cs="Times New Roman" w:eastAsia="Times New Roman" w:hAnsi="Times New Roman"/>
                <w:sz w:val="14"/>
                <w:szCs w:val="14"/>
                <w:b w:val="1"/>
                <w:bCs w:val="1"/>
                <w:color w:val="auto"/>
              </w:rPr>
              <w:t>4</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Per Share Data:</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Net asset value, at beginning of period</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4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Net investment (loss) income</w:t>
            </w:r>
            <w:r>
              <w:rPr>
                <w:rFonts w:ascii="Times New Roman" w:cs="Times New Roman" w:eastAsia="Times New Roman" w:hAnsi="Times New Roman"/>
                <w:sz w:val="14"/>
                <w:szCs w:val="14"/>
                <w:color w:val="auto"/>
              </w:rPr>
              <w:t>1</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realized (losses) gains from investments</w:t>
            </w:r>
            <w:r>
              <w:rPr>
                <w:rFonts w:ascii="Times New Roman" w:cs="Times New Roman" w:eastAsia="Times New Roman" w:hAnsi="Times New Roman"/>
                <w:sz w:val="14"/>
                <w:szCs w:val="14"/>
                <w:color w:val="auto"/>
              </w:rPr>
              <w:t>1</w:t>
            </w:r>
          </w:p>
        </w:tc>
        <w:tc>
          <w:tcPr>
            <w:tcW w:w="32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(0.45)</w:t>
            </w:r>
          </w:p>
        </w:tc>
        <w:tc>
          <w:tcPr>
            <w:tcW w:w="3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Net change in unrealized appreciation (depreciation) on investments</w:t>
            </w:r>
            <w:r>
              <w:rPr>
                <w:rFonts w:ascii="Times New Roman" w:cs="Times New Roman" w:eastAsia="Times New Roman" w:hAnsi="Times New Roman"/>
                <w:sz w:val="14"/>
                <w:szCs w:val="14"/>
                <w:color w:val="auto"/>
              </w:rPr>
              <w:t>1</w:t>
            </w:r>
          </w:p>
        </w:tc>
        <w:tc>
          <w:tcPr>
            <w:tcW w:w="3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(0.00)</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(0.13)</w:t>
            </w:r>
          </w:p>
        </w:tc>
        <w:tc>
          <w:tcPr>
            <w:tcW w:w="0" w:type="dxa"/>
            <w:vAlign w:val="bottom"/>
          </w:tcPr>
          <w:p>
            <w:pPr>
              <w:spacing w:after="0"/>
              <w:rPr>
                <w:sz w:val="1"/>
                <w:szCs w:val="1"/>
                <w:color w:val="auto"/>
              </w:rPr>
            </w:pPr>
          </w:p>
        </w:tc>
      </w:tr>
      <w:tr>
        <w:trPr>
          <w:trHeight w:val="210"/>
        </w:trPr>
        <w:tc>
          <w:tcPr>
            <w:tcW w:w="7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Net (decrease) increase in net assets resulting from operations</w:t>
            </w: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(0.43)</w:t>
            </w:r>
          </w:p>
        </w:tc>
        <w:tc>
          <w:tcPr>
            <w:tcW w:w="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decrease in net assets resulting from distributions</w:t>
            </w:r>
          </w:p>
        </w:tc>
        <w:tc>
          <w:tcPr>
            <w:tcW w:w="3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(0.26)</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21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Net increase in net assets relating to stock-based transactions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4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asset value, end of period</w:t>
            </w: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4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net asset value return</w:t>
            </w:r>
            <w:r>
              <w:rPr>
                <w:rFonts w:ascii="Times New Roman" w:cs="Times New Roman" w:eastAsia="Times New Roman" w:hAnsi="Times New Roman"/>
                <w:sz w:val="14"/>
                <w:szCs w:val="14"/>
                <w:color w:val="auto"/>
              </w:rPr>
              <w:t>2</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34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Ratio/Supplemental Data:</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Per share market value at beginning of period</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4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Per share market value at end of period</w:t>
            </w: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Total market return</w:t>
            </w:r>
            <w:r>
              <w:rPr>
                <w:rFonts w:ascii="Times New Roman" w:cs="Times New Roman" w:eastAsia="Times New Roman" w:hAnsi="Times New Roman"/>
                <w:sz w:val="14"/>
                <w:szCs w:val="14"/>
                <w:color w:val="auto"/>
              </w:rPr>
              <w:t>3</w:t>
            </w:r>
          </w:p>
        </w:tc>
        <w:tc>
          <w:tcPr>
            <w:tcW w:w="32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(27.5)%</w:t>
            </w:r>
          </w:p>
        </w:tc>
        <w:tc>
          <w:tcPr>
            <w:tcW w:w="3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Shares outstanding at end of period</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37,371,912</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37,349,224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Net assets at end of period</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132,723,012</w:t>
            </w:r>
          </w:p>
        </w:tc>
        <w:tc>
          <w:tcPr>
            <w:tcW w:w="4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173,908,505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Portfolio turnover rate</w:t>
            </w:r>
            <w:r>
              <w:rPr>
                <w:rFonts w:ascii="Times New Roman" w:cs="Times New Roman" w:eastAsia="Times New Roman" w:hAnsi="Times New Roman"/>
                <w:sz w:val="14"/>
                <w:szCs w:val="14"/>
                <w:color w:val="auto"/>
              </w:rPr>
              <w:t>6</w:t>
            </w:r>
          </w:p>
        </w:tc>
        <w:tc>
          <w:tcPr>
            <w:tcW w:w="3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38.0%</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39.4%</w:t>
            </w:r>
          </w:p>
        </w:tc>
        <w:tc>
          <w:tcPr>
            <w:tcW w:w="0" w:type="dxa"/>
            <w:vAlign w:val="bottom"/>
          </w:tcPr>
          <w:p>
            <w:pPr>
              <w:spacing w:after="0"/>
              <w:rPr>
                <w:sz w:val="1"/>
                <w:szCs w:val="1"/>
                <w:color w:val="auto"/>
              </w:rPr>
            </w:pPr>
          </w:p>
        </w:tc>
      </w:tr>
      <w:tr>
        <w:trPr>
          <w:trHeight w:val="217"/>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Asset coverage ratio</w:t>
            </w:r>
          </w:p>
        </w:tc>
        <w:tc>
          <w:tcPr>
            <w:tcW w:w="3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204%</w:t>
            </w:r>
          </w:p>
        </w:tc>
        <w:tc>
          <w:tcPr>
            <w:tcW w:w="3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Ratio of net investment income to average net assets</w:t>
            </w:r>
            <w:r>
              <w:rPr>
                <w:rFonts w:ascii="Times New Roman" w:cs="Times New Roman" w:eastAsia="Times New Roman" w:hAnsi="Times New Roman"/>
                <w:sz w:val="14"/>
                <w:szCs w:val="14"/>
                <w:color w:val="auto"/>
              </w:rPr>
              <w:t>5</w:t>
            </w:r>
          </w:p>
        </w:tc>
        <w:tc>
          <w:tcPr>
            <w:tcW w:w="3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0.9%</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17"/>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Ratio of total expenses to average net assets</w:t>
            </w:r>
            <w:r>
              <w:rPr>
                <w:rFonts w:ascii="Times New Roman" w:cs="Times New Roman" w:eastAsia="Times New Roman" w:hAnsi="Times New Roman"/>
                <w:sz w:val="14"/>
                <w:szCs w:val="14"/>
                <w:color w:val="auto"/>
              </w:rPr>
              <w:t>5</w:t>
            </w:r>
          </w:p>
        </w:tc>
        <w:tc>
          <w:tcPr>
            <w:tcW w:w="3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17.3%</w:t>
            </w:r>
          </w:p>
        </w:tc>
        <w:tc>
          <w:tcPr>
            <w:tcW w:w="3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Ratio of interest expense to average net assets</w:t>
            </w:r>
            <w:r>
              <w:rPr>
                <w:rFonts w:ascii="Times New Roman" w:cs="Times New Roman" w:eastAsia="Times New Roman" w:hAnsi="Times New Roman"/>
                <w:sz w:val="14"/>
                <w:szCs w:val="14"/>
                <w:color w:val="auto"/>
              </w:rPr>
              <w:t>5</w:t>
            </w:r>
          </w:p>
        </w:tc>
        <w:tc>
          <w:tcPr>
            <w:tcW w:w="3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5.6%</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Ratio of non-interest expenses to average net assets</w:t>
            </w:r>
            <w:r>
              <w:rPr>
                <w:rFonts w:ascii="Times New Roman" w:cs="Times New Roman" w:eastAsia="Times New Roman" w:hAnsi="Times New Roman"/>
                <w:sz w:val="14"/>
                <w:szCs w:val="14"/>
                <w:color w:val="auto"/>
              </w:rPr>
              <w:t>5</w:t>
            </w:r>
          </w:p>
        </w:tc>
        <w:tc>
          <w:tcPr>
            <w:tcW w:w="3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11.7%</w:t>
            </w:r>
          </w:p>
        </w:tc>
        <w:tc>
          <w:tcPr>
            <w:tcW w:w="3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40" w:hanging="438"/>
        <w:spacing w:after="0"/>
        <w:tabs>
          <w:tab w:leader="none" w:pos="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Based on weighted average number of common shares outstanding-basic for the period.</w:t>
      </w:r>
    </w:p>
    <w:p>
      <w:pPr>
        <w:spacing w:after="0" w:line="24" w:lineRule="exact"/>
        <w:rPr>
          <w:sz w:val="20"/>
          <w:szCs w:val="20"/>
          <w:color w:val="auto"/>
        </w:rPr>
      </w:pPr>
    </w:p>
    <w:p>
      <w:pPr>
        <w:ind w:left="440" w:hanging="438"/>
        <w:spacing w:after="0"/>
        <w:tabs>
          <w:tab w:leader="none" w:pos="4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Total net asset value return (not annualized) equals the change in the net asset value per share over the period plus distributions, divided by the beginning net</w:t>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asset value per share.</w:t>
      </w:r>
    </w:p>
    <w:p>
      <w:pPr>
        <w:spacing w:after="0" w:line="7" w:lineRule="exact"/>
        <w:rPr>
          <w:sz w:val="20"/>
          <w:szCs w:val="20"/>
          <w:color w:val="auto"/>
        </w:rPr>
      </w:pPr>
    </w:p>
    <w:p>
      <w:pPr>
        <w:ind w:left="440" w:right="100" w:hanging="438"/>
        <w:spacing w:after="0" w:line="251" w:lineRule="auto"/>
        <w:tabs>
          <w:tab w:leader="none" w:pos="4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Total market return (not annualized) equals the change in market price, per share during the period plus distributions, divided by the beginning market price per share.</w:t>
      </w:r>
    </w:p>
    <w:p>
      <w:pPr>
        <w:ind w:left="440" w:hanging="438"/>
        <w:spacing w:after="0"/>
        <w:tabs>
          <w:tab w:leader="none" w:pos="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Totals may not sum due to rounding.</w:t>
      </w:r>
    </w:p>
    <w:p>
      <w:pPr>
        <w:spacing w:after="0" w:line="9" w:lineRule="exact"/>
        <w:rPr>
          <w:sz w:val="20"/>
          <w:szCs w:val="20"/>
          <w:color w:val="auto"/>
        </w:rPr>
      </w:pPr>
    </w:p>
    <w:p>
      <w:pPr>
        <w:ind w:left="440" w:hanging="438"/>
        <w:spacing w:after="0"/>
        <w:tabs>
          <w:tab w:leader="none" w:pos="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Annualized.</w:t>
      </w:r>
    </w:p>
    <w:p>
      <w:pPr>
        <w:spacing w:after="0" w:line="9" w:lineRule="exact"/>
        <w:rPr>
          <w:sz w:val="20"/>
          <w:szCs w:val="20"/>
          <w:color w:val="auto"/>
        </w:rPr>
      </w:pPr>
    </w:p>
    <w:p>
      <w:pPr>
        <w:ind w:left="3600" w:right="2920" w:hanging="3598"/>
        <w:spacing w:after="0" w:line="469" w:lineRule="auto"/>
        <w:tabs>
          <w:tab w:leader="none" w:pos="42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Portfolio turnover rate equals the year-to-date sales and paydowns over the average of the invested assets at fair value.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PORTMAN RIDGE FINANCE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4" w:lineRule="exact"/>
        <w:rPr>
          <w:sz w:val="20"/>
          <w:szCs w:val="20"/>
          <w:color w:val="auto"/>
        </w:rPr>
      </w:pPr>
    </w:p>
    <w:p>
      <w:pPr>
        <w:ind w:left="440" w:hanging="438"/>
        <w:spacing w:after="0"/>
        <w:tabs>
          <w:tab w:leader="none" w:pos="44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w:t>
      </w:r>
    </w:p>
    <w:p>
      <w:pPr>
        <w:spacing w:after="0" w:line="179"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7"/>
          <w:szCs w:val="17"/>
          <w:color w:val="auto"/>
        </w:rPr>
        <w:t>Portman Ridge Finance Corporation (“Portman Ridge” or the “Company”), formerly known as KCAP Financial, Inc.,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spacing w:after="0" w:line="144"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7"/>
          <w:szCs w:val="17"/>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joint ventures and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13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7"/>
          <w:szCs w:val="17"/>
          <w:color w:val="auto"/>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13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7"/>
          <w:szCs w:val="17"/>
          <w:color w:val="auto"/>
        </w:rPr>
        <w:t>On March 29, 2018, the Company’s Board of Directors (the “Board”), including a “required majority” (as such term is defined in Section 57(o) of the 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 However, despite the SBCA, the Company will continue to be prohibited by the indenture governing the Company’s 6.125% Notes Due 2022 (as defined and discussed in Note 6</w:t>
      </w:r>
    </w:p>
    <w:p>
      <w:pPr>
        <w:spacing w:after="0" w:line="2" w:lineRule="exact"/>
        <w:rPr>
          <w:sz w:val="20"/>
          <w:szCs w:val="20"/>
          <w:color w:val="auto"/>
        </w:rPr>
      </w:pPr>
    </w:p>
    <w:p>
      <w:pPr>
        <w:ind w:right="220" w:firstLine="2"/>
        <w:spacing w:after="0" w:line="262" w:lineRule="auto"/>
        <w:tabs>
          <w:tab w:leader="none" w:pos="9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“Borrowings” below) from making distributions on our common stock if the Company’s asset coverage, as defined in the 1940 Act, falls below 200%. In any such event, the Company would be prohibited from making distributions required in order to maintain its status as a RIC.</w:t>
      </w:r>
    </w:p>
    <w:p>
      <w:pPr>
        <w:spacing w:after="0" w:line="144"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7"/>
          <w:szCs w:val="17"/>
          <w:color w:val="auto"/>
        </w:rPr>
        <w:t>During the third quarter of 2017, the Company formed a joint venture with Freedom 3 Opportunities LLC (“Freedom 3 Opportunities”), an affiliate of Freedom 3 Capital LLC, to create KCAP Freedom 3 LLC (the “Joint Venture”). The Company and Freedom 3 Opportunities contributed approximately $37 million and $25 million, respectively, in assets to the Joint Venture, which in turn used the assets to capitalize a new fund (KCAP FC3 Senior Funding, L.L.C. or the “Fund”) managed by KCAP Management, LLC, one of the Company's indirectly wholly-owned Asset Manager Affiliate (as defined below) subsidiaries.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139" w:lineRule="exact"/>
        <w:rPr>
          <w:sz w:val="20"/>
          <w:szCs w:val="20"/>
          <w:color w:val="auto"/>
        </w:rPr>
      </w:pPr>
    </w:p>
    <w:p>
      <w:pPr>
        <w:ind w:right="200" w:firstLine="440"/>
        <w:spacing w:after="0" w:line="267" w:lineRule="auto"/>
        <w:rPr>
          <w:sz w:val="20"/>
          <w:szCs w:val="20"/>
          <w:color w:val="auto"/>
        </w:rPr>
      </w:pPr>
      <w:r>
        <w:rPr>
          <w:rFonts w:ascii="Times New Roman" w:cs="Times New Roman" w:eastAsia="Times New Roman" w:hAnsi="Times New Roman"/>
          <w:sz w:val="17"/>
          <w:szCs w:val="17"/>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LibreMax Transaction</w:t>
      </w:r>
    </w:p>
    <w:p>
      <w:pPr>
        <w:spacing w:after="0" w:line="19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7"/>
          <w:szCs w:val="17"/>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September 30, 2019, the Company’s remaining wholly-owned asset management subsidiaries (the “Asset Manager Affiliates”) were comprised of Commodore, Katonah Management Holdings, LLC, Katonah X Management LLC, Katonah 2007-1 Management, LLC and KCAP Management, LLC. Prior to their sale in the LibreMax Transaction, the Disposed Manager Affiliates represented substantially all of the Company’s investment in the Asset Manager Affiliates.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Externalization Agreement</w:t>
      </w:r>
    </w:p>
    <w:p>
      <w:pPr>
        <w:spacing w:after="0" w:line="179"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7"/>
          <w:szCs w:val="17"/>
          <w:color w:val="auto"/>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15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7"/>
          <w:szCs w:val="17"/>
          <w:color w:val="auto"/>
        </w:rPr>
        <w:t>Pursuant to the Externalization Agreement with BCP, the Adviser became the Company’s investment adviser in exchange for a cash payment from BCP, or its affiliate, of $25 million, or $0.669672 per share of the Company’s common stock, directly to the Company’s stockholders. In addition, the Adviser (or its affiliate) will use up to $10 million of the incentive fee actually paid to the Adviser prior to the second anniversary of the Closing to buy newly issued shares of the Company’s common stock at the most recently determined net asset value per share of the Company’s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w:t>
      </w:r>
    </w:p>
    <w:p>
      <w:pPr>
        <w:spacing w:after="0" w:line="139" w:lineRule="exact"/>
        <w:rPr>
          <w:sz w:val="20"/>
          <w:szCs w:val="20"/>
          <w:color w:val="auto"/>
        </w:rPr>
      </w:pPr>
    </w:p>
    <w:p>
      <w:pPr>
        <w:ind w:right="380" w:firstLine="440"/>
        <w:spacing w:after="0" w:line="283" w:lineRule="auto"/>
        <w:rPr>
          <w:sz w:val="20"/>
          <w:szCs w:val="20"/>
          <w:color w:val="auto"/>
        </w:rPr>
      </w:pPr>
      <w:r>
        <w:rPr>
          <w:rFonts w:ascii="Times New Roman" w:cs="Times New Roman" w:eastAsia="Times New Roman" w:hAnsi="Times New Roman"/>
          <w:sz w:val="17"/>
          <w:szCs w:val="17"/>
          <w:color w:val="auto"/>
        </w:rPr>
        <w:t>On the date of the Closing, the Company changed its name from KCAP Financial, Inc. to Portman Ridge Finance Corporation and on April 2, 2019, began trading on the NASDAQ Global Select Market under the symbol “PTMN.”</w:t>
      </w:r>
    </w:p>
    <w:p>
      <w:pPr>
        <w:spacing w:after="0" w:line="115" w:lineRule="exact"/>
        <w:rPr>
          <w:sz w:val="20"/>
          <w:szCs w:val="20"/>
          <w:color w:val="auto"/>
        </w:rPr>
      </w:pPr>
    </w:p>
    <w:p>
      <w:pPr>
        <w:ind w:right="20" w:firstLine="440"/>
        <w:spacing w:after="0" w:line="276" w:lineRule="auto"/>
        <w:rPr>
          <w:sz w:val="20"/>
          <w:szCs w:val="20"/>
          <w:color w:val="auto"/>
        </w:rPr>
      </w:pPr>
      <w:r>
        <w:rPr>
          <w:rFonts w:ascii="Times New Roman" w:cs="Times New Roman" w:eastAsia="Times New Roman" w:hAnsi="Times New Roman"/>
          <w:sz w:val="16"/>
          <w:szCs w:val="16"/>
          <w:color w:val="auto"/>
        </w:rPr>
        <w:t>On April 1, 2019, in connection with the Closing, all of the Company’s then-current directors resigned from their positions on the Board, with the exceptions of Dean Kehler and Christopher Lacovara. Prior to their resignations, the Board approved an increase in the size of the Board from seven members to eight members and appointed the following new individuals to serve on the Board: Graeme Dell; Alexander Duka; Ted Goldthorpe; George Grunebaum; David Moffitt; and Robert Warshauer. Additionally, in connection with the Closing all of the Company’s then-current officers resigned from their positions with the exceptions of Edward Gilpin and Daniel Gilligan. Effective as of the Closing, Ted Goldthorpe was appointed as President and Chief Executive Officer and Patrick Schafer was appointed as Chief Investment Officer of the Company. In May 2019, Mr. Gilligan resigned as Chief Compliance Officer and Andrew Devine was appointed Chief Compliance Officer.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the Adviser</w:t>
      </w:r>
    </w:p>
    <w:p>
      <w:pPr>
        <w:spacing w:after="0" w:line="179"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7"/>
          <w:szCs w:val="17"/>
          <w:color w:val="auto"/>
        </w:rPr>
        <w:t>The Adviser is an affiliate of BC Partners. LibreMax owns a minority stake in the Adviser.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80"/>
          </w:cols>
          <w:pgMar w:left="240" w:top="285" w:right="279" w:bottom="1440" w:gutter="0" w:footer="0" w:header="0"/>
        </w:sectPr>
      </w:pPr>
    </w:p>
    <w:bookmarkStart w:id="27" w:name="page28"/>
    <w:bookmarkEnd w:id="27"/>
    <w:p>
      <w:pPr>
        <w:ind w:right="140" w:firstLine="440"/>
        <w:spacing w:after="0" w:line="257" w:lineRule="auto"/>
        <w:rPr>
          <w:sz w:val="20"/>
          <w:szCs w:val="20"/>
          <w:color w:val="auto"/>
        </w:rPr>
      </w:pPr>
      <w:r>
        <w:rPr>
          <w:rFonts w:ascii="Times New Roman" w:cs="Times New Roman" w:eastAsia="Times New Roman" w:hAnsi="Times New Roman"/>
          <w:sz w:val="17"/>
          <w:szCs w:val="17"/>
          <w:color w:val="auto"/>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147" w:lineRule="exact"/>
        <w:rPr>
          <w:sz w:val="20"/>
          <w:szCs w:val="20"/>
          <w:color w:val="auto"/>
        </w:rPr>
      </w:pPr>
    </w:p>
    <w:p>
      <w:pPr>
        <w:ind w:left="440" w:right="7720" w:hanging="438"/>
        <w:spacing w:after="0" w:line="457" w:lineRule="auto"/>
        <w:tabs>
          <w:tab w:leader="none" w:pos="435"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Basis of Presentation</w:t>
      </w:r>
    </w:p>
    <w:p>
      <w:pPr>
        <w:spacing w:after="0" w:line="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on the accrual basis of accounting in conformity with U.S. generally accepted accounting principles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2018, as filed with the U.S. Securities and Exchange Commission (the “Commission” or the “SEC”).</w:t>
      </w:r>
    </w:p>
    <w:p>
      <w:pPr>
        <w:spacing w:after="0" w:line="135"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7"/>
          <w:szCs w:val="17"/>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151"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7"/>
          <w:szCs w:val="17"/>
          <w:color w:val="auto"/>
        </w:rPr>
        <w:t>The Company consolidates the financial statements of its wholly-owned special purpose financing subsidiaries Great Lakes KCAP Funding I LLC, Kohlberg Capital Funding I LLC, KCAP Senior Funding I, LLC and KCAP Funding I Holdings, LLC in its consolidated financial statements as they are operated solely for investment activities of the Company. The creditors of Great Lakes KCAP Senior Funding I, LLC received security interests in the assets which are owned by Great Lakes KCAP Funding I, LLC and such assets are not intended to be available to the creditors of Portman Ridge Finance Corporation., or any other affiliate. All of the borrowings of Kohlberg Capital Funding LLC I, and KCAP Senior Funding I, LLC have been fully repaid.</w:t>
      </w:r>
    </w:p>
    <w:p>
      <w:pPr>
        <w:spacing w:after="0" w:line="135" w:lineRule="exact"/>
        <w:rPr>
          <w:sz w:val="20"/>
          <w:szCs w:val="20"/>
          <w:color w:val="auto"/>
        </w:rPr>
      </w:pPr>
    </w:p>
    <w:p>
      <w:pPr>
        <w:jc w:val="both"/>
        <w:ind w:right="140" w:firstLine="440"/>
        <w:spacing w:after="0" w:line="267" w:lineRule="auto"/>
        <w:rPr>
          <w:sz w:val="20"/>
          <w:szCs w:val="20"/>
          <w:color w:val="auto"/>
        </w:rPr>
      </w:pPr>
      <w:r>
        <w:rPr>
          <w:rFonts w:ascii="Times New Roman" w:cs="Times New Roman" w:eastAsia="Times New Roman" w:hAnsi="Times New Roman"/>
          <w:sz w:val="17"/>
          <w:szCs w:val="17"/>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qualifies for consolidation.</w:t>
      </w:r>
    </w:p>
    <w:p>
      <w:pPr>
        <w:spacing w:after="0" w:line="128"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7"/>
          <w:szCs w:val="17"/>
          <w:color w:val="auto"/>
        </w:rPr>
        <w:t>The Asset Manager Affiliates previously qualified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 Summarized financial information regarding the Asset Manager Affiliates is set forth in Note 5 to these financial statements.</w:t>
      </w:r>
    </w:p>
    <w:p>
      <w:pPr>
        <w:spacing w:after="0" w:line="144"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80"/>
          </w:cols>
          <w:pgMar w:left="240" w:top="289" w:right="279" w:bottom="1440" w:gutter="0" w:footer="0" w:header="0"/>
        </w:sectPr>
      </w:pPr>
    </w:p>
    <w:bookmarkStart w:id="28" w:name="page29"/>
    <w:bookmarkEnd w:id="28"/>
    <w:p>
      <w:pPr>
        <w:ind w:right="40" w:firstLine="440"/>
        <w:spacing w:after="0" w:line="255" w:lineRule="auto"/>
        <w:rPr>
          <w:sz w:val="20"/>
          <w:szCs w:val="20"/>
          <w:color w:val="auto"/>
        </w:rPr>
      </w:pPr>
      <w:r>
        <w:rPr>
          <w:rFonts w:ascii="Times New Roman" w:cs="Times New Roman" w:eastAsia="Times New Roman" w:hAnsi="Times New Roman"/>
          <w:sz w:val="17"/>
          <w:szCs w:val="17"/>
          <w:color w:val="auto"/>
        </w:rPr>
        <w:t>It is the Company’s primary investment objective to generate current income and capital appreciation by lending directly to privately-held middle market companies. During the quarter ended September 30, 2019, the Company provided approximately $106.6 million to portfolio companies to support their growth objectives. Approximately $28.3 million of this support was contractually obligated. See also Note 8 – Commitments and Contingencies. As of September 30, 2019, the Company held loans it has made to 51 investee companies with aggregate principal amounts of approximately $188.5 million. The details of such loans have been disclosed on the unaudited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nine months ended September 30, 2019, the Company did not recognize any fee income from such or similar activities.</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Recently adopted accounting pronouncements</w:t>
      </w:r>
    </w:p>
    <w:p>
      <w:pPr>
        <w:spacing w:after="0" w:line="179"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7"/>
          <w:szCs w:val="17"/>
          <w:color w:val="auto"/>
        </w:rPr>
        <w:t>In March 2017, the Financial Accounting Standards Board (“FASB”) issued an Accounting Standards Update, ASU 2017-08, Receivables — Nonrefundable Fees and Other Costs (Subtopic 310-20), Premium Amortization on Purchased Callable Debt Securities (“ASU 2017-08”) which amends the amortization period for certain purchased callable debt securities held at a premium, shortening such period to the earliest call date. ASU 2017-08 does not require any accounting change for debt securities held at a discount; the discount continues to be amortized to maturity. ASU 2017-08 is effective for fiscal years, and interim periods within those fiscal years, beginning after December 15, 2018. The adoption of ASU 2017-08 did not have a material impact on the financial position or results of operations of the Company.</w:t>
      </w:r>
    </w:p>
    <w:p>
      <w:pPr>
        <w:spacing w:after="0" w:line="13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7"/>
          <w:szCs w:val="17"/>
          <w:color w:val="auto"/>
        </w:rPr>
        <w:t>In February 2016, the FASB issued ASU 2016-02, Leases, and several amendments (collectively, “ASU 2016-02”), which requires lessees to recognize assets and liabilities arising from most operating leases on the consolidated statements of financial condition. For operating leases, a lessee is required to do the following: (a) recognize a right-of-use asset and a lease liability, initially measured at the present value of the lease payments, in the statement of financial condition; (b) recognize a single lease cost, calculated so that the cost of the lease is allocated over the lease term on a generally straight-line basis and (c) classify all cash payments within operating activities in the statement of cash flows. The guidance is effective for fiscal periods beginning after December 15, 2018. Effective January 1, 2019 the Company recorded a right of use asset (net of previously deferred rent expense) of approximately $3.3 million and a lease liability of approximately $3.7 million upon adoption of this standard.</w:t>
      </w:r>
    </w:p>
    <w:p>
      <w:pPr>
        <w:spacing w:after="0" w:line="152"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7"/>
          <w:szCs w:val="17"/>
          <w:color w:val="auto"/>
        </w:rPr>
        <w:t>During the second quarter of 2019, the Company recognized an impairment of approximately $1.4 million to reduce the right of use asset related to the Company’s legacy office lease to its estimated fair market value. The impairment charge which was recognized in the Company’s consolidated statement of operations during the second quarter of 2019. The remaining right of use asset will be amortized to expense in future periods as a component of “Other general and administrative expenses.” There was no impact to the lease liability as a result of this impairment.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Pending Accounting Pronouncements</w:t>
      </w:r>
    </w:p>
    <w:p>
      <w:pPr>
        <w:spacing w:after="0" w:line="179" w:lineRule="exact"/>
        <w:rPr>
          <w:sz w:val="20"/>
          <w:szCs w:val="20"/>
          <w:color w:val="auto"/>
        </w:rPr>
      </w:pPr>
    </w:p>
    <w:p>
      <w:pPr>
        <w:ind w:right="420" w:firstLine="440"/>
        <w:spacing w:after="0" w:line="257" w:lineRule="auto"/>
        <w:rPr>
          <w:sz w:val="20"/>
          <w:szCs w:val="20"/>
          <w:color w:val="auto"/>
        </w:rPr>
      </w:pPr>
      <w:r>
        <w:rPr>
          <w:rFonts w:ascii="Times New Roman" w:cs="Times New Roman" w:eastAsia="Times New Roman" w:hAnsi="Times New Roman"/>
          <w:sz w:val="17"/>
          <w:szCs w:val="17"/>
          <w:color w:val="auto"/>
        </w:rPr>
        <w:t>In August 2018, the FASB issued Accounting Standards Update 2018-13, Fair Value Measurement (Topic 820): Disclosure Framework—Changes to the Disclosure Requirements for Fair Value Measurement (“ASU 2018-13”)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standard will modify the disclosure requirements for fair value measurements by removing, modifying, or adding certain disclosures. ASU 2018-13 is effective for annual reporting periods beginning after December 15, 2019, including interim periods within that reporting period. Early adoption is permitted upon issuance of this ASU 2018-13. We are permitted to early adopt any removed or modified disclosures upon issuance of ASU 2018-13 and delay adoption of the additional disclosures until their effective date. We are currently evaluating the impact of adopting ASU 2018-13 on our 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Investment transactions are recorded on the applicable trade date. Realized gains or losses are determined using the specific identification method.</w:t>
      </w:r>
    </w:p>
    <w:p>
      <w:pPr>
        <w:spacing w:after="0" w:line="171"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7"/>
          <w:szCs w:val="17"/>
          <w:i w:val="1"/>
          <w:iCs w:val="1"/>
          <w:color w:val="auto"/>
        </w:rPr>
        <w:t>Valuation of Portfolio Investments</w:t>
      </w:r>
      <w:r>
        <w:rPr>
          <w:rFonts w:ascii="Times New Roman" w:cs="Times New Roman" w:eastAsia="Times New Roman" w:hAnsi="Times New Roman"/>
          <w:sz w:val="17"/>
          <w:szCs w:val="17"/>
          <w:color w:val="auto"/>
        </w:rPr>
        <w:t>. The Board is ultimately and solely responsible for making a good faith determination of the fair value of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138"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7"/>
          <w:szCs w:val="17"/>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48"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7"/>
          <w:szCs w:val="17"/>
          <w:color w:val="auto"/>
        </w:rPr>
        <w:t>The Board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38"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7"/>
          <w:szCs w:val="17"/>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27"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Debt Securities. </w:t>
      </w:r>
      <w:r>
        <w:rPr>
          <w:rFonts w:ascii="Times New Roman" w:cs="Times New Roman" w:eastAsia="Times New Roman" w:hAnsi="Times New Roman"/>
          <w:sz w:val="17"/>
          <w:szCs w:val="17"/>
          <w:color w:val="auto"/>
        </w:rPr>
        <w:t>To the extent that the Company’s investments are exchange traded and are priced or have sufficient price indications from normal course trading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0" w:name="page31"/>
    <w:bookmarkEnd w:id="30"/>
    <w:p>
      <w:pPr>
        <w:ind w:firstLine="440"/>
        <w:spacing w:after="0" w:line="253" w:lineRule="auto"/>
        <w:rPr>
          <w:sz w:val="20"/>
          <w:szCs w:val="20"/>
          <w:color w:val="auto"/>
        </w:rPr>
      </w:pPr>
      <w:r>
        <w:rPr>
          <w:rFonts w:ascii="Times New Roman" w:cs="Times New Roman" w:eastAsia="Times New Roman" w:hAnsi="Times New Roman"/>
          <w:sz w:val="17"/>
          <w:szCs w:val="17"/>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spacing w:after="0" w:line="15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7"/>
          <w:szCs w:val="17"/>
          <w:i w:val="1"/>
          <w:iCs w:val="1"/>
          <w:color w:val="auto"/>
        </w:rPr>
        <w:t>Equity Securities</w:t>
      </w:r>
      <w:r>
        <w:rPr>
          <w:rFonts w:ascii="Times New Roman" w:cs="Times New Roman" w:eastAsia="Times New Roman" w:hAnsi="Times New Roman"/>
          <w:sz w:val="17"/>
          <w:szCs w:val="17"/>
          <w:color w:val="auto"/>
        </w:rPr>
        <w:t>. The Company’s equity securities in portfolio companies for which there is no liquid public market are carried at fair value based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137"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34"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Derivatives. </w:t>
      </w:r>
      <w:r>
        <w:rPr>
          <w:rFonts w:ascii="Times New Roman" w:cs="Times New Roman" w:eastAsia="Times New Roman" w:hAnsi="Times New Roman"/>
          <w:sz w:val="17"/>
          <w:szCs w:val="17"/>
          <w:color w:val="auto"/>
        </w:rPr>
        <w:t>The Company recognizes all derivative instruments as assets or liabilities at fair value in its financial statements. Derivative contracts entered into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Company are not designated as hedging instruments, and as a result the Company presents changes in fair value and realized gains or losses through current period earnings. Derivative instruments are measured in terms of the notional contract amount and derive their value based upon one or more underlying instruments. Derivative instruments are subject to various risks similar to non-derivative instruments including market, credit, liquidity, and operational risks. The Company manages these risks on an aggregate basis as part of its risk management process. The derivatives may require the Company to pay or receive an upfront fee or premium. These upfront fees or premiums are carried forward as cost or proceeds to the derivatives. The Company generally records a realized gain or loss on the expiration, termination, or settlement of a derivative contract. The periodic payments for the securities Swap and Option Agreement (excluding collateral) are included as a realized gain or loss.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31" w:name="page32"/>
    <w:bookmarkEnd w:id="31"/>
    <w:p>
      <w:pPr>
        <w:ind w:right="120" w:firstLine="440"/>
        <w:spacing w:after="0" w:line="283" w:lineRule="auto"/>
        <w:rPr>
          <w:sz w:val="20"/>
          <w:szCs w:val="20"/>
          <w:color w:val="auto"/>
        </w:rPr>
      </w:pPr>
      <w:r>
        <w:rPr>
          <w:rFonts w:ascii="Times New Roman" w:cs="Times New Roman" w:eastAsia="Times New Roman" w:hAnsi="Times New Roman"/>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12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Asset Manager Affiliates. </w:t>
      </w:r>
      <w:r>
        <w:rPr>
          <w:rFonts w:ascii="Times New Roman" w:cs="Times New Roman" w:eastAsia="Times New Roman" w:hAnsi="Times New Roman"/>
          <w:sz w:val="17"/>
          <w:szCs w:val="17"/>
          <w:color w:val="auto"/>
        </w:rPr>
        <w:t>The Company’s investments in its wholly-owned asset management companies, the Asset Manager Affiliates, are carried at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is primarily determined utilizing the discounted cash flow approach,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 The Company sold substantially all of its investment in the Asset Manager Affiliates on December 31, 2018.</w:t>
      </w:r>
    </w:p>
    <w:p>
      <w:pPr>
        <w:spacing w:after="0" w:line="133" w:lineRule="exact"/>
        <w:rPr>
          <w:sz w:val="20"/>
          <w:szCs w:val="20"/>
          <w:color w:val="auto"/>
        </w:rPr>
      </w:pPr>
    </w:p>
    <w:p>
      <w:pPr>
        <w:ind w:right="100" w:firstLine="440"/>
        <w:spacing w:after="0" w:line="288" w:lineRule="auto"/>
        <w:rPr>
          <w:sz w:val="20"/>
          <w:szCs w:val="20"/>
          <w:color w:val="auto"/>
        </w:rPr>
      </w:pPr>
      <w:r>
        <w:rPr>
          <w:rFonts w:ascii="Times New Roman" w:cs="Times New Roman" w:eastAsia="Times New Roman" w:hAnsi="Times New Roman"/>
          <w:sz w:val="17"/>
          <w:szCs w:val="17"/>
          <w:i w:val="1"/>
          <w:iCs w:val="1"/>
          <w:color w:val="auto"/>
        </w:rPr>
        <w:t xml:space="preserve">CLO Fund Securities. </w:t>
      </w:r>
      <w:r>
        <w:rPr>
          <w:rFonts w:ascii="Times New Roman" w:cs="Times New Roman" w:eastAsia="Times New Roman" w:hAnsi="Times New Roman"/>
          <w:sz w:val="17"/>
          <w:szCs w:val="17"/>
          <w:color w:val="auto"/>
        </w:rPr>
        <w:t>The Company typically makes a minority investment in the most junior class of securities of CLO Funds. The investments held by CLO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Funds generally relate to non-investment grade credit instruments issued by corporations.</w:t>
      </w:r>
    </w:p>
    <w:p>
      <w:pPr>
        <w:spacing w:after="0" w:line="11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7"/>
          <w:szCs w:val="17"/>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w:t>
      </w:r>
    </w:p>
    <w:p>
      <w:pPr>
        <w:spacing w:after="0" w:line="2" w:lineRule="exact"/>
        <w:rPr>
          <w:sz w:val="20"/>
          <w:szCs w:val="20"/>
          <w:color w:val="auto"/>
        </w:rPr>
      </w:pPr>
    </w:p>
    <w:p>
      <w:pPr>
        <w:ind w:right="20" w:firstLine="2"/>
        <w:spacing w:after="0" w:line="252" w:lineRule="auto"/>
        <w:tabs>
          <w:tab w:leader="none" w:pos="25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5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7"/>
          <w:szCs w:val="17"/>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39"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Short-term investments</w:t>
      </w:r>
      <w:r>
        <w:rPr>
          <w:rFonts w:ascii="Times New Roman" w:cs="Times New Roman" w:eastAsia="Times New Roman" w:hAnsi="Times New Roman"/>
          <w:sz w:val="17"/>
          <w:szCs w:val="17"/>
          <w:color w:val="auto"/>
        </w:rPr>
        <w:t>. Short-term investments are generally comprised of money market accounts, time deposits, and U.S. treasury bills.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00"/>
          </w:cols>
          <w:pgMar w:left="240" w:top="289" w:right="259" w:bottom="1440" w:gutter="0" w:footer="0" w:header="0"/>
        </w:sectPr>
      </w:pPr>
    </w:p>
    <w:bookmarkStart w:id="32" w:name="page33"/>
    <w:bookmarkEnd w:id="32"/>
    <w:p>
      <w:pPr>
        <w:ind w:firstLine="440"/>
        <w:spacing w:after="0" w:line="288" w:lineRule="auto"/>
        <w:rPr>
          <w:sz w:val="20"/>
          <w:szCs w:val="20"/>
          <w:color w:val="auto"/>
        </w:rPr>
      </w:pPr>
      <w:r>
        <w:rPr>
          <w:rFonts w:ascii="Times New Roman" w:cs="Times New Roman" w:eastAsia="Times New Roman" w:hAnsi="Times New Roman"/>
          <w:sz w:val="17"/>
          <w:szCs w:val="17"/>
          <w:i w:val="1"/>
          <w:iCs w:val="1"/>
          <w:color w:val="auto"/>
        </w:rPr>
        <w:t>Joint Ventures</w:t>
      </w:r>
      <w:r>
        <w:rPr>
          <w:rFonts w:ascii="Times New Roman" w:cs="Times New Roman" w:eastAsia="Times New Roman" w:hAnsi="Times New Roman"/>
          <w:sz w:val="17"/>
          <w:szCs w:val="17"/>
          <w:color w:val="auto"/>
        </w:rPr>
        <w:t>. The Company carries investments in joint ventures at fair value based upon the fair value of the investments held by the joint venture. See Note 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below, for more information regarding the Joint Ventures.</w:t>
      </w:r>
    </w:p>
    <w:p>
      <w:pPr>
        <w:spacing w:after="0" w:line="119" w:lineRule="exact"/>
        <w:rPr>
          <w:sz w:val="20"/>
          <w:szCs w:val="20"/>
          <w:color w:val="auto"/>
        </w:rPr>
      </w:pPr>
    </w:p>
    <w:p>
      <w:pPr>
        <w:ind w:right="20" w:firstLine="440"/>
        <w:spacing w:after="0" w:line="288" w:lineRule="auto"/>
        <w:rPr>
          <w:sz w:val="20"/>
          <w:szCs w:val="20"/>
          <w:color w:val="auto"/>
        </w:rPr>
      </w:pPr>
      <w:r>
        <w:rPr>
          <w:rFonts w:ascii="Times New Roman" w:cs="Times New Roman" w:eastAsia="Times New Roman" w:hAnsi="Times New Roman"/>
          <w:sz w:val="17"/>
          <w:szCs w:val="17"/>
          <w:i w:val="1"/>
          <w:iCs w:val="1"/>
          <w:color w:val="auto"/>
        </w:rPr>
        <w:t>Cash</w:t>
      </w:r>
      <w:r>
        <w:rPr>
          <w:rFonts w:ascii="Times New Roman" w:cs="Times New Roman" w:eastAsia="Times New Roman" w:hAnsi="Times New Roman"/>
          <w:sz w:val="17"/>
          <w:szCs w:val="17"/>
          <w:color w:val="auto"/>
        </w:rPr>
        <w:t>. The Company defines cash as demand deposits. The Company places its cash with financial institutions and, at times, cash held in checking accounts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exceed the Federal Deposit Insurance Corporation insured limit.</w:t>
      </w:r>
    </w:p>
    <w:p>
      <w:pPr>
        <w:spacing w:after="0" w:line="106" w:lineRule="exact"/>
        <w:rPr>
          <w:sz w:val="20"/>
          <w:szCs w:val="20"/>
          <w:color w:val="auto"/>
        </w:rPr>
      </w:pPr>
    </w:p>
    <w:p>
      <w:pPr>
        <w:ind w:right="380" w:firstLine="440"/>
        <w:spacing w:after="0" w:line="288" w:lineRule="auto"/>
        <w:rPr>
          <w:sz w:val="20"/>
          <w:szCs w:val="20"/>
          <w:color w:val="auto"/>
        </w:rPr>
      </w:pPr>
      <w:r>
        <w:rPr>
          <w:rFonts w:ascii="Times New Roman" w:cs="Times New Roman" w:eastAsia="Times New Roman" w:hAnsi="Times New Roman"/>
          <w:sz w:val="17"/>
          <w:szCs w:val="17"/>
          <w:i w:val="1"/>
          <w:iCs w:val="1"/>
          <w:color w:val="auto"/>
        </w:rPr>
        <w:t>Restricted Cash</w:t>
      </w:r>
      <w:r>
        <w:rPr>
          <w:rFonts w:ascii="Times New Roman" w:cs="Times New Roman" w:eastAsia="Times New Roman" w:hAnsi="Times New Roman"/>
          <w:sz w:val="17"/>
          <w:szCs w:val="17"/>
          <w:color w:val="auto"/>
        </w:rPr>
        <w:t>. Restricted cash and cash equivalents (e.g., money market funds) consists of cash held for reinvestment and quarterly interest and principal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distribution (if any) to holders of notes issued by Great Lakes KCAP Funding I, LLC.</w:t>
      </w:r>
    </w:p>
    <w:p>
      <w:pPr>
        <w:spacing w:after="0" w:line="106"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Interest income, including the amortization of premium and accretion of discount and accrual of payment-in-kind (“PIK”) interest, is recorded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September 30, 2019, six of our investments were on non-accrual status.</w:t>
      </w:r>
    </w:p>
    <w:p>
      <w:pPr>
        <w:spacing w:after="0" w:line="14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Distributions from Asset Manager Affiliates. </w:t>
      </w:r>
      <w:r>
        <w:rPr>
          <w:rFonts w:ascii="Times New Roman" w:cs="Times New Roman" w:eastAsia="Times New Roman" w:hAnsi="Times New Roman"/>
          <w:sz w:val="17"/>
          <w:szCs w:val="17"/>
          <w:color w:val="auto"/>
        </w:rPr>
        <w:t>The Company records distributions from the Asset Manager Affiliates on the declaration date, which represents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ex-dividend date. Distributions in excess of tax-basis earnings and profits of the distributing affiliate company are recognized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the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33" w:lineRule="exact"/>
        <w:rPr>
          <w:sz w:val="20"/>
          <w:szCs w:val="20"/>
          <w:color w:val="auto"/>
        </w:rPr>
      </w:pPr>
    </w:p>
    <w:p>
      <w:pPr>
        <w:ind w:right="260" w:firstLine="440"/>
        <w:spacing w:after="0" w:line="260" w:lineRule="auto"/>
        <w:rPr>
          <w:sz w:val="20"/>
          <w:szCs w:val="20"/>
          <w:color w:val="auto"/>
        </w:rPr>
      </w:pPr>
      <w:r>
        <w:rPr>
          <w:rFonts w:ascii="Times New Roman" w:cs="Times New Roman" w:eastAsia="Times New Roman" w:hAnsi="Times New Roman"/>
          <w:sz w:val="17"/>
          <w:szCs w:val="17"/>
          <w:i w:val="1"/>
          <w:iCs w:val="1"/>
          <w:color w:val="auto"/>
        </w:rPr>
        <w:t>Investment Income on CLO Fund Securities</w:t>
      </w:r>
      <w:r>
        <w:rPr>
          <w:rFonts w:ascii="Times New Roman" w:cs="Times New Roman" w:eastAsia="Times New Roman" w:hAnsi="Times New Roman"/>
          <w:sz w:val="17"/>
          <w:szCs w:val="17"/>
          <w:color w:val="auto"/>
        </w:rPr>
        <w:t>. The Company generates investment income from its investments in the most junior class of securities issued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CLO Funds (typically preferred shares or subordinated securities).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3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non-junior class CLO Fund Securities, interest is earned at a fixed spread relative to the LIBOR index.</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33" w:name="page34"/>
    <w:bookmarkEnd w:id="33"/>
    <w:p>
      <w:pPr>
        <w:ind w:right="60" w:firstLine="440"/>
        <w:spacing w:after="0" w:line="263" w:lineRule="auto"/>
        <w:rPr>
          <w:sz w:val="20"/>
          <w:szCs w:val="20"/>
          <w:color w:val="auto"/>
        </w:rPr>
      </w:pPr>
      <w:r>
        <w:rPr>
          <w:rFonts w:ascii="Times New Roman" w:cs="Times New Roman" w:eastAsia="Times New Roman" w:hAnsi="Times New Roman"/>
          <w:sz w:val="17"/>
          <w:szCs w:val="17"/>
          <w:i w:val="1"/>
          <w:iCs w:val="1"/>
          <w:color w:val="auto"/>
        </w:rPr>
        <w:t>Investment in Joint Ventures</w:t>
      </w:r>
      <w:r>
        <w:rPr>
          <w:rFonts w:ascii="Times New Roman" w:cs="Times New Roman" w:eastAsia="Times New Roman" w:hAnsi="Times New Roman"/>
          <w:sz w:val="17"/>
          <w:szCs w:val="17"/>
          <w:color w:val="auto"/>
        </w:rPr>
        <w:t>. The Company recognizes investment income on its investment in the Joint Ventures based upon its share of the estimated earnings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profits of the Joint Venture. The final determination of the tax attributes of distributions from the Joint Ventures is made on an annual (full calendar year) basis at year-end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41" w:lineRule="exact"/>
        <w:rPr>
          <w:sz w:val="20"/>
          <w:szCs w:val="20"/>
          <w:color w:val="auto"/>
        </w:rPr>
      </w:pPr>
    </w:p>
    <w:p>
      <w:pPr>
        <w:ind w:right="20" w:firstLine="440"/>
        <w:spacing w:after="0" w:line="263" w:lineRule="auto"/>
        <w:rPr>
          <w:sz w:val="20"/>
          <w:szCs w:val="20"/>
          <w:color w:val="auto"/>
        </w:rPr>
      </w:pPr>
      <w:r>
        <w:rPr>
          <w:rFonts w:ascii="Times New Roman" w:cs="Times New Roman" w:eastAsia="Times New Roman" w:hAnsi="Times New Roman"/>
          <w:sz w:val="17"/>
          <w:szCs w:val="17"/>
          <w:i w:val="1"/>
          <w:iCs w:val="1"/>
          <w:color w:val="auto"/>
        </w:rPr>
        <w:t>Capital Structuring Service Fees</w:t>
      </w:r>
      <w:r>
        <w:rPr>
          <w:rFonts w:ascii="Times New Roman" w:cs="Times New Roman" w:eastAsia="Times New Roman" w:hAnsi="Times New Roman"/>
          <w:sz w:val="17"/>
          <w:szCs w:val="17"/>
          <w:color w:val="auto"/>
        </w:rPr>
        <w:t>. The Company may earn ancillary structuring and other fees related to the origination, investment, disposition or liquidation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28" w:lineRule="exact"/>
        <w:rPr>
          <w:sz w:val="20"/>
          <w:szCs w:val="20"/>
          <w:color w:val="auto"/>
        </w:rPr>
      </w:pPr>
    </w:p>
    <w:p>
      <w:pPr>
        <w:ind w:right="400" w:firstLine="440"/>
        <w:spacing w:after="0" w:line="288" w:lineRule="auto"/>
        <w:rPr>
          <w:sz w:val="20"/>
          <w:szCs w:val="20"/>
          <w:color w:val="auto"/>
        </w:rPr>
      </w:pPr>
      <w:r>
        <w:rPr>
          <w:rFonts w:ascii="Times New Roman" w:cs="Times New Roman" w:eastAsia="Times New Roman" w:hAnsi="Times New Roman"/>
          <w:sz w:val="17"/>
          <w:szCs w:val="17"/>
          <w:i w:val="1"/>
          <w:iCs w:val="1"/>
          <w:color w:val="auto"/>
        </w:rPr>
        <w:t>Debt Issuance Costs</w:t>
      </w:r>
      <w:r>
        <w:rPr>
          <w:rFonts w:ascii="Times New Roman" w:cs="Times New Roman" w:eastAsia="Times New Roman" w:hAnsi="Times New Roman"/>
          <w:sz w:val="17"/>
          <w:szCs w:val="17"/>
          <w:color w:val="auto"/>
        </w:rPr>
        <w:t>. Debt issuance costs represent fees and other direct costs incurred in connection with the Company’s borrowings. These amounts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capitalized and amortized using the effective interest method over the expected term of the borrowing.</w:t>
      </w:r>
    </w:p>
    <w:p>
      <w:pPr>
        <w:spacing w:after="0" w:line="106" w:lineRule="exact"/>
        <w:rPr>
          <w:sz w:val="20"/>
          <w:szCs w:val="20"/>
          <w:color w:val="auto"/>
        </w:rPr>
      </w:pPr>
    </w:p>
    <w:p>
      <w:pPr>
        <w:ind w:firstLine="440"/>
        <w:spacing w:after="0" w:line="263" w:lineRule="auto"/>
        <w:rPr>
          <w:sz w:val="20"/>
          <w:szCs w:val="20"/>
          <w:color w:val="auto"/>
        </w:rPr>
      </w:pPr>
      <w:r>
        <w:rPr>
          <w:rFonts w:ascii="Times New Roman" w:cs="Times New Roman" w:eastAsia="Times New Roman" w:hAnsi="Times New Roman"/>
          <w:sz w:val="17"/>
          <w:szCs w:val="17"/>
          <w:i w:val="1"/>
          <w:iCs w:val="1"/>
          <w:color w:val="auto"/>
        </w:rPr>
        <w:t>Extinguishment of debt</w:t>
      </w:r>
      <w:r>
        <w:rPr>
          <w:rFonts w:ascii="Times New Roman" w:cs="Times New Roman" w:eastAsia="Times New Roman" w:hAnsi="Times New Roman"/>
          <w:sz w:val="17"/>
          <w:szCs w:val="17"/>
          <w:color w:val="auto"/>
        </w:rPr>
        <w:t>. The Company must derecognize a liability if and only if it has been extinguished through delivery of cash, delivery of other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14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During the first quarter of 2019 the Company was internally managed and expensed costs, as incurred, with regard to the running of its operations.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Primary operating expenses included employee salaries and benefits, the costs of identifying, evaluating, negotiating, closing, monitoring and servicing the Company’s investments and related overhead charges and expenses, including rental expense, and any interest expense incurred in connection with borrowings. Since April 1, 2019, the Company has been externally managed and in connection with the Advisory Agreement, pays the Adviser certain investment advisory fees and reimburses the Adviser and Administrator for certain expenses incurred in connection with the services they provide. See Note 6 “Related Party Transactions - Payment of Expenses under the Advisory and Administration Agreements.” Through December 31, 2018, the Company and the Asset Manager Affiliates shared office space and certain other operating expenses. The Company entered into an overhead allocation agreement with the Asset Manager Affiliates (“Overhead Allocation Agreement”) which provided for the sharing of such expenses based on an allocation of office lease costs and the ratable usage of other shared resources. The Company continues to bear the costs associated with the office lease entered into by the Company prior to the Closing.</w:t>
      </w:r>
    </w:p>
    <w:p>
      <w:pPr>
        <w:spacing w:after="0" w:line="139" w:lineRule="exact"/>
        <w:rPr>
          <w:sz w:val="20"/>
          <w:szCs w:val="20"/>
          <w:color w:val="auto"/>
        </w:rPr>
      </w:pPr>
    </w:p>
    <w:p>
      <w:pPr>
        <w:ind w:right="20" w:firstLine="440"/>
        <w:spacing w:after="0" w:line="288" w:lineRule="auto"/>
        <w:rPr>
          <w:sz w:val="20"/>
          <w:szCs w:val="20"/>
          <w:color w:val="auto"/>
        </w:rPr>
      </w:pPr>
      <w:r>
        <w:rPr>
          <w:rFonts w:ascii="Times New Roman" w:cs="Times New Roman" w:eastAsia="Times New Roman" w:hAnsi="Times New Roman"/>
          <w:sz w:val="17"/>
          <w:szCs w:val="17"/>
          <w:i w:val="1"/>
          <w:iCs w:val="1"/>
          <w:color w:val="auto"/>
        </w:rPr>
        <w:t>Shareholder Distributions</w:t>
      </w:r>
      <w:r>
        <w:rPr>
          <w:rFonts w:ascii="Times New Roman" w:cs="Times New Roman" w:eastAsia="Times New Roman" w:hAnsi="Times New Roman"/>
          <w:sz w:val="17"/>
          <w:szCs w:val="17"/>
          <w:color w:val="auto"/>
        </w:rPr>
        <w:t>. Distributions to common stockholders are recorded on the ex-dividend date. The amount of distributions, if any, is determined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each quarter.</w:t>
      </w:r>
    </w:p>
    <w:p>
      <w:pPr>
        <w:spacing w:after="0" w:line="110" w:lineRule="exact"/>
        <w:rPr>
          <w:sz w:val="20"/>
          <w:szCs w:val="20"/>
          <w:color w:val="auto"/>
        </w:rPr>
      </w:pPr>
    </w:p>
    <w:p>
      <w:pPr>
        <w:ind w:right="200" w:firstLine="440"/>
        <w:spacing w:after="0" w:line="267" w:lineRule="auto"/>
        <w:rPr>
          <w:sz w:val="20"/>
          <w:szCs w:val="20"/>
          <w:color w:val="auto"/>
        </w:rPr>
      </w:pPr>
      <w:r>
        <w:rPr>
          <w:rFonts w:ascii="Times New Roman" w:cs="Times New Roman" w:eastAsia="Times New Roman" w:hAnsi="Times New Roman"/>
          <w:sz w:val="17"/>
          <w:szCs w:val="17"/>
          <w:color w:val="auto"/>
        </w:rPr>
        <w:t>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62" w:lineRule="exact"/>
        <w:rPr>
          <w:sz w:val="20"/>
          <w:szCs w:val="20"/>
          <w:color w:val="auto"/>
        </w:rPr>
      </w:pPr>
    </w:p>
    <w:p>
      <w:pPr>
        <w:ind w:left="440" w:hanging="438"/>
        <w:spacing w:after="0"/>
        <w:tabs>
          <w:tab w:leader="none" w:pos="44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(LOSSES) PER SHARE</w:t>
      </w:r>
    </w:p>
    <w:p>
      <w:pPr>
        <w:spacing w:after="0" w:line="218" w:lineRule="exact"/>
        <w:rPr>
          <w:sz w:val="20"/>
          <w:szCs w:val="20"/>
          <w:color w:val="auto"/>
        </w:rPr>
      </w:pPr>
    </w:p>
    <w:p>
      <w:pPr>
        <w:ind w:right="240" w:firstLine="440"/>
        <w:spacing w:after="0" w:line="267" w:lineRule="auto"/>
        <w:rPr>
          <w:sz w:val="20"/>
          <w:szCs w:val="20"/>
          <w:color w:val="auto"/>
        </w:rPr>
      </w:pPr>
      <w:r>
        <w:rPr>
          <w:rFonts w:ascii="Times New Roman" w:cs="Times New Roman" w:eastAsia="Times New Roman" w:hAnsi="Times New Roman"/>
          <w:sz w:val="17"/>
          <w:szCs w:val="17"/>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00"/>
          </w:cols>
          <w:pgMar w:left="240" w:top="285" w:right="259" w:bottom="1440" w:gutter="0" w:footer="0" w:header="0"/>
        </w:sectPr>
      </w:pPr>
    </w:p>
    <w:bookmarkStart w:id="34" w:name="page35"/>
    <w:bookmarkEnd w:id="34"/>
    <w:p>
      <w:pPr>
        <w:ind w:right="60" w:firstLine="440"/>
        <w:spacing w:after="0" w:line="283" w:lineRule="auto"/>
        <w:rPr>
          <w:sz w:val="20"/>
          <w:szCs w:val="20"/>
          <w:color w:val="auto"/>
        </w:rPr>
      </w:pPr>
      <w:r>
        <w:rPr>
          <w:rFonts w:ascii="Times New Roman" w:cs="Times New Roman" w:eastAsia="Times New Roman" w:hAnsi="Times New Roman"/>
          <w:sz w:val="17"/>
          <w:szCs w:val="17"/>
          <w:color w:val="auto"/>
        </w:rPr>
        <w:t>The following information sets forth the computation of basic and diluted net increase (decrease) in stockholders’ equity per share for the three and nine months ended September 30, 2019 and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455"/>
              <w:spacing w:after="0"/>
              <w:rPr>
                <w:sz w:val="20"/>
                <w:szCs w:val="20"/>
                <w:color w:val="auto"/>
              </w:rPr>
            </w:pPr>
            <w:r>
              <w:rPr>
                <w:rFonts w:ascii="Times New Roman" w:cs="Times New Roman" w:eastAsia="Times New Roman" w:hAnsi="Times New Roman"/>
                <w:sz w:val="17"/>
                <w:szCs w:val="17"/>
                <w:b w:val="1"/>
                <w:bCs w:val="1"/>
                <w:color w:val="auto"/>
                <w:w w:val="98"/>
              </w:rPr>
              <w:t>(unaudited)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5"/>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720" w:type="dxa"/>
            <w:vAlign w:val="bottom"/>
            <w:gridSpan w:val="7"/>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6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2018</w:t>
            </w:r>
          </w:p>
        </w:tc>
        <w:tc>
          <w:tcPr>
            <w:tcW w:w="2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4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(decrease) increase in net assets resulting from operations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(4,250,782)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1,348,849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(16,016,674)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2,646,472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in net assets allocated to unvested share awards</w:t>
            </w:r>
          </w:p>
        </w:tc>
        <w:tc>
          <w:tcPr>
            <w:tcW w:w="240" w:type="dxa"/>
            <w:vAlign w:val="bottom"/>
          </w:tcPr>
          <w:p>
            <w:pPr>
              <w:spacing w:after="0"/>
              <w:rPr>
                <w:sz w:val="18"/>
                <w:szCs w:val="18"/>
                <w:color w:val="auto"/>
              </w:rPr>
            </w:pPr>
          </w:p>
        </w:tc>
        <w:tc>
          <w:tcPr>
            <w:tcW w:w="11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(10,133)</w:t>
            </w:r>
          </w:p>
        </w:tc>
        <w:tc>
          <w:tcPr>
            <w:tcW w:w="220" w:type="dxa"/>
            <w:vAlign w:val="bottom"/>
          </w:tcPr>
          <w:p>
            <w:pPr>
              <w:spacing w:after="0"/>
              <w:rPr>
                <w:sz w:val="18"/>
                <w:szCs w:val="18"/>
                <w:color w:val="auto"/>
              </w:rPr>
            </w:pPr>
          </w:p>
        </w:tc>
        <w:tc>
          <w:tcPr>
            <w:tcW w:w="1120" w:type="dxa"/>
            <w:vAlign w:val="bottom"/>
            <w:gridSpan w:val="2"/>
          </w:tcPr>
          <w:p>
            <w:pPr>
              <w:jc w:val="right"/>
              <w:ind w:right="12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(17,606)</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(decrease) increase in net assets available to common stockholders</w:t>
            </w: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(4,250,782</w:t>
            </w:r>
          </w:p>
        </w:tc>
        <w:tc>
          <w:tcPr>
            <w:tcW w:w="260" w:type="dxa"/>
            <w:vAlign w:val="bottom"/>
            <w:tcBorders>
              <w:top w:val="single" w:sz="8" w:color="CFF0FC"/>
              <w:bottom w:val="single" w:sz="8" w:color="CFF0FC"/>
            </w:tcBorders>
            <w:shd w:val="clear" w:color="auto" w:fill="CFF0FC"/>
          </w:tcPr>
          <w:p>
            <w:pPr>
              <w:jc w:val="center"/>
              <w:ind w:right="1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1,338,716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(16,016,674</w:t>
            </w:r>
          </w:p>
        </w:tc>
        <w:tc>
          <w:tcPr>
            <w:tcW w:w="140" w:type="dxa"/>
            <w:vAlign w:val="bottom"/>
            <w:tcBorders>
              <w:top w:val="single" w:sz="8" w:color="CFF0FC"/>
              <w:bottom w:val="single" w:sz="8" w:color="CFF0FC"/>
            </w:tcBorders>
            <w:shd w:val="clear" w:color="auto" w:fill="CFF0FC"/>
          </w:tcPr>
          <w:p>
            <w:pPr>
              <w:jc w:val="right"/>
              <w:ind w:right="63"/>
              <w:spacing w:after="0"/>
              <w:rPr>
                <w:sz w:val="20"/>
                <w:szCs w:val="20"/>
                <w:color w:val="auto"/>
              </w:rPr>
            </w:pPr>
            <w:r>
              <w:rPr>
                <w:rFonts w:ascii="Times New Roman" w:cs="Times New Roman" w:eastAsia="Times New Roman" w:hAnsi="Times New Roman"/>
                <w:sz w:val="7"/>
                <w:szCs w:val="7"/>
                <w:color w:val="auto"/>
                <w:w w:val="83"/>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2,628,866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Weighted average number of common and common stock equivalent shares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6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outstanding for diluted shares computation</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37,361,746</w:t>
            </w:r>
          </w:p>
        </w:tc>
        <w:tc>
          <w:tcPr>
            <w:tcW w:w="2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37,349,904</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37,348,835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37,354,449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(decrease) increase in net assets per basic common shares:</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increase in net assets from operations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(0.11)</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2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(0.43)</w:t>
            </w: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(decrease) increase in net assets per diluted shares: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increase in net assets from operations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(0.11)</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22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(0.43)</w:t>
            </w: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7"/>
          <w:szCs w:val="17"/>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31" w:lineRule="exact"/>
        <w:rPr>
          <w:sz w:val="20"/>
          <w:szCs w:val="20"/>
          <w:color w:val="auto"/>
        </w:rPr>
      </w:pPr>
    </w:p>
    <w:p>
      <w:pPr>
        <w:jc w:val="both"/>
        <w:ind w:right="60" w:firstLine="440"/>
        <w:spacing w:after="0" w:line="267" w:lineRule="auto"/>
        <w:rPr>
          <w:sz w:val="20"/>
          <w:szCs w:val="20"/>
          <w:color w:val="auto"/>
        </w:rPr>
      </w:pPr>
      <w:r>
        <w:rPr>
          <w:rFonts w:ascii="Times New Roman" w:cs="Times New Roman" w:eastAsia="Times New Roman" w:hAnsi="Times New Roman"/>
          <w:sz w:val="17"/>
          <w:szCs w:val="17"/>
          <w:color w:val="auto"/>
        </w:rPr>
        <w:t>There were 0 and 30,000 options to purchase shares of common stock considered for the computation of the diluted per share information for the three and nine months ended September 30, 2019 and 2018. Since the effects are anti-dilutive for both periods, the options were not included in the computation. These stock options were cancelled in connection with the Externalization.</w:t>
      </w:r>
    </w:p>
    <w:p>
      <w:pPr>
        <w:spacing w:after="0" w:line="137" w:lineRule="exact"/>
        <w:rPr>
          <w:sz w:val="20"/>
          <w:szCs w:val="20"/>
          <w:color w:val="auto"/>
        </w:rPr>
      </w:pPr>
    </w:p>
    <w:p>
      <w:pPr>
        <w:ind w:left="440" w:hanging="438"/>
        <w:spacing w:after="0"/>
        <w:tabs>
          <w:tab w:leader="none" w:pos="44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INVESTMENTS</w:t>
      </w:r>
    </w:p>
    <w:p>
      <w:pPr>
        <w:spacing w:after="0" w:line="179" w:lineRule="exact"/>
        <w:rPr>
          <w:rFonts w:ascii="Times New Roman" w:cs="Times New Roman" w:eastAsia="Times New Roman" w:hAnsi="Times New Roman"/>
          <w:sz w:val="17"/>
          <w:szCs w:val="17"/>
          <w:b w:val="1"/>
          <w:bCs w:val="1"/>
          <w:color w:val="auto"/>
        </w:rPr>
      </w:pPr>
    </w:p>
    <w:p>
      <w:pPr>
        <w:ind w:left="4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shows the Company’s portfolio by security type at September 30,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5"/>
          </w:tcPr>
          <w:p>
            <w:pPr>
              <w:jc w:val="center"/>
              <w:ind w:left="175"/>
              <w:spacing w:after="0"/>
              <w:rPr>
                <w:sz w:val="20"/>
                <w:szCs w:val="20"/>
                <w:color w:val="auto"/>
              </w:rPr>
            </w:pPr>
            <w:r>
              <w:rPr>
                <w:rFonts w:ascii="Times New Roman" w:cs="Times New Roman" w:eastAsia="Times New Roman" w:hAnsi="Times New Roman"/>
                <w:sz w:val="17"/>
                <w:szCs w:val="17"/>
                <w:b w:val="1"/>
                <w:bCs w:val="1"/>
                <w:color w:val="auto"/>
              </w:rPr>
              <w:t>September 30, 2019 (unaudited)</w:t>
            </w:r>
          </w:p>
        </w:tc>
        <w:tc>
          <w:tcPr>
            <w:tcW w:w="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5"/>
          </w:tcPr>
          <w:p>
            <w:pPr>
              <w:jc w:val="center"/>
              <w:ind w:left="215"/>
              <w:spacing w:after="0"/>
              <w:rPr>
                <w:sz w:val="20"/>
                <w:szCs w:val="20"/>
                <w:color w:val="auto"/>
              </w:rPr>
            </w:pPr>
            <w:r>
              <w:rPr>
                <w:rFonts w:ascii="Times New Roman" w:cs="Times New Roman" w:eastAsia="Times New Roman" w:hAnsi="Times New Roman"/>
                <w:sz w:val="17"/>
                <w:szCs w:val="17"/>
                <w:b w:val="1"/>
                <w:bCs w:val="1"/>
                <w:color w:val="auto"/>
              </w:rPr>
              <w:t>December 31, 2018</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0"/>
        </w:trPr>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35"/>
              <w:spacing w:after="0" w:line="190" w:lineRule="exact"/>
              <w:rPr>
                <w:sz w:val="20"/>
                <w:szCs w:val="20"/>
                <w:color w:val="auto"/>
              </w:rPr>
            </w:pPr>
            <w:r>
              <w:rPr>
                <w:rFonts w:ascii="Times New Roman" w:cs="Times New Roman" w:eastAsia="Times New Roman" w:hAnsi="Times New Roman"/>
                <w:sz w:val="17"/>
                <w:szCs w:val="17"/>
                <w:b w:val="1"/>
                <w:bCs w:val="1"/>
                <w:color w:val="auto"/>
              </w:rPr>
              <w:t>Cost/Amortized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55"/>
              <w:spacing w:after="0" w:line="190" w:lineRule="exact"/>
              <w:rPr>
                <w:sz w:val="20"/>
                <w:szCs w:val="20"/>
                <w:color w:val="auto"/>
              </w:rPr>
            </w:pPr>
            <w:r>
              <w:rPr>
                <w:rFonts w:ascii="Times New Roman" w:cs="Times New Roman" w:eastAsia="Times New Roman" w:hAnsi="Times New Roman"/>
                <w:sz w:val="17"/>
                <w:szCs w:val="17"/>
                <w:b w:val="1"/>
                <w:bCs w:val="1"/>
                <w:color w:val="auto"/>
              </w:rPr>
              <w:t>Cost/Amortized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5"/>
        </w:trPr>
        <w:tc>
          <w:tcPr>
            <w:tcW w:w="3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Security Type</w:t>
            </w:r>
          </w:p>
        </w:tc>
        <w:tc>
          <w:tcPr>
            <w:tcW w:w="160" w:type="dxa"/>
            <w:vAlign w:val="bottom"/>
          </w:tcPr>
          <w:p>
            <w:pPr>
              <w:spacing w:after="0"/>
              <w:rPr>
                <w:sz w:val="19"/>
                <w:szCs w:val="19"/>
                <w:color w:val="auto"/>
              </w:rPr>
            </w:pPr>
          </w:p>
        </w:tc>
        <w:tc>
          <w:tcPr>
            <w:tcW w:w="1440" w:type="dxa"/>
            <w:vAlign w:val="bottom"/>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Cost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%¹</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Cost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4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%¹</w:t>
            </w:r>
          </w:p>
        </w:tc>
        <w:tc>
          <w:tcPr>
            <w:tcW w:w="160" w:type="dxa"/>
            <w:vAlign w:val="bottom"/>
          </w:tcPr>
          <w:p>
            <w:pPr>
              <w:spacing w:after="0"/>
              <w:rPr>
                <w:sz w:val="19"/>
                <w:szCs w:val="19"/>
                <w:color w:val="auto"/>
              </w:rPr>
            </w:pPr>
          </w:p>
        </w:tc>
      </w:tr>
      <w:tr>
        <w:trPr>
          <w:trHeight w:val="210"/>
        </w:trPr>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Short-term investments²</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23,180,863</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23,180,863</w:t>
            </w:r>
          </w:p>
        </w:tc>
        <w:tc>
          <w:tcPr>
            <w:tcW w:w="3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44,756,478</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44,756,478</w:t>
            </w:r>
          </w:p>
        </w:tc>
        <w:tc>
          <w:tcPr>
            <w:tcW w:w="2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tcBorders>
              <w:top w:val="single" w:sz="8" w:color="CFF0FC"/>
            </w:tcBorders>
            <w:shd w:val="clear" w:color="auto" w:fill="CFF0FC"/>
          </w:tcPr>
          <w:p>
            <w:pPr>
              <w:spacing w:after="0"/>
              <w:rPr>
                <w:sz w:val="18"/>
                <w:szCs w:val="18"/>
                <w:color w:val="auto"/>
              </w:rPr>
            </w:pPr>
          </w:p>
        </w:tc>
      </w:tr>
      <w:tr>
        <w:trPr>
          <w:trHeight w:val="217"/>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Senior Secured Loan</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106,682,014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104,599,092</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86,040,921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77,616,209</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60" w:type="dxa"/>
            <w:vAlign w:val="bottom"/>
          </w:tcPr>
          <w:p>
            <w:pPr>
              <w:spacing w:after="0"/>
              <w:rPr>
                <w:sz w:val="18"/>
                <w:szCs w:val="18"/>
                <w:color w:val="auto"/>
              </w:rPr>
            </w:pPr>
          </w:p>
        </w:tc>
      </w:tr>
      <w:tr>
        <w:trPr>
          <w:trHeight w:val="21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Junior Secured Loan</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79,140,346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70,492,986</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76,223,561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70,245,535</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shd w:val="clear" w:color="auto" w:fill="CFF0FC"/>
          </w:tcPr>
          <w:p>
            <w:pPr>
              <w:spacing w:after="0"/>
              <w:rPr>
                <w:sz w:val="18"/>
                <w:szCs w:val="18"/>
                <w:color w:val="auto"/>
              </w:rPr>
            </w:pPr>
          </w:p>
        </w:tc>
      </w:tr>
      <w:tr>
        <w:trPr>
          <w:trHeight w:val="217"/>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Senior Unsecured Bond</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620,145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532,267</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CLO Fund Securities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48,825,983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36,871,295</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55,480,626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44,325,000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shd w:val="clear" w:color="auto" w:fill="CFF0FC"/>
          </w:tcPr>
          <w:p>
            <w:pPr>
              <w:spacing w:after="0"/>
              <w:rPr>
                <w:sz w:val="18"/>
                <w:szCs w:val="18"/>
                <w:color w:val="auto"/>
              </w:rPr>
            </w:pPr>
          </w:p>
        </w:tc>
      </w:tr>
      <w:tr>
        <w:trPr>
          <w:trHeight w:val="217"/>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19,528,755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6,279,611</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9,477,763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2,038,020</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r>
      <w:tr>
        <w:trPr>
          <w:trHeight w:val="21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Asset Manager Affiliates³</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17,791,230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17,791,230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3,470,000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8"/>
                <w:szCs w:val="18"/>
                <w:color w:val="auto"/>
              </w:rPr>
            </w:pPr>
          </w:p>
        </w:tc>
      </w:tr>
      <w:tr>
        <w:trPr>
          <w:trHeight w:val="217"/>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Joint Ventures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49,052,776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45,426,006</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37,381,525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30,857,107</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18"/>
                <w:szCs w:val="18"/>
                <w:color w:val="auto"/>
              </w:rPr>
            </w:pPr>
          </w:p>
        </w:tc>
      </w:tr>
      <w:tr>
        <w:trPr>
          <w:trHeight w:val="21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Derivatives</w:t>
            </w: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30,609</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9,650</w:t>
            </w:r>
          </w:p>
        </w:tc>
        <w:tc>
          <w:tcPr>
            <w:tcW w:w="30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3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8"/>
                <w:szCs w:val="18"/>
                <w:color w:val="auto"/>
              </w:rPr>
            </w:pPr>
          </w:p>
        </w:tc>
      </w:tr>
      <w:tr>
        <w:trPr>
          <w:trHeight w:val="210"/>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344,852,721</w:t>
            </w:r>
          </w:p>
        </w:tc>
        <w:tc>
          <w:tcPr>
            <w:tcW w:w="28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287,391,771</w:t>
            </w: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327,152,104</w:t>
            </w:r>
          </w:p>
        </w:tc>
        <w:tc>
          <w:tcPr>
            <w:tcW w:w="28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273,308,349</w:t>
            </w: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3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hanging="438"/>
        <w:spacing w:after="0"/>
        <w:tabs>
          <w:tab w:leader="none" w:pos="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Represents percentage of total portfolio at fair value.</w:t>
      </w:r>
    </w:p>
    <w:p>
      <w:pPr>
        <w:spacing w:after="0" w:line="24" w:lineRule="exact"/>
        <w:rPr>
          <w:sz w:val="20"/>
          <w:szCs w:val="20"/>
          <w:color w:val="auto"/>
        </w:rPr>
      </w:pPr>
    </w:p>
    <w:p>
      <w:pPr>
        <w:ind w:left="440" w:hanging="438"/>
        <w:spacing w:after="0"/>
        <w:tabs>
          <w:tab w:leader="none" w:pos="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Includes money market accounts and U.S. treasury bills.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5" w:name="page36"/>
    <w:bookmarkEnd w:id="35"/>
    <w:p>
      <w:pPr>
        <w:ind w:left="440" w:hanging="438"/>
        <w:spacing w:after="0"/>
        <w:tabs>
          <w:tab w:leader="none" w:pos="44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the equity investment in the Asset Manager Affiliates.</w:t>
      </w:r>
    </w:p>
    <w:p>
      <w:pPr>
        <w:spacing w:after="0" w:line="158" w:lineRule="exact"/>
        <w:rPr>
          <w:rFonts w:ascii="Times New Roman" w:cs="Times New Roman" w:eastAsia="Times New Roman" w:hAnsi="Times New Roman"/>
          <w:sz w:val="29"/>
          <w:szCs w:val="29"/>
          <w:color w:val="auto"/>
          <w:vertAlign w:val="superscript"/>
        </w:rPr>
      </w:pPr>
    </w:p>
    <w:p>
      <w:pPr>
        <w:ind w:left="44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industry concentrations based on the fair value of the Company’s investment portfolio as of September 30, 2019 and December 31, 2018,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b w:val="1"/>
                <w:bCs w:val="1"/>
                <w:color w:val="auto"/>
              </w:rPr>
              <w:t>September 30, 2019 (unaudited)</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7"/>
                <w:szCs w:val="17"/>
                <w:b w:val="1"/>
                <w:bCs w:val="1"/>
                <w:color w:val="auto"/>
              </w:rPr>
              <w:t>December 31, 2018</w:t>
            </w:r>
          </w:p>
        </w:tc>
        <w:tc>
          <w:tcPr>
            <w:tcW w:w="3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0"/>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380"/>
              <w:spacing w:after="0" w:line="190" w:lineRule="exact"/>
              <w:rPr>
                <w:sz w:val="20"/>
                <w:szCs w:val="20"/>
                <w:color w:val="auto"/>
              </w:rPr>
            </w:pPr>
            <w:r>
              <w:rPr>
                <w:rFonts w:ascii="Times New Roman" w:cs="Times New Roman" w:eastAsia="Times New Roman" w:hAnsi="Times New Roman"/>
                <w:sz w:val="17"/>
                <w:szCs w:val="17"/>
                <w:b w:val="1"/>
                <w:bCs w:val="1"/>
                <w:color w:val="auto"/>
              </w:rPr>
              <w:t>Cost/Amortized</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55"/>
              <w:spacing w:after="0" w:line="190" w:lineRule="exact"/>
              <w:rPr>
                <w:sz w:val="20"/>
                <w:szCs w:val="20"/>
                <w:color w:val="auto"/>
              </w:rPr>
            </w:pPr>
            <w:r>
              <w:rPr>
                <w:rFonts w:ascii="Times New Roman" w:cs="Times New Roman" w:eastAsia="Times New Roman" w:hAnsi="Times New Roman"/>
                <w:sz w:val="17"/>
                <w:szCs w:val="17"/>
                <w:b w:val="1"/>
                <w:bCs w:val="1"/>
                <w:color w:val="auto"/>
              </w:rPr>
              <w:t>Cost/Amortized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Industry Classification</w:t>
            </w:r>
          </w:p>
        </w:tc>
        <w:tc>
          <w:tcPr>
            <w:tcW w:w="10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20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%¹</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Cost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r>
      <w:tr>
        <w:trPr>
          <w:trHeight w:val="210"/>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Aerospace and Defense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9,657,656</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9,696,240</w:t>
            </w: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5,434,927</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4,049,940</w:t>
            </w: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Borders>
              <w:top w:val="single" w:sz="8" w:color="CFF0FC"/>
            </w:tcBorders>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Asset Management Company </w:t>
            </w: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17,791,230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17,791,230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3,470,000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Automotive</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4,903,922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4,887,750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Banking, Finance, Insurance &amp; Real Estate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6,409,973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6,312,997</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8,831,841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8,733,933</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Beverage, Food and Tobacco</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7,927,106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7,708,868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5,963,334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5,796,506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Capital Equipment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10,868,848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9,621,366</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10,888,432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9,831,391</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Chemicals, Plastics and Rubber</w:t>
            </w: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4,862,063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4,801,645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CLO Fund Securities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48,825,983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36,871,295</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55,480,626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44,325,000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Construction &amp; Building</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1,528,417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1,491,999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1,400,223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1,394,163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Consumer goods: Durable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1,251,118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4,474</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364,240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Containers, Packaging and Glass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2,839,628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2,623,104</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1,434,568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1,440,525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Electronics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2,972,114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2,973,750</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3,007,500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3,007,500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Energy: Oil &amp; Gas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9,527,648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1,620,635</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16,827,204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8,946,568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Environmental Industries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4,011,769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3,996,789</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8,371,180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6,939,794</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Forest Products &amp; Paper</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1,569,078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1,525,481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1,564,583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1,553,920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Healthcare, Education and Childcare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9,366,290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9,119,290</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Healthcare &amp; Pharmaceuticals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41,732,075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32,182,240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38,638,822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32,287,288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High Tech Industries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24,229,777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22,864,112</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23,971,435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23,662,459</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Hotel, Gaming &amp; Leisure</w:t>
            </w: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Joint Ventures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49,052,776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45,426,006</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37,381,525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30,857,107</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Media: Advertising, Printing &amp; Publishing</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359,765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98,827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6,113,852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5,590,863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Media: Broadcasting &amp; Subscription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4,858,333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4,892,093</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Services: Business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29,630,110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28,244,892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10,398,710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9,213,416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Services: Consumer</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4,580,275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4,594,427</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Telecommunications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6,892,524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6,694,100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8,351,775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8,343,919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Textiles and Leather</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12,383,112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12,257,840</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10,140,662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9,940,294</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Money Market Accounts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13,181,680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13,181,680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34,757,129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34,757,129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Transportation: Cargo</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8,502,331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8,502,333</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4,000,634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4,000,400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U.S. Government Obligations</w:t>
            </w: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9,999,183</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9,999,183</w:t>
            </w:r>
          </w:p>
        </w:tc>
        <w:tc>
          <w:tcPr>
            <w:tcW w:w="2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9,999,349</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9,999,349</w:t>
            </w:r>
          </w:p>
        </w:tc>
        <w:tc>
          <w:tcPr>
            <w:tcW w:w="26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shd w:val="clear" w:color="auto" w:fill="CFF0FC"/>
          </w:tcPr>
          <w:p>
            <w:pPr>
              <w:spacing w:after="0"/>
              <w:rPr>
                <w:sz w:val="18"/>
                <w:szCs w:val="18"/>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344,852,721</w:t>
            </w:r>
          </w:p>
        </w:tc>
        <w:tc>
          <w:tcPr>
            <w:tcW w:w="2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287,391,771</w:t>
            </w: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327,152,104</w:t>
            </w:r>
          </w:p>
        </w:tc>
        <w:tc>
          <w:tcPr>
            <w:tcW w:w="2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273,308,349</w:t>
            </w:r>
          </w:p>
        </w:tc>
        <w:tc>
          <w:tcPr>
            <w:tcW w:w="2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hanging="438"/>
        <w:spacing w:after="0"/>
        <w:tabs>
          <w:tab w:leader="none" w:pos="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Calculated as a percentage of total portfolio at fair value.</w:t>
      </w:r>
    </w:p>
    <w:p>
      <w:pPr>
        <w:spacing w:after="0" w:line="24" w:lineRule="exact"/>
        <w:rPr>
          <w:sz w:val="20"/>
          <w:szCs w:val="20"/>
          <w:color w:val="auto"/>
        </w:rPr>
      </w:pPr>
    </w:p>
    <w:p>
      <w:pPr>
        <w:ind w:left="440" w:hanging="438"/>
        <w:spacing w:after="0"/>
        <w:tabs>
          <w:tab w:leader="none" w:pos="4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Represents the equity investment in the Asset Manager Affiliates.</w:t>
      </w:r>
    </w:p>
    <w:p>
      <w:pPr>
        <w:spacing w:after="0" w:line="173"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7"/>
          <w:szCs w:val="17"/>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 w:right="239" w:bottom="1440" w:gutter="0" w:footer="0" w:header="0"/>
        </w:sectPr>
      </w:pPr>
    </w:p>
    <w:bookmarkStart w:id="36" w:name="page37"/>
    <w:bookmarkEnd w:id="36"/>
    <w:p>
      <w:pPr>
        <w:ind w:right="40" w:firstLine="440"/>
        <w:spacing w:after="0" w:line="262" w:lineRule="auto"/>
        <w:rPr>
          <w:sz w:val="20"/>
          <w:szCs w:val="20"/>
          <w:color w:val="auto"/>
        </w:rPr>
      </w:pPr>
      <w:r>
        <w:rPr>
          <w:rFonts w:ascii="Times New Roman" w:cs="Times New Roman" w:eastAsia="Times New Roman" w:hAnsi="Times New Roman"/>
          <w:sz w:val="17"/>
          <w:szCs w:val="17"/>
          <w:color w:val="auto"/>
        </w:rPr>
        <w:t>At September 30, 2019 and December 31, 2018, the total amount of non-qualifying assets was approximately 28.3% and 28.0% of total assets, respectively. The majority of non-qualifying assets were foreign investments which were approximately 12.8% and 16.5%, respectively, of the Company’s total assets (including the Company’s investments in CLO Funds, which are typically domiciled outside the U.S. and represented approximately 12.6% and 15.5% of its total assets on such dates,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 in CLO Fund Securities</w:t>
      </w:r>
    </w:p>
    <w:p>
      <w:pPr>
        <w:spacing w:after="0" w:line="17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7"/>
          <w:szCs w:val="17"/>
          <w:color w:val="auto"/>
        </w:rPr>
        <w:t>The Company has made minority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39" w:lineRule="exact"/>
        <w:rPr>
          <w:sz w:val="20"/>
          <w:szCs w:val="20"/>
          <w:color w:val="auto"/>
        </w:rPr>
      </w:pPr>
    </w:p>
    <w:p>
      <w:pPr>
        <w:ind w:right="180" w:firstLine="440"/>
        <w:spacing w:after="0" w:line="283" w:lineRule="auto"/>
        <w:rPr>
          <w:sz w:val="20"/>
          <w:szCs w:val="20"/>
          <w:color w:val="auto"/>
        </w:rPr>
      </w:pPr>
      <w:r>
        <w:rPr>
          <w:rFonts w:ascii="Times New Roman" w:cs="Times New Roman" w:eastAsia="Times New Roman" w:hAnsi="Times New Roman"/>
          <w:sz w:val="17"/>
          <w:szCs w:val="17"/>
          <w:color w:val="auto"/>
        </w:rPr>
        <w:t>On October 31, 2017, the Company purchased an additional $4.3 million of notional amount of subordinated notes issued by Catamaran CLO 2014-1 at a cost of $5.4 million.</w:t>
      </w:r>
    </w:p>
    <w:p>
      <w:pPr>
        <w:spacing w:after="0" w:line="127" w:lineRule="exact"/>
        <w:rPr>
          <w:sz w:val="20"/>
          <w:szCs w:val="20"/>
          <w:color w:val="auto"/>
        </w:rPr>
      </w:pPr>
    </w:p>
    <w:p>
      <w:pPr>
        <w:ind w:right="360" w:firstLine="440"/>
        <w:spacing w:after="0" w:line="283" w:lineRule="auto"/>
        <w:rPr>
          <w:sz w:val="20"/>
          <w:szCs w:val="20"/>
          <w:color w:val="auto"/>
        </w:rPr>
      </w:pPr>
      <w:r>
        <w:rPr>
          <w:rFonts w:ascii="Times New Roman" w:cs="Times New Roman" w:eastAsia="Times New Roman" w:hAnsi="Times New Roman"/>
          <w:sz w:val="17"/>
          <w:szCs w:val="17"/>
          <w:color w:val="auto"/>
        </w:rPr>
        <w:t>In December 2017, the Company purchased an additional $201,000 of notional amount of subordinated notes issued by Catamaran CLO 2013-1 at a cost of $201,000.</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December 2017, the Company sold $5.0 million par value of the subordinated notes of Catamaran CLO 2014-1 for $3.0 million.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September 2018, the Company purchased $10 million par value of the subordinated notes of Catamaran CLO 2018-1 at a cost of approximately $9.5 million.</w:t>
      </w:r>
    </w:p>
    <w:p>
      <w:pPr>
        <w:spacing w:after="0" w:line="188" w:lineRule="exact"/>
        <w:rPr>
          <w:sz w:val="20"/>
          <w:szCs w:val="20"/>
          <w:color w:val="auto"/>
        </w:rPr>
      </w:pPr>
    </w:p>
    <w:p>
      <w:pPr>
        <w:jc w:val="both"/>
        <w:ind w:right="20" w:firstLine="440"/>
        <w:spacing w:after="0" w:line="267" w:lineRule="auto"/>
        <w:rPr>
          <w:sz w:val="20"/>
          <w:szCs w:val="20"/>
          <w:color w:val="auto"/>
        </w:rPr>
      </w:pPr>
      <w:r>
        <w:rPr>
          <w:rFonts w:ascii="Times New Roman" w:cs="Times New Roman" w:eastAsia="Times New Roman" w:hAnsi="Times New Roman"/>
          <w:sz w:val="17"/>
          <w:szCs w:val="17"/>
          <w:color w:val="auto"/>
        </w:rPr>
        <w:t>In December 2018, the Company received $2.5 million of notional amount of subordinated notes of Catamaran 2013-1 with a fair value of $1.4 million and $3.4 million of notional amount of subordinated notes of Catamaran 2014-1 with a fair value of $1.9 million, as consideration for the repayment of a portion of the loans to Trimaran Advisors.</w:t>
      </w:r>
    </w:p>
    <w:p>
      <w:pPr>
        <w:spacing w:after="0" w:line="128"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7"/>
          <w:szCs w:val="17"/>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Katonah 2007-1 was fully liquidated and dissolved in the fourth quarter of 2018. Accordingly, the Company recorded a realized loss during the fourth quarter of 2018 of approximately $10.1 million on its investment in Katonah 2007-1 and a corresponding unrealized gain of the same amount in order to reverse the previously recorded unrealized depreciation with respect to the investment.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37" w:name="page38"/>
    <w:bookmarkEnd w:id="37"/>
    <w:p>
      <w:pPr>
        <w:ind w:right="20" w:firstLine="440"/>
        <w:spacing w:after="0" w:line="267" w:lineRule="auto"/>
        <w:rPr>
          <w:sz w:val="20"/>
          <w:szCs w:val="20"/>
          <w:color w:val="auto"/>
        </w:rPr>
      </w:pPr>
      <w:r>
        <w:rPr>
          <w:rFonts w:ascii="Times New Roman" w:cs="Times New Roman" w:eastAsia="Times New Roman" w:hAnsi="Times New Roman"/>
          <w:sz w:val="17"/>
          <w:szCs w:val="17"/>
          <w:color w:val="auto"/>
        </w:rPr>
        <w:t>Similarly, during the fourth quarter of 2018, each of Grant Grove CLO, Ltd., Trimaran CLO VII, Ltd., and Catamaran CLO 2012-1 Ltd. were fully liquidated and dissolved, and the Company recorded a realized loss of approximately $6.4 million and a corresponding unrealized gain of the same amount in order to reserve the previously recorded unrealized depreciation with respect to these investments.</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the first quarter of 2019, the Company sold $2.0 million notional amount of subordinated notes of Catamaran CLO 2014-1 for $800,000.</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June 2019, the Company sold $4.8 million par value of the CLO Rated note issued by Great Lakes KCAP F3C Senior, LLC for $4.4 million.</w:t>
      </w:r>
    </w:p>
    <w:p>
      <w:pPr>
        <w:spacing w:after="0" w:line="175" w:lineRule="exact"/>
        <w:rPr>
          <w:sz w:val="20"/>
          <w:szCs w:val="20"/>
          <w:color w:val="auto"/>
        </w:rPr>
      </w:pPr>
    </w:p>
    <w:p>
      <w:pPr>
        <w:ind w:right="260" w:firstLine="440"/>
        <w:spacing w:after="0" w:line="283" w:lineRule="auto"/>
        <w:rPr>
          <w:sz w:val="20"/>
          <w:szCs w:val="20"/>
          <w:color w:val="auto"/>
        </w:rPr>
      </w:pPr>
      <w:r>
        <w:rPr>
          <w:rFonts w:ascii="Times New Roman" w:cs="Times New Roman" w:eastAsia="Times New Roman" w:hAnsi="Times New Roman"/>
          <w:sz w:val="17"/>
          <w:szCs w:val="17"/>
          <w:color w:val="auto"/>
        </w:rPr>
        <w:t>With the exception of Katonah III, Ltd., as of September 30, 2019 all of the Company’s investments in CLO Fund securities were making distributions to the Company.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Affiliate Investments: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details investments in affiliates at September 30, 2019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1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60" w:type="dxa"/>
            <w:vAlign w:val="bottom"/>
          </w:tcPr>
          <w:p>
            <w:pPr>
              <w:spacing w:after="0"/>
              <w:rPr>
                <w:sz w:val="11"/>
                <w:szCs w:val="11"/>
                <w:color w:val="auto"/>
              </w:rPr>
            </w:pPr>
          </w:p>
        </w:tc>
        <w:tc>
          <w:tcPr>
            <w:tcW w:w="92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rPr>
              <w:t>Purchases/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Transfers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20"/>
              <w:spacing w:after="0" w:line="128" w:lineRule="exact"/>
              <w:rPr>
                <w:sz w:val="20"/>
                <w:szCs w:val="20"/>
                <w:color w:val="auto"/>
              </w:rPr>
            </w:pPr>
            <w:r>
              <w:rPr>
                <w:rFonts w:ascii="Times New Roman" w:cs="Times New Roman" w:eastAsia="Times New Roman" w:hAnsi="Times New Roman"/>
                <w:sz w:val="12"/>
                <w:szCs w:val="12"/>
                <w:b w:val="1"/>
                <w:bCs w:val="1"/>
                <w:color w:val="auto"/>
                <w:w w:val="95"/>
              </w:rPr>
              <w:t>at of</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1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rPr>
              <w:t>at of</w:t>
            </w:r>
          </w:p>
        </w:tc>
        <w:tc>
          <w:tcPr>
            <w:tcW w:w="60" w:type="dxa"/>
            <w:vAlign w:val="bottom"/>
          </w:tcPr>
          <w:p>
            <w:pPr>
              <w:spacing w:after="0"/>
              <w:rPr>
                <w:sz w:val="11"/>
                <w:szCs w:val="11"/>
                <w:color w:val="auto"/>
              </w:rPr>
            </w:pPr>
          </w:p>
        </w:tc>
        <w:tc>
          <w:tcPr>
            <w:tcW w:w="92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w w:val="97"/>
              </w:rPr>
              <w:t>(Sales) of or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8"/>
              </w:rPr>
              <w:t>In/(Out)</w:t>
            </w:r>
          </w:p>
        </w:tc>
        <w:tc>
          <w:tcPr>
            <w:tcW w:w="220" w:type="dxa"/>
            <w:vAlign w:val="bottom"/>
          </w:tcPr>
          <w:p>
            <w:pPr>
              <w:spacing w:after="0"/>
              <w:rPr>
                <w:sz w:val="11"/>
                <w:szCs w:val="11"/>
                <w:color w:val="auto"/>
              </w:rPr>
            </w:pPr>
          </w:p>
        </w:tc>
        <w:tc>
          <w:tcPr>
            <w:tcW w:w="820" w:type="dxa"/>
            <w:vAlign w:val="bottom"/>
            <w:gridSpan w:val="3"/>
          </w:tcPr>
          <w:p>
            <w:pPr>
              <w:jc w:val="center"/>
              <w:ind w:right="98"/>
              <w:spacing w:after="0" w:line="128" w:lineRule="exact"/>
              <w:rPr>
                <w:sz w:val="20"/>
                <w:szCs w:val="20"/>
                <w:color w:val="auto"/>
              </w:rPr>
            </w:pPr>
            <w:r>
              <w:rPr>
                <w:rFonts w:ascii="Times New Roman" w:cs="Times New Roman" w:eastAsia="Times New Roman" w:hAnsi="Times New Roman"/>
                <w:sz w:val="12"/>
                <w:szCs w:val="12"/>
                <w:b w:val="1"/>
                <w:bCs w:val="1"/>
                <w:color w:val="auto"/>
                <w:w w:val="98"/>
              </w:rPr>
              <w:t>Net change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7"/>
              </w:rPr>
              <w:t>September</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1980" w:type="dxa"/>
            <w:vAlign w:val="bottom"/>
          </w:tcPr>
          <w:p>
            <w:pPr>
              <w:spacing w:after="0"/>
              <w:rPr>
                <w:sz w:val="11"/>
                <w:szCs w:val="11"/>
                <w:color w:val="auto"/>
              </w:rPr>
            </w:pPr>
          </w:p>
        </w:tc>
        <w:tc>
          <w:tcPr>
            <w:tcW w:w="1580" w:type="dxa"/>
            <w:vAlign w:val="bottom"/>
            <w:gridSpan w:val="2"/>
          </w:tcPr>
          <w:p>
            <w:pPr>
              <w:ind w:left="500"/>
              <w:spacing w:after="0" w:line="128" w:lineRule="exact"/>
              <w:rPr>
                <w:sz w:val="20"/>
                <w:szCs w:val="20"/>
                <w:color w:val="auto"/>
              </w:rPr>
            </w:pPr>
            <w:r>
              <w:rPr>
                <w:rFonts w:ascii="Times New Roman" w:cs="Times New Roman" w:eastAsia="Times New Roman" w:hAnsi="Times New Roman"/>
                <w:sz w:val="12"/>
                <w:szCs w:val="12"/>
                <w:b w:val="1"/>
                <w:bCs w:val="1"/>
                <w:color w:val="auto"/>
              </w:rPr>
              <w:t>Industry</w:t>
            </w:r>
          </w:p>
        </w:tc>
        <w:tc>
          <w:tcPr>
            <w:tcW w:w="940" w:type="dxa"/>
            <w:vAlign w:val="bottom"/>
            <w:gridSpan w:val="3"/>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60" w:type="dxa"/>
            <w:vAlign w:val="bottom"/>
          </w:tcPr>
          <w:p>
            <w:pPr>
              <w:spacing w:after="0"/>
              <w:rPr>
                <w:sz w:val="11"/>
                <w:szCs w:val="11"/>
                <w:color w:val="auto"/>
              </w:rPr>
            </w:pPr>
          </w:p>
        </w:tc>
        <w:tc>
          <w:tcPr>
            <w:tcW w:w="92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Advances/</w:t>
            </w:r>
          </w:p>
        </w:tc>
        <w:tc>
          <w:tcPr>
            <w:tcW w:w="780" w:type="dxa"/>
            <w:vAlign w:val="bottom"/>
            <w:gridSpan w:val="2"/>
          </w:tcPr>
          <w:p>
            <w:pPr>
              <w:jc w:val="right"/>
              <w:ind w:right="338"/>
              <w:spacing w:after="0" w:line="128" w:lineRule="exact"/>
              <w:rPr>
                <w:sz w:val="20"/>
                <w:szCs w:val="20"/>
                <w:color w:val="auto"/>
              </w:rPr>
            </w:pPr>
            <w:r>
              <w:rPr>
                <w:rFonts w:ascii="Times New Roman" w:cs="Times New Roman" w:eastAsia="Times New Roman" w:hAnsi="Times New Roman"/>
                <w:sz w:val="12"/>
                <w:szCs w:val="12"/>
                <w:b w:val="1"/>
                <w:bCs w:val="1"/>
                <w:color w:val="auto"/>
              </w:rPr>
              <w:t>Net</w:t>
            </w:r>
          </w:p>
        </w:tc>
        <w:tc>
          <w:tcPr>
            <w:tcW w:w="80" w:type="dxa"/>
            <w:vAlign w:val="bottom"/>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220" w:type="dxa"/>
            <w:vAlign w:val="bottom"/>
          </w:tcPr>
          <w:p>
            <w:pPr>
              <w:spacing w:after="0"/>
              <w:rPr>
                <w:sz w:val="11"/>
                <w:szCs w:val="11"/>
                <w:color w:val="auto"/>
              </w:rPr>
            </w:pPr>
          </w:p>
        </w:tc>
        <w:tc>
          <w:tcPr>
            <w:tcW w:w="820" w:type="dxa"/>
            <w:vAlign w:val="bottom"/>
            <w:gridSpan w:val="3"/>
          </w:tcPr>
          <w:p>
            <w:pPr>
              <w:jc w:val="center"/>
              <w:ind w:right="78"/>
              <w:spacing w:after="0" w:line="128" w:lineRule="exact"/>
              <w:rPr>
                <w:sz w:val="20"/>
                <w:szCs w:val="20"/>
                <w:color w:val="auto"/>
              </w:rPr>
            </w:pPr>
            <w:r>
              <w:rPr>
                <w:rFonts w:ascii="Times New Roman" w:cs="Times New Roman" w:eastAsia="Times New Roman" w:hAnsi="Times New Roman"/>
                <w:sz w:val="12"/>
                <w:szCs w:val="12"/>
                <w:b w:val="1"/>
                <w:bCs w:val="1"/>
                <w:color w:val="auto"/>
                <w:w w:val="98"/>
              </w:rPr>
              <w:t>in unrealized</w:t>
            </w:r>
          </w:p>
        </w:tc>
        <w:tc>
          <w:tcPr>
            <w:tcW w:w="100" w:type="dxa"/>
            <w:vAlign w:val="bottom"/>
          </w:tcPr>
          <w:p>
            <w:pPr>
              <w:spacing w:after="0"/>
              <w:rPr>
                <w:sz w:val="11"/>
                <w:szCs w:val="11"/>
                <w:color w:val="auto"/>
              </w:rPr>
            </w:pPr>
          </w:p>
        </w:tc>
        <w:tc>
          <w:tcPr>
            <w:tcW w:w="860" w:type="dxa"/>
            <w:vAlign w:val="bottom"/>
            <w:gridSpan w:val="2"/>
          </w:tcPr>
          <w:p>
            <w:pPr>
              <w:jc w:val="right"/>
              <w:ind w:right="278"/>
              <w:spacing w:after="0" w:line="128" w:lineRule="exact"/>
              <w:rPr>
                <w:sz w:val="20"/>
                <w:szCs w:val="20"/>
                <w:color w:val="auto"/>
              </w:rPr>
            </w:pPr>
            <w:r>
              <w:rPr>
                <w:rFonts w:ascii="Times New Roman" w:cs="Times New Roman" w:eastAsia="Times New Roman" w:hAnsi="Times New Roman"/>
                <w:sz w:val="12"/>
                <w:szCs w:val="12"/>
                <w:b w:val="1"/>
                <w:bCs w:val="1"/>
                <w:color w:val="auto"/>
              </w:rPr>
              <w:t>Realized</w:t>
            </w:r>
          </w:p>
        </w:tc>
        <w:tc>
          <w:tcPr>
            <w:tcW w:w="80" w:type="dxa"/>
            <w:vAlign w:val="bottom"/>
          </w:tcPr>
          <w:p>
            <w:pPr>
              <w:spacing w:after="0"/>
              <w:rPr>
                <w:sz w:val="11"/>
                <w:szCs w:val="11"/>
                <w:color w:val="auto"/>
              </w:rPr>
            </w:pPr>
          </w:p>
        </w:tc>
        <w:tc>
          <w:tcPr>
            <w:tcW w:w="580" w:type="dxa"/>
            <w:vAlign w:val="bottom"/>
          </w:tcPr>
          <w:p>
            <w:pPr>
              <w:jc w:val="right"/>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30,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Dividend</w:t>
            </w:r>
          </w:p>
        </w:tc>
      </w:tr>
      <w:tr>
        <w:trPr>
          <w:trHeight w:val="148"/>
        </w:trPr>
        <w:tc>
          <w:tcPr>
            <w:tcW w:w="1980" w:type="dxa"/>
            <w:vAlign w:val="bottom"/>
          </w:tcPr>
          <w:p>
            <w:pPr>
              <w:spacing w:after="0"/>
              <w:rPr>
                <w:sz w:val="12"/>
                <w:szCs w:val="12"/>
                <w:color w:val="auto"/>
              </w:rPr>
            </w:pPr>
          </w:p>
        </w:tc>
        <w:tc>
          <w:tcPr>
            <w:tcW w:w="158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Classification</w:t>
            </w:r>
          </w:p>
        </w:tc>
        <w:tc>
          <w:tcPr>
            <w:tcW w:w="60" w:type="dxa"/>
            <w:vAlign w:val="bottom"/>
          </w:tcPr>
          <w:p>
            <w:pPr>
              <w:spacing w:after="0"/>
              <w:rPr>
                <w:sz w:val="12"/>
                <w:szCs w:val="12"/>
                <w:color w:val="auto"/>
              </w:rPr>
            </w:pPr>
          </w:p>
        </w:tc>
        <w:tc>
          <w:tcPr>
            <w:tcW w:w="64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2018</w:t>
            </w:r>
          </w:p>
        </w:tc>
        <w:tc>
          <w:tcPr>
            <w:tcW w:w="240" w:type="dxa"/>
            <w:vAlign w:val="bottom"/>
          </w:tcPr>
          <w:p>
            <w:pPr>
              <w:spacing w:after="0"/>
              <w:rPr>
                <w:sz w:val="12"/>
                <w:szCs w:val="12"/>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(Distributions)</w:t>
            </w:r>
          </w:p>
        </w:tc>
        <w:tc>
          <w:tcPr>
            <w:tcW w:w="7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Accretion</w:t>
            </w:r>
          </w:p>
        </w:tc>
        <w:tc>
          <w:tcPr>
            <w:tcW w:w="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Affiliates</w:t>
            </w:r>
          </w:p>
        </w:tc>
        <w:tc>
          <w:tcPr>
            <w:tcW w:w="220" w:type="dxa"/>
            <w:vAlign w:val="bottom"/>
          </w:tcPr>
          <w:p>
            <w:pPr>
              <w:spacing w:after="0"/>
              <w:rPr>
                <w:sz w:val="12"/>
                <w:szCs w:val="12"/>
                <w:color w:val="auto"/>
              </w:rPr>
            </w:pPr>
          </w:p>
        </w:tc>
        <w:tc>
          <w:tcPr>
            <w:tcW w:w="820" w:type="dxa"/>
            <w:vAlign w:val="bottom"/>
            <w:gridSpan w:val="3"/>
          </w:tcPr>
          <w:p>
            <w:pPr>
              <w:jc w:val="center"/>
              <w:ind w:right="98"/>
              <w:spacing w:after="0"/>
              <w:rPr>
                <w:sz w:val="20"/>
                <w:szCs w:val="20"/>
                <w:color w:val="auto"/>
              </w:rPr>
            </w:pPr>
            <w:r>
              <w:rPr>
                <w:rFonts w:ascii="Times New Roman" w:cs="Times New Roman" w:eastAsia="Times New Roman" w:hAnsi="Times New Roman"/>
                <w:sz w:val="12"/>
                <w:szCs w:val="12"/>
                <w:b w:val="1"/>
                <w:bCs w:val="1"/>
                <w:color w:val="auto"/>
                <w:w w:val="99"/>
              </w:rPr>
              <w:t>Gain/(Loss)</w:t>
            </w:r>
          </w:p>
        </w:tc>
        <w:tc>
          <w:tcPr>
            <w:tcW w:w="100" w:type="dxa"/>
            <w:vAlign w:val="bottom"/>
          </w:tcPr>
          <w:p>
            <w:pPr>
              <w:spacing w:after="0"/>
              <w:rPr>
                <w:sz w:val="12"/>
                <w:szCs w:val="12"/>
                <w:color w:val="auto"/>
              </w:rPr>
            </w:pPr>
          </w:p>
        </w:tc>
        <w:tc>
          <w:tcPr>
            <w:tcW w:w="860" w:type="dxa"/>
            <w:vAlign w:val="bottom"/>
            <w:gridSpan w:val="2"/>
          </w:tcPr>
          <w:p>
            <w:pPr>
              <w:jc w:val="right"/>
              <w:ind w:right="218"/>
              <w:spacing w:after="0"/>
              <w:rPr>
                <w:sz w:val="20"/>
                <w:szCs w:val="20"/>
                <w:color w:val="auto"/>
              </w:rPr>
            </w:pPr>
            <w:r>
              <w:rPr>
                <w:rFonts w:ascii="Times New Roman" w:cs="Times New Roman" w:eastAsia="Times New Roman" w:hAnsi="Times New Roman"/>
                <w:sz w:val="12"/>
                <w:szCs w:val="12"/>
                <w:b w:val="1"/>
                <w:bCs w:val="1"/>
                <w:color w:val="auto"/>
                <w:w w:val="96"/>
              </w:rPr>
              <w:t>Gain/(Loss)</w:t>
            </w:r>
          </w:p>
        </w:tc>
        <w:tc>
          <w:tcPr>
            <w:tcW w:w="80" w:type="dxa"/>
            <w:vAlign w:val="bottom"/>
          </w:tcPr>
          <w:p>
            <w:pPr>
              <w:spacing w:after="0"/>
              <w:rPr>
                <w:sz w:val="12"/>
                <w:szCs w:val="12"/>
                <w:color w:val="auto"/>
              </w:rPr>
            </w:pPr>
          </w:p>
        </w:tc>
        <w:tc>
          <w:tcPr>
            <w:tcW w:w="58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Income</w:t>
            </w:r>
          </w:p>
        </w:tc>
      </w:tr>
      <w:tr>
        <w:trPr>
          <w:trHeight w:val="118"/>
        </w:trPr>
        <w:tc>
          <w:tcPr>
            <w:tcW w:w="1980" w:type="dxa"/>
            <w:vAlign w:val="bottom"/>
            <w:tcBorders>
              <w:top w:val="single" w:sz="8" w:color="CFF0FC"/>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Asset Manager Affiliates</w:t>
            </w:r>
            <w:r>
              <w:rPr>
                <w:rFonts w:ascii="Times New Roman" w:cs="Times New Roman" w:eastAsia="Times New Roman" w:hAnsi="Times New Roman"/>
                <w:sz w:val="10"/>
                <w:szCs w:val="10"/>
                <w:color w:val="auto"/>
              </w:rPr>
              <w:t>(3)(4)(6)</w:t>
            </w:r>
          </w:p>
        </w:tc>
        <w:tc>
          <w:tcPr>
            <w:tcW w:w="146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Asset</w:t>
            </w:r>
          </w:p>
        </w:tc>
        <w:tc>
          <w:tcPr>
            <w:tcW w:w="12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28"/>
        </w:trPr>
        <w:tc>
          <w:tcPr>
            <w:tcW w:w="1980" w:type="dxa"/>
            <w:vAlign w:val="bottom"/>
            <w:shd w:val="clear" w:color="auto" w:fill="CFF0FC"/>
          </w:tcPr>
          <w:p>
            <w:pPr>
              <w:spacing w:after="0"/>
              <w:rPr>
                <w:sz w:val="11"/>
                <w:szCs w:val="11"/>
                <w:color w:val="auto"/>
              </w:rPr>
            </w:pPr>
          </w:p>
        </w:tc>
        <w:tc>
          <w:tcPr>
            <w:tcW w:w="158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2"/>
                <w:szCs w:val="12"/>
                <w:color w:val="auto"/>
              </w:rPr>
              <w:t>Management</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19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Company</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3,470,000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shd w:val="clear" w:color="auto" w:fill="CFF0FC"/>
          </w:tcPr>
          <w:p>
            <w:pPr>
              <w:jc w:val="right"/>
              <w:ind w:right="138"/>
              <w:spacing w:after="0"/>
              <w:rPr>
                <w:sz w:val="20"/>
                <w:szCs w:val="20"/>
                <w:color w:val="auto"/>
              </w:rPr>
            </w:pPr>
            <w:r>
              <w:rPr>
                <w:rFonts w:ascii="Times New Roman" w:cs="Times New Roman" w:eastAsia="Times New Roman" w:hAnsi="Times New Roman"/>
                <w:sz w:val="12"/>
                <w:szCs w:val="12"/>
                <w:color w:val="auto"/>
              </w:rPr>
              <w:t>$ (3,470,000)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19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Tank Partners Holdings, LLC</w:t>
            </w:r>
            <w:r>
              <w:rPr>
                <w:rFonts w:ascii="Times New Roman" w:cs="Times New Roman" w:eastAsia="Times New Roman" w:hAnsi="Times New Roman"/>
                <w:sz w:val="10"/>
                <w:szCs w:val="10"/>
                <w:color w:val="auto"/>
              </w:rPr>
              <w:t>(3)(4)(5)</w:t>
            </w:r>
          </w:p>
        </w:tc>
        <w:tc>
          <w:tcPr>
            <w:tcW w:w="158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Energy: Oil &amp;</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1980" w:type="dxa"/>
            <w:vAlign w:val="bottom"/>
          </w:tcPr>
          <w:p>
            <w:pPr>
              <w:spacing w:after="0"/>
              <w:rPr>
                <w:sz w:val="12"/>
                <w:szCs w:val="12"/>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Gas</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6,228,000</w:t>
            </w:r>
          </w:p>
        </w:tc>
        <w:tc>
          <w:tcPr>
            <w:tcW w:w="240" w:type="dxa"/>
            <w:vAlign w:val="bottom"/>
          </w:tcPr>
          <w:p>
            <w:pPr>
              <w:spacing w:after="0"/>
              <w:rPr>
                <w:sz w:val="12"/>
                <w:szCs w:val="12"/>
                <w:color w:val="auto"/>
              </w:rPr>
            </w:pPr>
          </w:p>
        </w:tc>
        <w:tc>
          <w:tcPr>
            <w:tcW w:w="78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(5,064,000)</w:t>
            </w:r>
          </w:p>
        </w:tc>
        <w:tc>
          <w:tcPr>
            <w:tcW w:w="960" w:type="dxa"/>
            <w:vAlign w:val="bottom"/>
            <w:gridSpan w:val="3"/>
          </w:tcPr>
          <w:p>
            <w:pPr>
              <w:jc w:val="right"/>
              <w:ind w:right="138"/>
              <w:spacing w:after="0"/>
              <w:rPr>
                <w:sz w:val="20"/>
                <w:szCs w:val="20"/>
                <w:color w:val="auto"/>
              </w:rPr>
            </w:pPr>
            <w:r>
              <w:rPr>
                <w:rFonts w:ascii="Times New Roman" w:cs="Times New Roman" w:eastAsia="Times New Roman" w:hAnsi="Times New Roman"/>
                <w:sz w:val="12"/>
                <w:szCs w:val="12"/>
                <w:color w:val="auto"/>
              </w:rPr>
              <w:t>(1,165,000)</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198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Tank Partners Holdings, LLC</w:t>
            </w:r>
            <w:r>
              <w:rPr>
                <w:rFonts w:ascii="Times New Roman" w:cs="Times New Roman" w:eastAsia="Times New Roman" w:hAnsi="Times New Roman"/>
                <w:sz w:val="10"/>
                <w:szCs w:val="10"/>
                <w:color w:val="auto"/>
              </w:rPr>
              <w:t>(3)(4)(5)</w:t>
            </w:r>
          </w:p>
        </w:tc>
        <w:tc>
          <w:tcPr>
            <w:tcW w:w="158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Energy: Oil &amp;</w:t>
            </w: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19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Gas</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622,167</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2"/>
                <w:szCs w:val="12"/>
                <w:color w:val="auto"/>
              </w:rPr>
              <w:t>(89,900)</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532,267</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1"/>
        </w:trPr>
        <w:tc>
          <w:tcPr>
            <w:tcW w:w="1980" w:type="dxa"/>
            <w:vAlign w:val="bottom"/>
          </w:tcPr>
          <w:p>
            <w:pPr>
              <w:spacing w:after="0"/>
              <w:rPr>
                <w:sz w:val="20"/>
                <w:szCs w:val="20"/>
                <w:color w:val="auto"/>
              </w:rPr>
            </w:pPr>
            <w:r>
              <w:rPr>
                <w:rFonts w:ascii="Times New Roman" w:cs="Times New Roman" w:eastAsia="Times New Roman" w:hAnsi="Times New Roman"/>
                <w:sz w:val="12"/>
                <w:szCs w:val="12"/>
                <w:color w:val="auto"/>
              </w:rPr>
              <w:t>BCP Great Lakes Holdings LP</w:t>
            </w:r>
            <w:r>
              <w:rPr>
                <w:rFonts w:ascii="Times New Roman" w:cs="Times New Roman" w:eastAsia="Times New Roman" w:hAnsi="Times New Roman"/>
                <w:sz w:val="10"/>
                <w:szCs w:val="10"/>
                <w:color w:val="auto"/>
              </w:rPr>
              <w:t>(5)</w:t>
            </w:r>
          </w:p>
        </w:tc>
        <w:tc>
          <w:tcPr>
            <w:tcW w:w="1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Joint Venture</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12,466,667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11,671,251</w:t>
            </w:r>
          </w:p>
        </w:tc>
        <w:tc>
          <w:tcPr>
            <w:tcW w:w="240" w:type="dxa"/>
            <w:vAlign w:val="bottom"/>
          </w:tcPr>
          <w:p>
            <w:pPr>
              <w:spacing w:after="0"/>
              <w:rPr>
                <w:sz w:val="12"/>
                <w:szCs w:val="12"/>
                <w:color w:val="auto"/>
              </w:rPr>
            </w:pPr>
          </w:p>
        </w:tc>
        <w:tc>
          <w:tcPr>
            <w:tcW w:w="78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24,190,267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642,257</w:t>
            </w:r>
          </w:p>
        </w:tc>
        <w:tc>
          <w:tcPr>
            <w:tcW w:w="100" w:type="dxa"/>
            <w:vAlign w:val="bottom"/>
          </w:tcPr>
          <w:p>
            <w:pPr>
              <w:spacing w:after="0"/>
              <w:rPr>
                <w:sz w:val="12"/>
                <w:szCs w:val="12"/>
                <w:color w:val="auto"/>
              </w:rPr>
            </w:pPr>
          </w:p>
        </w:tc>
      </w:tr>
      <w:tr>
        <w:trPr>
          <w:trHeight w:val="141"/>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 xml:space="preserve">KCAP Freedom 3, LLC </w:t>
            </w:r>
            <w:r>
              <w:rPr>
                <w:rFonts w:ascii="Times New Roman" w:cs="Times New Roman" w:eastAsia="Times New Roman" w:hAnsi="Times New Roman"/>
                <w:sz w:val="10"/>
                <w:szCs w:val="10"/>
                <w:color w:val="auto"/>
              </w:rPr>
              <w:t>(3)(5)</w:t>
            </w:r>
          </w:p>
        </w:tc>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Joint Venture</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18,390,440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2,845,299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21,235,739</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2,900,000</w:t>
            </w:r>
          </w:p>
        </w:tc>
        <w:tc>
          <w:tcPr>
            <w:tcW w:w="100" w:type="dxa"/>
            <w:vAlign w:val="bottom"/>
            <w:shd w:val="clear" w:color="auto" w:fill="CFF0FC"/>
          </w:tcPr>
          <w:p>
            <w:pPr>
              <w:spacing w:after="0"/>
              <w:rPr>
                <w:sz w:val="12"/>
                <w:szCs w:val="12"/>
                <w:color w:val="auto"/>
              </w:rPr>
            </w:pPr>
          </w:p>
        </w:tc>
      </w:tr>
      <w:tr>
        <w:trPr>
          <w:trHeight w:val="134"/>
        </w:trPr>
        <w:tc>
          <w:tcPr>
            <w:tcW w:w="198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Total controlled affiliates</w:t>
            </w: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34,328,107</w:t>
            </w:r>
          </w:p>
        </w:tc>
        <w:tc>
          <w:tcPr>
            <w:tcW w:w="2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18,521,418</w:t>
            </w:r>
          </w:p>
        </w:tc>
        <w:tc>
          <w:tcPr>
            <w:tcW w:w="2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w w:val="96"/>
              </w:rPr>
              <w:t>(2,256,252)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(4,635,000)</w:t>
            </w:r>
          </w:p>
        </w:tc>
        <w:tc>
          <w:tcPr>
            <w:tcW w:w="2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w w:val="99"/>
              </w:rPr>
              <w:t>45,958,273</w:t>
            </w:r>
          </w:p>
        </w:tc>
        <w:tc>
          <w:tcPr>
            <w:tcW w:w="2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3,542,257</w:t>
            </w:r>
          </w:p>
        </w:tc>
        <w:tc>
          <w:tcPr>
            <w:tcW w:w="100" w:type="dxa"/>
            <w:vAlign w:val="bottom"/>
          </w:tcPr>
          <w:p>
            <w:pPr>
              <w:spacing w:after="0"/>
              <w:rPr>
                <w:sz w:val="11"/>
                <w:szCs w:val="11"/>
                <w:color w:val="auto"/>
              </w:rPr>
            </w:pPr>
          </w:p>
        </w:tc>
      </w:tr>
      <w:tr>
        <w:trPr>
          <w:trHeight w:val="134"/>
        </w:trPr>
        <w:tc>
          <w:tcPr>
            <w:tcW w:w="1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5"/>
        </w:trPr>
        <w:tc>
          <w:tcPr>
            <w:tcW w:w="198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Catamaran CLO 2013-1, Ltd. </w:t>
            </w:r>
            <w:r>
              <w:rPr>
                <w:rFonts w:ascii="Times New Roman" w:cs="Times New Roman" w:eastAsia="Times New Roman" w:hAnsi="Times New Roman"/>
                <w:sz w:val="10"/>
                <w:szCs w:val="10"/>
                <w:color w:val="auto"/>
              </w:rPr>
              <w:t>(1)(2)(3)</w:t>
            </w:r>
          </w:p>
        </w:tc>
        <w:tc>
          <w:tcPr>
            <w:tcW w:w="158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(7)</w:t>
            </w:r>
          </w:p>
        </w:tc>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Securities</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2"/>
                <w:szCs w:val="12"/>
                <w:color w:val="auto"/>
              </w:rPr>
              <w:t>(76,674)</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7,506,434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2"/>
                <w:szCs w:val="12"/>
                <w:color w:val="auto"/>
              </w:rPr>
              <w:t>(1,161,226)</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6,268,534</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689,644</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19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 xml:space="preserve">Catamaran CLO 2014-1, Ltd. </w:t>
            </w:r>
            <w:r>
              <w:rPr>
                <w:rFonts w:ascii="Times New Roman" w:cs="Times New Roman" w:eastAsia="Times New Roman" w:hAnsi="Times New Roman"/>
                <w:sz w:val="10"/>
                <w:szCs w:val="10"/>
                <w:color w:val="auto"/>
              </w:rPr>
              <w:t>(1)(2)(3)</w:t>
            </w:r>
          </w:p>
        </w:tc>
        <w:tc>
          <w:tcPr>
            <w:tcW w:w="158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(7)</w:t>
            </w:r>
          </w:p>
        </w:tc>
        <w:tc>
          <w:tcPr>
            <w:tcW w:w="1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w:t>
            </w:r>
          </w:p>
        </w:tc>
        <w:tc>
          <w:tcPr>
            <w:tcW w:w="6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(123,923)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9,112,278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(685,400)</w:t>
            </w:r>
          </w:p>
        </w:tc>
        <w:tc>
          <w:tcPr>
            <w:tcW w:w="100" w:type="dxa"/>
            <w:vAlign w:val="bottom"/>
          </w:tcPr>
          <w:p>
            <w:pPr>
              <w:spacing w:after="0"/>
              <w:rPr>
                <w:sz w:val="12"/>
                <w:szCs w:val="12"/>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8,302,955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657,347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198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Catamaran CLO 2014-2, Ltd. </w:t>
            </w:r>
            <w:r>
              <w:rPr>
                <w:rFonts w:ascii="Times New Roman" w:cs="Times New Roman" w:eastAsia="Times New Roman" w:hAnsi="Times New Roman"/>
                <w:sz w:val="10"/>
                <w:szCs w:val="10"/>
                <w:color w:val="auto"/>
              </w:rPr>
              <w:t>(1)(2)(3)</w:t>
            </w:r>
          </w:p>
        </w:tc>
        <w:tc>
          <w:tcPr>
            <w:tcW w:w="158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(7)</w:t>
            </w:r>
          </w:p>
        </w:tc>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Securities</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2"/>
                <w:szCs w:val="12"/>
                <w:color w:val="auto"/>
              </w:rPr>
              <w:t>(183,896)</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2,591,820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2"/>
                <w:szCs w:val="12"/>
                <w:color w:val="auto"/>
              </w:rPr>
              <w:t>(1,186,688)</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1,221,236</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157,803</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19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 xml:space="preserve">Catamaran CLO 2015-1, Ltd. </w:t>
            </w:r>
            <w:r>
              <w:rPr>
                <w:rFonts w:ascii="Times New Roman" w:cs="Times New Roman" w:eastAsia="Times New Roman" w:hAnsi="Times New Roman"/>
                <w:sz w:val="10"/>
                <w:szCs w:val="10"/>
                <w:color w:val="auto"/>
              </w:rPr>
              <w:t>(1)(2)(3)</w:t>
            </w:r>
          </w:p>
        </w:tc>
        <w:tc>
          <w:tcPr>
            <w:tcW w:w="158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(7)</w:t>
            </w:r>
          </w:p>
        </w:tc>
        <w:tc>
          <w:tcPr>
            <w:tcW w:w="1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w:t>
            </w:r>
          </w:p>
        </w:tc>
        <w:tc>
          <w:tcPr>
            <w:tcW w:w="6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(113,157)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3,157,769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(187,734)</w:t>
            </w:r>
          </w:p>
        </w:tc>
        <w:tc>
          <w:tcPr>
            <w:tcW w:w="100" w:type="dxa"/>
            <w:vAlign w:val="bottom"/>
          </w:tcPr>
          <w:p>
            <w:pPr>
              <w:spacing w:after="0"/>
              <w:rPr>
                <w:sz w:val="12"/>
                <w:szCs w:val="12"/>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2,856,878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247,882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198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Catamaran CLO 2016-1, Ltd. </w:t>
            </w:r>
            <w:r>
              <w:rPr>
                <w:rFonts w:ascii="Times New Roman" w:cs="Times New Roman" w:eastAsia="Times New Roman" w:hAnsi="Times New Roman"/>
                <w:sz w:val="10"/>
                <w:szCs w:val="10"/>
                <w:color w:val="auto"/>
              </w:rPr>
              <w:t>(1)(2)(4)</w:t>
            </w:r>
          </w:p>
        </w:tc>
        <w:tc>
          <w:tcPr>
            <w:tcW w:w="158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(7)</w:t>
            </w:r>
          </w:p>
        </w:tc>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Securities</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2"/>
                <w:szCs w:val="12"/>
                <w:color w:val="auto"/>
              </w:rPr>
              <w:t>(180,331)</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7,502,959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2"/>
                <w:szCs w:val="12"/>
                <w:color w:val="auto"/>
              </w:rPr>
              <w:t>(467,845)</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6,854,783</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476,627</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19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 xml:space="preserve">Catamaran CLO 2018-1, Ltd. </w:t>
            </w:r>
            <w:r>
              <w:rPr>
                <w:rFonts w:ascii="Times New Roman" w:cs="Times New Roman" w:eastAsia="Times New Roman" w:hAnsi="Times New Roman"/>
                <w:sz w:val="10"/>
                <w:szCs w:val="10"/>
                <w:color w:val="auto"/>
              </w:rPr>
              <w:t>(1)(2)(3)</w:t>
            </w:r>
          </w:p>
        </w:tc>
        <w:tc>
          <w:tcPr>
            <w:tcW w:w="158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(7)</w:t>
            </w:r>
          </w:p>
        </w:tc>
        <w:tc>
          <w:tcPr>
            <w:tcW w:w="1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w:t>
            </w:r>
          </w:p>
        </w:tc>
        <w:tc>
          <w:tcPr>
            <w:tcW w:w="6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(427,923)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8,950,000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424,819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8,946,896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675,164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198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KCAP F3C Senior Funding Rated</w:t>
            </w:r>
          </w:p>
        </w:tc>
        <w:tc>
          <w:tcPr>
            <w:tcW w:w="158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Notes</w:t>
            </w:r>
            <w:r>
              <w:rPr>
                <w:rFonts w:ascii="Times New Roman" w:cs="Times New Roman" w:eastAsia="Times New Roman" w:hAnsi="Times New Roman"/>
                <w:sz w:val="10"/>
                <w:szCs w:val="10"/>
                <w:color w:val="auto"/>
              </w:rPr>
              <w:t>(3)(7)</w:t>
            </w:r>
          </w:p>
        </w:tc>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Securities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4,473,840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(4,466,205)</w:t>
            </w:r>
          </w:p>
        </w:tc>
        <w:tc>
          <w:tcPr>
            <w:tcW w:w="78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shd w:val="clear" w:color="auto" w:fill="CFF0FC"/>
          </w:tcPr>
          <w:p>
            <w:pPr>
              <w:jc w:val="right"/>
              <w:ind w:right="138"/>
              <w:spacing w:after="0"/>
              <w:rPr>
                <w:sz w:val="20"/>
                <w:szCs w:val="20"/>
                <w:color w:val="auto"/>
              </w:rPr>
            </w:pPr>
            <w:r>
              <w:rPr>
                <w:rFonts w:ascii="Times New Roman" w:cs="Times New Roman" w:eastAsia="Times New Roman" w:hAnsi="Times New Roman"/>
                <w:sz w:val="12"/>
                <w:szCs w:val="12"/>
                <w:color w:val="auto"/>
              </w:rPr>
              <w:t>(7,635)</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289,373</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1"/>
        </w:trPr>
        <w:tc>
          <w:tcPr>
            <w:tcW w:w="1980" w:type="dxa"/>
            <w:vAlign w:val="bottom"/>
          </w:tcPr>
          <w:p>
            <w:pPr>
              <w:spacing w:after="0"/>
              <w:rPr>
                <w:sz w:val="20"/>
                <w:szCs w:val="20"/>
                <w:color w:val="auto"/>
              </w:rPr>
            </w:pPr>
            <w:r>
              <w:rPr>
                <w:rFonts w:ascii="Times New Roman" w:cs="Times New Roman" w:eastAsia="Times New Roman" w:hAnsi="Times New Roman"/>
                <w:sz w:val="12"/>
                <w:szCs w:val="12"/>
                <w:color w:val="auto"/>
              </w:rPr>
              <w:t>Navex Topco, Inc.</w:t>
            </w:r>
            <w:r>
              <w:rPr>
                <w:rFonts w:ascii="Times New Roman" w:cs="Times New Roman" w:eastAsia="Times New Roman" w:hAnsi="Times New Roman"/>
                <w:sz w:val="10"/>
                <w:szCs w:val="10"/>
                <w:color w:val="auto"/>
              </w:rPr>
              <w:t>(3)(4)(7)</w:t>
            </w:r>
          </w:p>
        </w:tc>
        <w:tc>
          <w:tcPr>
            <w:tcW w:w="1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Electronics</w:t>
            </w:r>
          </w:p>
        </w:tc>
        <w:tc>
          <w:tcPr>
            <w:tcW w:w="6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(3,667,625)</w:t>
            </w:r>
          </w:p>
        </w:tc>
        <w:tc>
          <w:tcPr>
            <w:tcW w:w="78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6,646,229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ind w:right="138"/>
              <w:spacing w:after="0"/>
              <w:rPr>
                <w:sz w:val="20"/>
                <w:szCs w:val="20"/>
                <w:color w:val="auto"/>
              </w:rPr>
            </w:pPr>
            <w:r>
              <w:rPr>
                <w:rFonts w:ascii="Times New Roman" w:cs="Times New Roman" w:eastAsia="Times New Roman" w:hAnsi="Times New Roman"/>
                <w:sz w:val="12"/>
                <w:szCs w:val="12"/>
                <w:color w:val="auto"/>
              </w:rPr>
              <w:t>(4,854)</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2,973,750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311,355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198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Zest Acquisition Corp.</w:t>
            </w:r>
            <w:r>
              <w:rPr>
                <w:rFonts w:ascii="Times New Roman" w:cs="Times New Roman" w:eastAsia="Times New Roman" w:hAnsi="Times New Roman"/>
                <w:sz w:val="10"/>
                <w:szCs w:val="10"/>
                <w:color w:val="auto"/>
              </w:rPr>
              <w:t>(3)(4)(7)</w:t>
            </w:r>
          </w:p>
        </w:tc>
        <w:tc>
          <w:tcPr>
            <w:tcW w:w="158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Healthcare, Education and</w:t>
            </w: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19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Childcare</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3,231,683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3,231,683</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175,409</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34"/>
        </w:trPr>
        <w:tc>
          <w:tcPr>
            <w:tcW w:w="1980" w:type="dxa"/>
            <w:vAlign w:val="bottom"/>
            <w:tcBorders>
              <w:bottom w:val="single" w:sz="8" w:color="CFF0FC"/>
            </w:tcBorders>
          </w:tcPr>
          <w:p>
            <w:pPr>
              <w:spacing w:after="0" w:line="134" w:lineRule="exact"/>
              <w:rPr>
                <w:sz w:val="20"/>
                <w:szCs w:val="20"/>
                <w:color w:val="auto"/>
              </w:rPr>
            </w:pPr>
            <w:r>
              <w:rPr>
                <w:rFonts w:ascii="Times New Roman" w:cs="Times New Roman" w:eastAsia="Times New Roman" w:hAnsi="Times New Roman"/>
                <w:sz w:val="12"/>
                <w:szCs w:val="12"/>
                <w:color w:val="auto"/>
              </w:rPr>
              <w:t>Total Non-controlled affiliates</w:t>
            </w:r>
          </w:p>
        </w:tc>
        <w:tc>
          <w:tcPr>
            <w:tcW w:w="14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4,473,840</w:t>
            </w:r>
          </w:p>
        </w:tc>
        <w:tc>
          <w:tcPr>
            <w:tcW w:w="240" w:type="dxa"/>
            <w:vAlign w:val="bottom"/>
            <w:tcBorders>
              <w:bottom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(8,133,830)</w:t>
            </w:r>
          </w:p>
        </w:tc>
        <w:tc>
          <w:tcPr>
            <w:tcW w:w="240" w:type="dxa"/>
            <w:vAlign w:val="bottom"/>
            <w:tcBorders>
              <w:bottom w:val="single" w:sz="8" w:color="CFF0FC"/>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(1,105,904)</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48,699,172</w:t>
            </w:r>
          </w:p>
        </w:tc>
        <w:tc>
          <w:tcPr>
            <w:tcW w:w="220" w:type="dxa"/>
            <w:vAlign w:val="bottom"/>
            <w:tcBorders>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w w:val="96"/>
              </w:rPr>
              <w:t>(3,264,074)</w:t>
            </w:r>
          </w:p>
        </w:tc>
        <w:tc>
          <w:tcPr>
            <w:tcW w:w="1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(12,489)</w:t>
            </w:r>
          </w:p>
        </w:tc>
        <w:tc>
          <w:tcPr>
            <w:tcW w:w="22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w w:val="99"/>
              </w:rPr>
              <w:t>40,656,715</w:t>
            </w:r>
          </w:p>
        </w:tc>
        <w:tc>
          <w:tcPr>
            <w:tcW w:w="240" w:type="dxa"/>
            <w:vAlign w:val="bottom"/>
            <w:tcBorders>
              <w:bottom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3,680,604</w:t>
            </w:r>
          </w:p>
        </w:tc>
        <w:tc>
          <w:tcPr>
            <w:tcW w:w="22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tcPr>
          <w:p>
            <w:pPr>
              <w:spacing w:after="0"/>
              <w:rPr>
                <w:sz w:val="11"/>
                <w:szCs w:val="11"/>
                <w:color w:val="auto"/>
              </w:rPr>
            </w:pPr>
          </w:p>
        </w:tc>
      </w:tr>
      <w:tr>
        <w:trPr>
          <w:trHeight w:val="134"/>
        </w:trPr>
        <w:tc>
          <w:tcPr>
            <w:tcW w:w="198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4"/>
        </w:trPr>
        <w:tc>
          <w:tcPr>
            <w:tcW w:w="198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Total Affiliated Investments</w:t>
            </w: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38,801,947</w:t>
            </w:r>
          </w:p>
        </w:tc>
        <w:tc>
          <w:tcPr>
            <w:tcW w:w="24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10,387,588</w:t>
            </w:r>
          </w:p>
        </w:tc>
        <w:tc>
          <w:tcPr>
            <w:tcW w:w="24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w w:val="98"/>
              </w:rPr>
              <w:t>$ (1,105,904</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w w:val="98"/>
              </w:rPr>
              <w:t>$ 48,699,172</w:t>
            </w:r>
          </w:p>
        </w:tc>
        <w:tc>
          <w:tcPr>
            <w:tcW w:w="220" w:type="dxa"/>
            <w:vAlign w:val="bottom"/>
          </w:tcPr>
          <w:p>
            <w:pPr>
              <w:spacing w:after="0"/>
              <w:rPr>
                <w:sz w:val="11"/>
                <w:szCs w:val="11"/>
                <w:color w:val="auto"/>
              </w:rPr>
            </w:pPr>
          </w:p>
        </w:tc>
        <w:tc>
          <w:tcPr>
            <w:tcW w:w="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(5,520,326</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w w:val="98"/>
              </w:rPr>
              <w:t>$ (4,647,489</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w w:val="99"/>
              </w:rPr>
              <w:t>86,614,988</w:t>
            </w:r>
          </w:p>
        </w:tc>
        <w:tc>
          <w:tcPr>
            <w:tcW w:w="24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3,680,604</w:t>
            </w: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3,542,257</w:t>
            </w:r>
          </w:p>
        </w:tc>
        <w:tc>
          <w:tcPr>
            <w:tcW w:w="100" w:type="dxa"/>
            <w:vAlign w:val="bottom"/>
          </w:tcPr>
          <w:p>
            <w:pPr>
              <w:spacing w:after="0"/>
              <w:rPr>
                <w:sz w:val="11"/>
                <w:szCs w:val="11"/>
                <w:color w:val="auto"/>
              </w:rPr>
            </w:pPr>
          </w:p>
        </w:tc>
      </w:tr>
      <w:tr>
        <w:trPr>
          <w:trHeight w:val="20"/>
        </w:trPr>
        <w:tc>
          <w:tcPr>
            <w:tcW w:w="1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hanging="438"/>
        <w:spacing w:after="0"/>
        <w:tabs>
          <w:tab w:leader="none" w:pos="4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Non-U.S. company or principal place of business outside the U.S.</w:t>
      </w:r>
    </w:p>
    <w:p>
      <w:pPr>
        <w:spacing w:after="0" w:line="24" w:lineRule="exact"/>
        <w:rPr>
          <w:sz w:val="20"/>
          <w:szCs w:val="20"/>
          <w:color w:val="auto"/>
        </w:rPr>
      </w:pPr>
    </w:p>
    <w:p>
      <w:pPr>
        <w:ind w:left="440" w:hanging="438"/>
        <w:spacing w:after="0"/>
        <w:tabs>
          <w:tab w:leader="none" w:pos="4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 CLO Fund managed by an affiliate of LibreMax.</w:t>
      </w:r>
    </w:p>
    <w:p>
      <w:pPr>
        <w:spacing w:after="0" w:line="9" w:lineRule="exact"/>
        <w:rPr>
          <w:sz w:val="20"/>
          <w:szCs w:val="20"/>
          <w:color w:val="auto"/>
        </w:rPr>
      </w:pPr>
    </w:p>
    <w:p>
      <w:pPr>
        <w:ind w:left="440" w:hanging="438"/>
        <w:spacing w:after="0"/>
        <w:tabs>
          <w:tab w:leader="none" w:pos="4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Fair value of this investment was determined using significant unobservable inputs.</w:t>
      </w:r>
    </w:p>
    <w:p>
      <w:pPr>
        <w:spacing w:after="0" w:line="9" w:lineRule="exact"/>
        <w:rPr>
          <w:sz w:val="20"/>
          <w:szCs w:val="20"/>
          <w:color w:val="auto"/>
        </w:rPr>
      </w:pPr>
    </w:p>
    <w:p>
      <w:pPr>
        <w:ind w:left="5620" w:right="5120" w:hanging="5618"/>
        <w:spacing w:after="0" w:line="516" w:lineRule="auto"/>
        <w:tabs>
          <w:tab w:leader="none" w:pos="42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Qualified asset for purposes of section 55(a) of the Investment Company Act of 1940.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-90170</wp:posOffset>
            </wp:positionV>
            <wp:extent cx="729551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38" w:name="page39"/>
    <w:bookmarkEnd w:id="38"/>
    <w:p>
      <w:pPr>
        <w:jc w:val="both"/>
        <w:ind w:left="440" w:right="100" w:hanging="438"/>
        <w:spacing w:after="0" w:line="261" w:lineRule="auto"/>
        <w:tabs>
          <w:tab w:leader="none" w:pos="4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1" w:lineRule="exact"/>
        <w:rPr>
          <w:sz w:val="20"/>
          <w:szCs w:val="20"/>
          <w:color w:val="auto"/>
        </w:rPr>
      </w:pPr>
    </w:p>
    <w:p>
      <w:pPr>
        <w:ind w:left="440"/>
        <w:spacing w:after="0" w:line="250" w:lineRule="auto"/>
        <w:rPr>
          <w:sz w:val="20"/>
          <w:szCs w:val="20"/>
          <w:color w:val="auto"/>
        </w:rPr>
      </w:pPr>
      <w:r>
        <w:rPr>
          <w:rFonts w:ascii="Times New Roman" w:cs="Times New Roman" w:eastAsia="Times New Roman" w:hAnsi="Times New Roman"/>
          <w:sz w:val="17"/>
          <w:szCs w:val="17"/>
          <w:color w:val="auto"/>
        </w:rPr>
        <w:t>securities or has the power to exercise control over management or policies of such portfolio company (including through a management agreement). Other than for purposes of the 1940 Act, the Company does not believe that it has control over this portfolio company.</w:t>
      </w:r>
    </w:p>
    <w:p>
      <w:pPr>
        <w:ind w:left="440" w:hanging="438"/>
        <w:spacing w:after="0"/>
        <w:tabs>
          <w:tab w:leader="none" w:pos="4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As defined in the 1940 Act, the Company is deemed to be both an “Affiliated Person” and has “Control” of this portfolio company as the Company owns more</w:t>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than 25% of the portfolio company’s outstanding voting securities or has the power to exercise control over management or policies of such portfolio company.</w:t>
      </w:r>
    </w:p>
    <w:p>
      <w:pPr>
        <w:spacing w:after="0" w:line="4" w:lineRule="exact"/>
        <w:rPr>
          <w:sz w:val="20"/>
          <w:szCs w:val="20"/>
          <w:color w:val="auto"/>
        </w:rPr>
      </w:pPr>
    </w:p>
    <w:p>
      <w:pPr>
        <w:ind w:left="440" w:right="160" w:hanging="438"/>
        <w:spacing w:after="0" w:line="222" w:lineRule="auto"/>
        <w:tabs>
          <w:tab w:leader="none" w:pos="44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189"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7"/>
          <w:szCs w:val="17"/>
          <w:color w:val="auto"/>
        </w:rPr>
        <w:t>During the third quarter of 2019, the Company sold its entire investment in Bristol Hospice, LLC to an affiliate. This transaction was approved by the Board of Directors of the Company.</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17"/>
          <w:szCs w:val="17"/>
          <w:color w:val="auto"/>
        </w:rPr>
        <w:t>The following table details investments in affiliates at December 31,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60" w:type="dxa"/>
            <w:vAlign w:val="bottom"/>
          </w:tcPr>
          <w:p>
            <w:pPr>
              <w:spacing w:after="0"/>
              <w:rPr>
                <w:sz w:val="12"/>
                <w:szCs w:val="12"/>
                <w:color w:val="auto"/>
              </w:rPr>
            </w:pPr>
          </w:p>
        </w:tc>
        <w:tc>
          <w:tcPr>
            <w:tcW w:w="880" w:type="dxa"/>
            <w:vAlign w:val="bottom"/>
            <w:gridSpan w:val="2"/>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Purchases/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18"/>
              <w:spacing w:after="0"/>
              <w:rPr>
                <w:sz w:val="20"/>
                <w:szCs w:val="20"/>
                <w:color w:val="auto"/>
              </w:rPr>
            </w:pPr>
            <w:r>
              <w:rPr>
                <w:rFonts w:ascii="Times New Roman" w:cs="Times New Roman" w:eastAsia="Times New Roman" w:hAnsi="Times New Roman"/>
                <w:sz w:val="12"/>
                <w:szCs w:val="12"/>
                <w:b w:val="1"/>
                <w:bCs w:val="1"/>
                <w:color w:val="auto"/>
                <w:w w:val="99"/>
              </w:rPr>
              <w:t>Transfers</w:t>
            </w: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Net change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4"/>
              </w:rPr>
              <w:t>Fair Value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rPr>
              <w:t>at of</w:t>
            </w:r>
          </w:p>
        </w:tc>
        <w:tc>
          <w:tcPr>
            <w:tcW w:w="60" w:type="dxa"/>
            <w:vAlign w:val="bottom"/>
          </w:tcPr>
          <w:p>
            <w:pPr>
              <w:spacing w:after="0"/>
              <w:rPr>
                <w:sz w:val="11"/>
                <w:szCs w:val="11"/>
                <w:color w:val="auto"/>
              </w:rPr>
            </w:pPr>
          </w:p>
        </w:tc>
        <w:tc>
          <w:tcPr>
            <w:tcW w:w="880" w:type="dxa"/>
            <w:vAlign w:val="bottom"/>
            <w:gridSpan w:val="2"/>
          </w:tcPr>
          <w:p>
            <w:pPr>
              <w:jc w:val="center"/>
              <w:ind w:right="198"/>
              <w:spacing w:after="0" w:line="128" w:lineRule="exact"/>
              <w:rPr>
                <w:sz w:val="20"/>
                <w:szCs w:val="20"/>
                <w:color w:val="auto"/>
              </w:rPr>
            </w:pPr>
            <w:r>
              <w:rPr>
                <w:rFonts w:ascii="Times New Roman" w:cs="Times New Roman" w:eastAsia="Times New Roman" w:hAnsi="Times New Roman"/>
                <w:sz w:val="12"/>
                <w:szCs w:val="12"/>
                <w:b w:val="1"/>
                <w:bCs w:val="1"/>
                <w:color w:val="auto"/>
                <w:w w:val="97"/>
              </w:rPr>
              <w:t>(Sales) of or</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18"/>
              <w:spacing w:after="0" w:line="128" w:lineRule="exact"/>
              <w:rPr>
                <w:sz w:val="20"/>
                <w:szCs w:val="20"/>
                <w:color w:val="auto"/>
              </w:rPr>
            </w:pPr>
            <w:r>
              <w:rPr>
                <w:rFonts w:ascii="Times New Roman" w:cs="Times New Roman" w:eastAsia="Times New Roman" w:hAnsi="Times New Roman"/>
                <w:sz w:val="12"/>
                <w:szCs w:val="12"/>
                <w:b w:val="1"/>
                <w:bCs w:val="1"/>
                <w:color w:val="auto"/>
                <w:w w:val="98"/>
              </w:rPr>
              <w:t>In/(Out)</w:t>
            </w:r>
          </w:p>
        </w:tc>
        <w:tc>
          <w:tcPr>
            <w:tcW w:w="60" w:type="dxa"/>
            <w:vAlign w:val="bottom"/>
          </w:tcPr>
          <w:p>
            <w:pPr>
              <w:spacing w:after="0"/>
              <w:rPr>
                <w:sz w:val="11"/>
                <w:szCs w:val="11"/>
                <w:color w:val="auto"/>
              </w:rPr>
            </w:pPr>
          </w:p>
        </w:tc>
        <w:tc>
          <w:tcPr>
            <w:tcW w:w="72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20"/>
              <w:spacing w:after="0" w:line="128" w:lineRule="exact"/>
              <w:rPr>
                <w:sz w:val="20"/>
                <w:szCs w:val="20"/>
                <w:color w:val="auto"/>
              </w:rPr>
            </w:pPr>
            <w:r>
              <w:rPr>
                <w:rFonts w:ascii="Times New Roman" w:cs="Times New Roman" w:eastAsia="Times New Roman" w:hAnsi="Times New Roman"/>
                <w:sz w:val="12"/>
                <w:szCs w:val="12"/>
                <w:b w:val="1"/>
                <w:bCs w:val="1"/>
                <w:color w:val="auto"/>
              </w:rPr>
              <w:t>at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2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Industry</w:t>
            </w:r>
          </w:p>
        </w:tc>
        <w:tc>
          <w:tcPr>
            <w:tcW w:w="900" w:type="dxa"/>
            <w:vAlign w:val="bottom"/>
            <w:gridSpan w:val="3"/>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7"/>
              </w:rPr>
              <w:t>December 31,</w:t>
            </w:r>
          </w:p>
        </w:tc>
        <w:tc>
          <w:tcPr>
            <w:tcW w:w="60" w:type="dxa"/>
            <w:vAlign w:val="bottom"/>
          </w:tcPr>
          <w:p>
            <w:pPr>
              <w:spacing w:after="0"/>
              <w:rPr>
                <w:sz w:val="11"/>
                <w:szCs w:val="11"/>
                <w:color w:val="auto"/>
              </w:rPr>
            </w:pPr>
          </w:p>
        </w:tc>
        <w:tc>
          <w:tcPr>
            <w:tcW w:w="880" w:type="dxa"/>
            <w:vAlign w:val="bottom"/>
            <w:gridSpan w:val="2"/>
          </w:tcPr>
          <w:p>
            <w:pPr>
              <w:jc w:val="center"/>
              <w:ind w:right="198"/>
              <w:spacing w:after="0" w:line="128" w:lineRule="exact"/>
              <w:rPr>
                <w:sz w:val="20"/>
                <w:szCs w:val="20"/>
                <w:color w:val="auto"/>
              </w:rPr>
            </w:pPr>
            <w:r>
              <w:rPr>
                <w:rFonts w:ascii="Times New Roman" w:cs="Times New Roman" w:eastAsia="Times New Roman" w:hAnsi="Times New Roman"/>
                <w:sz w:val="12"/>
                <w:szCs w:val="12"/>
                <w:b w:val="1"/>
                <w:bCs w:val="1"/>
                <w:color w:val="auto"/>
                <w:w w:val="98"/>
              </w:rPr>
              <w:t>Advances/</w:t>
            </w:r>
          </w:p>
        </w:tc>
        <w:tc>
          <w:tcPr>
            <w:tcW w:w="60" w:type="dxa"/>
            <w:vAlign w:val="bottom"/>
          </w:tcPr>
          <w:p>
            <w:pPr>
              <w:spacing w:after="0"/>
              <w:rPr>
                <w:sz w:val="11"/>
                <w:szCs w:val="11"/>
                <w:color w:val="auto"/>
              </w:rPr>
            </w:pPr>
          </w:p>
        </w:tc>
        <w:tc>
          <w:tcPr>
            <w:tcW w:w="720" w:type="dxa"/>
            <w:vAlign w:val="bottom"/>
            <w:gridSpan w:val="2"/>
          </w:tcPr>
          <w:p>
            <w:pPr>
              <w:jc w:val="right"/>
              <w:ind w:right="360"/>
              <w:spacing w:after="0" w:line="128" w:lineRule="exact"/>
              <w:rPr>
                <w:sz w:val="20"/>
                <w:szCs w:val="20"/>
                <w:color w:val="auto"/>
              </w:rPr>
            </w:pPr>
            <w:r>
              <w:rPr>
                <w:rFonts w:ascii="Times New Roman" w:cs="Times New Roman" w:eastAsia="Times New Roman" w:hAnsi="Times New Roman"/>
                <w:sz w:val="12"/>
                <w:szCs w:val="12"/>
                <w:b w:val="1"/>
                <w:bCs w:val="1"/>
                <w:color w:val="auto"/>
              </w:rPr>
              <w:t>Net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18"/>
              <w:spacing w:after="0" w:line="128"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60" w:type="dxa"/>
            <w:vAlign w:val="bottom"/>
          </w:tcPr>
          <w:p>
            <w:pPr>
              <w:spacing w:after="0"/>
              <w:rPr>
                <w:sz w:val="11"/>
                <w:szCs w:val="11"/>
                <w:color w:val="auto"/>
              </w:rPr>
            </w:pPr>
          </w:p>
        </w:tc>
        <w:tc>
          <w:tcPr>
            <w:tcW w:w="72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18"/>
              <w:spacing w:after="0" w:line="128" w:lineRule="exact"/>
              <w:rPr>
                <w:sz w:val="20"/>
                <w:szCs w:val="20"/>
                <w:color w:val="auto"/>
              </w:rPr>
            </w:pPr>
            <w:r>
              <w:rPr>
                <w:rFonts w:ascii="Times New Roman" w:cs="Times New Roman" w:eastAsia="Times New Roman" w:hAnsi="Times New Roman"/>
                <w:sz w:val="12"/>
                <w:szCs w:val="12"/>
                <w:b w:val="1"/>
                <w:bCs w:val="1"/>
                <w:color w:val="auto"/>
              </w:rPr>
              <w:t>Realized</w:t>
            </w:r>
          </w:p>
        </w:tc>
        <w:tc>
          <w:tcPr>
            <w:tcW w:w="60" w:type="dxa"/>
            <w:vAlign w:val="bottom"/>
          </w:tcPr>
          <w:p>
            <w:pPr>
              <w:spacing w:after="0"/>
              <w:rPr>
                <w:sz w:val="11"/>
                <w:szCs w:val="11"/>
                <w:color w:val="auto"/>
              </w:rPr>
            </w:pPr>
          </w:p>
        </w:tc>
        <w:tc>
          <w:tcPr>
            <w:tcW w:w="7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7"/>
              </w:rPr>
              <w:t>December 31,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20"/>
              <w:spacing w:after="0" w:line="128"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Pr>
          <w:p>
            <w:pPr>
              <w:spacing w:after="0"/>
              <w:rPr>
                <w:sz w:val="11"/>
                <w:szCs w:val="11"/>
                <w:color w:val="auto"/>
              </w:rPr>
            </w:pPr>
          </w:p>
        </w:tc>
        <w:tc>
          <w:tcPr>
            <w:tcW w:w="72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Dividend</w:t>
            </w:r>
          </w:p>
        </w:tc>
      </w:tr>
      <w:tr>
        <w:trPr>
          <w:trHeight w:val="148"/>
        </w:trPr>
        <w:tc>
          <w:tcPr>
            <w:tcW w:w="2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Classification</w:t>
            </w:r>
          </w:p>
        </w:tc>
        <w:tc>
          <w:tcPr>
            <w:tcW w:w="80" w:type="dxa"/>
            <w:vAlign w:val="bottom"/>
          </w:tcPr>
          <w:p>
            <w:pPr>
              <w:spacing w:after="0"/>
              <w:rPr>
                <w:sz w:val="12"/>
                <w:szCs w:val="12"/>
                <w:color w:val="auto"/>
              </w:rPr>
            </w:pPr>
          </w:p>
        </w:tc>
        <w:tc>
          <w:tcPr>
            <w:tcW w:w="64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2017</w:t>
            </w:r>
          </w:p>
        </w:tc>
        <w:tc>
          <w:tcPr>
            <w:tcW w:w="180" w:type="dxa"/>
            <w:vAlign w:val="bottom"/>
          </w:tcPr>
          <w:p>
            <w:pPr>
              <w:spacing w:after="0"/>
              <w:rPr>
                <w:sz w:val="12"/>
                <w:szCs w:val="12"/>
                <w:color w:val="auto"/>
              </w:rPr>
            </w:pPr>
          </w:p>
        </w:tc>
        <w:tc>
          <w:tcPr>
            <w:tcW w:w="940" w:type="dxa"/>
            <w:vAlign w:val="bottom"/>
            <w:gridSpan w:val="3"/>
          </w:tcPr>
          <w:p>
            <w:pPr>
              <w:jc w:val="center"/>
              <w:ind w:right="138"/>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Accretion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18"/>
              <w:spacing w:after="0"/>
              <w:rPr>
                <w:sz w:val="20"/>
                <w:szCs w:val="20"/>
                <w:color w:val="auto"/>
              </w:rPr>
            </w:pPr>
            <w:r>
              <w:rPr>
                <w:rFonts w:ascii="Times New Roman" w:cs="Times New Roman" w:eastAsia="Times New Roman" w:hAnsi="Times New Roman"/>
                <w:sz w:val="12"/>
                <w:szCs w:val="12"/>
                <w:b w:val="1"/>
                <w:bCs w:val="1"/>
                <w:color w:val="auto"/>
                <w:w w:val="98"/>
              </w:rPr>
              <w:t>Affiliates</w:t>
            </w: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Gain/(Loss)</w:t>
            </w:r>
          </w:p>
        </w:tc>
        <w:tc>
          <w:tcPr>
            <w:tcW w:w="80" w:type="dxa"/>
            <w:vAlign w:val="bottom"/>
          </w:tcPr>
          <w:p>
            <w:pPr>
              <w:spacing w:after="0"/>
              <w:rPr>
                <w:sz w:val="12"/>
                <w:szCs w:val="12"/>
                <w:color w:val="auto"/>
              </w:rPr>
            </w:pPr>
          </w:p>
        </w:tc>
        <w:tc>
          <w:tcPr>
            <w:tcW w:w="820" w:type="dxa"/>
            <w:vAlign w:val="bottom"/>
            <w:gridSpan w:val="3"/>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Gain/(Loss)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8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Income</w:t>
            </w:r>
          </w:p>
        </w:tc>
      </w:tr>
      <w:tr>
        <w:trPr>
          <w:trHeight w:val="118"/>
        </w:trPr>
        <w:tc>
          <w:tcPr>
            <w:tcW w:w="2620" w:type="dxa"/>
            <w:vAlign w:val="bottom"/>
            <w:tcBorders>
              <w:top w:val="single" w:sz="8" w:color="CFF0FC"/>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Asset Manager Affiliates</w:t>
            </w:r>
            <w:r>
              <w:rPr>
                <w:rFonts w:ascii="Times New Roman" w:cs="Times New Roman" w:eastAsia="Times New Roman" w:hAnsi="Times New Roman"/>
                <w:sz w:val="10"/>
                <w:szCs w:val="10"/>
                <w:color w:val="auto"/>
              </w:rPr>
              <w:t>(4)(5)(7)</w:t>
            </w:r>
          </w:p>
        </w:tc>
        <w:tc>
          <w:tcPr>
            <w:tcW w:w="6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Asset</w:t>
            </w: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28"/>
        </w:trPr>
        <w:tc>
          <w:tcPr>
            <w:tcW w:w="2620" w:type="dxa"/>
            <w:vAlign w:val="bottom"/>
            <w:shd w:val="clear" w:color="auto" w:fill="CFF0FC"/>
          </w:tcPr>
          <w:p>
            <w:pPr>
              <w:spacing w:after="0"/>
              <w:rPr>
                <w:sz w:val="11"/>
                <w:szCs w:val="11"/>
                <w:color w:val="auto"/>
              </w:rPr>
            </w:pPr>
          </w:p>
        </w:tc>
        <w:tc>
          <w:tcPr>
            <w:tcW w:w="940" w:type="dxa"/>
            <w:vAlign w:val="bottom"/>
            <w:gridSpan w:val="3"/>
            <w:shd w:val="clear" w:color="auto" w:fill="CFF0FC"/>
          </w:tcPr>
          <w:p>
            <w:pPr>
              <w:ind w:left="60"/>
              <w:spacing w:after="0" w:line="128" w:lineRule="exact"/>
              <w:rPr>
                <w:sz w:val="20"/>
                <w:szCs w:val="20"/>
                <w:color w:val="auto"/>
              </w:rPr>
            </w:pPr>
            <w:r>
              <w:rPr>
                <w:rFonts w:ascii="Times New Roman" w:cs="Times New Roman" w:eastAsia="Times New Roman" w:hAnsi="Times New Roman"/>
                <w:sz w:val="12"/>
                <w:szCs w:val="12"/>
                <w:color w:val="auto"/>
              </w:rPr>
              <w:t>Management</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2620" w:type="dxa"/>
            <w:vAlign w:val="bottom"/>
            <w:shd w:val="clear" w:color="auto" w:fill="CFF0FC"/>
          </w:tcPr>
          <w:p>
            <w:pPr>
              <w:spacing w:after="0"/>
              <w:rPr>
                <w:sz w:val="12"/>
                <w:szCs w:val="12"/>
                <w:color w:val="auto"/>
              </w:rPr>
            </w:pPr>
          </w:p>
        </w:tc>
        <w:tc>
          <w:tcPr>
            <w:tcW w:w="9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Company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38,849,000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2"/>
                <w:szCs w:val="12"/>
                <w:color w:val="auto"/>
              </w:rPr>
              <w:t>(34,800,000)</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(579,000)</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3,470,000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1,246,510</w:t>
            </w:r>
          </w:p>
        </w:tc>
        <w:tc>
          <w:tcPr>
            <w:tcW w:w="100" w:type="dxa"/>
            <w:vAlign w:val="bottom"/>
            <w:shd w:val="clear" w:color="auto" w:fill="CFF0FC"/>
          </w:tcPr>
          <w:p>
            <w:pPr>
              <w:spacing w:after="0"/>
              <w:rPr>
                <w:sz w:val="12"/>
                <w:szCs w:val="12"/>
                <w:color w:val="auto"/>
              </w:rPr>
            </w:pPr>
          </w:p>
        </w:tc>
      </w:tr>
      <w:tr>
        <w:trPr>
          <w:trHeight w:val="125"/>
        </w:trPr>
        <w:tc>
          <w:tcPr>
            <w:tcW w:w="26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Trimaran Advisors, LLC Revolving Credit Facility</w:t>
            </w:r>
            <w:r>
              <w:rPr>
                <w:rFonts w:ascii="Times New Roman" w:cs="Times New Roman" w:eastAsia="Times New Roman" w:hAnsi="Times New Roman"/>
                <w:sz w:val="10"/>
                <w:szCs w:val="10"/>
                <w:color w:val="auto"/>
              </w:rPr>
              <w:t>(4)</w:t>
            </w:r>
          </w:p>
        </w:tc>
        <w:tc>
          <w:tcPr>
            <w:tcW w:w="94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auto"/>
              </w:rPr>
              <w:t>Related Party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20" w:type="dxa"/>
            <w:vAlign w:val="bottom"/>
          </w:tcPr>
          <w:p>
            <w:pPr>
              <w:spacing w:after="0"/>
              <w:rPr>
                <w:sz w:val="20"/>
                <w:szCs w:val="20"/>
                <w:color w:val="auto"/>
              </w:rPr>
            </w:pPr>
            <w:r>
              <w:rPr>
                <w:rFonts w:ascii="Times New Roman" w:cs="Times New Roman" w:eastAsia="Times New Roman" w:hAnsi="Times New Roman"/>
                <w:sz w:val="10"/>
                <w:szCs w:val="10"/>
                <w:color w:val="auto"/>
              </w:rPr>
              <w:t>(5)</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Loans</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1,170,825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Trimaran Advisors, LLC Related Party Loan </w:t>
            </w:r>
            <w:r>
              <w:rPr>
                <w:rFonts w:ascii="Times New Roman" w:cs="Times New Roman" w:eastAsia="Times New Roman" w:hAnsi="Times New Roman"/>
                <w:sz w:val="10"/>
                <w:szCs w:val="10"/>
                <w:color w:val="auto"/>
              </w:rPr>
              <w:t>(4)(5)</w:t>
            </w:r>
          </w:p>
        </w:tc>
        <w:tc>
          <w:tcPr>
            <w:tcW w:w="940" w:type="dxa"/>
            <w:vAlign w:val="bottom"/>
            <w:gridSpan w:val="3"/>
            <w:shd w:val="clear" w:color="auto" w:fill="CFF0FC"/>
          </w:tcPr>
          <w:p>
            <w:pPr>
              <w:ind w:left="60"/>
              <w:spacing w:after="0" w:line="125" w:lineRule="exact"/>
              <w:rPr>
                <w:sz w:val="20"/>
                <w:szCs w:val="20"/>
                <w:color w:val="auto"/>
              </w:rPr>
            </w:pPr>
            <w:r>
              <w:rPr>
                <w:rFonts w:ascii="Times New Roman" w:cs="Times New Roman" w:eastAsia="Times New Roman" w:hAnsi="Times New Roman"/>
                <w:sz w:val="12"/>
                <w:szCs w:val="12"/>
                <w:color w:val="auto"/>
              </w:rPr>
              <w:t>Related Party</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620" w:type="dxa"/>
            <w:vAlign w:val="bottom"/>
            <w:shd w:val="clear" w:color="auto" w:fill="CFF0FC"/>
          </w:tcPr>
          <w:p>
            <w:pPr>
              <w:spacing w:after="0"/>
              <w:rPr>
                <w:sz w:val="12"/>
                <w:szCs w:val="12"/>
                <w:color w:val="auto"/>
              </w:rPr>
            </w:pPr>
          </w:p>
        </w:tc>
        <w:tc>
          <w:tcPr>
            <w:tcW w:w="9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Loans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8,359,051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2"/>
                <w:szCs w:val="12"/>
                <w:color w:val="auto"/>
              </w:rPr>
              <w:t>(8,359,051)</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765,963</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25"/>
        </w:trPr>
        <w:tc>
          <w:tcPr>
            <w:tcW w:w="26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 xml:space="preserve">Trimaran Advisors, LLC Related Party Loan </w:t>
            </w:r>
            <w:r>
              <w:rPr>
                <w:rFonts w:ascii="Times New Roman" w:cs="Times New Roman" w:eastAsia="Times New Roman" w:hAnsi="Times New Roman"/>
                <w:sz w:val="10"/>
                <w:szCs w:val="10"/>
                <w:color w:val="auto"/>
              </w:rPr>
              <w:t>(4)(5)</w:t>
            </w:r>
          </w:p>
        </w:tc>
        <w:tc>
          <w:tcPr>
            <w:tcW w:w="94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auto"/>
              </w:rPr>
              <w:t>Related Party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20" w:type="dxa"/>
            <w:vAlign w:val="bottom"/>
          </w:tcPr>
          <w:p>
            <w:pPr>
              <w:spacing w:after="0"/>
              <w:rPr>
                <w:sz w:val="12"/>
                <w:szCs w:val="12"/>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Loans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4,418,232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(4,418,232)</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229,380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6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Katonah 2007-I CLO, Ltd. </w:t>
            </w:r>
            <w:r>
              <w:rPr>
                <w:rFonts w:ascii="Times New Roman" w:cs="Times New Roman" w:eastAsia="Times New Roman" w:hAnsi="Times New Roman"/>
                <w:sz w:val="10"/>
                <w:szCs w:val="10"/>
                <w:color w:val="auto"/>
              </w:rPr>
              <w:t>(1)(2)(3)(4)</w:t>
            </w:r>
          </w:p>
        </w:tc>
        <w:tc>
          <w:tcPr>
            <w:tcW w:w="940" w:type="dxa"/>
            <w:vAlign w:val="bottom"/>
            <w:gridSpan w:val="3"/>
            <w:shd w:val="clear" w:color="auto" w:fill="CFF0FC"/>
          </w:tcPr>
          <w:p>
            <w:pPr>
              <w:ind w:left="60"/>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620" w:type="dxa"/>
            <w:vAlign w:val="bottom"/>
            <w:shd w:val="clear" w:color="auto" w:fill="CFF0FC"/>
          </w:tcPr>
          <w:p>
            <w:pPr>
              <w:spacing w:after="0"/>
              <w:rPr>
                <w:sz w:val="12"/>
                <w:szCs w:val="12"/>
                <w:color w:val="auto"/>
              </w:rPr>
            </w:pPr>
          </w:p>
        </w:tc>
        <w:tc>
          <w:tcPr>
            <w:tcW w:w="9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Securities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10,770,486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2"/>
                <w:szCs w:val="12"/>
                <w:color w:val="auto"/>
              </w:rPr>
              <w:t>(10,676,556)</w:t>
            </w: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271,658</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9,754,423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2"/>
                <w:szCs w:val="12"/>
                <w:color w:val="auto"/>
              </w:rPr>
              <w:t>(10,120,011)</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271,658</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 xml:space="preserve">Trimaran CLO VII, Ltd. </w:t>
            </w:r>
            <w:r>
              <w:rPr>
                <w:rFonts w:ascii="Times New Roman" w:cs="Times New Roman" w:eastAsia="Times New Roman" w:hAnsi="Times New Roman"/>
                <w:sz w:val="10"/>
                <w:szCs w:val="10"/>
                <w:color w:val="auto"/>
              </w:rPr>
              <w:t>(1)(2)(3)(4)</w:t>
            </w:r>
          </w:p>
        </w:tc>
        <w:tc>
          <w:tcPr>
            <w:tcW w:w="94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20" w:type="dxa"/>
            <w:vAlign w:val="bottom"/>
          </w:tcPr>
          <w:p>
            <w:pPr>
              <w:spacing w:after="0"/>
              <w:rPr>
                <w:sz w:val="12"/>
                <w:szCs w:val="12"/>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Securities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(6,725)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369,831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(373,105)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(6,725)</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Catamaran CLO 2012-1, Ltd. </w:t>
            </w:r>
            <w:r>
              <w:rPr>
                <w:rFonts w:ascii="Times New Roman" w:cs="Times New Roman" w:eastAsia="Times New Roman" w:hAnsi="Times New Roman"/>
                <w:sz w:val="10"/>
                <w:szCs w:val="10"/>
                <w:color w:val="auto"/>
              </w:rPr>
              <w:t>(1)(2)(3)(4)</w:t>
            </w:r>
          </w:p>
        </w:tc>
        <w:tc>
          <w:tcPr>
            <w:tcW w:w="940" w:type="dxa"/>
            <w:vAlign w:val="bottom"/>
            <w:gridSpan w:val="3"/>
            <w:shd w:val="clear" w:color="auto" w:fill="CFF0FC"/>
          </w:tcPr>
          <w:p>
            <w:pPr>
              <w:ind w:left="60"/>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620" w:type="dxa"/>
            <w:vAlign w:val="bottom"/>
            <w:shd w:val="clear" w:color="auto" w:fill="CFF0FC"/>
          </w:tcPr>
          <w:p>
            <w:pPr>
              <w:spacing w:after="0"/>
              <w:rPr>
                <w:sz w:val="12"/>
                <w:szCs w:val="12"/>
                <w:color w:val="auto"/>
              </w:rPr>
            </w:pPr>
          </w:p>
        </w:tc>
        <w:tc>
          <w:tcPr>
            <w:tcW w:w="9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Securities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2,320,783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2"/>
                <w:szCs w:val="12"/>
                <w:color w:val="auto"/>
              </w:rPr>
              <w:t>(2,596,571)</w:t>
            </w: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264,746</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3,527,018</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2"/>
                <w:szCs w:val="12"/>
                <w:color w:val="auto"/>
              </w:rPr>
              <w:t>(3,515,976)</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264,746</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 xml:space="preserve">Catamaran CLO 2013-1, Ltd. </w:t>
            </w:r>
            <w:r>
              <w:rPr>
                <w:rFonts w:ascii="Times New Roman" w:cs="Times New Roman" w:eastAsia="Times New Roman" w:hAnsi="Times New Roman"/>
                <w:sz w:val="10"/>
                <w:szCs w:val="10"/>
                <w:color w:val="auto"/>
              </w:rPr>
              <w:t>(1)(2)(4)</w:t>
            </w:r>
          </w:p>
        </w:tc>
        <w:tc>
          <w:tcPr>
            <w:tcW w:w="94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20" w:type="dxa"/>
            <w:vAlign w:val="bottom"/>
          </w:tcPr>
          <w:p>
            <w:pPr>
              <w:spacing w:after="0"/>
              <w:rPr>
                <w:sz w:val="12"/>
                <w:szCs w:val="12"/>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Securities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6,923,699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147,497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1,213,807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(7,016,734)</w:t>
            </w: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(1,268,269)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1,213,807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Catamaran CLO 2014-1, Ltd. </w:t>
            </w:r>
            <w:r>
              <w:rPr>
                <w:rFonts w:ascii="Times New Roman" w:cs="Times New Roman" w:eastAsia="Times New Roman" w:hAnsi="Times New Roman"/>
                <w:sz w:val="10"/>
                <w:szCs w:val="10"/>
                <w:color w:val="auto"/>
              </w:rPr>
              <w:t>(1)(2)(4)</w:t>
            </w:r>
          </w:p>
        </w:tc>
        <w:tc>
          <w:tcPr>
            <w:tcW w:w="940" w:type="dxa"/>
            <w:vAlign w:val="bottom"/>
            <w:gridSpan w:val="3"/>
            <w:shd w:val="clear" w:color="auto" w:fill="CFF0FC"/>
          </w:tcPr>
          <w:p>
            <w:pPr>
              <w:ind w:left="60"/>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620" w:type="dxa"/>
            <w:vAlign w:val="bottom"/>
            <w:shd w:val="clear" w:color="auto" w:fill="CFF0FC"/>
          </w:tcPr>
          <w:p>
            <w:pPr>
              <w:spacing w:after="0"/>
              <w:rPr>
                <w:sz w:val="12"/>
                <w:szCs w:val="12"/>
                <w:color w:val="auto"/>
              </w:rPr>
            </w:pPr>
          </w:p>
        </w:tc>
        <w:tc>
          <w:tcPr>
            <w:tcW w:w="9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Securities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8,230,178</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535,309</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1,347,240</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2"/>
                <w:szCs w:val="12"/>
                <w:color w:val="auto"/>
              </w:rPr>
              <w:t>(9,777,251)</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(335,476)</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1,347,240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 xml:space="preserve">Catamaran CLO 2014-2, Ltd. </w:t>
            </w:r>
            <w:r>
              <w:rPr>
                <w:rFonts w:ascii="Times New Roman" w:cs="Times New Roman" w:eastAsia="Times New Roman" w:hAnsi="Times New Roman"/>
                <w:sz w:val="10"/>
                <w:szCs w:val="10"/>
                <w:color w:val="auto"/>
              </w:rPr>
              <w:t>(1)(2)(4)</w:t>
            </w:r>
          </w:p>
        </w:tc>
        <w:tc>
          <w:tcPr>
            <w:tcW w:w="94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20" w:type="dxa"/>
            <w:vAlign w:val="bottom"/>
          </w:tcPr>
          <w:p>
            <w:pPr>
              <w:spacing w:after="0"/>
              <w:rPr>
                <w:sz w:val="12"/>
                <w:szCs w:val="12"/>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Securities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4,500,962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(985,241)</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656,919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(2,158,200)</w:t>
            </w: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(2,014,440)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656,919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Catamaran CLO 2015-1, Ltd. </w:t>
            </w:r>
            <w:r>
              <w:rPr>
                <w:rFonts w:ascii="Times New Roman" w:cs="Times New Roman" w:eastAsia="Times New Roman" w:hAnsi="Times New Roman"/>
                <w:sz w:val="10"/>
                <w:szCs w:val="10"/>
                <w:color w:val="auto"/>
              </w:rPr>
              <w:t>(1)(2)(4)</w:t>
            </w:r>
          </w:p>
        </w:tc>
        <w:tc>
          <w:tcPr>
            <w:tcW w:w="940" w:type="dxa"/>
            <w:vAlign w:val="bottom"/>
            <w:gridSpan w:val="3"/>
            <w:shd w:val="clear" w:color="auto" w:fill="CFF0FC"/>
          </w:tcPr>
          <w:p>
            <w:pPr>
              <w:ind w:left="60"/>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620" w:type="dxa"/>
            <w:vAlign w:val="bottom"/>
            <w:shd w:val="clear" w:color="auto" w:fill="CFF0FC"/>
          </w:tcPr>
          <w:p>
            <w:pPr>
              <w:spacing w:after="0"/>
              <w:rPr>
                <w:sz w:val="12"/>
                <w:szCs w:val="12"/>
                <w:color w:val="auto"/>
              </w:rPr>
            </w:pPr>
          </w:p>
        </w:tc>
        <w:tc>
          <w:tcPr>
            <w:tcW w:w="9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Securities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3,569,600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2"/>
                <w:szCs w:val="12"/>
                <w:color w:val="auto"/>
              </w:rPr>
              <w:t>(573,089)</w:t>
            </w: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507,789</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2"/>
                <w:szCs w:val="12"/>
                <w:color w:val="auto"/>
              </w:rPr>
              <w:t>(3,048,696)</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(455,604)</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507,789</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 xml:space="preserve">Catamaran CLO 2016-1, Ltd. </w:t>
            </w:r>
            <w:r>
              <w:rPr>
                <w:rFonts w:ascii="Times New Roman" w:cs="Times New Roman" w:eastAsia="Times New Roman" w:hAnsi="Times New Roman"/>
                <w:sz w:val="10"/>
                <w:szCs w:val="10"/>
                <w:color w:val="auto"/>
              </w:rPr>
              <w:t>(1)(2)(4)</w:t>
            </w:r>
          </w:p>
        </w:tc>
        <w:tc>
          <w:tcPr>
            <w:tcW w:w="94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20" w:type="dxa"/>
            <w:vAlign w:val="bottom"/>
          </w:tcPr>
          <w:p>
            <w:pPr>
              <w:spacing w:after="0"/>
              <w:rPr>
                <w:sz w:val="12"/>
                <w:szCs w:val="12"/>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Securities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8,530,685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(1,282,923)</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913,272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(7,067,073)</w:t>
            </w: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(1,093,961)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913,272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 xml:space="preserve">Catamaran CLO 2018-1, Ltd. </w:t>
            </w:r>
            <w:r>
              <w:rPr>
                <w:rFonts w:ascii="Times New Roman" w:cs="Times New Roman" w:eastAsia="Times New Roman" w:hAnsi="Times New Roman"/>
                <w:sz w:val="10"/>
                <w:szCs w:val="10"/>
                <w:color w:val="auto"/>
              </w:rPr>
              <w:t>(1)(2)(4)</w:t>
            </w:r>
          </w:p>
        </w:tc>
        <w:tc>
          <w:tcPr>
            <w:tcW w:w="940" w:type="dxa"/>
            <w:vAlign w:val="bottom"/>
            <w:gridSpan w:val="3"/>
            <w:shd w:val="clear" w:color="auto" w:fill="CFF0FC"/>
          </w:tcPr>
          <w:p>
            <w:pPr>
              <w:ind w:left="60"/>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620" w:type="dxa"/>
            <w:vAlign w:val="bottom"/>
            <w:shd w:val="clear" w:color="auto" w:fill="CFF0FC"/>
          </w:tcPr>
          <w:p>
            <w:pPr>
              <w:spacing w:after="0"/>
              <w:rPr>
                <w:sz w:val="12"/>
                <w:szCs w:val="12"/>
                <w:color w:val="auto"/>
              </w:rPr>
            </w:pPr>
          </w:p>
        </w:tc>
        <w:tc>
          <w:tcPr>
            <w:tcW w:w="9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Securities</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9,500,000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343,450</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2"/>
                <w:szCs w:val="12"/>
                <w:color w:val="auto"/>
              </w:rPr>
              <w:t>(8,500,000)</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(1,343,450)</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343,450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KCAP F3C Senior Funding Rated Notes</w:t>
            </w:r>
            <w:r>
              <w:rPr>
                <w:rFonts w:ascii="Times New Roman" w:cs="Times New Roman" w:eastAsia="Times New Roman" w:hAnsi="Times New Roman"/>
                <w:sz w:val="10"/>
                <w:szCs w:val="10"/>
                <w:color w:val="auto"/>
              </w:rPr>
              <w:t>(2)(4)</w:t>
            </w:r>
          </w:p>
        </w:tc>
        <w:tc>
          <w:tcPr>
            <w:tcW w:w="94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auto"/>
              </w:rPr>
              <w:t>CLO Fund</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20" w:type="dxa"/>
            <w:vAlign w:val="bottom"/>
          </w:tcPr>
          <w:p>
            <w:pPr>
              <w:spacing w:after="0"/>
              <w:rPr>
                <w:sz w:val="12"/>
                <w:szCs w:val="12"/>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Securities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4,632,000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37,298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(195,458)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4,473,840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468,755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BCP Great Lakes Holdings LP</w:t>
            </w:r>
            <w:r>
              <w:rPr>
                <w:rFonts w:ascii="Times New Roman" w:cs="Times New Roman" w:eastAsia="Times New Roman" w:hAnsi="Times New Roman"/>
                <w:sz w:val="10"/>
                <w:szCs w:val="10"/>
                <w:color w:val="auto"/>
              </w:rPr>
              <w:t>(7)</w:t>
            </w:r>
          </w:p>
        </w:tc>
        <w:tc>
          <w:tcPr>
            <w:tcW w:w="940" w:type="dxa"/>
            <w:vAlign w:val="bottom"/>
            <w:gridSpan w:val="3"/>
            <w:shd w:val="clear" w:color="auto" w:fill="CFF0FC"/>
          </w:tcPr>
          <w:p>
            <w:pPr>
              <w:ind w:left="60"/>
              <w:spacing w:after="0" w:line="125" w:lineRule="exact"/>
              <w:rPr>
                <w:sz w:val="20"/>
                <w:szCs w:val="20"/>
                <w:color w:val="auto"/>
              </w:rPr>
            </w:pPr>
            <w:r>
              <w:rPr>
                <w:rFonts w:ascii="Times New Roman" w:cs="Times New Roman" w:eastAsia="Times New Roman" w:hAnsi="Times New Roman"/>
                <w:sz w:val="12"/>
                <w:szCs w:val="12"/>
                <w:color w:val="auto"/>
              </w:rPr>
              <w:t>Limited</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4"/>
        </w:trPr>
        <w:tc>
          <w:tcPr>
            <w:tcW w:w="2620" w:type="dxa"/>
            <w:vAlign w:val="bottom"/>
            <w:shd w:val="clear" w:color="auto" w:fill="CFF0FC"/>
          </w:tcPr>
          <w:p>
            <w:pPr>
              <w:spacing w:after="0"/>
              <w:rPr>
                <w:sz w:val="12"/>
                <w:szCs w:val="12"/>
                <w:color w:val="auto"/>
              </w:rPr>
            </w:pPr>
          </w:p>
        </w:tc>
        <w:tc>
          <w:tcPr>
            <w:tcW w:w="9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Partnership</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12,466,667</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12,466,667</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KCAP Freedom 3, LLC </w:t>
            </w:r>
            <w:r>
              <w:rPr>
                <w:rFonts w:ascii="Times New Roman" w:cs="Times New Roman" w:eastAsia="Times New Roman" w:hAnsi="Times New Roman"/>
                <w:sz w:val="10"/>
                <w:szCs w:val="10"/>
                <w:color w:val="auto"/>
              </w:rPr>
              <w:t>(4)(6)</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Joint Venture</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21,516,000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(3,125,560)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18,390,440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3,100,000</w:t>
            </w:r>
          </w:p>
        </w:tc>
        <w:tc>
          <w:tcPr>
            <w:tcW w:w="100" w:type="dxa"/>
            <w:vAlign w:val="bottom"/>
          </w:tcPr>
          <w:p>
            <w:pPr>
              <w:spacing w:after="0"/>
              <w:rPr>
                <w:sz w:val="12"/>
                <w:szCs w:val="12"/>
                <w:color w:val="auto"/>
              </w:rPr>
            </w:pPr>
          </w:p>
        </w:tc>
      </w:tr>
      <w:tr>
        <w:trPr>
          <w:trHeight w:val="141"/>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Tank Partners Holdings, LLC</w:t>
            </w:r>
            <w:r>
              <w:rPr>
                <w:rFonts w:ascii="Times New Roman" w:cs="Times New Roman" w:eastAsia="Times New Roman" w:hAnsi="Times New Roman"/>
                <w:sz w:val="10"/>
                <w:szCs w:val="10"/>
                <w:color w:val="auto"/>
              </w:rPr>
              <w:t>(4)(5)</w:t>
            </w:r>
          </w:p>
        </w:tc>
        <w:tc>
          <w:tcPr>
            <w:tcW w:w="9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Unit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980,000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(979,000)</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34"/>
        </w:trPr>
        <w:tc>
          <w:tcPr>
            <w:tcW w:w="262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Total Affiliated Investments</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122,630,676</w:t>
            </w:r>
          </w:p>
        </w:tc>
        <w:tc>
          <w:tcPr>
            <w:tcW w:w="1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(41,042,190</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5,549,454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(36,587,954</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2,261,054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(14,009,092</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38,801,947</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8,147,079</w:t>
            </w: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4,346,510</w:t>
            </w:r>
          </w:p>
        </w:tc>
        <w:tc>
          <w:tcPr>
            <w:tcW w:w="100" w:type="dxa"/>
            <w:vAlign w:val="bottom"/>
          </w:tcPr>
          <w:p>
            <w:pPr>
              <w:spacing w:after="0"/>
              <w:rPr>
                <w:sz w:val="11"/>
                <w:szCs w:val="11"/>
                <w:color w:val="auto"/>
              </w:rPr>
            </w:pPr>
          </w:p>
        </w:tc>
      </w:tr>
      <w:tr>
        <w:trPr>
          <w:trHeight w:val="20"/>
        </w:trPr>
        <w:tc>
          <w:tcPr>
            <w:tcW w:w="2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hanging="438"/>
        <w:spacing w:after="0"/>
        <w:tabs>
          <w:tab w:leader="none" w:pos="4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Non-U.S. company or principal place of business outside the U.S.</w:t>
      </w:r>
    </w:p>
    <w:p>
      <w:pPr>
        <w:spacing w:after="0" w:line="24" w:lineRule="exact"/>
        <w:rPr>
          <w:sz w:val="20"/>
          <w:szCs w:val="20"/>
          <w:color w:val="auto"/>
        </w:rPr>
      </w:pPr>
    </w:p>
    <w:p>
      <w:pPr>
        <w:ind w:left="440" w:hanging="438"/>
        <w:spacing w:after="0"/>
        <w:tabs>
          <w:tab w:leader="none" w:pos="4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 affiliate CLO Fund managed by an Asset Manager Affiliate (as such term is defined in the notes to the consolidated financial statements).</w:t>
      </w:r>
    </w:p>
    <w:p>
      <w:pPr>
        <w:spacing w:after="0" w:line="9" w:lineRule="exact"/>
        <w:rPr>
          <w:sz w:val="20"/>
          <w:szCs w:val="20"/>
          <w:color w:val="auto"/>
        </w:rPr>
      </w:pPr>
    </w:p>
    <w:p>
      <w:pPr>
        <w:ind w:left="440" w:hanging="438"/>
        <w:spacing w:after="0"/>
        <w:tabs>
          <w:tab w:leader="none" w:pos="4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Notice of redemption has been received for this security.</w:t>
      </w:r>
    </w:p>
    <w:p>
      <w:pPr>
        <w:spacing w:after="0" w:line="9" w:lineRule="exact"/>
        <w:rPr>
          <w:sz w:val="20"/>
          <w:szCs w:val="20"/>
          <w:color w:val="auto"/>
        </w:rPr>
      </w:pPr>
    </w:p>
    <w:p>
      <w:pPr>
        <w:ind w:left="440" w:hanging="438"/>
        <w:spacing w:after="0"/>
        <w:tabs>
          <w:tab w:leader="none" w:pos="4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Fair value of this investment was determined using significant unobservable inputs.</w:t>
      </w:r>
    </w:p>
    <w:p>
      <w:pPr>
        <w:spacing w:after="0" w:line="9" w:lineRule="exact"/>
        <w:rPr>
          <w:sz w:val="20"/>
          <w:szCs w:val="20"/>
          <w:color w:val="auto"/>
        </w:rPr>
      </w:pPr>
    </w:p>
    <w:p>
      <w:pPr>
        <w:ind w:left="440" w:hanging="438"/>
        <w:spacing w:after="0"/>
        <w:tabs>
          <w:tab w:leader="none" w:pos="4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Qualified asset for purposes of section 55(a) of the Investment Company Act of 1940.</w:t>
      </w:r>
    </w:p>
    <w:p>
      <w:pPr>
        <w:spacing w:after="0" w:line="9" w:lineRule="exact"/>
        <w:rPr>
          <w:sz w:val="20"/>
          <w:szCs w:val="20"/>
          <w:color w:val="auto"/>
        </w:rPr>
      </w:pPr>
    </w:p>
    <w:p>
      <w:pPr>
        <w:ind w:left="440" w:right="140" w:hanging="438"/>
        <w:spacing w:after="0" w:line="255" w:lineRule="auto"/>
        <w:tabs>
          <w:tab w:leader="none" w:pos="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0" w:name="page41"/>
    <w:bookmarkEnd w:id="40"/>
    <w:p>
      <w:pPr>
        <w:jc w:val="both"/>
        <w:ind w:left="440" w:right="100" w:hanging="438"/>
        <w:spacing w:after="0" w:line="283" w:lineRule="auto"/>
        <w:tabs>
          <w:tab w:leader="none" w:pos="4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353"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b w:val="1"/>
          <w:bCs w:val="1"/>
          <w:color w:val="auto"/>
        </w:rPr>
        <w:t>Investment in Joint Ventures:</w:t>
      </w:r>
    </w:p>
    <w:p>
      <w:pPr>
        <w:spacing w:after="0" w:line="179" w:lineRule="exact"/>
        <w:rPr>
          <w:sz w:val="20"/>
          <w:szCs w:val="20"/>
          <w:color w:val="auto"/>
        </w:rPr>
      </w:pPr>
    </w:p>
    <w:p>
      <w:pPr>
        <w:ind w:right="220" w:firstLine="440"/>
        <w:spacing w:after="0" w:line="267" w:lineRule="auto"/>
        <w:rPr>
          <w:sz w:val="20"/>
          <w:szCs w:val="20"/>
          <w:color w:val="auto"/>
        </w:rPr>
      </w:pPr>
      <w:r>
        <w:rPr>
          <w:rFonts w:ascii="Times New Roman" w:cs="Times New Roman" w:eastAsia="Times New Roman" w:hAnsi="Times New Roman"/>
          <w:sz w:val="17"/>
          <w:szCs w:val="17"/>
          <w:color w:val="auto"/>
        </w:rPr>
        <w:t>For the three and nine months ended September 30, 2019 and 2018 , the Company recognized $1.3 million and $0.8 million, respectively, and $3.5 million and $2.2 million, respectively, in investment income from its investments in Joint Ventures. As of September 30, 2019 and December 31, 2018, the fair value of the Company’s investments in Joint Ventures was approximately $45.4 million and $30.9 million,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KCAP Freedom 3 LLC</w:t>
      </w:r>
    </w:p>
    <w:p>
      <w:pPr>
        <w:spacing w:after="0" w:line="17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7"/>
          <w:szCs w:val="17"/>
          <w:color w:val="auto"/>
        </w:rPr>
        <w:t>During the third quarter of 2017, the Company and Freedom 3 Opportunities, an affiliate of Freedom 3 Capital LLC, entered into an agreement to create the Joint Venture. The Company and Freedom 3 Opportunities contributed approximately $37 million and $25 million, respectively, in assets to the Joint Venture, which in turn used the assets to capitalize the Fund managed by KCAP Management, LLC, one of the Asset Manager Affiliates. In addition, the Fund used cash on hand and borrowings under a credit facility to purchase approximately $184 million of primarily middle-market loans from the Company and the Company used the proceeds from such sale to redeem approximately $147 million in debt issued by KCAP Senior Funding. The Fund invests primarily in middle-market loans and the Joint Ventures partners may source middle-market loans from time-to-time for the Fund.</w:t>
      </w:r>
    </w:p>
    <w:p>
      <w:pPr>
        <w:spacing w:after="0" w:line="138"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7"/>
          <w:szCs w:val="17"/>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48"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7"/>
          <w:szCs w:val="17"/>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13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7"/>
          <w:szCs w:val="17"/>
          <w:color w:val="auto"/>
        </w:rPr>
        <w:t>In connection with the Externalization, during the first quarter of 2019, KCAP Management agreed to waive management fees it is otherwise entitled to receive for managing the Fund. In addition, the Joint Venture was restructured such that the Company is now entitled to receive a preferred distribution in an amount equal to the fees waived by KCAP Management. The impact of these transactions was a reduction in the fair value of the Asset Manager Affiliates and an increase in the fair value of the Company’s investment in the Joint Venture during the first quarter of 2019. The reduction in the fair value of the Asset Manager Affiliates was recognized as a realized loss on the Statement of Operations. The increase in the fair value of the Company’s investment in the Joint Venture was recognized as an unrealized gain in the Statement of Operations.</w:t>
      </w:r>
    </w:p>
    <w:p>
      <w:pPr>
        <w:spacing w:after="0" w:line="138"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7"/>
          <w:szCs w:val="17"/>
          <w:color w:val="auto"/>
        </w:rPr>
        <w:t>The Company has determined that the Joint Venture is an investment company under Accounting Standards Codification (“ASC”), Financial 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KCAP Freedom 3 LLC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Summarized Statement of Financial Condition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20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05"/>
        </w:trPr>
        <w:tc>
          <w:tcPr>
            <w:tcW w:w="48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0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5"/>
        </w:trPr>
        <w:tc>
          <w:tcPr>
            <w:tcW w:w="4860" w:type="dxa"/>
            <w:vAlign w:val="bottom"/>
            <w:tcBorders>
              <w:bottom w:val="single" w:sz="8" w:color="CFF0FC"/>
            </w:tcBorders>
          </w:tcPr>
          <w:p>
            <w:pPr>
              <w:spacing w:after="0"/>
              <w:rPr>
                <w:sz w:val="19"/>
                <w:szCs w:val="19"/>
                <w:color w:val="auto"/>
              </w:rPr>
            </w:pPr>
          </w:p>
        </w:tc>
        <w:tc>
          <w:tcPr>
            <w:tcW w:w="3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100" w:type="dxa"/>
            <w:vAlign w:val="bottom"/>
            <w:tcBorders>
              <w:bottom w:val="single" w:sz="8" w:color="CFF0FC"/>
            </w:tcBorders>
          </w:tcPr>
          <w:p>
            <w:pPr>
              <w:spacing w:after="0"/>
              <w:rPr>
                <w:sz w:val="19"/>
                <w:szCs w:val="19"/>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Investment at fair value</w:t>
            </w:r>
          </w:p>
        </w:tc>
        <w:tc>
          <w:tcPr>
            <w:tcW w:w="30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33,548,354</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32,621,188</w:t>
            </w:r>
          </w:p>
        </w:tc>
        <w:tc>
          <w:tcPr>
            <w:tcW w:w="100" w:type="dxa"/>
            <w:vAlign w:val="bottom"/>
            <w:shd w:val="clear" w:color="auto" w:fill="CFF0FC"/>
          </w:tcPr>
          <w:p>
            <w:pPr>
              <w:spacing w:after="0"/>
              <w:rPr>
                <w:sz w:val="18"/>
                <w:szCs w:val="18"/>
                <w:color w:val="auto"/>
              </w:rPr>
            </w:pPr>
          </w:p>
        </w:tc>
      </w:tr>
      <w:tr>
        <w:trPr>
          <w:trHeight w:val="250"/>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30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33,548,354</w:t>
            </w:r>
          </w:p>
        </w:tc>
        <w:tc>
          <w:tcPr>
            <w:tcW w:w="2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32,621,188</w:t>
            </w:r>
          </w:p>
        </w:tc>
        <w:tc>
          <w:tcPr>
            <w:tcW w:w="100" w:type="dxa"/>
            <w:vAlign w:val="bottom"/>
            <w:tcBorders>
              <w:bottom w:val="single" w:sz="8" w:color="CFF0FC"/>
            </w:tcBorders>
          </w:tcPr>
          <w:p>
            <w:pPr>
              <w:spacing w:after="0"/>
              <w:rPr>
                <w:sz w:val="21"/>
                <w:szCs w:val="21"/>
                <w:color w:val="auto"/>
              </w:rPr>
            </w:pPr>
          </w:p>
        </w:tc>
      </w:tr>
      <w:tr>
        <w:trPr>
          <w:trHeight w:val="19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30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968,642</w:t>
            </w:r>
          </w:p>
        </w:tc>
        <w:tc>
          <w:tcPr>
            <w:tcW w:w="2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1,970,455</w:t>
            </w:r>
          </w:p>
        </w:tc>
        <w:tc>
          <w:tcPr>
            <w:tcW w:w="100" w:type="dxa"/>
            <w:vAlign w:val="bottom"/>
            <w:shd w:val="clear" w:color="auto" w:fill="CFF0FC"/>
          </w:tcPr>
          <w:p>
            <w:pPr>
              <w:spacing w:after="0"/>
              <w:rPr>
                <w:sz w:val="17"/>
                <w:szCs w:val="17"/>
                <w:color w:val="auto"/>
              </w:rPr>
            </w:pPr>
          </w:p>
        </w:tc>
      </w:tr>
      <w:tr>
        <w:trPr>
          <w:trHeight w:val="210"/>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Total Equity</w:t>
            </w:r>
          </w:p>
        </w:tc>
        <w:tc>
          <w:tcPr>
            <w:tcW w:w="30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32,579,712</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30,650,733</w:t>
            </w:r>
          </w:p>
        </w:tc>
        <w:tc>
          <w:tcPr>
            <w:tcW w:w="100" w:type="dxa"/>
            <w:vAlign w:val="bottom"/>
            <w:tcBorders>
              <w:bottom w:val="single" w:sz="8" w:color="CFF0FC"/>
            </w:tcBorders>
          </w:tcPr>
          <w:p>
            <w:pPr>
              <w:spacing w:after="0"/>
              <w:rPr>
                <w:sz w:val="18"/>
                <w:szCs w:val="18"/>
                <w:color w:val="auto"/>
              </w:rPr>
            </w:pPr>
          </w:p>
        </w:tc>
      </w:tr>
      <w:tr>
        <w:trPr>
          <w:trHeight w:val="210"/>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30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33,548,354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32,621,188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KCAP Freedom 3 LLC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Summarized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5"/>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17"/>
        </w:trPr>
        <w:tc>
          <w:tcPr>
            <w:tcW w:w="4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5"/>
        </w:trPr>
        <w:tc>
          <w:tcPr>
            <w:tcW w:w="450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Investment income</w:t>
            </w:r>
          </w:p>
        </w:tc>
        <w:tc>
          <w:tcPr>
            <w:tcW w:w="17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1,341,881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1,148,571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3,957,429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3,566,385</w:t>
            </w:r>
          </w:p>
        </w:tc>
        <w:tc>
          <w:tcPr>
            <w:tcW w:w="100" w:type="dxa"/>
            <w:vAlign w:val="bottom"/>
            <w:shd w:val="clear" w:color="auto" w:fill="CFF0FC"/>
          </w:tcPr>
          <w:p>
            <w:pPr>
              <w:spacing w:after="0"/>
              <w:rPr>
                <w:sz w:val="18"/>
                <w:szCs w:val="18"/>
                <w:color w:val="auto"/>
              </w:rPr>
            </w:pPr>
          </w:p>
        </w:tc>
      </w:tr>
      <w:tr>
        <w:trPr>
          <w:trHeight w:val="217"/>
        </w:trPr>
        <w:tc>
          <w:tcPr>
            <w:tcW w:w="4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7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35,191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56,512</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54,183</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110,273</w:t>
            </w:r>
          </w:p>
        </w:tc>
        <w:tc>
          <w:tcPr>
            <w:tcW w:w="100" w:type="dxa"/>
            <w:vAlign w:val="bottom"/>
            <w:tcBorders>
              <w:bottom w:val="single" w:sz="8" w:color="CFF0FC"/>
            </w:tcBorders>
          </w:tcPr>
          <w:p>
            <w:pPr>
              <w:spacing w:after="0"/>
              <w:rPr>
                <w:sz w:val="18"/>
                <w:szCs w:val="18"/>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investment income</w:t>
            </w:r>
          </w:p>
        </w:tc>
        <w:tc>
          <w:tcPr>
            <w:tcW w:w="1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1,306,690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1,092,059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3,903,246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3,456,112</w:t>
            </w:r>
          </w:p>
        </w:tc>
        <w:tc>
          <w:tcPr>
            <w:tcW w:w="100" w:type="dxa"/>
            <w:vAlign w:val="bottom"/>
            <w:shd w:val="clear" w:color="auto" w:fill="CFF0FC"/>
          </w:tcPr>
          <w:p>
            <w:pPr>
              <w:spacing w:after="0"/>
              <w:rPr>
                <w:sz w:val="18"/>
                <w:szCs w:val="18"/>
                <w:color w:val="auto"/>
              </w:rPr>
            </w:pPr>
          </w:p>
        </w:tc>
      </w:tr>
      <w:tr>
        <w:trPr>
          <w:trHeight w:val="217"/>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Unrealized appreciation on investments</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(1,663,956)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529,662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1,928,979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(35,274)</w:t>
            </w:r>
          </w:p>
        </w:tc>
      </w:tr>
      <w:tr>
        <w:trPr>
          <w:trHeight w:val="210"/>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income</w:t>
            </w:r>
          </w:p>
        </w:tc>
        <w:tc>
          <w:tcPr>
            <w:tcW w:w="17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(357,266)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1,621,721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5,832,225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3,420,838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KCAP Freedom 3 LLC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September 30,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Percentage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Ownership</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by Joint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8"/>
              </w:rPr>
              <w:t>Amortized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Portfolio Company</w:t>
            </w:r>
          </w:p>
        </w:tc>
        <w:tc>
          <w:tcPr>
            <w:tcW w:w="2220" w:type="dxa"/>
            <w:vAlign w:val="bottom"/>
            <w:gridSpan w:val="2"/>
          </w:tcPr>
          <w:p>
            <w:pPr>
              <w:ind w:left="600"/>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Venture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6"/>
              </w:rPr>
              <w:t>Cost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194"/>
        </w:trPr>
        <w:tc>
          <w:tcPr>
            <w:tcW w:w="4040" w:type="dxa"/>
            <w:vAlign w:val="bottom"/>
            <w:tcBorders>
              <w:top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Great Lakes KCAP F3C Senior, LLC</w:t>
            </w:r>
            <w:r>
              <w:rPr>
                <w:rFonts w:ascii="Times New Roman" w:cs="Times New Roman" w:eastAsia="Times New Roman" w:hAnsi="Times New Roman"/>
                <w:sz w:val="14"/>
                <w:szCs w:val="14"/>
                <w:color w:val="auto"/>
              </w:rPr>
              <w:t>(1)(2)(3)</w:t>
            </w:r>
          </w:p>
        </w:tc>
        <w:tc>
          <w:tcPr>
            <w:tcW w:w="180" w:type="dxa"/>
            <w:vAlign w:val="bottom"/>
            <w:tcBorders>
              <w:top w:val="single" w:sz="8" w:color="CFF0FC"/>
            </w:tcBorders>
            <w:shd w:val="clear" w:color="auto" w:fill="CFF0FC"/>
          </w:tcPr>
          <w:p>
            <w:pPr>
              <w:spacing w:after="0"/>
              <w:rPr>
                <w:sz w:val="16"/>
                <w:szCs w:val="16"/>
                <w:color w:val="auto"/>
              </w:rPr>
            </w:pPr>
          </w:p>
        </w:tc>
        <w:tc>
          <w:tcPr>
            <w:tcW w:w="2060" w:type="dxa"/>
            <w:vAlign w:val="bottom"/>
            <w:tcBorders>
              <w:top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Subordinated Securities,</w:t>
            </w:r>
          </w:p>
        </w:tc>
        <w:tc>
          <w:tcPr>
            <w:tcW w:w="160" w:type="dxa"/>
            <w:vAlign w:val="bottom"/>
            <w:tcBorders>
              <w:top w:val="single" w:sz="8" w:color="CFF0FC"/>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05"/>
        </w:trPr>
        <w:tc>
          <w:tcPr>
            <w:tcW w:w="4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effective interest 14.9%,</w:t>
            </w: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4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12/29 maturity</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41,634,567</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33,548,354</w:t>
            </w:r>
          </w:p>
        </w:tc>
        <w:tc>
          <w:tcPr>
            <w:tcW w:w="100" w:type="dxa"/>
            <w:vAlign w:val="bottom"/>
            <w:shd w:val="clear" w:color="auto" w:fill="CFF0FC"/>
          </w:tcPr>
          <w:p>
            <w:pPr>
              <w:spacing w:after="0"/>
              <w:rPr>
                <w:sz w:val="19"/>
                <w:szCs w:val="19"/>
                <w:color w:val="auto"/>
              </w:rPr>
            </w:pPr>
          </w:p>
        </w:tc>
      </w:tr>
      <w:tr>
        <w:trPr>
          <w:trHeight w:val="210"/>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Investments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41,634,567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33,548,354</w:t>
            </w:r>
          </w:p>
        </w:tc>
        <w:tc>
          <w:tcPr>
            <w:tcW w:w="100" w:type="dxa"/>
            <w:vAlign w:val="bottom"/>
          </w:tcPr>
          <w:p>
            <w:pPr>
              <w:spacing w:after="0"/>
              <w:rPr>
                <w:sz w:val="18"/>
                <w:szCs w:val="18"/>
                <w:color w:val="auto"/>
              </w:rPr>
            </w:pPr>
          </w:p>
        </w:tc>
      </w:tr>
    </w:tbl>
    <w:p>
      <w:pPr>
        <w:spacing w:after="0" w:line="188" w:lineRule="exact"/>
        <w:rPr>
          <w:sz w:val="20"/>
          <w:szCs w:val="20"/>
          <w:color w:val="auto"/>
        </w:rPr>
      </w:pPr>
    </w:p>
    <w:p>
      <w:pPr>
        <w:ind w:left="440" w:right="80" w:hanging="438"/>
        <w:spacing w:after="0" w:line="256" w:lineRule="auto"/>
        <w:tabs>
          <w:tab w:leader="none" w:pos="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Times New Roman" w:cs="Times New Roman" w:eastAsia="Times New Roman" w:hAnsi="Times New Roman"/>
          <w:sz w:val="17"/>
          <w:szCs w:val="17"/>
          <w:color w:val="auto"/>
        </w:rPr>
      </w:pPr>
    </w:p>
    <w:p>
      <w:pPr>
        <w:ind w:left="440" w:right="160" w:hanging="438"/>
        <w:spacing w:after="0" w:line="251" w:lineRule="auto"/>
        <w:tabs>
          <w:tab w:leader="none" w:pos="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of this investment was determined using significant unobservable inputs, including default rates, prepayment rates, spreads, and the discount rate by which to value the resulting cash flows.</w:t>
      </w:r>
    </w:p>
    <w:p>
      <w:pPr>
        <w:ind w:left="440" w:hanging="438"/>
        <w:spacing w:after="0"/>
        <w:tabs>
          <w:tab w:leader="none" w:pos="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Formerly known as KCAP F3C Senior Funding, LLC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KCAP Freedom 3 LLC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2018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Percentage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Ownership</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by Joint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8"/>
              </w:rPr>
              <w:t>Amortized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Portfolio Company</w:t>
            </w:r>
          </w:p>
        </w:tc>
        <w:tc>
          <w:tcPr>
            <w:tcW w:w="2220" w:type="dxa"/>
            <w:vAlign w:val="bottom"/>
            <w:gridSpan w:val="2"/>
          </w:tcPr>
          <w:p>
            <w:pPr>
              <w:ind w:left="600"/>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Venture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6"/>
              </w:rPr>
              <w:t>Cost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194"/>
        </w:trPr>
        <w:tc>
          <w:tcPr>
            <w:tcW w:w="4040" w:type="dxa"/>
            <w:vAlign w:val="bottom"/>
            <w:tcBorders>
              <w:top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 xml:space="preserve">KCAP F3C Senior Funding, LLC </w:t>
            </w:r>
            <w:r>
              <w:rPr>
                <w:rFonts w:ascii="Times New Roman" w:cs="Times New Roman" w:eastAsia="Times New Roman" w:hAnsi="Times New Roman"/>
                <w:sz w:val="14"/>
                <w:szCs w:val="14"/>
                <w:color w:val="auto"/>
              </w:rPr>
              <w:t>(1)(2)</w:t>
            </w:r>
          </w:p>
        </w:tc>
        <w:tc>
          <w:tcPr>
            <w:tcW w:w="180" w:type="dxa"/>
            <w:vAlign w:val="bottom"/>
            <w:tcBorders>
              <w:top w:val="single" w:sz="8" w:color="CFF0FC"/>
            </w:tcBorders>
            <w:shd w:val="clear" w:color="auto" w:fill="CFF0FC"/>
          </w:tcPr>
          <w:p>
            <w:pPr>
              <w:spacing w:after="0"/>
              <w:rPr>
                <w:sz w:val="16"/>
                <w:szCs w:val="16"/>
                <w:color w:val="auto"/>
              </w:rPr>
            </w:pPr>
          </w:p>
        </w:tc>
        <w:tc>
          <w:tcPr>
            <w:tcW w:w="2060" w:type="dxa"/>
            <w:vAlign w:val="bottom"/>
            <w:tcBorders>
              <w:top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Subordinated Securities,</w:t>
            </w:r>
          </w:p>
        </w:tc>
        <w:tc>
          <w:tcPr>
            <w:tcW w:w="160" w:type="dxa"/>
            <w:vAlign w:val="bottom"/>
            <w:tcBorders>
              <w:top w:val="single" w:sz="8" w:color="CFF0FC"/>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05"/>
        </w:trPr>
        <w:tc>
          <w:tcPr>
            <w:tcW w:w="4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effective interest 11.5%,</w:t>
            </w: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4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12/29 maturity</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42,636,380</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32,621,188</w:t>
            </w:r>
          </w:p>
        </w:tc>
        <w:tc>
          <w:tcPr>
            <w:tcW w:w="100" w:type="dxa"/>
            <w:vAlign w:val="bottom"/>
            <w:shd w:val="clear" w:color="auto" w:fill="CFF0FC"/>
          </w:tcPr>
          <w:p>
            <w:pPr>
              <w:spacing w:after="0"/>
              <w:rPr>
                <w:sz w:val="19"/>
                <w:szCs w:val="19"/>
                <w:color w:val="auto"/>
              </w:rPr>
            </w:pPr>
          </w:p>
        </w:tc>
      </w:tr>
      <w:tr>
        <w:trPr>
          <w:trHeight w:val="210"/>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Investments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42,636,380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32,621,188</w:t>
            </w:r>
          </w:p>
        </w:tc>
        <w:tc>
          <w:tcPr>
            <w:tcW w:w="100" w:type="dxa"/>
            <w:vAlign w:val="bottom"/>
          </w:tcPr>
          <w:p>
            <w:pPr>
              <w:spacing w:after="0"/>
              <w:rPr>
                <w:sz w:val="18"/>
                <w:szCs w:val="18"/>
                <w:color w:val="auto"/>
              </w:rPr>
            </w:pPr>
          </w:p>
        </w:tc>
      </w:tr>
    </w:tbl>
    <w:p>
      <w:pPr>
        <w:spacing w:after="0" w:line="188" w:lineRule="exact"/>
        <w:rPr>
          <w:sz w:val="20"/>
          <w:szCs w:val="20"/>
          <w:color w:val="auto"/>
        </w:rPr>
      </w:pPr>
    </w:p>
    <w:p>
      <w:pPr>
        <w:ind w:left="440" w:right="80" w:hanging="438"/>
        <w:spacing w:after="0" w:line="256" w:lineRule="auto"/>
        <w:tabs>
          <w:tab w:leader="none" w:pos="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Times New Roman" w:cs="Times New Roman" w:eastAsia="Times New Roman" w:hAnsi="Times New Roman"/>
          <w:sz w:val="17"/>
          <w:szCs w:val="17"/>
          <w:color w:val="auto"/>
        </w:rPr>
      </w:pPr>
    </w:p>
    <w:p>
      <w:pPr>
        <w:ind w:left="440" w:right="160" w:hanging="438"/>
        <w:spacing w:after="0" w:line="262" w:lineRule="auto"/>
        <w:tabs>
          <w:tab w:leader="none" w:pos="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of this investment was determined using significant unobservable inputs, including default rates, prepayment rates, spreads, and the discount rate by which to value the resulting cash flows.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BCP Great Lakes Partnership LP</w:t>
      </w:r>
    </w:p>
    <w:p>
      <w:pPr>
        <w:spacing w:after="0" w:line="192"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7"/>
          <w:szCs w:val="17"/>
          <w:color w:val="auto"/>
        </w:rPr>
        <w:t>BCP Great Lakes Partnership LP (the “BCP Great Lakes Partnership”) has invested in BCP Great Lakes Holdings LP, a vehicle formed as a co-investment vehicle to facilitate the participation of certain co-investors to invest, directly or indirectly, in BCP Great Lakes Funding, LLC.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131"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7"/>
          <w:szCs w:val="17"/>
          <w:color w:val="auto"/>
        </w:rPr>
        <w:t>The fair value of the Company’s investment in the BCP Great Lakes Partnership at September 30, 2019 and December 31, 2018 was $24.2 million and $12.5 million. Fair value has been determined utilizing the practical expedient pursuant to ASC 820-10. Pursuant to the terms of the BCP Great Lakes Fund LP Amended and Restated Exempted Limited Partnership Agreement (the “BCP Great Lakes Partnership Agreement”),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13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7"/>
          <w:szCs w:val="17"/>
          <w:color w:val="auto"/>
        </w:rPr>
        <w:t>In March 2019,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Investment Company Act of 1940). As of September 30, 2019 and December 31, 2018, the Company has a $25.9 million and $12.5 million, respectively unfunded commitment to the BCP Great Lakes Partnership.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9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3" w:name="page44"/>
    <w:bookmarkEnd w:id="43"/>
    <w:p>
      <w:pPr>
        <w:ind w:right="160" w:firstLine="440"/>
        <w:spacing w:after="0" w:line="283" w:lineRule="auto"/>
        <w:rPr>
          <w:sz w:val="20"/>
          <w:szCs w:val="20"/>
          <w:color w:val="auto"/>
        </w:rPr>
      </w:pPr>
      <w:r>
        <w:rPr>
          <w:rFonts w:ascii="Times New Roman" w:cs="Times New Roman" w:eastAsia="Times New Roman" w:hAnsi="Times New Roman"/>
          <w:sz w:val="17"/>
          <w:szCs w:val="17"/>
          <w:color w:val="auto"/>
        </w:rPr>
        <w:t>ASC 820: Fair Value establishes the following three-level hierarchy, based upon the transparency of inputs to the fair value measurement of an asset or liability as of the measurement date:</w:t>
      </w:r>
    </w:p>
    <w:p>
      <w:pPr>
        <w:spacing w:after="0" w:line="127" w:lineRule="exact"/>
        <w:rPr>
          <w:sz w:val="20"/>
          <w:szCs w:val="20"/>
          <w:color w:val="auto"/>
        </w:rPr>
      </w:pPr>
    </w:p>
    <w:p>
      <w:pPr>
        <w:jc w:val="both"/>
        <w:ind w:right="40" w:firstLine="440"/>
        <w:spacing w:after="0" w:line="267" w:lineRule="auto"/>
        <w:rPr>
          <w:sz w:val="20"/>
          <w:szCs w:val="20"/>
          <w:color w:val="auto"/>
        </w:rPr>
      </w:pPr>
      <w:r>
        <w:rPr>
          <w:rFonts w:ascii="Times New Roman" w:cs="Times New Roman" w:eastAsia="Times New Roman" w:hAnsi="Times New Roman"/>
          <w:sz w:val="17"/>
          <w:szCs w:val="17"/>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28"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3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7"/>
          <w:szCs w:val="17"/>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5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42" w:lineRule="exact"/>
        <w:rPr>
          <w:sz w:val="20"/>
          <w:szCs w:val="20"/>
          <w:color w:val="auto"/>
        </w:rPr>
      </w:pPr>
    </w:p>
    <w:p>
      <w:pPr>
        <w:ind w:right="700" w:firstLine="440"/>
        <w:spacing w:after="0" w:line="283" w:lineRule="auto"/>
        <w:rPr>
          <w:sz w:val="20"/>
          <w:szCs w:val="20"/>
          <w:color w:val="auto"/>
        </w:rPr>
      </w:pPr>
      <w:r>
        <w:rPr>
          <w:rFonts w:ascii="Times New Roman" w:cs="Times New Roman" w:eastAsia="Times New Roman" w:hAnsi="Times New Roman"/>
          <w:sz w:val="17"/>
          <w:szCs w:val="17"/>
          <w:color w:val="auto"/>
        </w:rPr>
        <w:t>The following table summarizes the fair value of investments by fair value hierarchy levels provided by ASC 820: Fair Value as of September 30, 2019 (unaudited) and December 31, 2018,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gridSpan w:val="8"/>
          </w:tcPr>
          <w:p>
            <w:pPr>
              <w:ind w:left="240"/>
              <w:spacing w:after="0"/>
              <w:rPr>
                <w:sz w:val="20"/>
                <w:szCs w:val="20"/>
                <w:color w:val="auto"/>
              </w:rPr>
            </w:pPr>
            <w:r>
              <w:rPr>
                <w:rFonts w:ascii="Times New Roman" w:cs="Times New Roman" w:eastAsia="Times New Roman" w:hAnsi="Times New Roman"/>
                <w:sz w:val="17"/>
                <w:szCs w:val="17"/>
                <w:b w:val="1"/>
                <w:bCs w:val="1"/>
                <w:color w:val="auto"/>
              </w:rPr>
              <w:t>As of September 30, 2019 (unaudited)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5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Level I</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Level II</w:t>
            </w:r>
          </w:p>
        </w:tc>
        <w:tc>
          <w:tcPr>
            <w:tcW w:w="12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Level III</w:t>
            </w:r>
          </w:p>
        </w:tc>
        <w:tc>
          <w:tcPr>
            <w:tcW w:w="1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NAV</w:t>
            </w:r>
          </w:p>
        </w:tc>
        <w:tc>
          <w:tcPr>
            <w:tcW w:w="120" w:type="dxa"/>
            <w:vAlign w:val="bottom"/>
          </w:tcPr>
          <w:p>
            <w:pPr>
              <w:spacing w:after="0"/>
              <w:rPr>
                <w:sz w:val="19"/>
                <w:szCs w:val="19"/>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 w:type="dxa"/>
            <w:vAlign w:val="bottom"/>
          </w:tcPr>
          <w:p>
            <w:pPr>
              <w:spacing w:after="0"/>
              <w:rPr>
                <w:sz w:val="19"/>
                <w:szCs w:val="19"/>
                <w:color w:val="auto"/>
              </w:rPr>
            </w:pPr>
          </w:p>
        </w:tc>
      </w:tr>
      <w:tr>
        <w:trPr>
          <w:trHeight w:val="210"/>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Short Term investments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9,999,183</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13,181,680</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23,180,863</w:t>
            </w: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Debt securities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51,700,923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123,923,422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175,624,345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CLO Fund securities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36,871,295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36,871,295</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779,611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6,279,611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Joint Ventures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21,235,739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24,190,267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45,426,006</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Derivatives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9,999,183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70,382,602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182,819,717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24,190,267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287,391,771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9"/>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44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7"/>
        </w:trPr>
        <w:tc>
          <w:tcPr>
            <w:tcW w:w="5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289" w:right="1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6"/>
          </w:tcPr>
          <w:p>
            <w:pPr>
              <w:jc w:val="center"/>
              <w:ind w:left="555"/>
              <w:spacing w:after="0"/>
              <w:rPr>
                <w:sz w:val="20"/>
                <w:szCs w:val="20"/>
                <w:color w:val="auto"/>
              </w:rPr>
            </w:pPr>
            <w:r>
              <w:rPr>
                <w:rFonts w:ascii="Times New Roman" w:cs="Times New Roman" w:eastAsia="Times New Roman" w:hAnsi="Times New Roman"/>
                <w:sz w:val="17"/>
                <w:szCs w:val="17"/>
                <w:b w:val="1"/>
                <w:bCs w:val="1"/>
                <w:color w:val="auto"/>
              </w:rPr>
              <w:t>As of December 31, 2018</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Level I</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Level II</w:t>
            </w:r>
          </w:p>
        </w:tc>
        <w:tc>
          <w:tcPr>
            <w:tcW w:w="120" w:type="dxa"/>
            <w:vAlign w:val="bottom"/>
          </w:tcPr>
          <w:p>
            <w:pPr>
              <w:spacing w:after="0"/>
              <w:rPr>
                <w:sz w:val="19"/>
                <w:szCs w:val="19"/>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Level III</w:t>
            </w:r>
          </w:p>
        </w:tc>
        <w:tc>
          <w:tcPr>
            <w:tcW w:w="18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NAV</w:t>
            </w:r>
          </w:p>
        </w:tc>
        <w:tc>
          <w:tcPr>
            <w:tcW w:w="100" w:type="dxa"/>
            <w:vAlign w:val="bottom"/>
          </w:tcPr>
          <w:p>
            <w:pPr>
              <w:spacing w:after="0"/>
              <w:rPr>
                <w:sz w:val="19"/>
                <w:szCs w:val="19"/>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0"/>
        </w:trPr>
        <w:tc>
          <w:tcPr>
            <w:tcW w:w="5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Short Term investments</w:t>
            </w: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9,999,349</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34,757,129</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44,756,478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Debt securities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41,120,073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106,741,671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147,861,744</w:t>
            </w:r>
          </w:p>
        </w:tc>
        <w:tc>
          <w:tcPr>
            <w:tcW w:w="100" w:type="dxa"/>
            <w:vAlign w:val="bottom"/>
          </w:tcPr>
          <w:p>
            <w:pPr>
              <w:spacing w:after="0"/>
              <w:rPr>
                <w:sz w:val="18"/>
                <w:szCs w:val="18"/>
                <w:color w:val="auto"/>
              </w:rPr>
            </w:pPr>
          </w:p>
        </w:tc>
      </w:tr>
      <w:tr>
        <w:trPr>
          <w:trHeight w:val="21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CLO Fund securities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44,325,000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44,325,000</w:t>
            </w:r>
          </w:p>
        </w:tc>
        <w:tc>
          <w:tcPr>
            <w:tcW w:w="100" w:type="dxa"/>
            <w:vAlign w:val="bottom"/>
            <w:shd w:val="clear" w:color="auto" w:fill="CFF0FC"/>
          </w:tcPr>
          <w:p>
            <w:pPr>
              <w:spacing w:after="0"/>
              <w:rPr>
                <w:sz w:val="18"/>
                <w:szCs w:val="18"/>
                <w:color w:val="auto"/>
              </w:rPr>
            </w:pPr>
          </w:p>
        </w:tc>
      </w:tr>
      <w:tr>
        <w:trPr>
          <w:trHeight w:val="217"/>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2,038,020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2,038,020</w:t>
            </w:r>
          </w:p>
        </w:tc>
        <w:tc>
          <w:tcPr>
            <w:tcW w:w="100" w:type="dxa"/>
            <w:vAlign w:val="bottom"/>
          </w:tcPr>
          <w:p>
            <w:pPr>
              <w:spacing w:after="0"/>
              <w:rPr>
                <w:sz w:val="18"/>
                <w:szCs w:val="18"/>
                <w:color w:val="auto"/>
              </w:rPr>
            </w:pPr>
          </w:p>
        </w:tc>
      </w:tr>
      <w:tr>
        <w:trPr>
          <w:trHeight w:val="21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Asset Manager Affiliates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3,470,000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3,470,000</w:t>
            </w:r>
          </w:p>
        </w:tc>
        <w:tc>
          <w:tcPr>
            <w:tcW w:w="100" w:type="dxa"/>
            <w:vAlign w:val="bottom"/>
            <w:shd w:val="clear" w:color="auto" w:fill="CFF0FC"/>
          </w:tcPr>
          <w:p>
            <w:pPr>
              <w:spacing w:after="0"/>
              <w:rPr>
                <w:sz w:val="18"/>
                <w:szCs w:val="18"/>
                <w:color w:val="auto"/>
              </w:rPr>
            </w:pPr>
          </w:p>
        </w:tc>
      </w:tr>
      <w:tr>
        <w:trPr>
          <w:trHeight w:val="217"/>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Joint Venture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18,390,440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12,466,667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30,857,107</w:t>
            </w:r>
          </w:p>
        </w:tc>
        <w:tc>
          <w:tcPr>
            <w:tcW w:w="100" w:type="dxa"/>
            <w:vAlign w:val="bottom"/>
          </w:tcPr>
          <w:p>
            <w:pPr>
              <w:spacing w:after="0"/>
              <w:rPr>
                <w:sz w:val="18"/>
                <w:szCs w:val="18"/>
                <w:color w:val="auto"/>
              </w:rPr>
            </w:pPr>
          </w:p>
        </w:tc>
      </w:tr>
      <w:tr>
        <w:trPr>
          <w:trHeight w:val="210"/>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9,999,349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75,877,202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174,965,131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12,466,667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273,308,349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 party pricing service are generally deemed to be Level III values. For those that have observable trades, the Company considers them to be Level II.</w:t>
      </w:r>
    </w:p>
    <w:p>
      <w:pPr>
        <w:spacing w:after="0" w:line="128" w:lineRule="exact"/>
        <w:rPr>
          <w:sz w:val="20"/>
          <w:szCs w:val="20"/>
          <w:color w:val="auto"/>
        </w:rPr>
      </w:pPr>
    </w:p>
    <w:p>
      <w:pPr>
        <w:ind w:right="260" w:firstLine="440"/>
        <w:spacing w:after="0" w:line="283" w:lineRule="auto"/>
        <w:rPr>
          <w:sz w:val="20"/>
          <w:szCs w:val="20"/>
          <w:color w:val="auto"/>
        </w:rPr>
      </w:pPr>
      <w:r>
        <w:rPr>
          <w:rFonts w:ascii="Times New Roman" w:cs="Times New Roman" w:eastAsia="Times New Roman" w:hAnsi="Times New Roman"/>
          <w:sz w:val="17"/>
          <w:szCs w:val="17"/>
          <w:color w:val="auto"/>
        </w:rPr>
        <w:t>The fair value of the Company’s investment in the BCP Great Lakes Partnership at September 30, 2019 and December 31, 2018 was $24.2 million and $12.5 million. Fair value has been determined utilizing the practical expedient pursuant to ASC 820-10.</w:t>
      </w:r>
    </w:p>
    <w:p>
      <w:pPr>
        <w:spacing w:after="0" w:line="127"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7"/>
          <w:szCs w:val="17"/>
          <w:color w:val="auto"/>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3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45" w:name="page46"/>
    <w:bookmarkEnd w:id="45"/>
    <w:p>
      <w:pPr>
        <w:ind w:right="300" w:firstLine="440"/>
        <w:spacing w:after="0" w:line="262" w:lineRule="auto"/>
        <w:rPr>
          <w:sz w:val="20"/>
          <w:szCs w:val="20"/>
          <w:color w:val="auto"/>
        </w:rPr>
      </w:pPr>
      <w:r>
        <w:rPr>
          <w:rFonts w:ascii="Times New Roman" w:cs="Times New Roman" w:eastAsia="Times New Roman" w:hAnsi="Times New Roman"/>
          <w:sz w:val="17"/>
          <w:szCs w:val="17"/>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5"/>
                <w:szCs w:val="15"/>
                <w:b w:val="1"/>
                <w:bCs w:val="1"/>
                <w:color w:val="auto"/>
              </w:rPr>
              <w:t>Nine Months Ended September 30, 2019</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Asset</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Debt</w:t>
            </w:r>
          </w:p>
        </w:tc>
        <w:tc>
          <w:tcPr>
            <w:tcW w:w="1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CLO Fund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Manager</w:t>
            </w:r>
          </w:p>
        </w:tc>
        <w:tc>
          <w:tcPr>
            <w:tcW w:w="12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Joint</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1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Affiliate</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Ventures</w:t>
            </w:r>
          </w:p>
        </w:tc>
        <w:tc>
          <w:tcPr>
            <w:tcW w:w="16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Derivatives</w:t>
            </w: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December 31, 2018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106,741,671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44,325,000</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2,038,020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3,470,000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18,390,440</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174,965,131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Transfers out of Level III¹</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(8,165,157)</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(8,165,157)</w:t>
            </w:r>
          </w:p>
        </w:tc>
        <w:tc>
          <w:tcPr>
            <w:tcW w:w="0" w:type="dxa"/>
            <w:vAlign w:val="bottom"/>
          </w:tcPr>
          <w:p>
            <w:pPr>
              <w:spacing w:after="0"/>
              <w:rPr>
                <w:sz w:val="1"/>
                <w:szCs w:val="1"/>
                <w:color w:val="auto"/>
              </w:rPr>
            </w:pPr>
          </w:p>
        </w:tc>
      </w:tr>
      <w:tr>
        <w:trPr>
          <w:trHeight w:val="207"/>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Transfers into Level III²</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12,506,669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12,506,669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Net accretion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93,157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4,815,733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4,908,890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Purchases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45,192,842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6,273,915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30,609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51,497,366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Sales/Paydowns/Return of 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(25,085,504)</w:t>
            </w: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(10,874,805)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(80,640)</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(36,040,949)</w:t>
            </w:r>
          </w:p>
        </w:tc>
        <w:tc>
          <w:tcPr>
            <w:tcW w:w="0" w:type="dxa"/>
            <w:vAlign w:val="bottom"/>
          </w:tcPr>
          <w:p>
            <w:pPr>
              <w:spacing w:after="0"/>
              <w:rPr>
                <w:sz w:val="1"/>
                <w:szCs w:val="1"/>
                <w:color w:val="auto"/>
              </w:rPr>
            </w:pPr>
          </w:p>
        </w:tc>
      </w:tr>
      <w:tr>
        <w:trPr>
          <w:trHeight w:val="207"/>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realized loss included in earnings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(10,099,326)</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(595,571)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(1,642,282)</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(3,470,000)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(15,807,179)</w:t>
            </w:r>
          </w:p>
        </w:tc>
        <w:tc>
          <w:tcPr>
            <w:tcW w:w="0" w:type="dxa"/>
            <w:vAlign w:val="bottom"/>
          </w:tcPr>
          <w:p>
            <w:pPr>
              <w:spacing w:after="0"/>
              <w:rPr>
                <w:sz w:val="1"/>
                <w:szCs w:val="1"/>
                <w:color w:val="auto"/>
              </w:rPr>
            </w:pPr>
          </w:p>
        </w:tc>
      </w:tr>
      <w:tr>
        <w:trPr>
          <w:trHeight w:val="202"/>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Change in unrealized gain (loss) included in earnings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2,739,070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(799,062)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(5,809,402)</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2,845,299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(20,959)</w:t>
            </w:r>
          </w:p>
        </w:tc>
        <w:tc>
          <w:tcPr>
            <w:tcW w:w="1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(1,045,054)</w:t>
            </w:r>
          </w:p>
        </w:tc>
        <w:tc>
          <w:tcPr>
            <w:tcW w:w="0" w:type="dxa"/>
            <w:vAlign w:val="bottom"/>
          </w:tcPr>
          <w:p>
            <w:pPr>
              <w:spacing w:after="0"/>
              <w:rPr>
                <w:sz w:val="1"/>
                <w:szCs w:val="1"/>
                <w:color w:val="auto"/>
              </w:rPr>
            </w:pPr>
          </w:p>
        </w:tc>
      </w:tr>
      <w:tr>
        <w:trPr>
          <w:trHeight w:val="197"/>
        </w:trPr>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September 30, 2019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123,923,422</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36,871,295</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779,611</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21,235,739</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9,650</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182,819,717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Changes in unrealized gains (losses) included in earnings</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related to investments still held at reporting date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(9,801,476)</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(799,062)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(5,809,402)</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2,845,299</w:t>
            </w:r>
          </w:p>
        </w:tc>
        <w:tc>
          <w:tcPr>
            <w:tcW w:w="1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(20,959)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(13,585,600)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hanging="438"/>
        <w:spacing w:after="0"/>
        <w:tabs>
          <w:tab w:leader="none" w:pos="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Transfers out of Level III represent a transfer of $8.2 million relating to debt securities for which pricing inputs, other than their quoted prices in active markets</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were observable as of September 30, 2019</w:t>
      </w:r>
    </w:p>
    <w:p>
      <w:pPr>
        <w:spacing w:after="0" w:line="7" w:lineRule="exact"/>
        <w:rPr>
          <w:sz w:val="20"/>
          <w:szCs w:val="20"/>
          <w:color w:val="auto"/>
        </w:rPr>
      </w:pPr>
    </w:p>
    <w:p>
      <w:pPr>
        <w:ind w:left="440" w:right="160" w:hanging="438"/>
        <w:spacing w:after="0" w:line="265" w:lineRule="auto"/>
        <w:tabs>
          <w:tab w:leader="none" w:pos="4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Transfers into Level III represent a transfer of $12.5 million relating to debt securities for which pricing inputs, other than their quoted prices in active markets were unobservable as of September 30, 2019.</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5"/>
        </w:trPr>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Year Ended December 31, 2018</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80"/>
              <w:spacing w:after="0" w:line="190" w:lineRule="exact"/>
              <w:rPr>
                <w:sz w:val="20"/>
                <w:szCs w:val="20"/>
                <w:color w:val="auto"/>
              </w:rPr>
            </w:pPr>
            <w:r>
              <w:rPr>
                <w:rFonts w:ascii="Times New Roman" w:cs="Times New Roman" w:eastAsia="Times New Roman" w:hAnsi="Times New Roman"/>
                <w:sz w:val="17"/>
                <w:szCs w:val="17"/>
                <w:b w:val="1"/>
                <w:bCs w:val="1"/>
                <w:color w:val="auto"/>
                <w:w w:val="98"/>
              </w:rPr>
              <w:t>Asset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Debt</w:t>
            </w:r>
          </w:p>
        </w:tc>
        <w:tc>
          <w:tcPr>
            <w:tcW w:w="80" w:type="dxa"/>
            <w:vAlign w:val="bottom"/>
          </w:tcPr>
          <w:p>
            <w:pPr>
              <w:spacing w:after="0"/>
              <w:rPr>
                <w:sz w:val="17"/>
                <w:szCs w:val="17"/>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CLO Fund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Manager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Joint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Affiliate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Venture</w:t>
            </w:r>
          </w:p>
        </w:tc>
        <w:tc>
          <w:tcPr>
            <w:tcW w:w="12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0"/>
        </w:trPr>
        <w:tc>
          <w:tcPr>
            <w:tcW w:w="4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December 31, 2017</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69,885,455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51,678,673</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4,414,684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38,849,000</w:t>
            </w: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21,516,000</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186,343,812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Transfers out of Level III¹</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(230,732)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(230,732)</w:t>
            </w:r>
          </w:p>
        </w:tc>
        <w:tc>
          <w:tcPr>
            <w:tcW w:w="0" w:type="dxa"/>
            <w:vAlign w:val="bottom"/>
          </w:tcPr>
          <w:p>
            <w:pPr>
              <w:spacing w:after="0"/>
              <w:rPr>
                <w:sz w:val="1"/>
                <w:szCs w:val="1"/>
                <w:color w:val="auto"/>
              </w:rPr>
            </w:pPr>
          </w:p>
        </w:tc>
      </w:tr>
      <w:tr>
        <w:trPr>
          <w:trHeight w:val="21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Transfers into Level III²</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16,474,663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16,474,663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Net accretion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5,878,260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6,003,874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38,099,644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12,781,528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50,881,172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Sales/Paydowns/Return of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(11,116,360)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(19,033,322)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(1,093,244)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(34,800,000)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(66,042,926)</w:t>
            </w:r>
          </w:p>
        </w:tc>
        <w:tc>
          <w:tcPr>
            <w:tcW w:w="0" w:type="dxa"/>
            <w:vAlign w:val="bottom"/>
          </w:tcPr>
          <w:p>
            <w:pPr>
              <w:spacing w:after="0"/>
              <w:rPr>
                <w:sz w:val="1"/>
                <w:szCs w:val="1"/>
                <w:color w:val="auto"/>
              </w:rPr>
            </w:pPr>
          </w:p>
        </w:tc>
      </w:tr>
      <w:tr>
        <w:trPr>
          <w:trHeight w:val="21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realized gain included in earnings</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(51,674)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(16,484,872)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(16,536,546)</w:t>
            </w:r>
          </w:p>
        </w:tc>
        <w:tc>
          <w:tcPr>
            <w:tcW w:w="0" w:type="dxa"/>
            <w:vAlign w:val="bottom"/>
          </w:tcPr>
          <w:p>
            <w:pPr>
              <w:spacing w:after="0"/>
              <w:rPr>
                <w:sz w:val="1"/>
                <w:szCs w:val="1"/>
                <w:color w:val="auto"/>
              </w:rPr>
            </w:pPr>
          </w:p>
        </w:tc>
      </w:tr>
      <w:tr>
        <w:trPr>
          <w:trHeight w:val="217"/>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Total unrealized gain (loss) included in earnings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(6,444,939)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9,504,733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(1,283,420)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(579,000)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(3,125,560)</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(1,928,186)</w:t>
            </w:r>
          </w:p>
        </w:tc>
        <w:tc>
          <w:tcPr>
            <w:tcW w:w="0" w:type="dxa"/>
            <w:vAlign w:val="bottom"/>
          </w:tcPr>
          <w:p>
            <w:pPr>
              <w:spacing w:after="0"/>
              <w:rPr>
                <w:sz w:val="1"/>
                <w:szCs w:val="1"/>
                <w:color w:val="auto"/>
              </w:rPr>
            </w:pPr>
          </w:p>
        </w:tc>
      </w:tr>
      <w:tr>
        <w:trPr>
          <w:trHeight w:val="210"/>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December 31, 2018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106,741,671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44,325,000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2,038,020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3,470,000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18,390,440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174,965,131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Changes in unrealized gains (losses) included in earnings</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related to investments still held at reporting date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(5,197,940)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6,631,424</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(1,283,420)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(579,000)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(3,125,560)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(3,554,496)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right="520" w:hanging="438"/>
        <w:spacing w:after="0" w:line="260" w:lineRule="auto"/>
        <w:tabs>
          <w:tab w:leader="none" w:pos="4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Transfers out of Level III represent a transfer of $230 thousand relating to debt securities for which pricing inputs, other than their quoted prices in active markets were observable as of December 31, 2018.</w:t>
      </w:r>
    </w:p>
    <w:p>
      <w:pPr>
        <w:spacing w:after="0" w:line="1" w:lineRule="exact"/>
        <w:rPr>
          <w:sz w:val="20"/>
          <w:szCs w:val="20"/>
          <w:color w:val="auto"/>
        </w:rPr>
      </w:pPr>
    </w:p>
    <w:p>
      <w:pPr>
        <w:ind w:left="440" w:right="160" w:hanging="438"/>
        <w:spacing w:after="0" w:line="265" w:lineRule="auto"/>
        <w:tabs>
          <w:tab w:leader="none" w:pos="4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Transfers into Level III represent a transfer of $16.5 million relating to debt securities for which pricing inputs, other than their quoted prices in active markets were unobservable as of December 31, 2018.</w:t>
      </w:r>
    </w:p>
    <w:p>
      <w:pPr>
        <w:spacing w:after="0" w:line="129" w:lineRule="exact"/>
        <w:rPr>
          <w:sz w:val="20"/>
          <w:szCs w:val="20"/>
          <w:color w:val="auto"/>
        </w:rPr>
      </w:pPr>
    </w:p>
    <w:p>
      <w:pPr>
        <w:ind w:right="300" w:firstLine="440"/>
        <w:spacing w:after="0" w:line="262" w:lineRule="auto"/>
        <w:rPr>
          <w:sz w:val="20"/>
          <w:szCs w:val="20"/>
          <w:color w:val="auto"/>
        </w:rPr>
      </w:pPr>
      <w:r>
        <w:rPr>
          <w:rFonts w:ascii="Times New Roman" w:cs="Times New Roman" w:eastAsia="Times New Roman" w:hAnsi="Times New Roman"/>
          <w:sz w:val="17"/>
          <w:szCs w:val="17"/>
          <w:color w:val="auto"/>
        </w:rPr>
        <w:t>As of September 30, 2019 and December 31, 2018,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$70.4 million and $75.9 million as of September 30, 2019 and December 31, 2018, respectively.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7"/>
          <w:szCs w:val="17"/>
          <w:color w:val="auto"/>
        </w:rPr>
        <w:t>As of September 30, 2019, the Company’s Level III portfolio investments had the following valuation techniques and significant inputs: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08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140" w:type="dxa"/>
            <w:vAlign w:val="bottom"/>
            <w:tcBorders>
              <w:top w:val="single" w:sz="8" w:color="auto"/>
            </w:tcBorders>
            <w:shd w:val="clear" w:color="auto" w:fill="DAEEF3"/>
          </w:tcPr>
          <w:p>
            <w:pPr>
              <w:spacing w:after="0"/>
              <w:rPr>
                <w:sz w:val="18"/>
                <w:szCs w:val="18"/>
                <w:color w:val="auto"/>
              </w:rPr>
            </w:pPr>
          </w:p>
        </w:tc>
        <w:tc>
          <w:tcPr>
            <w:tcW w:w="220" w:type="dxa"/>
            <w:vAlign w:val="bottom"/>
            <w:tcBorders>
              <w:top w:val="single" w:sz="8" w:color="auto"/>
            </w:tcBorders>
            <w:shd w:val="clear" w:color="auto" w:fill="DAEEF3"/>
          </w:tcPr>
          <w:p>
            <w:pPr>
              <w:spacing w:after="0"/>
              <w:rPr>
                <w:sz w:val="18"/>
                <w:szCs w:val="18"/>
                <w:color w:val="auto"/>
              </w:rPr>
            </w:pPr>
          </w:p>
        </w:tc>
        <w:tc>
          <w:tcPr>
            <w:tcW w:w="1420" w:type="dxa"/>
            <w:vAlign w:val="bottom"/>
            <w:tcBorders>
              <w:top w:val="single" w:sz="8" w:color="auto"/>
              <w:right w:val="single" w:sz="8" w:color="auto"/>
            </w:tcBorders>
            <w:shd w:val="clear" w:color="auto" w:fill="DAEEF3"/>
          </w:tcPr>
          <w:p>
            <w:pPr>
              <w:spacing w:after="0"/>
              <w:rPr>
                <w:sz w:val="18"/>
                <w:szCs w:val="18"/>
                <w:color w:val="auto"/>
              </w:rPr>
            </w:pPr>
          </w:p>
        </w:tc>
        <w:tc>
          <w:tcPr>
            <w:tcW w:w="2260" w:type="dxa"/>
            <w:vAlign w:val="bottom"/>
            <w:tcBorders>
              <w:top w:val="single" w:sz="8" w:color="auto"/>
              <w:right w:val="single" w:sz="8" w:color="auto"/>
            </w:tcBorders>
            <w:shd w:val="clear" w:color="auto" w:fill="DAEEF3"/>
          </w:tcPr>
          <w:p>
            <w:pPr>
              <w:ind w:left="500"/>
              <w:spacing w:after="0"/>
              <w:rPr>
                <w:sz w:val="20"/>
                <w:szCs w:val="20"/>
                <w:color w:val="auto"/>
              </w:rPr>
            </w:pPr>
            <w:r>
              <w:rPr>
                <w:rFonts w:ascii="Times New Roman" w:cs="Times New Roman" w:eastAsia="Times New Roman" w:hAnsi="Times New Roman"/>
                <w:sz w:val="17"/>
                <w:szCs w:val="17"/>
                <w:b w:val="1"/>
                <w:bCs w:val="1"/>
                <w:color w:val="auto"/>
              </w:rPr>
              <w:t>Primary Valuation</w:t>
            </w:r>
          </w:p>
        </w:tc>
        <w:tc>
          <w:tcPr>
            <w:tcW w:w="1720" w:type="dxa"/>
            <w:vAlign w:val="bottom"/>
            <w:tcBorders>
              <w:top w:val="single" w:sz="8" w:color="auto"/>
              <w:right w:val="single" w:sz="8" w:color="auto"/>
            </w:tcBorders>
            <w:shd w:val="clear" w:color="auto" w:fill="DAEEF3"/>
          </w:tcPr>
          <w:p>
            <w:pPr>
              <w:ind w:left="380"/>
              <w:spacing w:after="0"/>
              <w:rPr>
                <w:sz w:val="20"/>
                <w:szCs w:val="20"/>
                <w:color w:val="auto"/>
              </w:rPr>
            </w:pPr>
            <w:r>
              <w:rPr>
                <w:rFonts w:ascii="Times New Roman" w:cs="Times New Roman" w:eastAsia="Times New Roman" w:hAnsi="Times New Roman"/>
                <w:sz w:val="17"/>
                <w:szCs w:val="17"/>
                <w:b w:val="1"/>
                <w:bCs w:val="1"/>
                <w:color w:val="auto"/>
              </w:rPr>
              <w:t>Unobservable</w:t>
            </w:r>
          </w:p>
        </w:tc>
        <w:tc>
          <w:tcPr>
            <w:tcW w:w="1680" w:type="dxa"/>
            <w:vAlign w:val="bottom"/>
            <w:tcBorders>
              <w:top w:val="single" w:sz="8" w:color="auto"/>
            </w:tcBorders>
            <w:shd w:val="clear" w:color="auto" w:fill="DAEEF3"/>
          </w:tcPr>
          <w:p>
            <w:pPr>
              <w:ind w:left="640"/>
              <w:spacing w:after="0"/>
              <w:rPr>
                <w:sz w:val="20"/>
                <w:szCs w:val="20"/>
                <w:color w:val="auto"/>
              </w:rPr>
            </w:pPr>
            <w:r>
              <w:rPr>
                <w:rFonts w:ascii="Times New Roman" w:cs="Times New Roman" w:eastAsia="Times New Roman" w:hAnsi="Times New Roman"/>
                <w:sz w:val="17"/>
                <w:szCs w:val="17"/>
                <w:b w:val="1"/>
                <w:bCs w:val="1"/>
                <w:color w:val="auto"/>
                <w:w w:val="98"/>
              </w:rPr>
              <w:t>Range of Inpu</w:t>
            </w:r>
          </w:p>
        </w:tc>
        <w:tc>
          <w:tcPr>
            <w:tcW w:w="0" w:type="dxa"/>
            <w:vAlign w:val="bottom"/>
          </w:tcPr>
          <w:p>
            <w:pPr>
              <w:spacing w:after="0"/>
              <w:rPr>
                <w:sz w:val="1"/>
                <w:szCs w:val="1"/>
                <w:color w:val="auto"/>
              </w:rPr>
            </w:pPr>
          </w:p>
        </w:tc>
      </w:tr>
      <w:tr>
        <w:trPr>
          <w:trHeight w:val="225"/>
        </w:trPr>
        <w:tc>
          <w:tcPr>
            <w:tcW w:w="408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Type</w:t>
            </w:r>
          </w:p>
        </w:tc>
        <w:tc>
          <w:tcPr>
            <w:tcW w:w="140" w:type="dxa"/>
            <w:vAlign w:val="bottom"/>
            <w:tcBorders>
              <w:bottom w:val="single" w:sz="8" w:color="auto"/>
            </w:tcBorders>
            <w:shd w:val="clear" w:color="auto" w:fill="DAEEF3"/>
          </w:tcPr>
          <w:p>
            <w:pPr>
              <w:spacing w:after="0"/>
              <w:rPr>
                <w:sz w:val="19"/>
                <w:szCs w:val="19"/>
                <w:color w:val="auto"/>
              </w:rPr>
            </w:pPr>
          </w:p>
        </w:tc>
        <w:tc>
          <w:tcPr>
            <w:tcW w:w="220" w:type="dxa"/>
            <w:vAlign w:val="bottom"/>
            <w:tcBorders>
              <w:bottom w:val="single" w:sz="8" w:color="auto"/>
            </w:tcBorders>
            <w:shd w:val="clear" w:color="auto" w:fill="DAEEF3"/>
          </w:tcPr>
          <w:p>
            <w:pPr>
              <w:spacing w:after="0"/>
              <w:rPr>
                <w:sz w:val="19"/>
                <w:szCs w:val="19"/>
                <w:color w:val="auto"/>
              </w:rPr>
            </w:pPr>
          </w:p>
        </w:tc>
        <w:tc>
          <w:tcPr>
            <w:tcW w:w="1420" w:type="dxa"/>
            <w:vAlign w:val="bottom"/>
            <w:tcBorders>
              <w:bottom w:val="single" w:sz="8" w:color="auto"/>
              <w:right w:val="single" w:sz="8" w:color="auto"/>
            </w:tcBorders>
            <w:shd w:val="clear" w:color="auto" w:fill="DAEEF3"/>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60" w:type="dxa"/>
            <w:vAlign w:val="bottom"/>
            <w:tcBorders>
              <w:bottom w:val="single" w:sz="8" w:color="auto"/>
              <w:right w:val="single" w:sz="8" w:color="auto"/>
            </w:tcBorders>
            <w:shd w:val="clear" w:color="auto" w:fill="DAEEF3"/>
          </w:tcPr>
          <w:p>
            <w:pPr>
              <w:ind w:left="700"/>
              <w:spacing w:after="0"/>
              <w:rPr>
                <w:sz w:val="20"/>
                <w:szCs w:val="20"/>
                <w:color w:val="auto"/>
              </w:rPr>
            </w:pPr>
            <w:r>
              <w:rPr>
                <w:rFonts w:ascii="Times New Roman" w:cs="Times New Roman" w:eastAsia="Times New Roman" w:hAnsi="Times New Roman"/>
                <w:sz w:val="17"/>
                <w:szCs w:val="17"/>
                <w:b w:val="1"/>
                <w:bCs w:val="1"/>
                <w:color w:val="auto"/>
              </w:rPr>
              <w:t>Methodology</w:t>
            </w:r>
          </w:p>
        </w:tc>
        <w:tc>
          <w:tcPr>
            <w:tcW w:w="1720" w:type="dxa"/>
            <w:vAlign w:val="bottom"/>
            <w:tcBorders>
              <w:bottom w:val="single" w:sz="8" w:color="auto"/>
              <w:right w:val="single" w:sz="8" w:color="auto"/>
            </w:tcBorders>
            <w:shd w:val="clear" w:color="auto" w:fill="DAEEF3"/>
          </w:tcPr>
          <w:p>
            <w:pPr>
              <w:ind w:left="64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1680" w:type="dxa"/>
            <w:vAlign w:val="bottom"/>
            <w:tcBorders>
              <w:bottom w:val="single" w:sz="8" w:color="auto"/>
            </w:tcBorders>
            <w:shd w:val="clear" w:color="auto" w:fill="DAEEF3"/>
          </w:tcPr>
          <w:p>
            <w:pPr>
              <w:ind w:left="520"/>
              <w:spacing w:after="0"/>
              <w:rPr>
                <w:sz w:val="20"/>
                <w:szCs w:val="20"/>
                <w:color w:val="auto"/>
              </w:rPr>
            </w:pPr>
            <w:r>
              <w:rPr>
                <w:rFonts w:ascii="Times New Roman" w:cs="Times New Roman" w:eastAsia="Times New Roman" w:hAnsi="Times New Roman"/>
                <w:sz w:val="17"/>
                <w:szCs w:val="17"/>
                <w:b w:val="1"/>
                <w:bCs w:val="1"/>
                <w:color w:val="auto"/>
                <w:w w:val="98"/>
              </w:rPr>
              <w:t>(Weighted Aver</w:t>
            </w:r>
          </w:p>
        </w:tc>
        <w:tc>
          <w:tcPr>
            <w:tcW w:w="0" w:type="dxa"/>
            <w:vAlign w:val="bottom"/>
          </w:tcPr>
          <w:p>
            <w:pPr>
              <w:spacing w:after="0"/>
              <w:rPr>
                <w:sz w:val="1"/>
                <w:szCs w:val="1"/>
                <w:color w:val="auto"/>
              </w:rPr>
            </w:pPr>
          </w:p>
        </w:tc>
      </w:tr>
      <w:tr>
        <w:trPr>
          <w:trHeight w:val="194"/>
        </w:trPr>
        <w:tc>
          <w:tcPr>
            <w:tcW w:w="40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Debt Securities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7"/>
                <w:szCs w:val="17"/>
                <w:color w:val="auto"/>
              </w:rPr>
              <w:t>Average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80" w:type="dxa"/>
            <w:vAlign w:val="bottom"/>
            <w:tcBorders>
              <w:left w:val="single" w:sz="8" w:color="auto"/>
              <w:right w:val="single" w:sz="8" w:color="auto"/>
            </w:tcBorders>
            <w:vMerge w:val="continue"/>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8,462,273</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Enterprise Value</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EBITDA</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80" w:type="dxa"/>
            <w:vAlign w:val="bottom"/>
            <w:tcBorders>
              <w:left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Multiple</w:t>
            </w:r>
          </w:p>
        </w:tc>
        <w:tc>
          <w:tcPr>
            <w:tcW w:w="1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6.8x-8.0x (7.3x)</w:t>
            </w:r>
          </w:p>
        </w:tc>
        <w:tc>
          <w:tcPr>
            <w:tcW w:w="0" w:type="dxa"/>
            <w:vAlign w:val="bottom"/>
          </w:tcPr>
          <w:p>
            <w:pPr>
              <w:spacing w:after="0"/>
              <w:rPr>
                <w:sz w:val="1"/>
                <w:szCs w:val="1"/>
                <w:color w:val="auto"/>
              </w:rPr>
            </w:pPr>
          </w:p>
        </w:tc>
      </w:tr>
      <w:tr>
        <w:trPr>
          <w:trHeight w:val="194"/>
        </w:trPr>
        <w:tc>
          <w:tcPr>
            <w:tcW w:w="408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115,461,149</w:t>
            </w:r>
          </w:p>
        </w:tc>
        <w:tc>
          <w:tcPr>
            <w:tcW w:w="22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Income Approach</w:t>
            </w:r>
          </w:p>
        </w:tc>
        <w:tc>
          <w:tcPr>
            <w:tcW w:w="172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7"/>
                <w:szCs w:val="17"/>
                <w:color w:val="auto"/>
              </w:rPr>
              <w:t>Implied</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80" w:type="dxa"/>
            <w:vAlign w:val="bottom"/>
            <w:tcBorders>
              <w:left w:val="single" w:sz="8" w:color="auto"/>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Discount Rate</w:t>
            </w:r>
          </w:p>
        </w:tc>
        <w:tc>
          <w:tcPr>
            <w:tcW w:w="1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w w:val="98"/>
              </w:rPr>
              <w:t>5.4% – 23.7% (10.3)%</w:t>
            </w:r>
          </w:p>
        </w:tc>
        <w:tc>
          <w:tcPr>
            <w:tcW w:w="0" w:type="dxa"/>
            <w:vAlign w:val="bottom"/>
          </w:tcPr>
          <w:p>
            <w:pPr>
              <w:spacing w:after="0"/>
              <w:rPr>
                <w:sz w:val="1"/>
                <w:szCs w:val="1"/>
                <w:color w:val="auto"/>
              </w:rPr>
            </w:pPr>
          </w:p>
        </w:tc>
      </w:tr>
      <w:tr>
        <w:trPr>
          <w:trHeight w:val="102"/>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vMerge w:val="continue"/>
          </w:tcPr>
          <w:p>
            <w:pPr>
              <w:spacing w:after="0"/>
              <w:rPr>
                <w:sz w:val="8"/>
                <w:szCs w:val="8"/>
                <w:color w:val="auto"/>
              </w:rPr>
            </w:pPr>
          </w:p>
        </w:tc>
        <w:tc>
          <w:tcPr>
            <w:tcW w:w="16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8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7"/>
                <w:szCs w:val="17"/>
                <w:color w:val="auto"/>
              </w:rPr>
              <w:t>Average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Equity Securities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774,611</w:t>
            </w:r>
          </w:p>
        </w:tc>
        <w:tc>
          <w:tcPr>
            <w:tcW w:w="22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Enterprise Value</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EBITDA</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4080" w:type="dxa"/>
            <w:vAlign w:val="bottom"/>
            <w:tcBorders>
              <w:left w:val="single" w:sz="8" w:color="auto"/>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Multiple /</w:t>
            </w: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80" w:type="dxa"/>
            <w:vAlign w:val="bottom"/>
            <w:tcBorders>
              <w:left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080" w:type="dxa"/>
            <w:vAlign w:val="bottom"/>
            <w:tcBorders>
              <w:left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WACC</w:t>
            </w:r>
          </w:p>
        </w:tc>
        <w:tc>
          <w:tcPr>
            <w:tcW w:w="1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98"/>
              </w:rPr>
              <w:t>3.2x – 10.0x (8.7x) 13.</w:t>
            </w:r>
          </w:p>
        </w:tc>
        <w:tc>
          <w:tcPr>
            <w:tcW w:w="0" w:type="dxa"/>
            <w:vAlign w:val="bottom"/>
          </w:tcPr>
          <w:p>
            <w:pPr>
              <w:spacing w:after="0"/>
              <w:rPr>
                <w:sz w:val="1"/>
                <w:szCs w:val="1"/>
                <w:color w:val="auto"/>
              </w:rPr>
            </w:pPr>
          </w:p>
        </w:tc>
      </w:tr>
      <w:tr>
        <w:trPr>
          <w:trHeight w:val="193"/>
        </w:trPr>
        <w:tc>
          <w:tcPr>
            <w:tcW w:w="408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5,000</w:t>
            </w:r>
          </w:p>
        </w:tc>
        <w:tc>
          <w:tcPr>
            <w:tcW w:w="22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Options Value</w:t>
            </w:r>
          </w:p>
        </w:tc>
        <w:tc>
          <w:tcPr>
            <w:tcW w:w="172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7"/>
                <w:szCs w:val="17"/>
                <w:color w:val="auto"/>
              </w:rPr>
              <w:t>Qualitative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80" w:type="dxa"/>
            <w:vAlign w:val="bottom"/>
            <w:tcBorders>
              <w:left w:val="single" w:sz="8" w:color="auto"/>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Inputs</w:t>
            </w:r>
            <w:r>
              <w:rPr>
                <w:rFonts w:ascii="Times New Roman" w:cs="Times New Roman" w:eastAsia="Times New Roman" w:hAnsi="Times New Roman"/>
                <w:sz w:val="14"/>
                <w:szCs w:val="14"/>
                <w:color w:val="auto"/>
              </w:rPr>
              <w:t>(1)</w:t>
            </w: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vMerge w:val="continue"/>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08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Discount Rate</w:t>
            </w:r>
          </w:p>
        </w:tc>
        <w:tc>
          <w:tcPr>
            <w:tcW w:w="1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13.4%-13.9% (13.5%)</w:t>
            </w:r>
          </w:p>
        </w:tc>
        <w:tc>
          <w:tcPr>
            <w:tcW w:w="0" w:type="dxa"/>
            <w:vAlign w:val="bottom"/>
          </w:tcPr>
          <w:p>
            <w:pPr>
              <w:spacing w:after="0"/>
              <w:rPr>
                <w:sz w:val="1"/>
                <w:szCs w:val="1"/>
                <w:color w:val="auto"/>
              </w:rPr>
            </w:pPr>
          </w:p>
        </w:tc>
      </w:tr>
      <w:tr>
        <w:trPr>
          <w:trHeight w:val="194"/>
        </w:trPr>
        <w:tc>
          <w:tcPr>
            <w:tcW w:w="408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7"/>
                <w:szCs w:val="17"/>
                <w:color w:val="auto"/>
              </w:rPr>
              <w:t>Probability of</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80" w:type="dxa"/>
            <w:vAlign w:val="bottom"/>
            <w:tcBorders>
              <w:left w:val="single" w:sz="8" w:color="auto"/>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Default</w:t>
            </w:r>
          </w:p>
        </w:tc>
        <w:tc>
          <w:tcPr>
            <w:tcW w:w="1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1%-2% (1.5%)</w:t>
            </w:r>
          </w:p>
        </w:tc>
        <w:tc>
          <w:tcPr>
            <w:tcW w:w="0" w:type="dxa"/>
            <w:vAlign w:val="bottom"/>
          </w:tcPr>
          <w:p>
            <w:pPr>
              <w:spacing w:after="0"/>
              <w:rPr>
                <w:sz w:val="1"/>
                <w:szCs w:val="1"/>
                <w:color w:val="auto"/>
              </w:rPr>
            </w:pPr>
          </w:p>
        </w:tc>
      </w:tr>
      <w:tr>
        <w:trPr>
          <w:trHeight w:val="210"/>
        </w:trPr>
        <w:tc>
          <w:tcPr>
            <w:tcW w:w="408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36,383,787</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Discounted Cash Flow</w:t>
            </w:r>
          </w:p>
        </w:tc>
        <w:tc>
          <w:tcPr>
            <w:tcW w:w="1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Loss Severity</w:t>
            </w:r>
          </w:p>
        </w:tc>
        <w:tc>
          <w:tcPr>
            <w:tcW w:w="1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20.0%-36.5% (28.3%)</w:t>
            </w:r>
          </w:p>
        </w:tc>
        <w:tc>
          <w:tcPr>
            <w:tcW w:w="0" w:type="dxa"/>
            <w:vAlign w:val="bottom"/>
          </w:tcPr>
          <w:p>
            <w:pPr>
              <w:spacing w:after="0"/>
              <w:rPr>
                <w:sz w:val="1"/>
                <w:szCs w:val="1"/>
                <w:color w:val="auto"/>
              </w:rPr>
            </w:pPr>
          </w:p>
        </w:tc>
      </w:tr>
      <w:tr>
        <w:trPr>
          <w:trHeight w:val="210"/>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CLO Fund Securities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Recovery Rate</w:t>
            </w:r>
          </w:p>
        </w:tc>
        <w:tc>
          <w:tcPr>
            <w:tcW w:w="1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63.5%-80.0% (71.2%)</w:t>
            </w:r>
          </w:p>
        </w:tc>
        <w:tc>
          <w:tcPr>
            <w:tcW w:w="0" w:type="dxa"/>
            <w:vAlign w:val="bottom"/>
          </w:tcPr>
          <w:p>
            <w:pPr>
              <w:spacing w:after="0"/>
              <w:rPr>
                <w:sz w:val="1"/>
                <w:szCs w:val="1"/>
                <w:color w:val="auto"/>
              </w:rPr>
            </w:pPr>
          </w:p>
        </w:tc>
      </w:tr>
      <w:tr>
        <w:trPr>
          <w:trHeight w:val="194"/>
        </w:trPr>
        <w:tc>
          <w:tcPr>
            <w:tcW w:w="408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7"/>
                <w:szCs w:val="17"/>
                <w:color w:val="auto"/>
              </w:rPr>
              <w:t>Prepayment</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80" w:type="dxa"/>
            <w:vAlign w:val="bottom"/>
            <w:tcBorders>
              <w:left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Rate</w:t>
            </w:r>
          </w:p>
        </w:tc>
        <w:tc>
          <w:tcPr>
            <w:tcW w:w="1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15.0%-25.0% (15.0%)</w:t>
            </w:r>
          </w:p>
        </w:tc>
        <w:tc>
          <w:tcPr>
            <w:tcW w:w="0" w:type="dxa"/>
            <w:vAlign w:val="bottom"/>
          </w:tcPr>
          <w:p>
            <w:pPr>
              <w:spacing w:after="0"/>
              <w:rPr>
                <w:sz w:val="1"/>
                <w:szCs w:val="1"/>
                <w:color w:val="auto"/>
              </w:rPr>
            </w:pPr>
          </w:p>
        </w:tc>
      </w:tr>
      <w:tr>
        <w:trPr>
          <w:trHeight w:val="193"/>
        </w:trPr>
        <w:tc>
          <w:tcPr>
            <w:tcW w:w="408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487,508</w:t>
            </w:r>
          </w:p>
        </w:tc>
        <w:tc>
          <w:tcPr>
            <w:tcW w:w="22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Liquidation Value</w:t>
            </w:r>
          </w:p>
        </w:tc>
        <w:tc>
          <w:tcPr>
            <w:tcW w:w="172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7"/>
                <w:szCs w:val="17"/>
                <w:color w:val="auto"/>
              </w:rPr>
              <w:t>Qualitative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80" w:type="dxa"/>
            <w:vAlign w:val="bottom"/>
            <w:tcBorders>
              <w:left w:val="single" w:sz="8" w:color="auto"/>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Inputs</w:t>
            </w:r>
            <w:r>
              <w:rPr>
                <w:rFonts w:ascii="Times New Roman" w:cs="Times New Roman" w:eastAsia="Times New Roman" w:hAnsi="Times New Roman"/>
                <w:sz w:val="14"/>
                <w:szCs w:val="14"/>
                <w:color w:val="auto"/>
              </w:rPr>
              <w:t>(2)</w:t>
            </w: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vMerge w:val="continue"/>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Joint Ventures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7"/>
                <w:szCs w:val="17"/>
                <w:color w:val="auto"/>
              </w:rPr>
              <w:t>Underlying</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80" w:type="dxa"/>
            <w:vAlign w:val="bottom"/>
            <w:tcBorders>
              <w:left w:val="single" w:sz="8" w:color="auto"/>
              <w:right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21,235,739</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Enterprise Value</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NAV of the</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80" w:type="dxa"/>
            <w:vAlign w:val="bottom"/>
            <w:tcBorders>
              <w:left w:val="single" w:sz="8" w:color="auto"/>
              <w:bottom w:val="single" w:sz="8" w:color="auto"/>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CLO</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Derivatives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ind w:left="60"/>
              <w:spacing w:after="0" w:line="194" w:lineRule="exact"/>
              <w:rPr>
                <w:sz w:val="20"/>
                <w:szCs w:val="20"/>
                <w:color w:val="auto"/>
              </w:rPr>
            </w:pPr>
            <w:r>
              <w:rPr>
                <w:rFonts w:ascii="Times New Roman" w:cs="Times New Roman" w:eastAsia="Times New Roman" w:hAnsi="Times New Roman"/>
                <w:sz w:val="17"/>
                <w:szCs w:val="17"/>
                <w:color w:val="auto"/>
              </w:rPr>
              <w:t>Transacted</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80" w:type="dxa"/>
            <w:vAlign w:val="bottom"/>
            <w:tcBorders>
              <w:left w:val="single" w:sz="8" w:color="auto"/>
              <w:right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9,650</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Market Approach</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Value/Contractual</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80" w:type="dxa"/>
            <w:vAlign w:val="bottom"/>
            <w:tcBorders>
              <w:left w:val="single" w:sz="8" w:color="auto"/>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Financing Rate</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Total Level III Investments</w:t>
            </w:r>
          </w:p>
        </w:tc>
        <w:tc>
          <w:tcPr>
            <w:tcW w:w="3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182,819,717</w:t>
            </w:r>
          </w:p>
        </w:tc>
        <w:tc>
          <w:tcPr>
            <w:tcW w:w="2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hanging="438"/>
        <w:spacing w:after="0"/>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qualitative inputs used in the fair value measurements of Equity Securities include estimates of the distressed liquidation value of the pledged collateral. In</w:t>
      </w:r>
    </w:p>
    <w:p>
      <w:pPr>
        <w:spacing w:after="0" w:line="26" w:lineRule="exact"/>
        <w:rPr>
          <w:sz w:val="20"/>
          <w:szCs w:val="20"/>
          <w:color w:val="auto"/>
        </w:rPr>
      </w:pPr>
    </w:p>
    <w:p>
      <w:pPr>
        <w:ind w:left="440" w:right="680"/>
        <w:spacing w:after="0" w:line="250" w:lineRule="auto"/>
        <w:rPr>
          <w:sz w:val="20"/>
          <w:szCs w:val="20"/>
          <w:color w:val="auto"/>
        </w:rPr>
      </w:pPr>
      <w:r>
        <w:rPr>
          <w:rFonts w:ascii="Times New Roman" w:cs="Times New Roman" w:eastAsia="Times New Roman" w:hAnsi="Times New Roman"/>
          <w:sz w:val="17"/>
          <w:szCs w:val="17"/>
          <w:color w:val="auto"/>
        </w:rPr>
        <w:t>cases where Portman Ridge’s analysis ascribes no residual value to a portfolio company’s equity, Portman Ridge typically elects to mark its position at a nominal amount to account for the investment’s option value.</w:t>
      </w:r>
    </w:p>
    <w:p>
      <w:pPr>
        <w:ind w:left="5620" w:right="4160" w:hanging="5618"/>
        <w:spacing w:after="0" w:line="516" w:lineRule="auto"/>
        <w:tabs>
          <w:tab w:leader="none" w:pos="4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qualitative inputs used in the fair value measurements include the value of the pledged collateral.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-90170</wp:posOffset>
            </wp:positionV>
            <wp:extent cx="729551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520"/>
          </w:cols>
          <w:pgMar w:left="240" w:top="289" w:right="13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7"/>
          <w:szCs w:val="17"/>
          <w:color w:val="auto"/>
        </w:rPr>
        <w:t>As of December 31, 2018, the Company’s Level III portfolio investments had the following valuation techniques and significant inputs: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14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360" w:type="dxa"/>
            <w:vAlign w:val="bottom"/>
            <w:tcBorders>
              <w:top w:val="single" w:sz="8" w:color="auto"/>
            </w:tcBorders>
            <w:shd w:val="clear" w:color="auto" w:fill="DAEEF3"/>
          </w:tcPr>
          <w:p>
            <w:pPr>
              <w:spacing w:after="0"/>
              <w:rPr>
                <w:sz w:val="18"/>
                <w:szCs w:val="18"/>
                <w:color w:val="auto"/>
              </w:rPr>
            </w:pPr>
          </w:p>
        </w:tc>
        <w:tc>
          <w:tcPr>
            <w:tcW w:w="1440" w:type="dxa"/>
            <w:vAlign w:val="bottom"/>
            <w:tcBorders>
              <w:top w:val="single" w:sz="8" w:color="auto"/>
              <w:right w:val="single" w:sz="8" w:color="auto"/>
            </w:tcBorders>
            <w:shd w:val="clear" w:color="auto" w:fill="DAEEF3"/>
          </w:tcPr>
          <w:p>
            <w:pPr>
              <w:spacing w:after="0"/>
              <w:rPr>
                <w:sz w:val="18"/>
                <w:szCs w:val="18"/>
                <w:color w:val="auto"/>
              </w:rPr>
            </w:pPr>
          </w:p>
        </w:tc>
        <w:tc>
          <w:tcPr>
            <w:tcW w:w="1840" w:type="dxa"/>
            <w:vAlign w:val="bottom"/>
            <w:tcBorders>
              <w:top w:val="single" w:sz="8" w:color="auto"/>
              <w:right w:val="single" w:sz="8" w:color="auto"/>
            </w:tcBorders>
            <w:shd w:val="clear" w:color="auto" w:fill="DAEEF3"/>
          </w:tcPr>
          <w:p>
            <w:pPr>
              <w:ind w:left="280"/>
              <w:spacing w:after="0"/>
              <w:rPr>
                <w:sz w:val="20"/>
                <w:szCs w:val="20"/>
                <w:color w:val="auto"/>
              </w:rPr>
            </w:pPr>
            <w:r>
              <w:rPr>
                <w:rFonts w:ascii="Times New Roman" w:cs="Times New Roman" w:eastAsia="Times New Roman" w:hAnsi="Times New Roman"/>
                <w:sz w:val="17"/>
                <w:szCs w:val="17"/>
                <w:b w:val="1"/>
                <w:bCs w:val="1"/>
                <w:color w:val="auto"/>
              </w:rPr>
              <w:t>Primary Valuation</w:t>
            </w:r>
          </w:p>
        </w:tc>
        <w:tc>
          <w:tcPr>
            <w:tcW w:w="1820" w:type="dxa"/>
            <w:vAlign w:val="bottom"/>
            <w:tcBorders>
              <w:top w:val="single" w:sz="8" w:color="auto"/>
              <w:right w:val="single" w:sz="8" w:color="auto"/>
            </w:tcBorders>
            <w:shd w:val="clear" w:color="auto" w:fill="DAEEF3"/>
          </w:tcPr>
          <w:p>
            <w:pPr>
              <w:ind w:left="460"/>
              <w:spacing w:after="0"/>
              <w:rPr>
                <w:sz w:val="20"/>
                <w:szCs w:val="20"/>
                <w:color w:val="auto"/>
              </w:rPr>
            </w:pPr>
            <w:r>
              <w:rPr>
                <w:rFonts w:ascii="Times New Roman" w:cs="Times New Roman" w:eastAsia="Times New Roman" w:hAnsi="Times New Roman"/>
                <w:sz w:val="17"/>
                <w:szCs w:val="17"/>
                <w:b w:val="1"/>
                <w:bCs w:val="1"/>
                <w:color w:val="auto"/>
              </w:rPr>
              <w:t>Unobservable</w:t>
            </w:r>
          </w:p>
        </w:tc>
        <w:tc>
          <w:tcPr>
            <w:tcW w:w="1840" w:type="dxa"/>
            <w:vAlign w:val="bottom"/>
            <w:tcBorders>
              <w:top w:val="single" w:sz="8" w:color="auto"/>
              <w:right w:val="single" w:sz="8" w:color="auto"/>
            </w:tcBorders>
            <w:shd w:val="clear" w:color="auto" w:fill="DAEEF3"/>
          </w:tcPr>
          <w:p>
            <w:pPr>
              <w:ind w:left="320"/>
              <w:spacing w:after="0"/>
              <w:rPr>
                <w:sz w:val="20"/>
                <w:szCs w:val="20"/>
                <w:color w:val="auto"/>
              </w:rPr>
            </w:pPr>
            <w:r>
              <w:rPr>
                <w:rFonts w:ascii="Times New Roman" w:cs="Times New Roman" w:eastAsia="Times New Roman" w:hAnsi="Times New Roman"/>
                <w:sz w:val="17"/>
                <w:szCs w:val="17"/>
                <w:b w:val="1"/>
                <w:bCs w:val="1"/>
                <w:color w:val="auto"/>
              </w:rPr>
              <w:t>Range of Inputs</w:t>
            </w:r>
          </w:p>
        </w:tc>
        <w:tc>
          <w:tcPr>
            <w:tcW w:w="0" w:type="dxa"/>
            <w:vAlign w:val="bottom"/>
          </w:tcPr>
          <w:p>
            <w:pPr>
              <w:spacing w:after="0"/>
              <w:rPr>
                <w:sz w:val="1"/>
                <w:szCs w:val="1"/>
                <w:color w:val="auto"/>
              </w:rPr>
            </w:pPr>
          </w:p>
        </w:tc>
      </w:tr>
      <w:tr>
        <w:trPr>
          <w:trHeight w:val="225"/>
        </w:trPr>
        <w:tc>
          <w:tcPr>
            <w:tcW w:w="414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360" w:type="dxa"/>
            <w:vAlign w:val="bottom"/>
            <w:tcBorders>
              <w:bottom w:val="single" w:sz="8" w:color="auto"/>
            </w:tcBorders>
            <w:shd w:val="clear" w:color="auto" w:fill="DAEEF3"/>
          </w:tcPr>
          <w:p>
            <w:pPr>
              <w:spacing w:after="0"/>
              <w:rPr>
                <w:sz w:val="19"/>
                <w:szCs w:val="19"/>
                <w:color w:val="auto"/>
              </w:rPr>
            </w:pPr>
          </w:p>
        </w:tc>
        <w:tc>
          <w:tcPr>
            <w:tcW w:w="1440" w:type="dxa"/>
            <w:vAlign w:val="bottom"/>
            <w:tcBorders>
              <w:bottom w:val="single" w:sz="8" w:color="auto"/>
              <w:right w:val="single" w:sz="8" w:color="auto"/>
            </w:tcBorders>
            <w:shd w:val="clear" w:color="auto" w:fill="DAEEF3"/>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840" w:type="dxa"/>
            <w:vAlign w:val="bottom"/>
            <w:tcBorders>
              <w:bottom w:val="single" w:sz="8" w:color="auto"/>
              <w:right w:val="single" w:sz="8" w:color="auto"/>
            </w:tcBorders>
            <w:shd w:val="clear" w:color="auto" w:fill="DAEEF3"/>
          </w:tcPr>
          <w:p>
            <w:pPr>
              <w:ind w:left="480"/>
              <w:spacing w:after="0"/>
              <w:rPr>
                <w:sz w:val="20"/>
                <w:szCs w:val="20"/>
                <w:color w:val="auto"/>
              </w:rPr>
            </w:pPr>
            <w:r>
              <w:rPr>
                <w:rFonts w:ascii="Times New Roman" w:cs="Times New Roman" w:eastAsia="Times New Roman" w:hAnsi="Times New Roman"/>
                <w:sz w:val="17"/>
                <w:szCs w:val="17"/>
                <w:b w:val="1"/>
                <w:bCs w:val="1"/>
                <w:color w:val="auto"/>
              </w:rPr>
              <w:t>Methodology</w:t>
            </w:r>
          </w:p>
        </w:tc>
        <w:tc>
          <w:tcPr>
            <w:tcW w:w="1820" w:type="dxa"/>
            <w:vAlign w:val="bottom"/>
            <w:tcBorders>
              <w:bottom w:val="single" w:sz="8" w:color="auto"/>
              <w:right w:val="single" w:sz="8" w:color="auto"/>
            </w:tcBorders>
            <w:shd w:val="clear" w:color="auto" w:fill="DAEEF3"/>
          </w:tcPr>
          <w:p>
            <w:pPr>
              <w:ind w:left="72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1840" w:type="dxa"/>
            <w:vAlign w:val="bottom"/>
            <w:tcBorders>
              <w:bottom w:val="single" w:sz="8" w:color="auto"/>
              <w:right w:val="single" w:sz="8" w:color="auto"/>
            </w:tcBorders>
            <w:shd w:val="clear" w:color="auto" w:fill="DAEEF3"/>
          </w:tcPr>
          <w:p>
            <w:pPr>
              <w:ind w:left="180"/>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0" w:type="dxa"/>
            <w:vAlign w:val="bottom"/>
          </w:tcPr>
          <w:p>
            <w:pPr>
              <w:spacing w:after="0"/>
              <w:rPr>
                <w:sz w:val="1"/>
                <w:szCs w:val="1"/>
                <w:color w:val="auto"/>
              </w:rPr>
            </w:pPr>
          </w:p>
        </w:tc>
      </w:tr>
      <w:tr>
        <w:trPr>
          <w:trHeight w:val="194"/>
        </w:trPr>
        <w:tc>
          <w:tcPr>
            <w:tcW w:w="4140" w:type="dxa"/>
            <w:vAlign w:val="bottom"/>
            <w:tcBorders>
              <w:left w:val="single" w:sz="8" w:color="auto"/>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rPr>
              <w:t>Average</w:t>
            </w:r>
          </w:p>
        </w:tc>
        <w:tc>
          <w:tcPr>
            <w:tcW w:w="18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5.0x – 8.0x (5.2x)</w:t>
            </w:r>
          </w:p>
        </w:tc>
        <w:tc>
          <w:tcPr>
            <w:tcW w:w="0" w:type="dxa"/>
            <w:vAlign w:val="bottom"/>
          </w:tcPr>
          <w:p>
            <w:pPr>
              <w:spacing w:after="0"/>
              <w:rPr>
                <w:sz w:val="1"/>
                <w:szCs w:val="1"/>
                <w:color w:val="auto"/>
              </w:rPr>
            </w:pPr>
          </w:p>
        </w:tc>
      </w:tr>
      <w:tr>
        <w:trPr>
          <w:trHeight w:val="120"/>
        </w:trPr>
        <w:tc>
          <w:tcPr>
            <w:tcW w:w="4140" w:type="dxa"/>
            <w:vAlign w:val="bottom"/>
            <w:tcBorders>
              <w:left w:val="single" w:sz="8" w:color="auto"/>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EBITDA</w:t>
            </w: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140" w:type="dxa"/>
            <w:vAlign w:val="bottom"/>
            <w:tcBorders>
              <w:left w:val="single" w:sz="8" w:color="auto"/>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1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Debt Securities</w:t>
            </w:r>
          </w:p>
        </w:tc>
        <w:tc>
          <w:tcPr>
            <w:tcW w:w="36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8,661,114</w:t>
            </w:r>
          </w:p>
        </w:tc>
        <w:tc>
          <w:tcPr>
            <w:tcW w:w="18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Enterprise Value</w:t>
            </w:r>
          </w:p>
        </w:tc>
        <w:tc>
          <w:tcPr>
            <w:tcW w:w="1820" w:type="dxa"/>
            <w:vAlign w:val="bottom"/>
            <w:tcBorders>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rPr>
              <w:t>Multiple /</w:t>
            </w:r>
          </w:p>
        </w:tc>
        <w:tc>
          <w:tcPr>
            <w:tcW w:w="18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120"/>
        </w:trPr>
        <w:tc>
          <w:tcPr>
            <w:tcW w:w="4140" w:type="dxa"/>
            <w:vAlign w:val="bottom"/>
            <w:tcBorders>
              <w:left w:val="single" w:sz="8" w:color="auto"/>
              <w:right w:val="single" w:sz="8" w:color="auto"/>
            </w:tcBorders>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WACC</w:t>
            </w: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140" w:type="dxa"/>
            <w:vAlign w:val="bottom"/>
            <w:tcBorders>
              <w:left w:val="single" w:sz="8" w:color="auto"/>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140" w:type="dxa"/>
            <w:vAlign w:val="bottom"/>
            <w:tcBorders>
              <w:left w:val="single" w:sz="8" w:color="auto"/>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98,080,557</w:t>
            </w:r>
          </w:p>
        </w:tc>
        <w:tc>
          <w:tcPr>
            <w:tcW w:w="18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Income Approach</w:t>
            </w:r>
          </w:p>
        </w:tc>
        <w:tc>
          <w:tcPr>
            <w:tcW w:w="1820" w:type="dxa"/>
            <w:vAlign w:val="bottom"/>
            <w:tcBorders>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rPr>
              <w:t>Implied</w:t>
            </w:r>
          </w:p>
        </w:tc>
        <w:tc>
          <w:tcPr>
            <w:tcW w:w="18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6.3% - 26.8% (11.8%)</w:t>
            </w:r>
          </w:p>
        </w:tc>
        <w:tc>
          <w:tcPr>
            <w:tcW w:w="0" w:type="dxa"/>
            <w:vAlign w:val="bottom"/>
          </w:tcPr>
          <w:p>
            <w:pPr>
              <w:spacing w:after="0"/>
              <w:rPr>
                <w:sz w:val="1"/>
                <w:szCs w:val="1"/>
                <w:color w:val="auto"/>
              </w:rPr>
            </w:pPr>
          </w:p>
        </w:tc>
      </w:tr>
      <w:tr>
        <w:trPr>
          <w:trHeight w:val="120"/>
        </w:trPr>
        <w:tc>
          <w:tcPr>
            <w:tcW w:w="4140" w:type="dxa"/>
            <w:vAlign w:val="bottom"/>
            <w:tcBorders>
              <w:left w:val="single" w:sz="8" w:color="auto"/>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Discount Rate</w:t>
            </w: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140" w:type="dxa"/>
            <w:vAlign w:val="bottom"/>
            <w:tcBorders>
              <w:left w:val="single" w:sz="8" w:color="auto"/>
              <w:bottom w:val="single" w:sz="8" w:color="auto"/>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1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Equity Securities</w:t>
            </w:r>
          </w:p>
        </w:tc>
        <w:tc>
          <w:tcPr>
            <w:tcW w:w="36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rPr>
              <w:t>Average</w:t>
            </w:r>
          </w:p>
        </w:tc>
        <w:tc>
          <w:tcPr>
            <w:tcW w:w="1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40" w:type="dxa"/>
            <w:vAlign w:val="bottom"/>
            <w:tcBorders>
              <w:left w:val="single" w:sz="8" w:color="auto"/>
              <w:right w:val="single" w:sz="8" w:color="auto"/>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1,979,020</w:t>
            </w: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Enterprise Value</w:t>
            </w:r>
          </w:p>
        </w:tc>
        <w:tc>
          <w:tcPr>
            <w:tcW w:w="1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EBITDA</w:t>
            </w: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4.5x – 11.0x (9.5x)</w:t>
            </w:r>
          </w:p>
        </w:tc>
        <w:tc>
          <w:tcPr>
            <w:tcW w:w="0" w:type="dxa"/>
            <w:vAlign w:val="bottom"/>
          </w:tcPr>
          <w:p>
            <w:pPr>
              <w:spacing w:after="0"/>
              <w:rPr>
                <w:sz w:val="1"/>
                <w:szCs w:val="1"/>
                <w:color w:val="auto"/>
              </w:rPr>
            </w:pPr>
          </w:p>
        </w:tc>
      </w:tr>
      <w:tr>
        <w:trPr>
          <w:trHeight w:val="221"/>
        </w:trPr>
        <w:tc>
          <w:tcPr>
            <w:tcW w:w="4140" w:type="dxa"/>
            <w:vAlign w:val="bottom"/>
            <w:tcBorders>
              <w:left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Multiple</w:t>
            </w:r>
          </w:p>
        </w:tc>
        <w:tc>
          <w:tcPr>
            <w:tcW w:w="1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140" w:type="dxa"/>
            <w:vAlign w:val="bottom"/>
            <w:tcBorders>
              <w:left w:val="single" w:sz="8" w:color="auto"/>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59,000</w:t>
            </w:r>
          </w:p>
        </w:tc>
        <w:tc>
          <w:tcPr>
            <w:tcW w:w="18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Options Value</w:t>
            </w:r>
          </w:p>
        </w:tc>
        <w:tc>
          <w:tcPr>
            <w:tcW w:w="1820" w:type="dxa"/>
            <w:vAlign w:val="bottom"/>
            <w:tcBorders>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rPr>
              <w:t>Qualitative</w:t>
            </w:r>
          </w:p>
        </w:tc>
        <w:tc>
          <w:tcPr>
            <w:tcW w:w="1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140" w:type="dxa"/>
            <w:vAlign w:val="bottom"/>
            <w:tcBorders>
              <w:left w:val="single" w:sz="8" w:color="auto"/>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Borders>
              <w:right w:val="single" w:sz="8" w:color="auto"/>
            </w:tcBorders>
            <w:vMerge w:val="continue"/>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18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Inputs</w:t>
            </w:r>
            <w:r>
              <w:rPr>
                <w:rFonts w:ascii="Times New Roman" w:cs="Times New Roman" w:eastAsia="Times New Roman" w:hAnsi="Times New Roman"/>
                <w:sz w:val="14"/>
                <w:szCs w:val="14"/>
                <w:color w:val="auto"/>
              </w:rPr>
              <w:t>(1)</w:t>
            </w: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140" w:type="dxa"/>
            <w:vAlign w:val="bottom"/>
            <w:tcBorders>
              <w:left w:val="single" w:sz="8" w:color="auto"/>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1820" w:type="dxa"/>
            <w:vAlign w:val="bottom"/>
            <w:tcBorders>
              <w:right w:val="single" w:sz="8" w:color="auto"/>
            </w:tcBorders>
            <w:vMerge w:val="continue"/>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140" w:type="dxa"/>
            <w:vAlign w:val="bottom"/>
            <w:tcBorders>
              <w:left w:val="single" w:sz="8" w:color="auto"/>
              <w:bottom w:val="single" w:sz="8" w:color="auto"/>
              <w:right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Discount Rate</w:t>
            </w: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13.5%-14.0% (13.9%)</w:t>
            </w:r>
          </w:p>
        </w:tc>
        <w:tc>
          <w:tcPr>
            <w:tcW w:w="0" w:type="dxa"/>
            <w:vAlign w:val="bottom"/>
          </w:tcPr>
          <w:p>
            <w:pPr>
              <w:spacing w:after="0"/>
              <w:rPr>
                <w:sz w:val="1"/>
                <w:szCs w:val="1"/>
                <w:color w:val="auto"/>
              </w:rPr>
            </w:pPr>
          </w:p>
        </w:tc>
      </w:tr>
      <w:tr>
        <w:trPr>
          <w:trHeight w:val="194"/>
        </w:trPr>
        <w:tc>
          <w:tcPr>
            <w:tcW w:w="4140" w:type="dxa"/>
            <w:vAlign w:val="bottom"/>
            <w:tcBorders>
              <w:left w:val="single" w:sz="8" w:color="auto"/>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rPr>
              <w:t>Probability of</w:t>
            </w:r>
          </w:p>
        </w:tc>
        <w:tc>
          <w:tcPr>
            <w:tcW w:w="18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0.75%-2% (1.4%)</w:t>
            </w:r>
          </w:p>
        </w:tc>
        <w:tc>
          <w:tcPr>
            <w:tcW w:w="0" w:type="dxa"/>
            <w:vAlign w:val="bottom"/>
          </w:tcPr>
          <w:p>
            <w:pPr>
              <w:spacing w:after="0"/>
              <w:rPr>
                <w:sz w:val="1"/>
                <w:szCs w:val="1"/>
                <w:color w:val="auto"/>
              </w:rPr>
            </w:pPr>
          </w:p>
        </w:tc>
      </w:tr>
      <w:tr>
        <w:trPr>
          <w:trHeight w:val="120"/>
        </w:trPr>
        <w:tc>
          <w:tcPr>
            <w:tcW w:w="4140" w:type="dxa"/>
            <w:vAlign w:val="bottom"/>
            <w:tcBorders>
              <w:left w:val="single" w:sz="8" w:color="auto"/>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Default</w:t>
            </w: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140" w:type="dxa"/>
            <w:vAlign w:val="bottom"/>
            <w:tcBorders>
              <w:left w:val="single" w:sz="8" w:color="auto"/>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35,455,720</w:t>
            </w: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Discounted Cash Flow</w:t>
            </w: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Loss Severity</w:t>
            </w: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20%-36 % (28.3%)</w:t>
            </w: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CLO Fund Securities</w:t>
            </w:r>
          </w:p>
        </w:tc>
        <w:tc>
          <w:tcPr>
            <w:tcW w:w="3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Recovery Rate</w:t>
            </w: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63.5%-80% (71.7%)</w:t>
            </w:r>
          </w:p>
        </w:tc>
        <w:tc>
          <w:tcPr>
            <w:tcW w:w="0" w:type="dxa"/>
            <w:vAlign w:val="bottom"/>
          </w:tcPr>
          <w:p>
            <w:pPr>
              <w:spacing w:after="0"/>
              <w:rPr>
                <w:sz w:val="1"/>
                <w:szCs w:val="1"/>
                <w:color w:val="auto"/>
              </w:rPr>
            </w:pPr>
          </w:p>
        </w:tc>
      </w:tr>
      <w:tr>
        <w:trPr>
          <w:trHeight w:val="194"/>
        </w:trPr>
        <w:tc>
          <w:tcPr>
            <w:tcW w:w="4140" w:type="dxa"/>
            <w:vAlign w:val="bottom"/>
            <w:tcBorders>
              <w:left w:val="single" w:sz="8" w:color="auto"/>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rPr>
              <w:t>Prepayment</w:t>
            </w:r>
          </w:p>
        </w:tc>
        <w:tc>
          <w:tcPr>
            <w:tcW w:w="18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10%-20% (15%)</w:t>
            </w:r>
          </w:p>
        </w:tc>
        <w:tc>
          <w:tcPr>
            <w:tcW w:w="0" w:type="dxa"/>
            <w:vAlign w:val="bottom"/>
          </w:tcPr>
          <w:p>
            <w:pPr>
              <w:spacing w:after="0"/>
              <w:rPr>
                <w:sz w:val="1"/>
                <w:szCs w:val="1"/>
                <w:color w:val="auto"/>
              </w:rPr>
            </w:pPr>
          </w:p>
        </w:tc>
      </w:tr>
      <w:tr>
        <w:trPr>
          <w:trHeight w:val="120"/>
        </w:trPr>
        <w:tc>
          <w:tcPr>
            <w:tcW w:w="4140" w:type="dxa"/>
            <w:vAlign w:val="bottom"/>
            <w:tcBorders>
              <w:left w:val="single" w:sz="8" w:color="auto"/>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Rate</w:t>
            </w: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140" w:type="dxa"/>
            <w:vAlign w:val="bottom"/>
            <w:tcBorders>
              <w:left w:val="single" w:sz="8" w:color="auto"/>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140" w:type="dxa"/>
            <w:vAlign w:val="bottom"/>
            <w:tcBorders>
              <w:left w:val="single" w:sz="8" w:color="auto"/>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369,280</w:t>
            </w:r>
          </w:p>
        </w:tc>
        <w:tc>
          <w:tcPr>
            <w:tcW w:w="18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Liquidation Value</w:t>
            </w:r>
          </w:p>
        </w:tc>
        <w:tc>
          <w:tcPr>
            <w:tcW w:w="1820" w:type="dxa"/>
            <w:vAlign w:val="bottom"/>
            <w:tcBorders>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rPr>
              <w:t>Qualitative</w:t>
            </w:r>
          </w:p>
        </w:tc>
        <w:tc>
          <w:tcPr>
            <w:tcW w:w="1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140" w:type="dxa"/>
            <w:vAlign w:val="bottom"/>
            <w:tcBorders>
              <w:left w:val="single" w:sz="8" w:color="auto"/>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Inputs</w:t>
            </w:r>
            <w:r>
              <w:rPr>
                <w:rFonts w:ascii="Times New Roman" w:cs="Times New Roman" w:eastAsia="Times New Roman" w:hAnsi="Times New Roman"/>
                <w:sz w:val="14"/>
                <w:szCs w:val="14"/>
                <w:color w:val="auto"/>
              </w:rPr>
              <w:t>(2)</w:t>
            </w: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140" w:type="dxa"/>
            <w:vAlign w:val="bottom"/>
            <w:tcBorders>
              <w:left w:val="single" w:sz="8" w:color="auto"/>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140" w:type="dxa"/>
            <w:vAlign w:val="bottom"/>
            <w:tcBorders>
              <w:left w:val="single" w:sz="8" w:color="auto"/>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8,500,000</w:t>
            </w:r>
          </w:p>
        </w:tc>
        <w:tc>
          <w:tcPr>
            <w:tcW w:w="18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Market Approach</w:t>
            </w:r>
          </w:p>
        </w:tc>
        <w:tc>
          <w:tcPr>
            <w:tcW w:w="1820" w:type="dxa"/>
            <w:vAlign w:val="bottom"/>
            <w:tcBorders>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rPr>
              <w:t>Third Party</w:t>
            </w:r>
          </w:p>
        </w:tc>
        <w:tc>
          <w:tcPr>
            <w:tcW w:w="18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120"/>
        </w:trPr>
        <w:tc>
          <w:tcPr>
            <w:tcW w:w="4140" w:type="dxa"/>
            <w:vAlign w:val="bottom"/>
            <w:tcBorders>
              <w:left w:val="single" w:sz="8" w:color="auto"/>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Quote</w:t>
            </w: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140" w:type="dxa"/>
            <w:vAlign w:val="bottom"/>
            <w:tcBorders>
              <w:left w:val="single" w:sz="8" w:color="auto"/>
              <w:bottom w:val="single" w:sz="8" w:color="auto"/>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Asset Manager Affiliate</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3,470,000</w:t>
            </w: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Discounted Cash Flow</w:t>
            </w: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Discount Rate</w:t>
            </w: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4.0% - 10.0% (7.77%)</w:t>
            </w:r>
          </w:p>
        </w:tc>
        <w:tc>
          <w:tcPr>
            <w:tcW w:w="0" w:type="dxa"/>
            <w:vAlign w:val="bottom"/>
          </w:tcPr>
          <w:p>
            <w:pPr>
              <w:spacing w:after="0"/>
              <w:rPr>
                <w:sz w:val="1"/>
                <w:szCs w:val="1"/>
                <w:color w:val="auto"/>
              </w:rPr>
            </w:pPr>
          </w:p>
        </w:tc>
      </w:tr>
      <w:tr>
        <w:trPr>
          <w:trHeight w:val="194"/>
        </w:trPr>
        <w:tc>
          <w:tcPr>
            <w:tcW w:w="41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Joint Ventures</w:t>
            </w:r>
          </w:p>
        </w:tc>
        <w:tc>
          <w:tcPr>
            <w:tcW w:w="36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7"/>
                <w:szCs w:val="17"/>
                <w:color w:val="auto"/>
              </w:rPr>
              <w:t>Underlying</w:t>
            </w:r>
          </w:p>
        </w:tc>
        <w:tc>
          <w:tcPr>
            <w:tcW w:w="1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40" w:type="dxa"/>
            <w:vAlign w:val="bottom"/>
            <w:tcBorders>
              <w:left w:val="single" w:sz="8" w:color="auto"/>
              <w:right w:val="single" w:sz="8" w:color="auto"/>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18,390,440</w:t>
            </w: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Enterprise Value</w:t>
            </w:r>
          </w:p>
        </w:tc>
        <w:tc>
          <w:tcPr>
            <w:tcW w:w="1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NAV of the</w:t>
            </w:r>
          </w:p>
        </w:tc>
        <w:tc>
          <w:tcPr>
            <w:tcW w:w="1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40" w:type="dxa"/>
            <w:vAlign w:val="bottom"/>
            <w:tcBorders>
              <w:left w:val="single" w:sz="8" w:color="auto"/>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CLO</w:t>
            </w:r>
          </w:p>
        </w:tc>
        <w:tc>
          <w:tcPr>
            <w:tcW w:w="1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Total Level III Investments</w:t>
            </w:r>
          </w:p>
        </w:tc>
        <w:tc>
          <w:tcPr>
            <w:tcW w:w="3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174,965,131</w:t>
            </w: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right="120" w:hanging="438"/>
        <w:spacing w:after="0" w:line="257" w:lineRule="auto"/>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 its position at a nominal amount to account for the investment’s option value.</w:t>
      </w:r>
    </w:p>
    <w:p>
      <w:pPr>
        <w:spacing w:after="0" w:line="1" w:lineRule="exact"/>
        <w:rPr>
          <w:sz w:val="20"/>
          <w:szCs w:val="20"/>
          <w:color w:val="auto"/>
        </w:rPr>
      </w:pPr>
    </w:p>
    <w:p>
      <w:pPr>
        <w:ind w:left="440" w:hanging="438"/>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qualitative inputs used in the fair value measurements include the value of the pledged collateral.</w:t>
      </w:r>
    </w:p>
    <w:p>
      <w:pPr>
        <w:spacing w:after="0" w:line="173"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128" w:lineRule="exact"/>
        <w:rPr>
          <w:sz w:val="20"/>
          <w:szCs w:val="20"/>
          <w:color w:val="auto"/>
        </w:rPr>
      </w:pPr>
    </w:p>
    <w:p>
      <w:pPr>
        <w:jc w:val="both"/>
        <w:ind w:right="40" w:firstLine="440"/>
        <w:spacing w:after="0" w:line="267"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49" w:name="page50"/>
    <w:bookmarkEnd w:id="49"/>
    <w:p>
      <w:pPr>
        <w:ind w:firstLine="440"/>
        <w:spacing w:after="0" w:line="254" w:lineRule="auto"/>
        <w:rPr>
          <w:sz w:val="20"/>
          <w:szCs w:val="20"/>
          <w:color w:val="auto"/>
        </w:rPr>
      </w:pPr>
      <w:r>
        <w:rPr>
          <w:rFonts w:ascii="Times New Roman" w:cs="Times New Roman" w:eastAsia="Times New Roman" w:hAnsi="Times New Roman"/>
          <w:sz w:val="17"/>
          <w:szCs w:val="17"/>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57"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 respectively.</w:t>
      </w:r>
    </w:p>
    <w:p>
      <w:pPr>
        <w:spacing w:after="0" w:line="138" w:lineRule="exact"/>
        <w:rPr>
          <w:sz w:val="20"/>
          <w:szCs w:val="20"/>
          <w:color w:val="auto"/>
        </w:rPr>
      </w:pPr>
    </w:p>
    <w:p>
      <w:pPr>
        <w:ind w:right="200" w:firstLine="440"/>
        <w:spacing w:after="0" w:line="283" w:lineRule="auto"/>
        <w:rPr>
          <w:sz w:val="20"/>
          <w:szCs w:val="20"/>
          <w:color w:val="auto"/>
        </w:rPr>
      </w:pPr>
      <w:r>
        <w:rPr>
          <w:rFonts w:ascii="Times New Roman" w:cs="Times New Roman" w:eastAsia="Times New Roman" w:hAnsi="Times New Roman"/>
          <w:sz w:val="17"/>
          <w:szCs w:val="17"/>
          <w:color w:val="auto"/>
        </w:rPr>
        <w:t>The Company’s investment in the Joint Venture- KCAP Freedom 3 LLC is carried at fair value based upon the fair value of the investments held by the Joint Venture.</w:t>
      </w:r>
    </w:p>
    <w:p>
      <w:pPr>
        <w:spacing w:after="0" w:line="115" w:lineRule="exact"/>
        <w:rPr>
          <w:sz w:val="20"/>
          <w:szCs w:val="20"/>
          <w:color w:val="auto"/>
        </w:rPr>
      </w:pPr>
    </w:p>
    <w:p>
      <w:pPr>
        <w:ind w:right="60" w:firstLine="440"/>
        <w:spacing w:after="0" w:line="283" w:lineRule="auto"/>
        <w:rPr>
          <w:sz w:val="20"/>
          <w:szCs w:val="20"/>
          <w:color w:val="auto"/>
        </w:rPr>
      </w:pPr>
      <w:r>
        <w:rPr>
          <w:rFonts w:ascii="Times New Roman" w:cs="Times New Roman" w:eastAsia="Times New Roman" w:hAnsi="Times New Roman"/>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149" w:lineRule="exact"/>
        <w:rPr>
          <w:sz w:val="20"/>
          <w:szCs w:val="20"/>
          <w:color w:val="auto"/>
        </w:rPr>
      </w:pPr>
    </w:p>
    <w:p>
      <w:pPr>
        <w:ind w:left="440" w:hanging="438"/>
        <w:spacing w:after="0"/>
        <w:tabs>
          <w:tab w:leader="none" w:pos="44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ASSET MANAGER AFFILIATES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Wholly-Owned Asset Managers</w:t>
      </w:r>
    </w:p>
    <w:p>
      <w:pPr>
        <w:spacing w:after="0" w:line="218"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7"/>
          <w:szCs w:val="17"/>
          <w:color w:val="auto"/>
        </w:rPr>
        <w:t>On December 31, 2018, the Company’s wholly-owned subsidiary Commodore Holdings, LLC (“Commodore”) sold its wholly-owned asset management subsidiaries Katonah Debt Advisors, Trimaran Advisors and Trimaran Advisors Management, representing substantially all of the Company’s investment in the Asset Manager Affiliates. Commodore received cash proceeds of $37.9 million from the sale and distributed $33.8 million in cash to the Company. All of this cash distribution was recorded as a return of capital. No realized gain or loss was recognized due to this transaction.</w:t>
      </w:r>
    </w:p>
    <w:p>
      <w:pPr>
        <w:spacing w:after="0" w:line="170"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7"/>
          <w:szCs w:val="17"/>
          <w:color w:val="auto"/>
        </w:rPr>
        <w:t>The Asset Manager Affiliates manage CLO Funds primarily for third party investors that invest primarily in broadly syndicated loans, high yield bonds and other credit instruments issued by corporations. At September 30, 2019 and December 31, 2018, the Asset Manager Affiliates had approximately $300 million and $300 million of par value of assets under management, respectively, and the Company’s 100% equity interest in the Asset Manager Affiliates had a fair value of approximately $0 and $3.5 million, respectively.</w:t>
      </w:r>
    </w:p>
    <w:p>
      <w:pPr>
        <w:spacing w:after="0" w:line="170"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7"/>
          <w:szCs w:val="17"/>
          <w:color w:val="auto"/>
        </w:rPr>
        <w:t>Certain investments, and the future management fees of certain managed CLO Funds, had been pledged by the Asset Manager Affiliates to third-party lenders under borrowing arrangements undertaken to satisfy the risk retention requirements of the Dodd-Frank Act then applicable to asset managers. In addition, certain of the Asset Manager Affiliates had provided a make-whole guaranty to these lenders in the event that the pledged assets and management fees were insufficient to satisfy the repayment of these borrowings. These borrowing arrangements were all satisfied prior to the sale of the Asset Manager Affiliates.</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40"/>
          </w:cols>
          <w:pgMar w:left="240" w:top="289" w:right="319" w:bottom="1440" w:gutter="0" w:footer="0" w:header="0"/>
        </w:sectPr>
      </w:pPr>
    </w:p>
    <w:bookmarkStart w:id="50" w:name="page51"/>
    <w:bookmarkEnd w:id="50"/>
    <w:p>
      <w:pPr>
        <w:ind w:right="120" w:firstLine="440"/>
        <w:spacing w:after="0" w:line="255" w:lineRule="auto"/>
        <w:rPr>
          <w:sz w:val="20"/>
          <w:szCs w:val="20"/>
          <w:color w:val="auto"/>
        </w:rPr>
      </w:pPr>
      <w:r>
        <w:rPr>
          <w:rFonts w:ascii="Times New Roman" w:cs="Times New Roman" w:eastAsia="Times New Roman" w:hAnsi="Times New Roman"/>
          <w:sz w:val="17"/>
          <w:szCs w:val="17"/>
          <w:color w:val="auto"/>
        </w:rPr>
        <w:t>No distributions were declared during the three and nine months ended September 30, 2019. For three and nine months ended September 30, 2018, the Asset Manager Affiliates declared cash distributions of $300,000 and $1.9 million to the Company. Any distributions from the Asset Manager Affiliates out of their estimated tax-basis earnings and profits are recorded as “Dividends from Asset Manager Affiliates” on the Company’s statement of operations. The Company recognized $300,000 and $920,000 of Dividends from Asset Manager Affiliates, as reflected in the Company’s statement of operations in the for the three and nine months ended September 30, 2018, respectively. The difference between cash distributions received and the tax-basis earnings and profits of the distributing affiliate are recorded as an adjustment to the cost basis in the Asset Manager Affiliate (i.e., tax-basis return of capital). For the nine months ended September 30, 2018 the difference of $1.0 million, between cash distributions received and the tax-basis earnings and profits of the distributing affiliate, were recorded as an adjustment to the cost basis in the Asset Manager Affiliate (i.e. tax-basis return of capital). Distributions receivable, if any, are reflected in the “due from affiliates” account on the consolidated balance sheets.</w:t>
      </w:r>
    </w:p>
    <w:p>
      <w:pPr>
        <w:spacing w:after="0" w:line="177" w:lineRule="exact"/>
        <w:rPr>
          <w:sz w:val="20"/>
          <w:szCs w:val="20"/>
          <w:color w:val="auto"/>
        </w:rPr>
      </w:pPr>
    </w:p>
    <w:p>
      <w:pPr>
        <w:ind w:right="180" w:firstLine="440"/>
        <w:spacing w:after="0" w:line="267" w:lineRule="auto"/>
        <w:rPr>
          <w:sz w:val="20"/>
          <w:szCs w:val="20"/>
          <w:color w:val="auto"/>
        </w:rPr>
      </w:pPr>
      <w:r>
        <w:rPr>
          <w:rFonts w:ascii="Times New Roman" w:cs="Times New Roman" w:eastAsia="Times New Roman" w:hAnsi="Times New Roman"/>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166" w:lineRule="exact"/>
        <w:rPr>
          <w:sz w:val="20"/>
          <w:szCs w:val="20"/>
          <w:color w:val="auto"/>
        </w:rPr>
      </w:pPr>
    </w:p>
    <w:p>
      <w:pPr>
        <w:ind w:right="360" w:firstLine="440"/>
        <w:spacing w:after="0" w:line="283" w:lineRule="auto"/>
        <w:rPr>
          <w:sz w:val="20"/>
          <w:szCs w:val="20"/>
          <w:color w:val="auto"/>
        </w:rPr>
      </w:pPr>
      <w:r>
        <w:rPr>
          <w:rFonts w:ascii="Times New Roman" w:cs="Times New Roman" w:eastAsia="Times New Roman" w:hAnsi="Times New Roman"/>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153" w:lineRule="exact"/>
        <w:rPr>
          <w:sz w:val="20"/>
          <w:szCs w:val="20"/>
          <w:color w:val="auto"/>
        </w:rPr>
      </w:pPr>
    </w:p>
    <w:p>
      <w:pPr>
        <w:ind w:right="220" w:firstLine="440"/>
        <w:spacing w:after="0" w:line="267" w:lineRule="auto"/>
        <w:rPr>
          <w:sz w:val="20"/>
          <w:szCs w:val="20"/>
          <w:color w:val="auto"/>
        </w:rPr>
      </w:pPr>
      <w:r>
        <w:rPr>
          <w:rFonts w:ascii="Times New Roman" w:cs="Times New Roman" w:eastAsia="Times New Roman" w:hAnsi="Times New Roman"/>
          <w:sz w:val="17"/>
          <w:szCs w:val="17"/>
          <w:color w:val="auto"/>
        </w:rPr>
        <w:t>In accordance with Rules 3-09, Rule 4-08(g) and 1-02 of Regulation S-X, additional financial information with respect to the Asset Manager Affiliates is required to be included in the Company’s SEC filings. The additional information regarding the Asset Manager Affiliates is set forth below. This additional financial information regarding the Asset Manager Affiliates does not directly impact the financial position, results of operations, or cash flows of the Company.</w:t>
      </w:r>
    </w:p>
    <w:p>
      <w:pPr>
        <w:spacing w:after="0" w:line="16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Asset Manager Affiliates</w:t>
      </w:r>
    </w:p>
    <w:p>
      <w:pPr>
        <w:spacing w:after="0" w:line="3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Summarized Balance Sheet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8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September 30, 2019</w:t>
            </w:r>
          </w:p>
        </w:tc>
        <w:tc>
          <w:tcPr>
            <w:tcW w:w="8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December 31, 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w:t>
            </w:r>
          </w:p>
        </w:tc>
        <w:tc>
          <w:tcPr>
            <w:tcW w:w="4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725,129</w:t>
            </w: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1,335,004</w:t>
            </w: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4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11,305</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129,880</w:t>
            </w:r>
          </w:p>
        </w:tc>
        <w:tc>
          <w:tcPr>
            <w:tcW w:w="10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4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736,434</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1,464,884</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43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Borders>
              <w:bottom w:val="single" w:sz="8" w:color="CFF0FC"/>
            </w:tcBorders>
            <w:vMerge w:val="continue"/>
          </w:tcPr>
          <w:p>
            <w:pPr>
              <w:spacing w:after="0"/>
              <w:rPr>
                <w:sz w:val="17"/>
                <w:szCs w:val="17"/>
                <w:color w:val="auto"/>
              </w:rPr>
            </w:pPr>
          </w:p>
        </w:tc>
        <w:tc>
          <w:tcPr>
            <w:tcW w:w="416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427,788</w:t>
            </w:r>
          </w:p>
        </w:tc>
        <w:tc>
          <w:tcPr>
            <w:tcW w:w="28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995,270</w:t>
            </w:r>
          </w:p>
        </w:tc>
        <w:tc>
          <w:tcPr>
            <w:tcW w:w="100" w:type="dxa"/>
            <w:vAlign w:val="bottom"/>
            <w:tcBorders>
              <w:bottom w:val="single" w:sz="8" w:color="CFF0FC"/>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41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427,788</w:t>
            </w:r>
          </w:p>
        </w:tc>
        <w:tc>
          <w:tcPr>
            <w:tcW w:w="2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995,270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Total Equity</w:t>
            </w:r>
          </w:p>
        </w:tc>
        <w:tc>
          <w:tcPr>
            <w:tcW w:w="4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308,646</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469,614</w:t>
            </w:r>
          </w:p>
        </w:tc>
        <w:tc>
          <w:tcPr>
            <w:tcW w:w="10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4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736,434</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1,464,884</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vMerge w:val="restart"/>
          </w:tcPr>
          <w:p>
            <w:pPr>
              <w:jc w:val="right"/>
              <w:ind w:right="2015"/>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37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74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7"/>
          <w:szCs w:val="17"/>
          <w:b w:val="1"/>
          <w:bCs w:val="1"/>
          <w:color w:val="auto"/>
        </w:rPr>
        <w:t>Asset Manager Affiliates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Summarized Statements of Operations Information (unaudited)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6"/>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r>
      <w:tr>
        <w:trPr>
          <w:trHeight w:val="225"/>
        </w:trPr>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6"/>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0"/>
        </w:trPr>
        <w:tc>
          <w:tcPr>
            <w:tcW w:w="58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6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2018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4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Fee Revenue</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2,712,405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8,662,932</w:t>
            </w:r>
          </w:p>
        </w:tc>
        <w:tc>
          <w:tcPr>
            <w:tcW w:w="100" w:type="dxa"/>
            <w:vAlign w:val="bottom"/>
            <w:shd w:val="clear" w:color="auto" w:fill="CFF0FC"/>
          </w:tcPr>
          <w:p>
            <w:pPr>
              <w:spacing w:after="0"/>
              <w:rPr>
                <w:sz w:val="18"/>
                <w:szCs w:val="18"/>
                <w:color w:val="auto"/>
              </w:rPr>
            </w:pPr>
          </w:p>
        </w:tc>
      </w:tr>
      <w:tr>
        <w:trPr>
          <w:trHeight w:val="217"/>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645,795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2,914,386</w:t>
            </w:r>
          </w:p>
        </w:tc>
        <w:tc>
          <w:tcPr>
            <w:tcW w:w="100" w:type="dxa"/>
            <w:vAlign w:val="bottom"/>
          </w:tcPr>
          <w:p>
            <w:pPr>
              <w:spacing w:after="0"/>
              <w:rPr>
                <w:sz w:val="18"/>
                <w:szCs w:val="18"/>
                <w:color w:val="auto"/>
              </w:rPr>
            </w:pPr>
          </w:p>
        </w:tc>
      </w:tr>
      <w:tr>
        <w:trPr>
          <w:trHeight w:val="210"/>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Income</w:t>
            </w: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3,358,200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11,577,318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1,941,795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161,355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7,287,001</w:t>
            </w:r>
          </w:p>
        </w:tc>
        <w:tc>
          <w:tcPr>
            <w:tcW w:w="100" w:type="dxa"/>
            <w:vAlign w:val="bottom"/>
          </w:tcPr>
          <w:p>
            <w:pPr>
              <w:spacing w:after="0"/>
              <w:rPr>
                <w:sz w:val="18"/>
                <w:szCs w:val="18"/>
                <w:color w:val="auto"/>
              </w:rPr>
            </w:pPr>
          </w:p>
        </w:tc>
      </w:tr>
      <w:tr>
        <w:trPr>
          <w:trHeight w:val="217"/>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935,654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3,648,760</w:t>
            </w:r>
          </w:p>
        </w:tc>
        <w:tc>
          <w:tcPr>
            <w:tcW w:w="100" w:type="dxa"/>
            <w:vAlign w:val="bottom"/>
            <w:shd w:val="clear" w:color="auto" w:fill="CFF0FC"/>
          </w:tcPr>
          <w:p>
            <w:pPr>
              <w:spacing w:after="0"/>
              <w:rPr>
                <w:sz w:val="18"/>
                <w:szCs w:val="18"/>
                <w:color w:val="auto"/>
              </w:rPr>
            </w:pPr>
          </w:p>
        </w:tc>
      </w:tr>
      <w:tr>
        <w:trPr>
          <w:trHeight w:val="210"/>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Total Expenses</w:t>
            </w: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120,875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2,877,449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161,355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10,935,761</w:t>
            </w:r>
          </w:p>
        </w:tc>
        <w:tc>
          <w:tcPr>
            <w:tcW w:w="100" w:type="dxa"/>
            <w:vAlign w:val="bottom"/>
            <w:tcBorders>
              <w:bottom w:val="single" w:sz="8" w:color="CFF0FC"/>
            </w:tcBorders>
          </w:tcPr>
          <w:p>
            <w:pPr>
              <w:spacing w:after="0"/>
              <w:rPr>
                <w:sz w:val="18"/>
                <w:szCs w:val="18"/>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before unrealized gains on investments and income taxes</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(120,875)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480,751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(161,355)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641,557</w:t>
            </w:r>
          </w:p>
        </w:tc>
        <w:tc>
          <w:tcPr>
            <w:tcW w:w="100" w:type="dxa"/>
            <w:vAlign w:val="bottom"/>
            <w:shd w:val="clear" w:color="auto" w:fill="CFF0FC"/>
          </w:tcPr>
          <w:p>
            <w:pPr>
              <w:spacing w:after="0"/>
              <w:rPr>
                <w:sz w:val="18"/>
                <w:szCs w:val="18"/>
                <w:color w:val="auto"/>
              </w:rPr>
            </w:pPr>
          </w:p>
        </w:tc>
      </w:tr>
      <w:tr>
        <w:trPr>
          <w:trHeight w:val="217"/>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Unrealized gains on investments</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410,888</w:t>
            </w:r>
          </w:p>
        </w:tc>
        <w:tc>
          <w:tcPr>
            <w:tcW w:w="100" w:type="dxa"/>
            <w:vAlign w:val="bottom"/>
          </w:tcPr>
          <w:p>
            <w:pPr>
              <w:spacing w:after="0"/>
              <w:rPr>
                <w:sz w:val="18"/>
                <w:szCs w:val="18"/>
                <w:color w:val="auto"/>
              </w:rPr>
            </w:pPr>
          </w:p>
        </w:tc>
      </w:tr>
      <w:tr>
        <w:trPr>
          <w:trHeight w:val="210"/>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(120,875)</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688,178</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(161,355)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1,052,445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(161,584)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(490,150)</w:t>
            </w:r>
          </w:p>
        </w:tc>
        <w:tc>
          <w:tcPr>
            <w:tcW w:w="100" w:type="dxa"/>
            <w:vAlign w:val="bottom"/>
            <w:tcBorders>
              <w:bottom w:val="single" w:sz="8" w:color="CFF0FC"/>
            </w:tcBorders>
          </w:tcPr>
          <w:p>
            <w:pPr>
              <w:spacing w:after="0"/>
              <w:rPr>
                <w:sz w:val="18"/>
                <w:szCs w:val="18"/>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(120,875)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849,762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(161,355)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1,542,595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7"/>
          <w:szCs w:val="17"/>
          <w:color w:val="auto"/>
        </w:rPr>
        <w:t>Except for KCAP Management, LLC, which is a disregarded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180"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7"/>
          <w:szCs w:val="17"/>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GAAP purposes, such exchange was considered an asset purchase under Section 351(a) of the Code. At the time of the transfer, Katonah Debt Advisors had equity of approximately $1 million resulting in tax goodwill of approximately $32 million which was being amortized for tax purposes on a straight-line basis over 15 years.</w:t>
      </w:r>
    </w:p>
    <w:p>
      <w:pPr>
        <w:spacing w:after="0" w:line="173"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7"/>
          <w:szCs w:val="17"/>
          <w:color w:val="auto"/>
        </w:rPr>
        <w:t>Additional goodwill amortization for tax purposes was created upon the purchase of 100% of the equity interests in Trimaran Advisors by one of the Company’s affiliates, in exchange for shares of the Company’s stock valued at $25.5 million and cash of $13.0 million. The transaction was considered an asset purchase under Section 351(a) of the Code and resulted in tax goodwill of approximately $22.8 million, and tax basis intangible assets of $15.7 million, both of which were being amortized for tax purposes on a straight-line basis over 15 years.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2" w:name="page53"/>
    <w:bookmarkEnd w:id="52"/>
    <w:p>
      <w:pPr>
        <w:ind w:left="440" w:hanging="438"/>
        <w:spacing w:after="0"/>
        <w:tabs>
          <w:tab w:leader="none" w:pos="44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Advisory Agreement</w:t>
      </w:r>
    </w:p>
    <w:p>
      <w:pPr>
        <w:spacing w:after="0" w:line="181" w:lineRule="exact"/>
        <w:rPr>
          <w:sz w:val="20"/>
          <w:szCs w:val="20"/>
          <w:color w:val="auto"/>
        </w:rPr>
      </w:pPr>
    </w:p>
    <w:p>
      <w:pPr>
        <w:ind w:right="120" w:firstLine="440"/>
        <w:spacing w:after="0" w:line="283" w:lineRule="auto"/>
        <w:rPr>
          <w:sz w:val="20"/>
          <w:szCs w:val="20"/>
          <w:color w:val="auto"/>
        </w:rPr>
      </w:pPr>
      <w:r>
        <w:rPr>
          <w:rFonts w:ascii="Times New Roman" w:cs="Times New Roman" w:eastAsia="Times New Roman" w:hAnsi="Times New Roman"/>
          <w:sz w:val="17"/>
          <w:szCs w:val="17"/>
          <w:color w:val="auto"/>
        </w:rPr>
        <w:t>The Adviser provides management services to the Company pursuant to the Advisory Agreement. Under the terms of the Advisory Agreement, the Adviser is responsible for the following:</w:t>
      </w:r>
    </w:p>
    <w:p>
      <w:pPr>
        <w:spacing w:after="0" w:line="127" w:lineRule="exact"/>
        <w:rPr>
          <w:sz w:val="20"/>
          <w:szCs w:val="20"/>
          <w:color w:val="auto"/>
        </w:rPr>
      </w:pPr>
    </w:p>
    <w:p>
      <w:pPr>
        <w:ind w:left="880" w:hanging="443"/>
        <w:spacing w:after="0"/>
        <w:tabs>
          <w:tab w:leader="none" w:pos="8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the Company’s assets in accordance with our investment objective, policies and restrictions;</w:t>
      </w:r>
    </w:p>
    <w:p>
      <w:pPr>
        <w:spacing w:after="0" w:line="175" w:lineRule="exact"/>
        <w:rPr>
          <w:rFonts w:ascii="Times New Roman" w:cs="Times New Roman" w:eastAsia="Times New Roman" w:hAnsi="Times New Roman"/>
          <w:sz w:val="17"/>
          <w:szCs w:val="17"/>
          <w:color w:val="auto"/>
        </w:rPr>
      </w:pPr>
    </w:p>
    <w:p>
      <w:pPr>
        <w:ind w:left="880" w:right="360" w:hanging="443"/>
        <w:spacing w:after="0" w:line="283" w:lineRule="auto"/>
        <w:tabs>
          <w:tab w:leader="none" w:pos="8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the composition of the Company’s portfolio, the nature and timing of the changes to the portfolio and the manner of implementing such changes;</w:t>
      </w:r>
    </w:p>
    <w:p>
      <w:pPr>
        <w:spacing w:after="0" w:line="114"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evaluating and negotiating the structure of the Company’s investments;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Company’s investments;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the securities and other assets that the Company will purchase, retain or sell;</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with its valuation of the Company’s assets;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directing investment professionals of the Adviser to provide managerial assistance to the Company’s portfolio companies;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performing due diligence on prospective portfolio companies;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voting rights in respect of portfolio securities and other investments for the Company;</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on, and exercising observer rights for, boards of directors and similar committees of our portfolio companies; and</w:t>
      </w:r>
    </w:p>
    <w:p>
      <w:pPr>
        <w:spacing w:after="0" w:line="175" w:lineRule="exact"/>
        <w:rPr>
          <w:rFonts w:ascii="Times New Roman" w:cs="Times New Roman" w:eastAsia="Times New Roman" w:hAnsi="Times New Roman"/>
          <w:sz w:val="17"/>
          <w:szCs w:val="17"/>
          <w:color w:val="auto"/>
        </w:rPr>
      </w:pPr>
    </w:p>
    <w:p>
      <w:pPr>
        <w:ind w:left="880" w:right="420" w:hanging="443"/>
        <w:spacing w:after="0" w:line="283" w:lineRule="auto"/>
        <w:tabs>
          <w:tab w:leader="none" w:pos="8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the Company with such other investment advisory, research and related services as we may, from time to time, reasonably require for the investment of capital.</w:t>
      </w:r>
    </w:p>
    <w:p>
      <w:pPr>
        <w:spacing w:after="0" w:line="115" w:lineRule="exact"/>
        <w:rPr>
          <w:sz w:val="20"/>
          <w:szCs w:val="20"/>
          <w:color w:val="auto"/>
        </w:rPr>
      </w:pPr>
    </w:p>
    <w:p>
      <w:pPr>
        <w:ind w:firstLine="440"/>
        <w:spacing w:after="0" w:line="283" w:lineRule="auto"/>
        <w:rPr>
          <w:sz w:val="20"/>
          <w:szCs w:val="20"/>
          <w:color w:val="auto"/>
        </w:rPr>
      </w:pPr>
      <w:r>
        <w:rPr>
          <w:rFonts w:ascii="Times New Roman" w:cs="Times New Roman" w:eastAsia="Times New Roman" w:hAnsi="Times New Roman"/>
          <w:sz w:val="17"/>
          <w:szCs w:val="17"/>
          <w:color w:val="auto"/>
        </w:rPr>
        <w:t>The Adviser’s services under the Advisory Agreement are not exclusive, and it is free to furnish similar services to other entities so long as its services to us are not impaired.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w:t>
      </w:r>
    </w:p>
    <w:p>
      <w:pPr>
        <w:spacing w:after="0" w:line="179" w:lineRule="exact"/>
        <w:rPr>
          <w:sz w:val="20"/>
          <w:szCs w:val="20"/>
          <w:color w:val="auto"/>
        </w:rPr>
      </w:pPr>
    </w:p>
    <w:p>
      <w:pPr>
        <w:jc w:val="both"/>
        <w:ind w:right="60" w:firstLine="440"/>
        <w:spacing w:after="0" w:line="267" w:lineRule="auto"/>
        <w:rPr>
          <w:sz w:val="20"/>
          <w:szCs w:val="20"/>
          <w:color w:val="auto"/>
        </w:rPr>
      </w:pPr>
      <w:r>
        <w:rPr>
          <w:rFonts w:ascii="Times New Roman" w:cs="Times New Roman" w:eastAsia="Times New Roman" w:hAnsi="Times New Roman"/>
          <w:sz w:val="17"/>
          <w:szCs w:val="17"/>
          <w:color w:val="auto"/>
        </w:rPr>
        <w:t>On April 1, 2019, the Company entered into the Advisory Agreement with the Adviser. Unless earlier terminated as described below, the Investment Advisory Agreement will remain in effect until April 1, 2021, a period of two years from the date it first became effective and will remain in effect from year-to-year thereafter if approved annually by a majority of the Board or by the holders of a majority of the outstanding shares, and, in each case, a majority of the independent directors.</w:t>
      </w:r>
    </w:p>
    <w:p>
      <w:pPr>
        <w:spacing w:after="0" w:line="14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7"/>
          <w:szCs w:val="17"/>
          <w:color w:val="auto"/>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Removal of Adviser</w:t>
      </w:r>
    </w:p>
    <w:p>
      <w:pPr>
        <w:spacing w:after="0" w:line="179" w:lineRule="exact"/>
        <w:rPr>
          <w:sz w:val="20"/>
          <w:szCs w:val="20"/>
          <w:color w:val="auto"/>
        </w:rPr>
      </w:pPr>
    </w:p>
    <w:p>
      <w:pPr>
        <w:ind w:right="40" w:firstLine="440"/>
        <w:spacing w:after="0" w:line="283" w:lineRule="auto"/>
        <w:rPr>
          <w:sz w:val="20"/>
          <w:szCs w:val="20"/>
          <w:color w:val="auto"/>
        </w:rPr>
      </w:pPr>
      <w:r>
        <w:rPr>
          <w:rFonts w:ascii="Times New Roman" w:cs="Times New Roman" w:eastAsia="Times New Roman" w:hAnsi="Times New Roman"/>
          <w:sz w:val="17"/>
          <w:szCs w:val="17"/>
          <w:color w:val="auto"/>
        </w:rPr>
        <w:t>The Adviser may be removed by the Board or by the affirmative vote of a Majority of the Outstanding Shares. “Majority of the Outstanding Shares” means the lesser of (1) 67% or more of the outstanding shares of our common</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40"/>
          </w:cols>
          <w:pgMar w:left="240" w:top="324" w:right="319" w:bottom="1440" w:gutter="0" w:footer="0" w:header="0"/>
        </w:sectPr>
      </w:pPr>
    </w:p>
    <w:bookmarkStart w:id="53" w:name="page54"/>
    <w:bookmarkEnd w:id="53"/>
    <w:p>
      <w:pPr>
        <w:ind w:right="340"/>
        <w:spacing w:after="0" w:line="283" w:lineRule="auto"/>
        <w:rPr>
          <w:sz w:val="20"/>
          <w:szCs w:val="20"/>
          <w:color w:val="auto"/>
        </w:rPr>
      </w:pPr>
      <w:r>
        <w:rPr>
          <w:rFonts w:ascii="Times New Roman" w:cs="Times New Roman" w:eastAsia="Times New Roman" w:hAnsi="Times New Roman"/>
          <w:sz w:val="17"/>
          <w:szCs w:val="17"/>
          <w:color w:val="auto"/>
        </w:rPr>
        <w:t>stock present at a meeting, if the holders of more than 50% of the outstanding shares of our common stock are present or represented by proxy or (2) a majority of outstanding shares of our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of Adviser</w:t>
      </w:r>
    </w:p>
    <w:p>
      <w:pPr>
        <w:spacing w:after="0" w:line="17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7"/>
          <w:szCs w:val="17"/>
          <w:color w:val="auto"/>
        </w:rPr>
        <w:t>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14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7"/>
          <w:szCs w:val="17"/>
          <w:color w:val="auto"/>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15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7"/>
          <w:szCs w:val="17"/>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spacing w:after="0" w:line="13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7"/>
          <w:szCs w:val="17"/>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00"/>
          </w:cols>
          <w:pgMar w:left="240" w:top="289" w:right="259"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7"/>
          <w:szCs w:val="17"/>
          <w:color w:val="auto"/>
        </w:rPr>
        <w:t>The fees that are payable under the Investment Advisory Agreement for any partial period will be appropriately prorated.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Limitations of Liability and Indemnification</w:t>
      </w:r>
    </w:p>
    <w:p>
      <w:pPr>
        <w:spacing w:after="0" w:line="17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Board Approval of the Advisory Agreement</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7"/>
          <w:szCs w:val="17"/>
          <w:color w:val="auto"/>
        </w:rPr>
        <w:t>On December 12, 2018, the then-current Board of the Company held an in-person meeting to consider and approve the Advisory Agreement and related matters. The Board was provided the information required to consider the Advisory Agreement, including: (a) the nature, quality and extent of the advisory and other services to be provided to the Company by the Adviser; (b) comparative data with respect to advisory fees or similar expenses paid by other BDCs with similar investment objectives; (c) the Company projected operating expenses and expense ratio compared to BDCs with similar investment objectives; (d) any existing and potential sources of indirect income to the Adviser from its relationship with the Company and the profitability of that relationship; (e) 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139" w:lineRule="exact"/>
        <w:rPr>
          <w:sz w:val="20"/>
          <w:szCs w:val="20"/>
          <w:color w:val="auto"/>
        </w:rPr>
      </w:pPr>
    </w:p>
    <w:p>
      <w:pPr>
        <w:ind w:right="340" w:firstLine="440"/>
        <w:spacing w:after="0" w:line="283" w:lineRule="auto"/>
        <w:rPr>
          <w:sz w:val="20"/>
          <w:szCs w:val="20"/>
          <w:color w:val="auto"/>
        </w:rPr>
      </w:pPr>
      <w:r>
        <w:rPr>
          <w:rFonts w:ascii="Times New Roman" w:cs="Times New Roman" w:eastAsia="Times New Roman" w:hAnsi="Times New Roman"/>
          <w:sz w:val="17"/>
          <w:szCs w:val="17"/>
          <w:color w:val="auto"/>
        </w:rPr>
        <w:t>The Board, including a majority of independent directors, will oversee and monitor the Company’s investment performance and, beginning with the second anniversary of the effective date of the Advisory Agreement, will annually review the compensation we pay to the Adviser.</w:t>
      </w:r>
    </w:p>
    <w:p>
      <w:pPr>
        <w:spacing w:after="0" w:line="115" w:lineRule="exact"/>
        <w:rPr>
          <w:sz w:val="20"/>
          <w:szCs w:val="20"/>
          <w:color w:val="auto"/>
        </w:rPr>
      </w:pPr>
    </w:p>
    <w:p>
      <w:pPr>
        <w:ind w:right="160" w:firstLine="440"/>
        <w:spacing w:after="0" w:line="283" w:lineRule="auto"/>
        <w:rPr>
          <w:sz w:val="20"/>
          <w:szCs w:val="20"/>
          <w:color w:val="auto"/>
        </w:rPr>
      </w:pPr>
      <w:r>
        <w:rPr>
          <w:rFonts w:ascii="Times New Roman" w:cs="Times New Roman" w:eastAsia="Times New Roman" w:hAnsi="Times New Roman"/>
          <w:sz w:val="17"/>
          <w:szCs w:val="17"/>
          <w:color w:val="auto"/>
        </w:rPr>
        <w:t>The Company incurred management fees of $1.0 million and $2.1 million for the three and nine months ended September 30, 2019, respectively. No incentive fees were earned during the three and nine months ended September 30, 2019.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Administration Agreement</w:t>
      </w:r>
    </w:p>
    <w:p>
      <w:pPr>
        <w:spacing w:after="0" w:line="18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7"/>
          <w:szCs w:val="17"/>
          <w:color w:val="auto"/>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spacing w:after="0" w:line="139"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7"/>
          <w:szCs w:val="17"/>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00"/>
          </w:cols>
          <w:pgMar w:left="240" w:top="289" w:right="259" w:bottom="1440" w:gutter="0" w:footer="0" w:header="0"/>
        </w:sectPr>
      </w:pPr>
    </w:p>
    <w:bookmarkStart w:id="55" w:name="page56"/>
    <w:bookmarkEnd w:id="55"/>
    <w:p>
      <w:pPr>
        <w:ind w:right="20"/>
        <w:spacing w:after="0" w:line="267" w:lineRule="auto"/>
        <w:rPr>
          <w:sz w:val="20"/>
          <w:szCs w:val="20"/>
          <w:color w:val="auto"/>
        </w:rPr>
      </w:pPr>
      <w:r>
        <w:rPr>
          <w:rFonts w:ascii="Times New Roman" w:cs="Times New Roman" w:eastAsia="Times New Roman" w:hAnsi="Times New Roman"/>
          <w:sz w:val="17"/>
          <w:szCs w:val="17"/>
          <w:color w:val="auto"/>
        </w:rPr>
        <w:t>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14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7"/>
          <w:szCs w:val="17"/>
          <w:color w:val="auto"/>
        </w:rPr>
        <w:t>On April 1, 2019, the Board approved the Administration Agreement with the Administrator. Unless earlier terminated as described below, the Administration Agreement will remain in effect until April 1, 2021, a period of two years from the date it first became effective and will remain in effect from year-to-</w:t>
      </w:r>
    </w:p>
    <w:p>
      <w:pPr>
        <w:spacing w:after="0" w:line="1" w:lineRule="exact"/>
        <w:rPr>
          <w:sz w:val="20"/>
          <w:szCs w:val="20"/>
          <w:color w:val="auto"/>
        </w:rPr>
      </w:pPr>
    </w:p>
    <w:p>
      <w:pPr>
        <w:ind w:right="640"/>
        <w:spacing w:after="0" w:line="262" w:lineRule="auto"/>
        <w:rPr>
          <w:sz w:val="20"/>
          <w:szCs w:val="20"/>
          <w:color w:val="auto"/>
        </w:rPr>
      </w:pPr>
      <w:r>
        <w:rPr>
          <w:rFonts w:ascii="Times New Roman" w:cs="Times New Roman" w:eastAsia="Times New Roman" w:hAnsi="Times New Roman"/>
          <w:sz w:val="17"/>
          <w:szCs w:val="17"/>
          <w:color w:val="auto"/>
        </w:rPr>
        <w:t>year thereafter if approved annually by a majority of the Board or by the holders of a Majority of the Outstanding Shares, and, in each case, a majority of the independent directors.</w:t>
      </w:r>
    </w:p>
    <w:p>
      <w:pPr>
        <w:spacing w:after="0" w:line="132" w:lineRule="exact"/>
        <w:rPr>
          <w:sz w:val="20"/>
          <w:szCs w:val="20"/>
          <w:color w:val="auto"/>
        </w:rPr>
      </w:pPr>
    </w:p>
    <w:p>
      <w:pPr>
        <w:jc w:val="both"/>
        <w:ind w:right="380" w:firstLine="440"/>
        <w:spacing w:after="0" w:line="267" w:lineRule="auto"/>
        <w:rPr>
          <w:sz w:val="20"/>
          <w:szCs w:val="20"/>
          <w:color w:val="auto"/>
        </w:rPr>
      </w:pPr>
      <w:r>
        <w:rPr>
          <w:rFonts w:ascii="Times New Roman" w:cs="Times New Roman" w:eastAsia="Times New Roman" w:hAnsi="Times New Roman"/>
          <w:sz w:val="17"/>
          <w:szCs w:val="17"/>
          <w:color w:val="auto"/>
        </w:rPr>
        <w:t>The Company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incurred $0.4 million and $0.8 million of Administrative services expense for the three and nine months ended September 30, 2019.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Payment of Expenses under the Advisory and Administration Agreements</w:t>
      </w:r>
    </w:p>
    <w:p>
      <w:pPr>
        <w:spacing w:after="0" w:line="18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7"/>
          <w:szCs w:val="17"/>
          <w:color w:val="auto"/>
        </w:rPr>
        <w:t>Except as specifically provided below, all investment professionals and staffs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42" w:lineRule="exact"/>
        <w:rPr>
          <w:sz w:val="20"/>
          <w:szCs w:val="20"/>
          <w:color w:val="auto"/>
        </w:rPr>
      </w:pPr>
    </w:p>
    <w:p>
      <w:pPr>
        <w:ind w:left="880" w:hanging="443"/>
        <w:spacing w:after="0"/>
        <w:tabs>
          <w:tab w:leader="none" w:pos="8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calculating the Company’s net asset value, including the cost of any third-party valuation services;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effecting any sales and repurchases of the Company’s common stock and other securities;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payable under any dealer manager or placement agent agreements, if any;</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administration fees payable under the Administration Agreement and any sub-administration agreements, including related expenses;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service and other costs of borrowings or other financing arrangements;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hedging;</w:t>
      </w:r>
    </w:p>
    <w:p>
      <w:pPr>
        <w:spacing w:after="0" w:line="175" w:lineRule="exact"/>
        <w:rPr>
          <w:rFonts w:ascii="Times New Roman" w:cs="Times New Roman" w:eastAsia="Times New Roman" w:hAnsi="Times New Roman"/>
          <w:sz w:val="17"/>
          <w:szCs w:val="17"/>
          <w:color w:val="auto"/>
        </w:rPr>
      </w:pPr>
    </w:p>
    <w:p>
      <w:pPr>
        <w:ind w:left="880" w:right="60" w:hanging="443"/>
        <w:spacing w:after="0" w:line="283" w:lineRule="auto"/>
        <w:tabs>
          <w:tab w:leader="none" w:pos="8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14"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agent and custodial fees;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associated with marketing efforts;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registration fees, any stock exchange listing fees and fees payable to rating agencies;</w:t>
      </w: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40"/>
          </w:cols>
          <w:pgMar w:left="240" w:top="289" w:right="319" w:bottom="1440" w:gutter="0" w:footer="0" w:header="0"/>
        </w:sectPr>
      </w:pPr>
    </w:p>
    <w:bookmarkStart w:id="56" w:name="page57"/>
    <w:bookmarkEnd w:id="56"/>
    <w:p>
      <w:pPr>
        <w:ind w:left="880" w:hanging="443"/>
        <w:spacing w:after="0"/>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state and local taxes;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directors’ fees and expenses including certain travel expenses;</w:t>
      </w:r>
    </w:p>
    <w:p>
      <w:pPr>
        <w:spacing w:after="0" w:line="175" w:lineRule="exact"/>
        <w:rPr>
          <w:rFonts w:ascii="Times New Roman" w:cs="Times New Roman" w:eastAsia="Times New Roman" w:hAnsi="Times New Roman"/>
          <w:sz w:val="17"/>
          <w:szCs w:val="17"/>
          <w:color w:val="auto"/>
        </w:rPr>
      </w:pPr>
    </w:p>
    <w:p>
      <w:pPr>
        <w:jc w:val="both"/>
        <w:ind w:left="880" w:right="20" w:hanging="443"/>
        <w:spacing w:after="0" w:line="267" w:lineRule="auto"/>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27" w:lineRule="exact"/>
        <w:rPr>
          <w:rFonts w:ascii="Times New Roman" w:cs="Times New Roman" w:eastAsia="Times New Roman" w:hAnsi="Times New Roman"/>
          <w:sz w:val="17"/>
          <w:szCs w:val="17"/>
          <w:color w:val="auto"/>
        </w:rPr>
      </w:pPr>
    </w:p>
    <w:p>
      <w:pPr>
        <w:ind w:left="880" w:right="160" w:hanging="443"/>
        <w:spacing w:after="0" w:line="283" w:lineRule="auto"/>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14"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commissions and other compensation payable to brokers or dealers;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and market data;</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fidelity bond, directors and officers errors and omissions liability insurance and other insurance premiums;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costs and expenses of administration, including printing, mailing, long distance telephone and staff;</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associated with independent audits, outside legal and consulting costs;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winding up our affairs;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incurred by either the Administrator or us in connection with administering our business, including payments under the Administration Agreement;</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extraordinary expenses (such as litigation or indemnification);</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reporting and compliance obligations under the 1940 Act and applicable federal and state securities laws; and</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the Company’s legacy lease;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Co-investment Exemptive Relief</w:t>
      </w:r>
    </w:p>
    <w:p>
      <w:pPr>
        <w:spacing w:after="0" w:line="218"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7"/>
          <w:szCs w:val="17"/>
          <w:color w:val="auto"/>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spacing w:after="0" w:line="16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7"/>
          <w:szCs w:val="17"/>
          <w:color w:val="auto"/>
        </w:rPr>
        <w:t>On October 23, 2018, the SEC issued an order granting an application for exemptive relief to an affiliate of the Adviser that allows BDCs managed by the Adviser, including the Company, to co-invest, subject to the satisfaction of certain conditions, in certain private placement transactions, with other funds managed by the Advisers or its affiliates, including BCP Special Opportunities Fund I LP, BC Partners Lending Corporation and any future funds that are advised by the Adviser or its affiliated investment advisers. 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180" w:lineRule="exact"/>
        <w:rPr>
          <w:sz w:val="20"/>
          <w:szCs w:val="20"/>
          <w:color w:val="auto"/>
        </w:rPr>
      </w:pPr>
    </w:p>
    <w:p>
      <w:pPr>
        <w:jc w:val="both"/>
        <w:ind w:right="180" w:firstLine="440"/>
        <w:spacing w:after="0" w:line="267" w:lineRule="auto"/>
        <w:rPr>
          <w:sz w:val="20"/>
          <w:szCs w:val="20"/>
          <w:color w:val="auto"/>
        </w:rPr>
      </w:pPr>
      <w:r>
        <w:rPr>
          <w:rFonts w:ascii="Times New Roman" w:cs="Times New Roman" w:eastAsia="Times New Roman" w:hAnsi="Times New Roman"/>
          <w:sz w:val="17"/>
          <w:szCs w:val="17"/>
          <w:color w:val="auto"/>
        </w:rPr>
        <w:t>On October 30, 2017, the Company entered into a new term loan agreement with Trimaran Advisors, one of the Asset Manager Affiliates. Trimaran Advisors borrowed $8.4 million under this agreement, which bore interest at a rate of 10.5% annually, payable quarterly. The loan matures on April 30, 2030, can be repaid at any time, and must be repaid upon the occurrence of certain events. During the third quarter 2018 $2.1 million of the principal on this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57" w:name="page58"/>
    <w:bookmarkEnd w:id="57"/>
    <w:p>
      <w:pPr>
        <w:spacing w:after="0" w:line="267" w:lineRule="auto"/>
        <w:rPr>
          <w:sz w:val="20"/>
          <w:szCs w:val="20"/>
          <w:color w:val="auto"/>
        </w:rPr>
      </w:pPr>
      <w:r>
        <w:rPr>
          <w:rFonts w:ascii="Times New Roman" w:cs="Times New Roman" w:eastAsia="Times New Roman" w:hAnsi="Times New Roman"/>
          <w:sz w:val="17"/>
          <w:szCs w:val="17"/>
          <w:color w:val="auto"/>
        </w:rPr>
        <w:t>loan was repaid by Trimaran Advisors. During the fourth quarter of 2018, Trimaran Advisors repaid this loan in full. Repayment was comprised of $3.0 million of cash and $2.5 million notional amount of subordinated notes of Catamaran 2013-1 with a fair value of $1.4 million and $3.4 million of notional amount of subordinated notes of Catamaran 2014-1 with a fair value of $1.9 million.</w:t>
      </w:r>
    </w:p>
    <w:p>
      <w:pPr>
        <w:spacing w:after="0" w:line="166" w:lineRule="exact"/>
        <w:rPr>
          <w:sz w:val="20"/>
          <w:szCs w:val="20"/>
          <w:color w:val="auto"/>
        </w:rPr>
      </w:pPr>
    </w:p>
    <w:p>
      <w:pPr>
        <w:ind w:right="200" w:firstLine="440"/>
        <w:spacing w:after="0" w:line="257" w:lineRule="auto"/>
        <w:rPr>
          <w:sz w:val="20"/>
          <w:szCs w:val="20"/>
          <w:color w:val="auto"/>
        </w:rPr>
      </w:pPr>
      <w:r>
        <w:rPr>
          <w:rFonts w:ascii="Times New Roman" w:cs="Times New Roman" w:eastAsia="Times New Roman" w:hAnsi="Times New Roman"/>
          <w:sz w:val="17"/>
          <w:szCs w:val="17"/>
          <w:color w:val="auto"/>
        </w:rPr>
        <w:t>On October 31, 2017, Trimaran Advisors capitalized Trimaran Risk Retention Holdings, LLC, a newly-formed wholly-owned subsidiary, with $8.4 million of equity capital. In turn, Trimaran Risk Retention Holdings capitalized Trimaran RR I, LLC, a wholly-owned subsidiary of Trimaran Risk Retention Holdings, LLC, with $8.4 million of equity capital. With this equity contribution and other borrowed funds, Trimaran RR II, LLC purchased $34.8 million notional amount of notes issued by Catamaran CLO 2014-1, Ltd. for aggregate consideration of $35.5 million. On December 21, 2017, the Company entered into another new term loan agreement with Trimaran Advisors, under which Trimaran Advisors borrowed $4.4 million, which also bore interest at a rate of 10.5% annually, payable quarterly. During the second quarter of 2018, this loan was repaid in full by Trimaran Advisors.</w:t>
      </w:r>
    </w:p>
    <w:p>
      <w:pPr>
        <w:spacing w:after="0" w:line="177" w:lineRule="exact"/>
        <w:rPr>
          <w:sz w:val="20"/>
          <w:szCs w:val="20"/>
          <w:color w:val="auto"/>
        </w:rPr>
      </w:pPr>
    </w:p>
    <w:p>
      <w:pPr>
        <w:jc w:val="both"/>
        <w:ind w:right="580" w:firstLine="440"/>
        <w:spacing w:after="0" w:line="267" w:lineRule="auto"/>
        <w:rPr>
          <w:sz w:val="20"/>
          <w:szCs w:val="20"/>
          <w:color w:val="auto"/>
        </w:rPr>
      </w:pPr>
      <w:r>
        <w:rPr>
          <w:rFonts w:ascii="Times New Roman" w:cs="Times New Roman" w:eastAsia="Times New Roman" w:hAnsi="Times New Roman"/>
          <w:sz w:val="17"/>
          <w:szCs w:val="17"/>
          <w:color w:val="auto"/>
        </w:rPr>
        <w:t>On December 21, 2017, Trimaran Advisors contributed $4.4 million of equity capital to Trimaran Risk Retention Holdings, LLC. In turn, Trimaran Risk Retention Holdings contributed $4.4 million of equity capital to Trimaran RR II. With this equity contribution and other borrowed funds, Trimaran RR I, LLC purchased $27.4 million notional amount of notes issued by Catamaran CLO 2015-1, Ltd. for aggregate consideration of $27.4 million.</w:t>
      </w:r>
    </w:p>
    <w:p>
      <w:pPr>
        <w:spacing w:after="0" w:line="166"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7"/>
          <w:szCs w:val="17"/>
          <w:color w:val="auto"/>
        </w:rPr>
        <w:t>On June 4, 2018, Trimaran RR I, LLC sold $31.4 million and $24.9 million, of notional amount of notes issued by Catamaran CLO 2014-1, Ltd and Catamaran 2013-1, Ltd, respectively. In December 2018, Trimaran RR I, LLC. distributed to Trimaran $2.5 million notional amount of subordinated notes issued by Catamaran 2013-1 with a fair value of $1.4 million, and a notional amount of $3.4 million of subordinated notes issued by Catamaran 2014-1 with a fair value of $1.9 million.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Trimaran Credit Facility</w:t>
      </w:r>
    </w:p>
    <w:p>
      <w:pPr>
        <w:spacing w:after="0" w:line="22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7"/>
          <w:szCs w:val="17"/>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which expired on November 20, 2017 and bore interest at an annual rate of 9.0%. On April 15, 2013, the Trimaran Credit Facility was amended and upsized from $20 million to $23 million. Outstanding borrowings on the Trimaran Credit Facility were callable by the Company at any time. The Trimaran Credit Facility was fully repaid and terminated in the fourth quarter of 2018. At September 30, 2019 and December 31, 2018, there were no loans outstanding under the Trimaran Credit Facility. For the three and nine months ended September 30, 2018 the Company recognized interest income of approximately $512,000 and $1.2 million, related to the Trimaran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6"/>
        </w:trPr>
        <w:tc>
          <w:tcPr>
            <w:tcW w:w="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w:t>
            </w:r>
          </w:p>
        </w:tc>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1"/>
        </w:trPr>
        <w:tc>
          <w:tcPr>
            <w:tcW w:w="280" w:type="dxa"/>
            <w:vAlign w:val="bottom"/>
          </w:tcPr>
          <w:p>
            <w:pPr>
              <w:spacing w:after="0"/>
              <w:rPr>
                <w:sz w:val="24"/>
                <w:szCs w:val="24"/>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Company’s debt obligations consist of the following:</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2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6"/>
              </w:rPr>
              <w:t>As of</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As of</w:t>
            </w:r>
          </w:p>
        </w:tc>
      </w:tr>
      <w:tr>
        <w:trPr>
          <w:trHeight w:val="217"/>
        </w:trPr>
        <w:tc>
          <w:tcPr>
            <w:tcW w:w="2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September 30, 2019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December 31, 2018</w:t>
            </w:r>
          </w:p>
        </w:tc>
      </w:tr>
      <w:tr>
        <w:trPr>
          <w:trHeight w:val="225"/>
        </w:trPr>
        <w:tc>
          <w:tcPr>
            <w:tcW w:w="280" w:type="dxa"/>
            <w:vAlign w:val="bottom"/>
            <w:tcBorders>
              <w:bottom w:val="single" w:sz="8" w:color="CFF0FC"/>
            </w:tcBorders>
          </w:tcPr>
          <w:p>
            <w:pPr>
              <w:spacing w:after="0"/>
              <w:rPr>
                <w:sz w:val="19"/>
                <w:szCs w:val="19"/>
                <w:color w:val="auto"/>
              </w:rPr>
            </w:pPr>
          </w:p>
        </w:tc>
        <w:tc>
          <w:tcPr>
            <w:tcW w:w="7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8"/>
              </w:rPr>
              <w:t>(unaudited)</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0"/>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6.125% Notes Due 2022 (net of offering costs of: 2019-$1,793,546; 2018 - $2,207,341)</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75,613,654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75,199,858</w:t>
            </w:r>
          </w:p>
        </w:tc>
        <w:tc>
          <w:tcPr>
            <w:tcW w:w="100" w:type="dxa"/>
            <w:vAlign w:val="bottom"/>
            <w:shd w:val="clear" w:color="auto" w:fill="CFF0FC"/>
          </w:tcPr>
          <w:p>
            <w:pPr>
              <w:spacing w:after="0"/>
              <w:rPr>
                <w:sz w:val="18"/>
                <w:szCs w:val="18"/>
                <w:color w:val="auto"/>
              </w:rPr>
            </w:pPr>
          </w:p>
        </w:tc>
      </w:tr>
      <w:tr>
        <w:trPr>
          <w:trHeight w:val="201"/>
        </w:trPr>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Great Lakes KCAP Funding I, LLC Revolving Credit Facility (net of offering costs of: 2019-$1,154,688;</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6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2018 - $1,155,754)</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46,865,797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25,200,331</w:t>
            </w:r>
          </w:p>
        </w:tc>
        <w:tc>
          <w:tcPr>
            <w:tcW w:w="100" w:type="dxa"/>
            <w:vAlign w:val="bottom"/>
            <w:tcBorders>
              <w:bottom w:val="single" w:sz="8" w:color="CFF0FC"/>
            </w:tcBorders>
          </w:tcPr>
          <w:p>
            <w:pPr>
              <w:spacing w:after="0"/>
              <w:rPr>
                <w:sz w:val="19"/>
                <w:szCs w:val="19"/>
                <w:color w:val="auto"/>
              </w:rPr>
            </w:pPr>
          </w:p>
        </w:tc>
      </w:tr>
      <w:tr>
        <w:trPr>
          <w:trHeight w:val="210"/>
        </w:trPr>
        <w:tc>
          <w:tcPr>
            <w:tcW w:w="280" w:type="dxa"/>
            <w:vAlign w:val="bottom"/>
            <w:tcBorders>
              <w:bottom w:val="single" w:sz="8" w:color="CFF0FC"/>
            </w:tcBorders>
            <w:shd w:val="clear" w:color="auto" w:fill="CFF0FC"/>
          </w:tcPr>
          <w:p>
            <w:pPr>
              <w:spacing w:after="0"/>
              <w:rPr>
                <w:sz w:val="18"/>
                <w:szCs w:val="18"/>
                <w:color w:val="auto"/>
              </w:rPr>
            </w:pPr>
          </w:p>
        </w:tc>
        <w:tc>
          <w:tcPr>
            <w:tcW w:w="7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122,479,451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100,400,189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20" w:firstLine="440"/>
        <w:spacing w:after="0" w:line="283" w:lineRule="auto"/>
        <w:rPr>
          <w:sz w:val="20"/>
          <w:szCs w:val="20"/>
          <w:color w:val="auto"/>
        </w:rPr>
      </w:pPr>
      <w:r>
        <w:rPr>
          <w:rFonts w:ascii="Times New Roman" w:cs="Times New Roman" w:eastAsia="Times New Roman" w:hAnsi="Times New Roman"/>
          <w:sz w:val="17"/>
          <w:szCs w:val="17"/>
          <w:color w:val="auto"/>
        </w:rPr>
        <w:t>The weighted average stated interest rate and weighted average maturity on all our debt outstanding as of September 30, 2019 were 5.8% and 2.8 years, respectively, and as of December 31, 2018 were 6.0% and 3.6 years,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6.125% Notes Due 2022</w:t>
      </w:r>
    </w:p>
    <w:p>
      <w:pPr>
        <w:spacing w:after="0" w:line="17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7"/>
          <w:szCs w:val="17"/>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6.125% Notes Due 2022, the Company is limited in its ability to make distributions in certain circumstances. The indenture governing the 6.125% Notes Due 2022 contains certain restrictive covenants, including compliance with certain provisions of the 1940 Act related to borrowing and dividends. At September 30, 2019, the Company was in compliance with all of its debt covenants.</w:t>
      </w:r>
    </w:p>
    <w:p>
      <w:pPr>
        <w:spacing w:after="0" w:line="144"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7"/>
          <w:szCs w:val="17"/>
          <w:color w:val="auto"/>
        </w:rPr>
        <w:t>For the three months ended September 30, 2019 and 2018, interest expense related to the 6.125% Notes Due 2022 was approximately $1.2 million and $1.2 million, respectively. For the nine months ended September 30, 2019 and 2018 interest expense related to the 6.125% Notes Due 2022 was approximately $3.6 million and $3.6 million, respectively.</w:t>
      </w:r>
    </w:p>
    <w:p>
      <w:pPr>
        <w:spacing w:after="0" w:line="141" w:lineRule="exact"/>
        <w:rPr>
          <w:sz w:val="20"/>
          <w:szCs w:val="20"/>
          <w:color w:val="auto"/>
        </w:rPr>
      </w:pPr>
    </w:p>
    <w:p>
      <w:pPr>
        <w:ind w:right="380" w:firstLine="440"/>
        <w:spacing w:after="0" w:line="267" w:lineRule="auto"/>
        <w:rPr>
          <w:sz w:val="20"/>
          <w:szCs w:val="20"/>
          <w:color w:val="auto"/>
        </w:rPr>
      </w:pPr>
      <w:r>
        <w:rPr>
          <w:rFonts w:ascii="Times New Roman" w:cs="Times New Roman" w:eastAsia="Times New Roman" w:hAnsi="Times New Roman"/>
          <w:sz w:val="17"/>
          <w:szCs w:val="17"/>
          <w:color w:val="auto"/>
        </w:rPr>
        <w:t>In connection with the issuance of the 6.125% Notes Due 2022, the Company incurred approximately $2.9 million of debt offering costs which are being amortized over the expected term of the facility on an effective yield method, of which approximately $1.8 million and $2.2 million remains to be amortized as of September 30, 2019 and December 31, 2018, respectively, and is included on the consolidated balance sheets as a reduction in the related debt liability.</w:t>
      </w:r>
    </w:p>
    <w:p>
      <w:pPr>
        <w:spacing w:after="0" w:line="124" w:lineRule="exact"/>
        <w:rPr>
          <w:sz w:val="20"/>
          <w:szCs w:val="20"/>
          <w:color w:val="auto"/>
        </w:rPr>
      </w:pPr>
    </w:p>
    <w:p>
      <w:pPr>
        <w:ind w:right="100" w:firstLine="44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Fair Value of 6.125% Notes Due 2022. </w:t>
      </w:r>
      <w:r>
        <w:rPr>
          <w:rFonts w:ascii="Times New Roman" w:cs="Times New Roman" w:eastAsia="Times New Roman" w:hAnsi="Times New Roman"/>
          <w:sz w:val="17"/>
          <w:szCs w:val="17"/>
          <w:color w:val="auto"/>
        </w:rPr>
        <w:t>The 6.125% Notes Due 2022 were issued via public offering during the third quarter of 2017 and are carried at cost,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offering costs of $1.8 million and $2.2 million at September 30, 2019 and December 31, 2018. The fair value of the Company’s outstanding 6.125% Notes Due 2022 was approximately $77.6 million and $76.6 million at September 30, 2019 and December 31, 2018. The fair value was determined based on the closing price on September 30, 2019 for the 6.125% Notes Due 2022. The 6.125% Notes Due 2022 are categorized as Level I under the ASC 820 Fair Value.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color w:val="auto"/>
        </w:rPr>
        <w:t>Great Lakes KCAP Funding I, LLC</w:t>
      </w:r>
    </w:p>
    <w:p>
      <w:pPr>
        <w:spacing w:after="0" w:line="192" w:lineRule="exact"/>
        <w:rPr>
          <w:sz w:val="20"/>
          <w:szCs w:val="20"/>
          <w:color w:val="auto"/>
        </w:rPr>
      </w:pPr>
    </w:p>
    <w:p>
      <w:pPr>
        <w:jc w:val="both"/>
        <w:ind w:right="80" w:firstLine="440"/>
        <w:spacing w:after="0" w:line="267" w:lineRule="auto"/>
        <w:rPr>
          <w:sz w:val="20"/>
          <w:szCs w:val="20"/>
          <w:color w:val="auto"/>
        </w:rPr>
      </w:pPr>
      <w:r>
        <w:rPr>
          <w:rFonts w:ascii="Times New Roman" w:cs="Times New Roman" w:eastAsia="Times New Roman" w:hAnsi="Times New Roman"/>
          <w:sz w:val="17"/>
          <w:szCs w:val="17"/>
          <w:color w:val="auto"/>
        </w:rPr>
        <w:t>On March 1, 2018, Great Lakes KCAP Funding I, LLC (“Funding”), a wholly-owned subsidiary of the Company, entered into a senior secured revolving credit facility (the “Revolving Credit Facility”) with certain institutional lenders, State Bank and Trust Company, as the administrative agent, lead arranger and bookrunner, CIBC Bank USA, as documentation agent and the Company, as the servicer.</w:t>
      </w:r>
    </w:p>
    <w:p>
      <w:pPr>
        <w:spacing w:after="0" w:line="128"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7"/>
          <w:szCs w:val="17"/>
          <w:color w:val="auto"/>
        </w:rPr>
        <w:t>On April 1, 2019, the maximum commitment amount of the Revolving Credit Facility was increased to $67.5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Revolving Credit Facility is drawn, the fee will be 0.50% per annum.</w:t>
      </w:r>
    </w:p>
    <w:p>
      <w:pPr>
        <w:spacing w:after="0" w:line="131" w:lineRule="exact"/>
        <w:rPr>
          <w:sz w:val="20"/>
          <w:szCs w:val="20"/>
          <w:color w:val="auto"/>
        </w:rPr>
      </w:pPr>
    </w:p>
    <w:p>
      <w:pPr>
        <w:ind w:right="380" w:firstLine="440"/>
        <w:spacing w:after="0" w:line="283" w:lineRule="auto"/>
        <w:rPr>
          <w:sz w:val="20"/>
          <w:szCs w:val="20"/>
          <w:color w:val="auto"/>
        </w:rPr>
      </w:pPr>
      <w:r>
        <w:rPr>
          <w:rFonts w:ascii="Times New Roman" w:cs="Times New Roman" w:eastAsia="Times New Roman" w:hAnsi="Times New Roman"/>
          <w:sz w:val="17"/>
          <w:szCs w:val="17"/>
          <w:color w:val="auto"/>
        </w:rPr>
        <w:t>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127" w:lineRule="exact"/>
        <w:rPr>
          <w:sz w:val="20"/>
          <w:szCs w:val="20"/>
          <w:color w:val="auto"/>
        </w:rPr>
      </w:pPr>
    </w:p>
    <w:p>
      <w:pPr>
        <w:ind w:right="340" w:firstLine="440"/>
        <w:spacing w:after="0" w:line="283" w:lineRule="auto"/>
        <w:rPr>
          <w:sz w:val="20"/>
          <w:szCs w:val="20"/>
          <w:color w:val="auto"/>
        </w:rPr>
      </w:pPr>
      <w:r>
        <w:rPr>
          <w:rFonts w:ascii="Times New Roman" w:cs="Times New Roman" w:eastAsia="Times New Roman" w:hAnsi="Times New Roman"/>
          <w:sz w:val="17"/>
          <w:szCs w:val="17"/>
          <w:color w:val="auto"/>
        </w:rPr>
        <w:t>The maturity date is the earlier of: (a) March 1, 2022 and (b) the date upon which all loans shall become due and payable in full, whether by acceleration or otherwise, as a result of a default by the Company, as defined in the Revolving Credit Facility.</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Borrowings under the Revolving Credit Facility are repayable by the Company at any time.</w:t>
      </w:r>
    </w:p>
    <w:p>
      <w:pPr>
        <w:spacing w:after="0" w:line="17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7"/>
          <w:szCs w:val="17"/>
          <w:color w:val="auto"/>
        </w:rPr>
        <w:t>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September 30, 2019 and December 31, 2018, Funding was in compliance with all of its debt covenants.</w:t>
      </w:r>
    </w:p>
    <w:p>
      <w:pPr>
        <w:spacing w:after="0" w:line="148" w:lineRule="exact"/>
        <w:rPr>
          <w:sz w:val="20"/>
          <w:szCs w:val="20"/>
          <w:color w:val="auto"/>
        </w:rPr>
      </w:pPr>
    </w:p>
    <w:p>
      <w:pPr>
        <w:jc w:val="both"/>
        <w:ind w:firstLine="440"/>
        <w:spacing w:after="0" w:line="283" w:lineRule="auto"/>
        <w:rPr>
          <w:sz w:val="20"/>
          <w:szCs w:val="20"/>
          <w:color w:val="auto"/>
        </w:rPr>
      </w:pPr>
      <w:r>
        <w:rPr>
          <w:rFonts w:ascii="Times New Roman" w:cs="Times New Roman" w:eastAsia="Times New Roman" w:hAnsi="Times New Roman"/>
          <w:sz w:val="17"/>
          <w:szCs w:val="17"/>
          <w:color w:val="auto"/>
        </w:rPr>
        <w:t>As of September 30, 2019 and December 31, 2018, $48.0 million and $26.4 million principal amount of borrowings was outstanding under the Revolving Credit Facility. As of September 30, 2019 and December 31, 2018, assets with a fair value of $118.0 million and $76.2 million were pledged to the Revolving Credit Facility.</w:t>
      </w:r>
    </w:p>
    <w:p>
      <w:pPr>
        <w:spacing w:after="0" w:line="115" w:lineRule="exact"/>
        <w:rPr>
          <w:sz w:val="20"/>
          <w:szCs w:val="20"/>
          <w:color w:val="auto"/>
        </w:rPr>
      </w:pPr>
    </w:p>
    <w:p>
      <w:pPr>
        <w:ind w:right="100" w:firstLine="440"/>
        <w:spacing w:after="0" w:line="283" w:lineRule="auto"/>
        <w:rPr>
          <w:sz w:val="20"/>
          <w:szCs w:val="20"/>
          <w:color w:val="auto"/>
        </w:rPr>
      </w:pPr>
      <w:r>
        <w:rPr>
          <w:rFonts w:ascii="Times New Roman" w:cs="Times New Roman" w:eastAsia="Times New Roman" w:hAnsi="Times New Roman"/>
          <w:sz w:val="17"/>
          <w:szCs w:val="17"/>
          <w:color w:val="auto"/>
        </w:rPr>
        <w:t>Interest on borrowings under the Revolving Credit Facility is paid monthly. Borrowings under the Revolving Credit Facility are subject to redemption in whole or in part at any time or from time to time, at the option of the Funding.</w:t>
      </w:r>
    </w:p>
    <w:p>
      <w:pPr>
        <w:spacing w:after="0" w:line="115"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7"/>
          <w:szCs w:val="17"/>
          <w:color w:val="auto"/>
        </w:rPr>
        <w:t>For the three months ended September 30, 2019 and 2018, interest and fees expense related to the Revolving Credit Facility was approximately $784,000 and $317,000. For the nine months ended September 30, 2019 and 2018 interest and fees expense related to the Revolving Credit Facility was approximately $1.7 million and $667,000, respectively.</w:t>
      </w:r>
    </w:p>
    <w:p>
      <w:pPr>
        <w:spacing w:after="0" w:line="141" w:lineRule="exact"/>
        <w:rPr>
          <w:sz w:val="20"/>
          <w:szCs w:val="20"/>
          <w:color w:val="auto"/>
        </w:rPr>
      </w:pPr>
    </w:p>
    <w:p>
      <w:pPr>
        <w:jc w:val="both"/>
        <w:ind w:right="120" w:firstLine="440"/>
        <w:spacing w:after="0" w:line="267" w:lineRule="auto"/>
        <w:rPr>
          <w:sz w:val="20"/>
          <w:szCs w:val="20"/>
          <w:color w:val="auto"/>
        </w:rPr>
      </w:pPr>
      <w:r>
        <w:rPr>
          <w:rFonts w:ascii="Times New Roman" w:cs="Times New Roman" w:eastAsia="Times New Roman" w:hAnsi="Times New Roman"/>
          <w:sz w:val="17"/>
          <w:szCs w:val="17"/>
          <w:color w:val="auto"/>
        </w:rPr>
        <w:t>The Company incurred approximately $1.8 million of debt offering costs in connection with the Revolving Credit Facility, which are being amortized over the expected term of the Revolving Credit Facility on an effective yield method, of which approximately $1.2 million remains to be amortized as of September 30, 2019, and is included on the consolidated balance sheets as a reduction in the related debt liability.</w:t>
      </w:r>
    </w:p>
    <w:p>
      <w:pPr>
        <w:spacing w:after="0" w:line="124" w:lineRule="exact"/>
        <w:rPr>
          <w:sz w:val="20"/>
          <w:szCs w:val="20"/>
          <w:color w:val="auto"/>
        </w:rPr>
      </w:pPr>
    </w:p>
    <w:p>
      <w:pPr>
        <w:ind w:right="80" w:firstLine="44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Fair Value of the Revolving Credit Facility. </w:t>
      </w:r>
      <w:r>
        <w:rPr>
          <w:rFonts w:ascii="Times New Roman" w:cs="Times New Roman" w:eastAsia="Times New Roman" w:hAnsi="Times New Roman"/>
          <w:sz w:val="17"/>
          <w:szCs w:val="17"/>
          <w:color w:val="auto"/>
        </w:rPr>
        <w:t>Borrowings under the Revolving Credit Facility are carried at cost, net of unamortized debt offering costs of $1.2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at September 30, 2019. The fair value of the Revolving Credit Facility borrowings was approximately $48.0 million and $26.4 million at September 30, 2019 and December 31, 2018. The fair value was determined based on an analysis of the value of the pledged collateral and the amount of over-collateralization supporting the repayment of these borrowings. The Revolving Credit Facility borrowings are categorized as Level III under the ASC 820 Fair Value.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7.375% Notes Due 2019</w:t>
      </w:r>
    </w:p>
    <w:p>
      <w:pPr>
        <w:spacing w:after="0" w:line="192" w:lineRule="exact"/>
        <w:rPr>
          <w:sz w:val="20"/>
          <w:szCs w:val="20"/>
          <w:color w:val="auto"/>
        </w:rPr>
      </w:pPr>
    </w:p>
    <w:p>
      <w:pPr>
        <w:ind w:right="120" w:firstLine="440"/>
        <w:spacing w:after="0" w:line="283" w:lineRule="auto"/>
        <w:rPr>
          <w:sz w:val="20"/>
          <w:szCs w:val="20"/>
          <w:color w:val="auto"/>
        </w:rPr>
      </w:pPr>
      <w:r>
        <w:rPr>
          <w:rFonts w:ascii="Times New Roman" w:cs="Times New Roman" w:eastAsia="Times New Roman" w:hAnsi="Times New Roman"/>
          <w:sz w:val="17"/>
          <w:szCs w:val="17"/>
          <w:color w:val="auto"/>
        </w:rPr>
        <w:t>On October 10, 2012, the Company issued $41.4 million in aggregate principal amount of unsecured 7.375% Notes due 2019 (the “7.375% Notes Due 2019”). The net proceeds for these Notes, after the payment of</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00"/>
          </w:cols>
          <w:pgMar w:left="240" w:top="285" w:right="259" w:bottom="1440" w:gutter="0" w:footer="0" w:header="0"/>
        </w:sectPr>
      </w:pPr>
    </w:p>
    <w:bookmarkStart w:id="60" w:name="page61"/>
    <w:bookmarkEnd w:id="60"/>
    <w:p>
      <w:pPr>
        <w:spacing w:after="0" w:line="255" w:lineRule="auto"/>
        <w:rPr>
          <w:sz w:val="20"/>
          <w:szCs w:val="20"/>
          <w:color w:val="auto"/>
        </w:rPr>
      </w:pPr>
      <w:r>
        <w:rPr>
          <w:rFonts w:ascii="Times New Roman" w:cs="Times New Roman" w:eastAsia="Times New Roman" w:hAnsi="Times New Roman"/>
          <w:sz w:val="17"/>
          <w:szCs w:val="17"/>
          <w:color w:val="auto"/>
        </w:rPr>
        <w:t>underwriting expenses, were approximately $39.9 million. As of December 31, 2018, there were no 7.375% Notes Due 2019 outstanding. Interest on the 7.375% Notes Due 2019 was paid quarterly in arrears on March 30, June 30, September 30 and December 30, at a rate of 7.375%, commencing December 30, 2012. The 7.375% Notes Due 2019 had a maturity date of September 30, 2019 and were unsecured obligations of the Company. The 7.375% Notes Due 2019 were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was limited in its ability to make distributions in certain circumstances. The indenture governing the 7.375% Notes Due 2019 contains certain restrictive covenants, including compliance with certain provisions of the 1940 Act relating to borrowing and dividends.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the three and nine months ended September 30, 2018, interest expense related to the 7.375% Notes Due 2019 was approximately $129,000 and $694,000.</w:t>
      </w:r>
    </w:p>
    <w:p>
      <w:pPr>
        <w:spacing w:after="0" w:line="175" w:lineRule="exact"/>
        <w:rPr>
          <w:sz w:val="20"/>
          <w:szCs w:val="20"/>
          <w:color w:val="auto"/>
        </w:rPr>
      </w:pPr>
    </w:p>
    <w:p>
      <w:pPr>
        <w:ind w:right="140" w:firstLine="440"/>
        <w:spacing w:after="0" w:line="283" w:lineRule="auto"/>
        <w:rPr>
          <w:sz w:val="20"/>
          <w:szCs w:val="20"/>
          <w:color w:val="auto"/>
        </w:rPr>
      </w:pPr>
      <w:r>
        <w:rPr>
          <w:rFonts w:ascii="Times New Roman" w:cs="Times New Roman" w:eastAsia="Times New Roman" w:hAnsi="Times New Roman"/>
          <w:sz w:val="17"/>
          <w:szCs w:val="17"/>
          <w:color w:val="auto"/>
        </w:rPr>
        <w:t>During the second quarter of 2017, approximately $6.5 million par value of the 7.375% Notes Due 2019 was redeemed by the Company, resulting in a realized loss on extinguishment of approximately $107,000. The Company subsequently surrendered these notes to the Trustee for cancellation.</w:t>
      </w:r>
    </w:p>
    <w:p>
      <w:pPr>
        <w:spacing w:after="0" w:line="115" w:lineRule="exact"/>
        <w:rPr>
          <w:sz w:val="20"/>
          <w:szCs w:val="20"/>
          <w:color w:val="auto"/>
        </w:rPr>
      </w:pPr>
    </w:p>
    <w:p>
      <w:pPr>
        <w:ind w:right="60" w:firstLine="440"/>
        <w:spacing w:after="0" w:line="283" w:lineRule="auto"/>
        <w:rPr>
          <w:sz w:val="20"/>
          <w:szCs w:val="20"/>
          <w:color w:val="auto"/>
        </w:rPr>
      </w:pPr>
      <w:r>
        <w:rPr>
          <w:rFonts w:ascii="Times New Roman" w:cs="Times New Roman" w:eastAsia="Times New Roman" w:hAnsi="Times New Roman"/>
          <w:sz w:val="17"/>
          <w:szCs w:val="17"/>
          <w:color w:val="auto"/>
        </w:rPr>
        <w:t>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127" w:lineRule="exact"/>
        <w:rPr>
          <w:sz w:val="20"/>
          <w:szCs w:val="20"/>
          <w:color w:val="auto"/>
        </w:rPr>
      </w:pPr>
    </w:p>
    <w:p>
      <w:pPr>
        <w:ind w:right="540" w:firstLine="440"/>
        <w:spacing w:after="0" w:line="283" w:lineRule="auto"/>
        <w:rPr>
          <w:sz w:val="20"/>
          <w:szCs w:val="20"/>
          <w:color w:val="auto"/>
        </w:rPr>
      </w:pPr>
      <w:r>
        <w:rPr>
          <w:rFonts w:ascii="Times New Roman" w:cs="Times New Roman" w:eastAsia="Times New Roman" w:hAnsi="Times New Roman"/>
          <w:sz w:val="17"/>
          <w:szCs w:val="17"/>
          <w:color w:val="auto"/>
        </w:rPr>
        <w:t>During the fourth quarter of 2018, all of the remaining $7 million par value of the 7.375% Notes Due 2019 was redeemed by the Company, resulting in a realized loss on extinguishment of approximately $28,000. The Company subsequently surrendered these notes to the Trustee for cancellation.</w:t>
      </w:r>
    </w:p>
    <w:p>
      <w:pPr>
        <w:spacing w:after="0" w:line="111" w:lineRule="exact"/>
        <w:rPr>
          <w:sz w:val="20"/>
          <w:szCs w:val="20"/>
          <w:color w:val="auto"/>
        </w:rPr>
      </w:pPr>
    </w:p>
    <w:p>
      <w:pPr>
        <w:ind w:left="440" w:hanging="438"/>
        <w:spacing w:after="0"/>
        <w:tabs>
          <w:tab w:leader="none" w:pos="44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DISTRIBUTABLE TAXABLE INCOME</w:t>
      </w:r>
    </w:p>
    <w:p>
      <w:pPr>
        <w:spacing w:after="0" w:line="17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2019).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7"/>
          <w:szCs w:val="17"/>
          <w:color w:val="auto"/>
        </w:rPr>
        <w:t>The following reconciles net increase in net assets resulting from operations to taxable income for the nine months ended September 30,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gridSpan w:val="5"/>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w:t>
            </w: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FF0FC"/>
            </w:tcBorders>
          </w:tcPr>
          <w:p>
            <w:pPr>
              <w:spacing w:after="0"/>
              <w:rPr>
                <w:sz w:val="18"/>
                <w:szCs w:val="18"/>
                <w:color w:val="auto"/>
              </w:rPr>
            </w:pPr>
          </w:p>
        </w:tc>
        <w:tc>
          <w:tcPr>
            <w:tcW w:w="15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(decrease) increase in net assets resulting from operations</w:t>
            </w: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(16,016,674)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2,646,472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Net change in unrealized depreciation (appreciation) from investments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4,991,311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realized losses</w:t>
            </w: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16,796,465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306,410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Book/tax differences on CLO equity investments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859,602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(36,416)</w:t>
            </w:r>
          </w:p>
        </w:tc>
        <w:tc>
          <w:tcPr>
            <w:tcW w:w="0" w:type="dxa"/>
            <w:vAlign w:val="bottom"/>
          </w:tcPr>
          <w:p>
            <w:pPr>
              <w:spacing w:after="0"/>
              <w:rPr>
                <w:sz w:val="1"/>
                <w:szCs w:val="1"/>
                <w:color w:val="auto"/>
              </w:rPr>
            </w:pPr>
          </w:p>
        </w:tc>
      </w:tr>
      <w:tr>
        <w:trPr>
          <w:trHeight w:val="217"/>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Book/tax differences on lease impairment</w:t>
            </w: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1,431,030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6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 book/tax differences</w:t>
            </w:r>
          </w:p>
        </w:tc>
        <w:tc>
          <w:tcPr>
            <w:tcW w:w="15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1,847,644</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924,707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Taxable (loss) income before deductions for distributions</w:t>
            </w:r>
          </w:p>
        </w:tc>
        <w:tc>
          <w:tcPr>
            <w:tcW w:w="15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5,065,263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8,832,484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Taxable (loss) income before deductions for distributions per weighted</w:t>
            </w: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36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average basic shares for the period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28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Taxable (loss) income before deductions for distributions per weighted</w:t>
            </w:r>
          </w:p>
        </w:tc>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average diluted shares for the period</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7"/>
          <w:szCs w:val="17"/>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nine months ended September 30, 2018, the Asset Manager Affiliates declared a cash distribution of $1.9 million to the Company. The Company recognized $920,000 of dividends from the Asset Manager Affiliates, as reflected in the Company’s statement of operations for the nine months ended September 30, 2018. For the nine months ended September 30, 2018 the difference of $1.0 million between cash distributions received and the tax-basis earnings and profits of the distributing affiliate, are recorded as an adjustment to the cost basis in the Asset Manager Affiliate (i.e. tax-basis return of capital). During the nine months ended September 30, 2019 the Company did not receive a cash distribution from the Affiliated Manager Affiliates nor did they recognize any dividends.</w:t>
      </w:r>
    </w:p>
    <w:p>
      <w:pPr>
        <w:spacing w:after="0" w:line="5"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7"/>
          <w:szCs w:val="17"/>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0" w:lineRule="exact"/>
        <w:rPr>
          <w:sz w:val="20"/>
          <w:szCs w:val="20"/>
          <w:color w:val="auto"/>
        </w:rPr>
      </w:pPr>
    </w:p>
    <w:p>
      <w:pPr>
        <w:ind w:right="220" w:firstLine="440"/>
        <w:spacing w:after="0" w:line="283" w:lineRule="auto"/>
        <w:rPr>
          <w:sz w:val="20"/>
          <w:szCs w:val="20"/>
          <w:color w:val="auto"/>
        </w:rPr>
      </w:pPr>
      <w:r>
        <w:rPr>
          <w:rFonts w:ascii="Times New Roman" w:cs="Times New Roman" w:eastAsia="Times New Roman" w:hAnsi="Times New Roman"/>
          <w:sz w:val="17"/>
          <w:szCs w:val="17"/>
          <w:color w:val="auto"/>
        </w:rPr>
        <w:t>At September 30, 2019, the Company had a net capital loss carryforward of $101.4 million to offset net capital gains. This net capital loss carryforward is not subject to expiration.</w:t>
      </w:r>
    </w:p>
    <w:p>
      <w:pPr>
        <w:spacing w:after="0" w:line="115" w:lineRule="exact"/>
        <w:rPr>
          <w:sz w:val="20"/>
          <w:szCs w:val="20"/>
          <w:color w:val="auto"/>
        </w:rPr>
      </w:pPr>
    </w:p>
    <w:p>
      <w:pPr>
        <w:ind w:right="220" w:firstLine="440"/>
        <w:spacing w:after="0" w:line="283" w:lineRule="auto"/>
        <w:rPr>
          <w:sz w:val="20"/>
          <w:szCs w:val="20"/>
          <w:color w:val="auto"/>
        </w:rPr>
      </w:pPr>
      <w:r>
        <w:rPr>
          <w:rFonts w:ascii="Times New Roman" w:cs="Times New Roman" w:eastAsia="Times New Roman" w:hAnsi="Times New Roman"/>
          <w:sz w:val="17"/>
          <w:szCs w:val="17"/>
          <w:color w:val="auto"/>
        </w:rPr>
        <w:t>On August 6, 2019 the Company’s Board declared a distribution to shareholders of $0.06 per share for a total of $2.2 million. The record date was August 12, 2019 and the distribution was paid on August 29, 2019.</w:t>
      </w:r>
    </w:p>
    <w:p>
      <w:pPr>
        <w:spacing w:after="0" w:line="115"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7"/>
          <w:szCs w:val="17"/>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62" w:name="page63"/>
    <w:bookmarkEnd w:id="62"/>
    <w:p>
      <w:pPr>
        <w:ind w:right="160"/>
        <w:spacing w:after="0" w:line="283" w:lineRule="auto"/>
        <w:rPr>
          <w:sz w:val="20"/>
          <w:szCs w:val="20"/>
          <w:color w:val="auto"/>
        </w:rPr>
      </w:pPr>
      <w:r>
        <w:rPr>
          <w:rFonts w:ascii="Times New Roman" w:cs="Times New Roman" w:eastAsia="Times New Roman" w:hAnsi="Times New Roman"/>
          <w:sz w:val="17"/>
          <w:szCs w:val="17"/>
          <w:color w:val="auto"/>
        </w:rPr>
        <w:t>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23" w:lineRule="exact"/>
        <w:rPr>
          <w:sz w:val="20"/>
          <w:szCs w:val="20"/>
          <w:color w:val="auto"/>
        </w:rPr>
      </w:pPr>
    </w:p>
    <w:p>
      <w:pPr>
        <w:ind w:left="440" w:hanging="438"/>
        <w:spacing w:after="0"/>
        <w:tabs>
          <w:tab w:leader="none" w:pos="44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179"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September 30, 2019 and December 31, 2018, the Company had $28.3 million and $12.9 million outstanding commitments, respectively.</w:t>
      </w:r>
    </w:p>
    <w:p>
      <w:pPr>
        <w:spacing w:after="0" w:line="13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7"/>
          <w:szCs w:val="17"/>
          <w:color w:val="auto"/>
        </w:rPr>
        <w:t>The Company has made an aggregate commitment to the BCP Great Lakes Partnership of $50 million, subject to certain limitations (including that the Company is not obligated to fund capital calls if such funding would cause the Company to be out of compliance with certain provisions of the Investment Company Act of 1940). As of September 30, 2019 and December 31, 2018, the Company had a $25.9 million and $12.5 million, respectively unfunded commitment to the BCP Great Lakes Partnership, subject to the limitations noted above.</w:t>
      </w:r>
    </w:p>
    <w:p>
      <w:pPr>
        <w:spacing w:after="0" w:line="131"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7"/>
          <w:szCs w:val="17"/>
          <w:color w:val="auto"/>
        </w:rPr>
        <w:t>In the fourth quarter of 2018, the Company undertook the commitments under a lease obligation for its office space. Such obligation was previously with Katonah Debt Advisors. During 2018, the Company and the Asset Manager Affiliates shared the cost of such lease pursuant to an Overhead Allocation agreement. The Company’s portion of rent expense was approximately $491 thousand and $323 thousand for the nine months ended September 30, 2019 and 2018, respectively.</w:t>
      </w:r>
    </w:p>
    <w:p>
      <w:pPr>
        <w:spacing w:after="0" w:line="14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7"/>
          <w:szCs w:val="17"/>
          <w:color w:val="auto"/>
        </w:rPr>
        <w:t>Effective January 1, 2019, the Company adopted ASU 2016-02, “Leases (Topic 842)”. The right-of-use asset and lease liability related to the Company’s office lease were recognized at lease commencement by calculating the present value of lease payments over the lease term. The discount rate used in determining the lease liability was the Company’s estimated incremental borrowing rate of 6.03%. In calculating the initial operating lease liability, the effect of the discounting was approximately $626 thousand. The lease agreement expires on May 31, 2024.</w:t>
      </w:r>
    </w:p>
    <w:p>
      <w:pPr>
        <w:spacing w:after="0" w:line="13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7"/>
          <w:szCs w:val="17"/>
          <w:color w:val="auto"/>
        </w:rPr>
        <w:t>During the second quarter of 2019, the Company recognized an impairment to the operating lease right-of-use asset of approximately $1.4 million to reduce the right-of-use asset to its estimated fair market value. The remaining right of use asset will be amortized to expense in future periods as a component of Other general and administrative expenses. There was no impact to the lease liability as a result of this impairment. The Company intends to sublease its legacy office space, and the impairment charge was measured using a discounted cash flow analysis and recognized in the statement of operations during the second quarter of 2019 as a result of the Company’s estimated impact of entering into a sublease.</w:t>
      </w:r>
    </w:p>
    <w:p>
      <w:pPr>
        <w:spacing w:after="0" w:line="135"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7"/>
          <w:szCs w:val="17"/>
          <w:color w:val="auto"/>
        </w:rPr>
        <w:t>Excluding the impairment charge, the total operating lease costs were approximately $138 thousand and $491 thousand for the three and nine months ended September 30, 2019, respectively.</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future minimum lease payments as of September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5"/>
                <w:szCs w:val="15"/>
                <w:b w:val="1"/>
                <w:bCs w:val="1"/>
                <w:color w:val="auto"/>
              </w:rPr>
              <w:t>Payments Due by Period</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Total Cash</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More than 5</w:t>
            </w:r>
          </w:p>
        </w:tc>
        <w:tc>
          <w:tcPr>
            <w:tcW w:w="120" w:type="dxa"/>
            <w:vAlign w:val="bottom"/>
          </w:tcPr>
          <w:p>
            <w:pPr>
              <w:spacing w:after="0"/>
              <w:rPr>
                <w:sz w:val="16"/>
                <w:szCs w:val="16"/>
                <w:color w:val="auto"/>
              </w:rPr>
            </w:pPr>
          </w:p>
        </w:tc>
      </w:tr>
      <w:tr>
        <w:trPr>
          <w:trHeight w:val="205"/>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Operating lease</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Flows</w:t>
            </w: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2019</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2020</w:t>
            </w: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years</w:t>
            </w:r>
          </w:p>
        </w:tc>
        <w:tc>
          <w:tcPr>
            <w:tcW w:w="120" w:type="dxa"/>
            <w:vAlign w:val="bottom"/>
            <w:tcBorders>
              <w:bottom w:val="single" w:sz="8" w:color="CFF0FC"/>
            </w:tcBorders>
          </w:tcPr>
          <w:p>
            <w:pPr>
              <w:spacing w:after="0"/>
              <w:rPr>
                <w:sz w:val="17"/>
                <w:szCs w:val="17"/>
                <w:color w:val="auto"/>
              </w:rPr>
            </w:pPr>
          </w:p>
        </w:tc>
      </w:tr>
      <w:tr>
        <w:trPr>
          <w:trHeight w:val="200"/>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Contractual cash flows</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3,735,368</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200,109</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800,436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800,436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800,436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800,436</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333,515</w:t>
            </w:r>
          </w:p>
        </w:tc>
        <w:tc>
          <w:tcPr>
            <w:tcW w:w="120" w:type="dxa"/>
            <w:vAlign w:val="bottom"/>
            <w:shd w:val="clear" w:color="auto" w:fill="CFF0FC"/>
          </w:tcPr>
          <w:p>
            <w:pPr>
              <w:spacing w:after="0"/>
              <w:rPr>
                <w:sz w:val="17"/>
                <w:szCs w:val="17"/>
                <w:color w:val="auto"/>
              </w:rPr>
            </w:pPr>
          </w:p>
        </w:tc>
      </w:tr>
      <w:tr>
        <w:trPr>
          <w:trHeight w:val="202"/>
        </w:trPr>
        <w:tc>
          <w:tcPr>
            <w:tcW w:w="2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Discount effect on cash flows</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470,287</w:t>
            </w: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r>
      <w:tr>
        <w:trPr>
          <w:trHeight w:val="197"/>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Operating lease liability</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3,265,081</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
        </w:trPr>
        <w:tc>
          <w:tcPr>
            <w:tcW w:w="26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60"/>
          </w:cols>
          <w:pgMar w:left="240" w:top="289" w:right="199" w:bottom="1440" w:gutter="0" w:footer="0" w:header="0"/>
        </w:sectPr>
      </w:pPr>
    </w:p>
    <w:bookmarkStart w:id="63" w:name="page64"/>
    <w:bookmarkEnd w:id="63"/>
    <w:p>
      <w:pPr>
        <w:ind w:left="440" w:hanging="438"/>
        <w:spacing w:after="0"/>
        <w:tabs>
          <w:tab w:leader="none" w:pos="44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179" w:lineRule="exact"/>
        <w:rPr>
          <w:rFonts w:ascii="Times New Roman" w:cs="Times New Roman" w:eastAsia="Times New Roman" w:hAnsi="Times New Roman"/>
          <w:sz w:val="17"/>
          <w:szCs w:val="17"/>
          <w:b w:val="1"/>
          <w:bCs w:val="1"/>
          <w:color w:val="auto"/>
        </w:rPr>
      </w:pPr>
    </w:p>
    <w:p>
      <w:pPr>
        <w:ind w:left="4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details the components of Stockholders’ Equity for the nine months ended September 30, 2019 and 2018:</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 2019</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3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Capital in</w:t>
            </w:r>
          </w:p>
        </w:tc>
        <w:tc>
          <w:tcPr>
            <w:tcW w:w="100" w:type="dxa"/>
            <w:vAlign w:val="bottom"/>
          </w:tcPr>
          <w:p>
            <w:pPr>
              <w:spacing w:after="0"/>
              <w:rPr>
                <w:sz w:val="10"/>
                <w:szCs w:val="10"/>
                <w:color w:val="auto"/>
              </w:rPr>
            </w:pPr>
          </w:p>
        </w:tc>
        <w:tc>
          <w:tcPr>
            <w:tcW w:w="126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0"/>
                <w:szCs w:val="10"/>
                <w:color w:val="auto"/>
              </w:rPr>
            </w:pPr>
          </w:p>
        </w:tc>
        <w:tc>
          <w:tcPr>
            <w:tcW w:w="1120" w:type="dxa"/>
            <w:vAlign w:val="bottom"/>
          </w:tcPr>
          <w:p>
            <w:pPr>
              <w:jc w:val="center"/>
              <w:ind w:right="116"/>
              <w:spacing w:after="0" w:line="12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Excess</w:t>
            </w: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Distributable</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Stockholders'</w:t>
            </w:r>
          </w:p>
        </w:tc>
        <w:tc>
          <w:tcPr>
            <w:tcW w:w="0" w:type="dxa"/>
            <w:vAlign w:val="bottom"/>
          </w:tcPr>
          <w:p>
            <w:pPr>
              <w:spacing w:after="0"/>
              <w:rPr>
                <w:sz w:val="1"/>
                <w:szCs w:val="1"/>
                <w:color w:val="auto"/>
              </w:rPr>
            </w:pPr>
          </w:p>
        </w:tc>
      </w:tr>
      <w:tr>
        <w:trPr>
          <w:trHeight w:val="165"/>
        </w:trPr>
        <w:tc>
          <w:tcPr>
            <w:tcW w:w="4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of Par Value</w:t>
            </w: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(loss) earnings</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146"/>
        </w:trPr>
        <w:tc>
          <w:tcPr>
            <w:tcW w:w="4380" w:type="dxa"/>
            <w:vAlign w:val="bottom"/>
            <w:tcBorders>
              <w:top w:val="single" w:sz="8" w:color="CFF0FC"/>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color w:val="auto"/>
              </w:rPr>
              <w:t>Balance, January 1, 2019</w:t>
            </w:r>
          </w:p>
        </w:tc>
        <w:tc>
          <w:tcPr>
            <w:tcW w:w="15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373,268</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306,784,387</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(149,136,644)</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158,021,011</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Net investment loss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(2,195,187)</w:t>
            </w:r>
          </w:p>
        </w:tc>
        <w:tc>
          <w:tcPr>
            <w:tcW w:w="1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(2,195,187)</w:t>
            </w: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realized (losses) from investment transactions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(13,349,430)</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(13,349,430)</w:t>
            </w: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unrealized appreciation on investments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4,627,045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4,627,045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(3,732,836)</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(3,732,836)</w:t>
            </w: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Reinvested Dividends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56,334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259,042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258,936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380" w:type="dxa"/>
            <w:vAlign w:val="bottom"/>
            <w:tcBorders>
              <w:bottom w:val="single" w:sz="8" w:color="CFF0FC"/>
            </w:tcBorders>
          </w:tcPr>
          <w:p>
            <w:pPr>
              <w:spacing w:after="0" w:line="146" w:lineRule="exact"/>
              <w:rPr>
                <w:sz w:val="20"/>
                <w:szCs w:val="20"/>
                <w:color w:val="auto"/>
              </w:rPr>
            </w:pPr>
            <w:r>
              <w:rPr>
                <w:rFonts w:ascii="Times New Roman" w:cs="Times New Roman" w:eastAsia="Times New Roman" w:hAnsi="Times New Roman"/>
                <w:sz w:val="13"/>
                <w:szCs w:val="13"/>
                <w:color w:val="auto"/>
              </w:rPr>
              <w:t>Balance at March 31, 2019</w:t>
            </w:r>
          </w:p>
        </w:tc>
        <w:tc>
          <w:tcPr>
            <w:tcW w:w="1560" w:type="dxa"/>
            <w:vAlign w:val="bottom"/>
            <w:tcBorders>
              <w:bottom w:val="single" w:sz="8" w:color="CFF0FC"/>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373,317</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307,099,763</w:t>
            </w:r>
          </w:p>
        </w:tc>
        <w:tc>
          <w:tcPr>
            <w:tcW w:w="220" w:type="dxa"/>
            <w:vAlign w:val="bottom"/>
            <w:tcBorders>
              <w:bottom w:val="single" w:sz="8" w:color="CFF0FC"/>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(163,787,052)</w:t>
            </w:r>
          </w:p>
        </w:tc>
        <w:tc>
          <w:tcPr>
            <w:tcW w:w="220" w:type="dxa"/>
            <w:vAlign w:val="bottom"/>
            <w:tcBorders>
              <w:bottom w:val="single" w:sz="8" w:color="CFF0FC"/>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143,686,028</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3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3"/>
                <w:szCs w:val="13"/>
                <w:color w:val="auto"/>
              </w:rPr>
              <w:t>Net investment income</w:t>
            </w:r>
          </w:p>
        </w:tc>
        <w:tc>
          <w:tcPr>
            <w:tcW w:w="1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879,740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879,740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(losses) from investment transactions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(2,270,962)</w:t>
            </w:r>
          </w:p>
        </w:tc>
        <w:tc>
          <w:tcPr>
            <w:tcW w:w="1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(2,270,962)</w:t>
            </w: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change in unrealized appreciation on investments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542,900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542,900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(3,733,415)</w:t>
            </w:r>
          </w:p>
        </w:tc>
        <w:tc>
          <w:tcPr>
            <w:tcW w:w="1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(3,733,415)</w:t>
            </w: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Reinvested Dividends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73,056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73,300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4380" w:type="dxa"/>
            <w:vAlign w:val="bottom"/>
            <w:tcBorders>
              <w:top w:val="single" w:sz="8" w:color="CFF0FC"/>
              <w:bottom w:val="single" w:sz="8" w:color="CFF0FC"/>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color w:val="auto"/>
              </w:rPr>
              <w:t>Balance, June 30, 2019</w:t>
            </w:r>
          </w:p>
        </w:tc>
        <w:tc>
          <w:tcPr>
            <w:tcW w:w="156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373,561</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307,172,819</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(168,368,789)</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139,177,591</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investment income</w:t>
            </w: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38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2,242,433</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2,242,433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realized (losses) from investment transactions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(1,176,073)</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(1,176,073)</w:t>
            </w: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unrealized appreciation on investments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(5,317,142)</w:t>
            </w:r>
          </w:p>
        </w:tc>
        <w:tc>
          <w:tcPr>
            <w:tcW w:w="1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(5,317,142)</w:t>
            </w: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(2,241,522)</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(2,241,522)</w:t>
            </w: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Reinvested Dividends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37,567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43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 September 30, 2019</w:t>
            </w:r>
          </w:p>
        </w:tc>
        <w:tc>
          <w:tcPr>
            <w:tcW w:w="15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373,719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307,210,386</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(174,861,093)</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132,723,012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 2018</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3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Capital in</w:t>
            </w:r>
          </w:p>
        </w:tc>
        <w:tc>
          <w:tcPr>
            <w:tcW w:w="100" w:type="dxa"/>
            <w:vAlign w:val="bottom"/>
          </w:tcPr>
          <w:p>
            <w:pPr>
              <w:spacing w:after="0"/>
              <w:rPr>
                <w:sz w:val="10"/>
                <w:szCs w:val="10"/>
                <w:color w:val="auto"/>
              </w:rPr>
            </w:pPr>
          </w:p>
        </w:tc>
        <w:tc>
          <w:tcPr>
            <w:tcW w:w="126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0"/>
                <w:szCs w:val="10"/>
                <w:color w:val="auto"/>
              </w:rPr>
            </w:pPr>
          </w:p>
        </w:tc>
        <w:tc>
          <w:tcPr>
            <w:tcW w:w="1120" w:type="dxa"/>
            <w:vAlign w:val="bottom"/>
          </w:tcPr>
          <w:p>
            <w:pPr>
              <w:jc w:val="center"/>
              <w:ind w:right="116"/>
              <w:spacing w:after="0" w:line="12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Excess</w:t>
            </w: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Distributable</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Stockholders'</w:t>
            </w:r>
          </w:p>
        </w:tc>
        <w:tc>
          <w:tcPr>
            <w:tcW w:w="0" w:type="dxa"/>
            <w:vAlign w:val="bottom"/>
          </w:tcPr>
          <w:p>
            <w:pPr>
              <w:spacing w:after="0"/>
              <w:rPr>
                <w:sz w:val="1"/>
                <w:szCs w:val="1"/>
                <w:color w:val="auto"/>
              </w:rPr>
            </w:pPr>
          </w:p>
        </w:tc>
      </w:tr>
      <w:tr>
        <w:trPr>
          <w:trHeight w:val="165"/>
        </w:trPr>
        <w:tc>
          <w:tcPr>
            <w:tcW w:w="4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of Par Value</w:t>
            </w: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(loss) earnings</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146"/>
        </w:trPr>
        <w:tc>
          <w:tcPr>
            <w:tcW w:w="4380" w:type="dxa"/>
            <w:vAlign w:val="bottom"/>
            <w:tcBorders>
              <w:top w:val="single" w:sz="8" w:color="CFF0FC"/>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color w:val="auto"/>
              </w:rPr>
              <w:t>Balance, January 1, 2018</w:t>
            </w:r>
          </w:p>
        </w:tc>
        <w:tc>
          <w:tcPr>
            <w:tcW w:w="15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373,392</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329,789,716</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(148,358,532)</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181,804,576</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2,460,742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2,460,742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realized (losses) from investment transactions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Realized loss from extinguishment of debt</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(169,074)</w:t>
            </w:r>
          </w:p>
        </w:tc>
        <w:tc>
          <w:tcPr>
            <w:tcW w:w="1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(169,074)</w:t>
            </w: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change in unrealized (depreciation) on investments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314,624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314,624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(3,716,297)</w:t>
            </w:r>
          </w:p>
        </w:tc>
        <w:tc>
          <w:tcPr>
            <w:tcW w:w="1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(3,716,297)</w:t>
            </w: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Reinvested Dividends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51,407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51,560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252,855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252,855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80" w:type="dxa"/>
            <w:vAlign w:val="bottom"/>
            <w:tcBorders>
              <w:top w:val="single" w:sz="8" w:color="CFF0FC"/>
              <w:bottom w:val="single" w:sz="8" w:color="CFF0FC"/>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color w:val="auto"/>
              </w:rPr>
              <w:t>Balance, March 31, 2018</w:t>
            </w:r>
          </w:p>
        </w:tc>
        <w:tc>
          <w:tcPr>
            <w:tcW w:w="156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373,545</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330,093,978</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(149,465,436)</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181,002,087</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38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2,528,919</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2,528,919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realized (losses) from investment transactions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(3,671)</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(3,671)</w:t>
            </w: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Realized loss from extinguishment of debt</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change in unrealized (depreciation) on investments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(3,837,020)</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(3,837,020)</w:t>
            </w: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(3,717,821)</w:t>
            </w:r>
          </w:p>
        </w:tc>
        <w:tc>
          <w:tcPr>
            <w:tcW w:w="1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(3,717,821)</w:t>
            </w: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Reinvested Dividends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50,381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withheld for payroll taxes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(85,807)</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(85,807)</w:t>
            </w: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(284)</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208,322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208,038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380" w:type="dxa"/>
            <w:vAlign w:val="bottom"/>
            <w:tcBorders>
              <w:bottom w:val="single" w:sz="8" w:color="CFF0FC"/>
            </w:tcBorders>
          </w:tcPr>
          <w:p>
            <w:pPr>
              <w:spacing w:after="0" w:line="146" w:lineRule="exact"/>
              <w:rPr>
                <w:sz w:val="20"/>
                <w:szCs w:val="20"/>
                <w:color w:val="auto"/>
              </w:rPr>
            </w:pPr>
            <w:r>
              <w:rPr>
                <w:rFonts w:ascii="Times New Roman" w:cs="Times New Roman" w:eastAsia="Times New Roman" w:hAnsi="Times New Roman"/>
                <w:sz w:val="13"/>
                <w:szCs w:val="13"/>
                <w:color w:val="auto"/>
              </w:rPr>
              <w:t>Balance, June 30, 2018</w:t>
            </w:r>
          </w:p>
        </w:tc>
        <w:tc>
          <w:tcPr>
            <w:tcW w:w="1560" w:type="dxa"/>
            <w:vAlign w:val="bottom"/>
            <w:tcBorders>
              <w:bottom w:val="single" w:sz="8" w:color="CFF0FC"/>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373,419</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330,266,874</w:t>
            </w:r>
          </w:p>
        </w:tc>
        <w:tc>
          <w:tcPr>
            <w:tcW w:w="220" w:type="dxa"/>
            <w:vAlign w:val="bottom"/>
            <w:tcBorders>
              <w:bottom w:val="single" w:sz="8" w:color="CFF0FC"/>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(154,495,029)</w:t>
            </w:r>
          </w:p>
        </w:tc>
        <w:tc>
          <w:tcPr>
            <w:tcW w:w="220" w:type="dxa"/>
            <w:vAlign w:val="bottom"/>
            <w:tcBorders>
              <w:bottom w:val="single" w:sz="8" w:color="CFF0FC"/>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176,145,264</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3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3"/>
                <w:szCs w:val="13"/>
                <w:color w:val="auto"/>
              </w:rPr>
              <w:t>Net investment income (loss)</w:t>
            </w:r>
          </w:p>
        </w:tc>
        <w:tc>
          <w:tcPr>
            <w:tcW w:w="1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2,954,529</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2,954,529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(losses) from investment transactions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(136,766)</w:t>
            </w:r>
          </w:p>
        </w:tc>
        <w:tc>
          <w:tcPr>
            <w:tcW w:w="1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(136,766)</w:t>
            </w: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Realized loss from extinguishment of debt</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unrealized (depreciation) on investments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(1,468,914)</w:t>
            </w:r>
          </w:p>
        </w:tc>
        <w:tc>
          <w:tcPr>
            <w:tcW w:w="1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(1,468,914)</w:t>
            </w: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(3,723,206)</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(3,723,206)</w:t>
            </w: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Reinvested Dividends</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52,446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 withheld for payroll taxes</w:t>
            </w:r>
          </w:p>
        </w:tc>
        <w:tc>
          <w:tcPr>
            <w:tcW w:w="1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(936)</w:t>
            </w: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(936)</w:t>
            </w:r>
          </w:p>
        </w:tc>
        <w:tc>
          <w:tcPr>
            <w:tcW w:w="0" w:type="dxa"/>
            <w:vAlign w:val="bottom"/>
          </w:tcPr>
          <w:p>
            <w:pPr>
              <w:spacing w:after="0"/>
              <w:rPr>
                <w:sz w:val="1"/>
                <w:szCs w:val="1"/>
                <w:color w:val="auto"/>
              </w:rPr>
            </w:pPr>
          </w:p>
        </w:tc>
      </w:tr>
      <w:tr>
        <w:trPr>
          <w:trHeight w:val="15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86,016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80" w:type="dxa"/>
            <w:vAlign w:val="bottom"/>
            <w:tcBorders>
              <w:top w:val="single" w:sz="8" w:color="CFF0FC"/>
              <w:bottom w:val="single" w:sz="8" w:color="CFF0FC"/>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color w:val="auto"/>
              </w:rPr>
              <w:t>Balance, September 30, 2018</w:t>
            </w:r>
          </w:p>
        </w:tc>
        <w:tc>
          <w:tcPr>
            <w:tcW w:w="156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373,492</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330,404,400</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(156,869,386)</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173,908,506</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4" w:name="page65"/>
    <w:bookmarkEnd w:id="64"/>
    <w:p>
      <w:pPr>
        <w:ind w:right="180" w:firstLine="440"/>
        <w:spacing w:after="0" w:line="262" w:lineRule="auto"/>
        <w:rPr>
          <w:sz w:val="20"/>
          <w:szCs w:val="20"/>
          <w:color w:val="auto"/>
        </w:rPr>
      </w:pPr>
      <w:r>
        <w:rPr>
          <w:rFonts w:ascii="Times New Roman" w:cs="Times New Roman" w:eastAsia="Times New Roman" w:hAnsi="Times New Roman"/>
          <w:sz w:val="17"/>
          <w:szCs w:val="17"/>
          <w:color w:val="auto"/>
        </w:rPr>
        <w:t>During the nine months ended September 30, 2019 and 2018, the Company issued 55,637 and 46,942 shares, respectively, of common stock under its dividend reinvestment plan. For the nine months ended September 30, 2019, there were no grants of restricted stock, 10,571 shares were forfeited, and 113,382 shares vested. The total number of shares of the Company’s common stock outstanding as of September 30, 2019 and December 31, 2018 was 37,371,912 and 37,326,846, respectively.</w:t>
      </w:r>
    </w:p>
    <w:p>
      <w:pPr>
        <w:spacing w:after="0" w:line="127" w:lineRule="exact"/>
        <w:rPr>
          <w:sz w:val="20"/>
          <w:szCs w:val="20"/>
          <w:color w:val="auto"/>
        </w:rPr>
      </w:pPr>
    </w:p>
    <w:p>
      <w:pPr>
        <w:ind w:left="440" w:hanging="438"/>
        <w:spacing w:after="0"/>
        <w:tabs>
          <w:tab w:leader="none" w:pos="44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COMPENSATION PLANS</w:t>
      </w:r>
    </w:p>
    <w:p>
      <w:pPr>
        <w:spacing w:after="0" w:line="179"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7"/>
          <w:szCs w:val="17"/>
          <w:color w:val="auto"/>
        </w:rPr>
        <w:t>The Company had an equity incentive plan, established in 2006 and most recently amended, following approval by the Company’s Board and shareholders, on May 4, 2017 (the “Equity Incentive Plan”). The Company reserved 2,000,000 shares of common stock for issuance under the Equity Incentive Plan. In connection with the Closing, the Company terminated the Equity Incentive Plan and will no longer make grants pursuant to the plan. Prior to the Closing, restricted stock granted under the Equity Incentive Plan was granted at a price equal to the fair market value (market closing price) of the shares on the day such restricted stock is granted. Options granted under the Equity Incentive Plan were exercisable at a price equal to the fair market value (market closing price) of the shares on the day the option is granted.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179"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7"/>
          <w:szCs w:val="17"/>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In connection with the Closing, the Company terminated the 2008 Plan and will no longer make grants pursuant to the plan.</w:t>
      </w:r>
    </w:p>
    <w:p>
      <w:pPr>
        <w:spacing w:after="0" w:line="135" w:lineRule="exact"/>
        <w:rPr>
          <w:sz w:val="20"/>
          <w:szCs w:val="20"/>
          <w:color w:val="auto"/>
        </w:rPr>
      </w:pPr>
    </w:p>
    <w:p>
      <w:pPr>
        <w:ind w:right="340" w:firstLine="440"/>
        <w:spacing w:after="0" w:line="267" w:lineRule="auto"/>
        <w:rPr>
          <w:sz w:val="20"/>
          <w:szCs w:val="20"/>
          <w:color w:val="auto"/>
        </w:rPr>
      </w:pPr>
      <w:r>
        <w:rPr>
          <w:rFonts w:ascii="Times New Roman" w:cs="Times New Roman" w:eastAsia="Times New Roman" w:hAnsi="Times New Roman"/>
          <w:sz w:val="17"/>
          <w:szCs w:val="17"/>
          <w:color w:val="auto"/>
        </w:rPr>
        <w:t>Immediately prior to the Closing, by virtue of the Externalization and subject to the execution of an option cancellation agreement, each option to purchase shares of the Company’s common stock granted under the 2008 Plan that was outstanding immediately prior to the Externalization was cancelled in exchange for a payment in cash to the holder thereof.</w:t>
      </w:r>
    </w:p>
    <w:p>
      <w:pPr>
        <w:spacing w:after="0" w:line="141" w:lineRule="exact"/>
        <w:rPr>
          <w:sz w:val="20"/>
          <w:szCs w:val="20"/>
          <w:color w:val="auto"/>
        </w:rPr>
      </w:pPr>
    </w:p>
    <w:p>
      <w:pPr>
        <w:ind w:right="120" w:firstLine="440"/>
        <w:spacing w:after="0" w:line="283" w:lineRule="auto"/>
        <w:rPr>
          <w:sz w:val="20"/>
          <w:szCs w:val="20"/>
          <w:color w:val="auto"/>
        </w:rPr>
      </w:pPr>
      <w:r>
        <w:rPr>
          <w:rFonts w:ascii="Times New Roman" w:cs="Times New Roman" w:eastAsia="Times New Roman" w:hAnsi="Times New Roman"/>
          <w:sz w:val="17"/>
          <w:szCs w:val="17"/>
          <w:color w:val="auto"/>
        </w:rPr>
        <w:t>Information with respect to options granted, exercised and forfeited under the Equity Incentive Plan for the period January 1, 2018 through September 30, 2019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4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4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40" w:type="dxa"/>
            <w:vAlign w:val="bottom"/>
          </w:tcPr>
          <w:p>
            <w:pPr>
              <w:spacing w:after="0"/>
              <w:rPr>
                <w:sz w:val="17"/>
                <w:szCs w:val="17"/>
                <w:color w:val="auto"/>
              </w:rPr>
            </w:pPr>
          </w:p>
        </w:tc>
      </w:tr>
      <w:tr>
        <w:trPr>
          <w:trHeight w:val="205"/>
        </w:trPr>
        <w:tc>
          <w:tcPr>
            <w:tcW w:w="4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Intrinsic</w:t>
            </w:r>
          </w:p>
        </w:tc>
        <w:tc>
          <w:tcPr>
            <w:tcW w:w="40" w:type="dxa"/>
            <w:vAlign w:val="bottom"/>
          </w:tcPr>
          <w:p>
            <w:pPr>
              <w:spacing w:after="0"/>
              <w:rPr>
                <w:sz w:val="17"/>
                <w:szCs w:val="17"/>
                <w:color w:val="auto"/>
              </w:rPr>
            </w:pPr>
          </w:p>
        </w:tc>
      </w:tr>
      <w:tr>
        <w:trPr>
          <w:trHeight w:val="225"/>
        </w:trPr>
        <w:tc>
          <w:tcPr>
            <w:tcW w:w="4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Term (years)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Value</w:t>
            </w: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9"/>
                <w:szCs w:val="19"/>
                <w:color w:val="auto"/>
              </w:rPr>
            </w:pPr>
          </w:p>
        </w:tc>
      </w:tr>
      <w:tr>
        <w:trPr>
          <w:trHeight w:val="210"/>
        </w:trPr>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Options outstanding at January 1, 2018</w:t>
            </w:r>
          </w:p>
        </w:tc>
        <w:tc>
          <w:tcPr>
            <w:tcW w:w="17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7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Exercised</w:t>
            </w:r>
          </w:p>
        </w:tc>
        <w:tc>
          <w:tcPr>
            <w:tcW w:w="17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Expired unexercised</w:t>
            </w:r>
          </w:p>
        </w:tc>
        <w:tc>
          <w:tcPr>
            <w:tcW w:w="30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(5,000)</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Cancelled</w:t>
            </w:r>
          </w:p>
        </w:tc>
        <w:tc>
          <w:tcPr>
            <w:tcW w:w="30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(15,000)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Options outstanding at December 31, 2018</w:t>
            </w:r>
          </w:p>
        </w:tc>
        <w:tc>
          <w:tcPr>
            <w:tcW w:w="17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38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217"/>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7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Exercised</w:t>
            </w:r>
          </w:p>
        </w:tc>
        <w:tc>
          <w:tcPr>
            <w:tcW w:w="17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7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Cancelled</w:t>
            </w:r>
          </w:p>
        </w:tc>
        <w:tc>
          <w:tcPr>
            <w:tcW w:w="30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(30,000)</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Outstanding at September 30, 2019</w:t>
            </w:r>
          </w:p>
        </w:tc>
        <w:tc>
          <w:tcPr>
            <w:tcW w:w="1700" w:type="dxa"/>
            <w:vAlign w:val="bottom"/>
            <w:tcBorders>
              <w:bottom w:val="single" w:sz="8" w:color="CFF0FC"/>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CFF0F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FF0FC"/>
            </w:tcBorders>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r>
      <w:tr>
        <w:trPr>
          <w:trHeight w:val="19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vested at September 30, 2019</w:t>
            </w:r>
          </w:p>
        </w:tc>
        <w:tc>
          <w:tcPr>
            <w:tcW w:w="17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615"/>
        </w:trPr>
        <w:tc>
          <w:tcPr>
            <w:tcW w:w="4280" w:type="dxa"/>
            <w:vAlign w:val="bottom"/>
          </w:tcPr>
          <w:p>
            <w:pPr>
              <w:spacing w:after="0"/>
              <w:rPr>
                <w:sz w:val="24"/>
                <w:szCs w:val="24"/>
                <w:color w:val="auto"/>
              </w:rPr>
            </w:pPr>
          </w:p>
        </w:tc>
        <w:tc>
          <w:tcPr>
            <w:tcW w:w="17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65</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7"/>
        </w:trPr>
        <w:tc>
          <w:tcPr>
            <w:tcW w:w="42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65" w:name="page66"/>
    <w:bookmarkEnd w:id="65"/>
    <w:p>
      <w:pPr>
        <w:ind w:left="440" w:hanging="438"/>
        <w:spacing w:after="0"/>
        <w:tabs>
          <w:tab w:leader="none" w:pos="4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Represents the difference between the market value of shares of the Company on March 31, 2019 and the exercise price of the options.</w:t>
      </w:r>
    </w:p>
    <w:p>
      <w:pPr>
        <w:spacing w:after="0" w:line="175"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7"/>
          <w:szCs w:val="17"/>
          <w:color w:val="auto"/>
        </w:rPr>
        <w:t>The Company uses a Binary Option Pricing Model (American, call option) to establish the expected value of all stock option grants. For the three and nine months ended September 30, 2019 and 2018, the Company did not recognize any non-cash compensation expense related to stock options. At September 30, 2019, the Company had no remaining compensation costs related to unvested stock based awards.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w:t>
      </w:r>
    </w:p>
    <w:p>
      <w:pPr>
        <w:spacing w:after="0" w:line="179" w:lineRule="exact"/>
        <w:rPr>
          <w:sz w:val="20"/>
          <w:szCs w:val="20"/>
          <w:color w:val="auto"/>
        </w:rPr>
      </w:pPr>
    </w:p>
    <w:p>
      <w:pPr>
        <w:ind w:firstLine="440"/>
        <w:spacing w:after="0" w:line="283" w:lineRule="auto"/>
        <w:rPr>
          <w:sz w:val="20"/>
          <w:szCs w:val="20"/>
          <w:color w:val="auto"/>
        </w:rPr>
      </w:pPr>
      <w:r>
        <w:rPr>
          <w:rFonts w:ascii="Times New Roman" w:cs="Times New Roman" w:eastAsia="Times New Roman" w:hAnsi="Times New Roman"/>
          <w:sz w:val="17"/>
          <w:szCs w:val="17"/>
          <w:color w:val="auto"/>
        </w:rPr>
        <w:t>Awards of restricted stock granted under the Non-Employee Director Plan vest as follows: 50% of the shares vest on the grant date and the remaining 50% of the shares vest on the earlier of:</w:t>
      </w:r>
    </w:p>
    <w:p>
      <w:pPr>
        <w:spacing w:after="0" w:line="115" w:lineRule="exact"/>
        <w:rPr>
          <w:sz w:val="20"/>
          <w:szCs w:val="20"/>
          <w:color w:val="auto"/>
        </w:rPr>
      </w:pPr>
    </w:p>
    <w:p>
      <w:pPr>
        <w:ind w:left="640" w:hanging="198"/>
        <w:spacing w:after="0"/>
        <w:tabs>
          <w:tab w:leader="none" w:pos="6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anniversary of such grant, or</w:t>
      </w:r>
    </w:p>
    <w:p>
      <w:pPr>
        <w:spacing w:after="0" w:line="188" w:lineRule="exact"/>
        <w:rPr>
          <w:rFonts w:ascii="Times New Roman" w:cs="Times New Roman" w:eastAsia="Times New Roman" w:hAnsi="Times New Roman"/>
          <w:sz w:val="17"/>
          <w:szCs w:val="17"/>
          <w:color w:val="auto"/>
        </w:rPr>
      </w:pPr>
    </w:p>
    <w:p>
      <w:pPr>
        <w:ind w:left="700" w:hanging="258"/>
        <w:spacing w:after="0"/>
        <w:tabs>
          <w:tab w:leader="none" w:pos="7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immediately preceding the next annual meeting of shareholders.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May 4, 2017, 6,000 shares of restricted stock were awarded to the Company’s Board.</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May 3, 2018, 6,000 shares of restricted stock were awarded to the Company’s Board.</w:t>
      </w:r>
    </w:p>
    <w:p>
      <w:pPr>
        <w:spacing w:after="0" w:line="188"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7"/>
          <w:szCs w:val="17"/>
          <w:color w:val="auto"/>
        </w:rPr>
        <w:t>Immediately prior to the Closing all restrictions with respect to 3,000 shares of restricted stock outstanding and not previously forfeited under the Non-Employee Director Plan lapsed, and the holders of such restricted stock became entitled to receive a pro rata share of the payment due to stockholders of the Company pursuant to the Externalization Agreement.</w:t>
      </w:r>
    </w:p>
    <w:p>
      <w:pPr>
        <w:spacing w:after="0" w:line="128"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7"/>
          <w:szCs w:val="17"/>
          <w:color w:val="auto"/>
        </w:rPr>
        <w:t>On June 16, 2015, the Company received exemptive relief to repurchase shares of its common stock from its employees in connection with certain equity compensation plan arrangements. During the year ended December 31, 2018, the Company repurchased 26,681 shares, of common stock at an aggregate cost of approximately $86,000, in connection with the vesting of employee’s restricted stock, which is reflected as a reduction in Stockholders’ Equity at cost. These shares are not available to be reissued under the Company’s Equity Incentive Plan.</w:t>
      </w:r>
    </w:p>
    <w:p>
      <w:pPr>
        <w:spacing w:after="0" w:line="131" w:lineRule="exact"/>
        <w:rPr>
          <w:sz w:val="20"/>
          <w:szCs w:val="20"/>
          <w:color w:val="auto"/>
        </w:rPr>
      </w:pPr>
    </w:p>
    <w:p>
      <w:pPr>
        <w:ind w:right="620" w:firstLine="440"/>
        <w:spacing w:after="0" w:line="283" w:lineRule="auto"/>
        <w:rPr>
          <w:sz w:val="20"/>
          <w:szCs w:val="20"/>
          <w:color w:val="auto"/>
        </w:rPr>
      </w:pPr>
      <w:r>
        <w:rPr>
          <w:rFonts w:ascii="Times New Roman" w:cs="Times New Roman" w:eastAsia="Times New Roman" w:hAnsi="Times New Roman"/>
          <w:sz w:val="17"/>
          <w:szCs w:val="17"/>
          <w:color w:val="auto"/>
        </w:rPr>
        <w:t>On June 23, 2015, the Company’s Board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127" w:lineRule="exact"/>
        <w:rPr>
          <w:sz w:val="20"/>
          <w:szCs w:val="20"/>
          <w:color w:val="auto"/>
        </w:rPr>
      </w:pPr>
    </w:p>
    <w:p>
      <w:pPr>
        <w:ind w:right="500" w:firstLine="440"/>
        <w:spacing w:after="0" w:line="267" w:lineRule="auto"/>
        <w:rPr>
          <w:sz w:val="20"/>
          <w:szCs w:val="20"/>
          <w:color w:val="auto"/>
        </w:rPr>
      </w:pPr>
      <w:r>
        <w:rPr>
          <w:rFonts w:ascii="Times New Roman" w:cs="Times New Roman" w:eastAsia="Times New Roman" w:hAnsi="Times New Roman"/>
          <w:sz w:val="17"/>
          <w:szCs w:val="17"/>
          <w:color w:val="auto"/>
        </w:rPr>
        <w:t>On September 19, 2017, the Company’s Board approved the grant of 133,620 shares of restricted stock to the employees of the Company as partial compensation for their services. 50% of such awards were scheduled to vest on the third anniversary of the grant date and the remaining 50% of the shares were scheduled to vest on the fourth anniversary of the grant date.</w:t>
      </w:r>
    </w:p>
    <w:p>
      <w:pPr>
        <w:spacing w:after="0" w:line="128" w:lineRule="exact"/>
        <w:rPr>
          <w:sz w:val="20"/>
          <w:szCs w:val="20"/>
          <w:color w:val="auto"/>
        </w:rPr>
      </w:pPr>
    </w:p>
    <w:p>
      <w:pPr>
        <w:jc w:val="both"/>
        <w:ind w:right="40" w:firstLine="440"/>
        <w:spacing w:after="0" w:line="267" w:lineRule="auto"/>
        <w:rPr>
          <w:sz w:val="20"/>
          <w:szCs w:val="20"/>
          <w:color w:val="auto"/>
        </w:rPr>
      </w:pPr>
      <w:r>
        <w:rPr>
          <w:rFonts w:ascii="Times New Roman" w:cs="Times New Roman" w:eastAsia="Times New Roman" w:hAnsi="Times New Roman"/>
          <w:sz w:val="17"/>
          <w:szCs w:val="17"/>
          <w:color w:val="auto"/>
        </w:rPr>
        <w:t>Immediately prior to the Closing, 110,382 shares of restricted stock outstanding and not previously forfeited under the Equity Incentive Plan and the 2008 Plan (as defined below) became fully vested, all restrictions with respect to such restricted stock lapsed, and the holders of such restricted stock became entitled to receive a pro rata share of the payment due to stockholders of the Company pursuant to the Externalization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6" w:name="page67"/>
    <w:bookmarkEnd w:id="66"/>
    <w:p>
      <w:pPr>
        <w:ind w:right="380" w:firstLine="440"/>
        <w:spacing w:after="0" w:line="283" w:lineRule="auto"/>
        <w:rPr>
          <w:sz w:val="20"/>
          <w:szCs w:val="20"/>
          <w:color w:val="auto"/>
        </w:rPr>
      </w:pPr>
      <w:r>
        <w:rPr>
          <w:rFonts w:ascii="Times New Roman" w:cs="Times New Roman" w:eastAsia="Times New Roman" w:hAnsi="Times New Roman"/>
          <w:sz w:val="17"/>
          <w:szCs w:val="17"/>
          <w:color w:val="auto"/>
        </w:rPr>
        <w:t>Information with respect to restricted stock granted, exercised and forfeited under the Plan for the period January 1, 2018 through September 30, 2019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40" w:type="dxa"/>
            <w:vAlign w:val="bottom"/>
          </w:tcPr>
          <w:p>
            <w:pPr>
              <w:spacing w:after="0"/>
              <w:rPr>
                <w:sz w:val="17"/>
                <w:szCs w:val="17"/>
                <w:color w:val="auto"/>
              </w:rPr>
            </w:pP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Non-vested</w:t>
            </w:r>
          </w:p>
        </w:tc>
      </w:tr>
      <w:tr>
        <w:trPr>
          <w:trHeight w:val="205"/>
        </w:trPr>
        <w:tc>
          <w:tcPr>
            <w:tcW w:w="9140" w:type="dxa"/>
            <w:vAlign w:val="bottom"/>
          </w:tcPr>
          <w:p>
            <w:pPr>
              <w:spacing w:after="0"/>
              <w:rPr>
                <w:sz w:val="17"/>
                <w:szCs w:val="17"/>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Restricted</w:t>
            </w:r>
          </w:p>
        </w:tc>
      </w:tr>
      <w:tr>
        <w:trPr>
          <w:trHeight w:val="225"/>
        </w:trPr>
        <w:tc>
          <w:tcPr>
            <w:tcW w:w="9140" w:type="dxa"/>
            <w:vAlign w:val="bottom"/>
          </w:tcPr>
          <w:p>
            <w:pPr>
              <w:spacing w:after="0"/>
              <w:rPr>
                <w:sz w:val="19"/>
                <w:szCs w:val="19"/>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Shares</w:t>
            </w:r>
          </w:p>
        </w:tc>
      </w:tr>
      <w:tr>
        <w:trPr>
          <w:trHeight w:val="210"/>
        </w:trPr>
        <w:tc>
          <w:tcPr>
            <w:tcW w:w="9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Non-vested shares outstanding at January 1, 2018</w:t>
            </w:r>
          </w:p>
        </w:tc>
        <w:tc>
          <w:tcPr>
            <w:tcW w:w="2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297,199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91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00" w:type="dxa"/>
            <w:vAlign w:val="bottom"/>
          </w:tcPr>
          <w:p>
            <w:pPr>
              <w:spacing w:after="0"/>
              <w:rPr>
                <w:sz w:val="18"/>
                <w:szCs w:val="18"/>
                <w:color w:val="auto"/>
              </w:rPr>
            </w:pPr>
          </w:p>
        </w:tc>
      </w:tr>
      <w:tr>
        <w:trPr>
          <w:trHeight w:val="217"/>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Vested</w:t>
            </w:r>
          </w:p>
        </w:tc>
        <w:tc>
          <w:tcPr>
            <w:tcW w:w="2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(122,878)</w:t>
            </w:r>
          </w:p>
        </w:tc>
      </w:tr>
      <w:tr>
        <w:trPr>
          <w:trHeight w:val="217"/>
        </w:trPr>
        <w:tc>
          <w:tcPr>
            <w:tcW w:w="914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(56,368)</w:t>
            </w:r>
          </w:p>
        </w:tc>
      </w:tr>
      <w:tr>
        <w:trPr>
          <w:trHeight w:val="210"/>
        </w:trPr>
        <w:tc>
          <w:tcPr>
            <w:tcW w:w="9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Non-vested shares outstanding at December 31, 2018</w:t>
            </w:r>
          </w:p>
        </w:tc>
        <w:tc>
          <w:tcPr>
            <w:tcW w:w="2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123,953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91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Vested</w:t>
            </w:r>
          </w:p>
        </w:tc>
        <w:tc>
          <w:tcPr>
            <w:tcW w:w="2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(113,382)</w:t>
            </w:r>
          </w:p>
        </w:tc>
      </w:tr>
      <w:tr>
        <w:trPr>
          <w:trHeight w:val="217"/>
        </w:trPr>
        <w:tc>
          <w:tcPr>
            <w:tcW w:w="914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(10,571)</w:t>
            </w:r>
          </w:p>
        </w:tc>
      </w:tr>
      <w:tr>
        <w:trPr>
          <w:trHeight w:val="210"/>
        </w:trPr>
        <w:tc>
          <w:tcPr>
            <w:tcW w:w="9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Non-Vested Outstanding at September 30, 2019</w:t>
            </w:r>
          </w:p>
        </w:tc>
        <w:tc>
          <w:tcPr>
            <w:tcW w:w="2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7"/>
          <w:szCs w:val="17"/>
          <w:color w:val="auto"/>
        </w:rPr>
        <w:t>For the three and nine months ended September 30, 2019, non-cash compensation expense related to restricted stock was approximately $0 and $259,000; all of which was expensed by the Company. For the three months ended September 30, 2018, non-cash compensation expense related to restricted stock was approximately $87,000; of this amount approximately $32,000 was expensed by the Company, and approximately $55,000 was a reimbursable expense allocated to the Asset Manager Affiliates. For the nine months ended September 30, 2018, non-cash compensation expense related to restricted stock was approximately $574,000; of this amount approximately $217,000 was expensed by the Company, and approximately $357,000 was a reimbursable expense allocated to the Asset Manager Affiliates.</w:t>
      </w:r>
    </w:p>
    <w:p>
      <w:pPr>
        <w:spacing w:after="0" w:line="148" w:lineRule="exact"/>
        <w:rPr>
          <w:sz w:val="20"/>
          <w:szCs w:val="20"/>
          <w:color w:val="auto"/>
        </w:rPr>
      </w:pPr>
    </w:p>
    <w:p>
      <w:pPr>
        <w:ind w:right="120" w:firstLine="440"/>
        <w:spacing w:after="0" w:line="283" w:lineRule="auto"/>
        <w:rPr>
          <w:sz w:val="20"/>
          <w:szCs w:val="20"/>
          <w:color w:val="auto"/>
        </w:rPr>
      </w:pPr>
      <w:r>
        <w:rPr>
          <w:rFonts w:ascii="Times New Roman" w:cs="Times New Roman" w:eastAsia="Times New Roman" w:hAnsi="Times New Roman"/>
          <w:sz w:val="17"/>
          <w:szCs w:val="17"/>
          <w:color w:val="auto"/>
        </w:rPr>
        <w:t>Distributions are paid on all outstanding shares of restricted stock, whether or not vested. In general, shares of unvested restricted stock were forfeited upon the recipient’s termination of employment.</w:t>
      </w:r>
    </w:p>
    <w:p>
      <w:pPr>
        <w:spacing w:after="0" w:line="111" w:lineRule="exact"/>
        <w:rPr>
          <w:sz w:val="20"/>
          <w:szCs w:val="20"/>
          <w:color w:val="auto"/>
        </w:rPr>
      </w:pPr>
    </w:p>
    <w:p>
      <w:pPr>
        <w:ind w:left="440" w:hanging="438"/>
        <w:spacing w:after="0"/>
        <w:tabs>
          <w:tab w:leader="none" w:pos="44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EMPLOYEE COMPENSATION</w:t>
      </w:r>
    </w:p>
    <w:p>
      <w:pPr>
        <w:spacing w:after="0" w:line="179" w:lineRule="exact"/>
        <w:rPr>
          <w:sz w:val="20"/>
          <w:szCs w:val="20"/>
          <w:color w:val="auto"/>
        </w:rPr>
      </w:pPr>
    </w:p>
    <w:p>
      <w:pPr>
        <w:jc w:val="both"/>
        <w:ind w:right="160" w:firstLine="440"/>
        <w:spacing w:after="0" w:line="258" w:lineRule="auto"/>
        <w:rPr>
          <w:sz w:val="20"/>
          <w:szCs w:val="20"/>
          <w:color w:val="auto"/>
        </w:rPr>
      </w:pPr>
      <w:r>
        <w:rPr>
          <w:rFonts w:ascii="Times New Roman" w:cs="Times New Roman" w:eastAsia="Times New Roman" w:hAnsi="Times New Roman"/>
          <w:sz w:val="17"/>
          <w:szCs w:val="17"/>
          <w:color w:val="auto"/>
        </w:rPr>
        <w:t>The Company adopted a 401(k) plan (“401K Plan”) effective January 1, 2007. The 401K Plan was open to all full time employees. The 401K Plan permits an employee to defer a portion of their total annual compensation up to the Internal Revenue Service annual maximum based on age and eligibility. The Company made contributions to the 401K Plan of up to 2% of the Internal Revenue Service’s annual maximum eligible compensation, which fully vests at the time of contribution.</w:t>
      </w:r>
    </w:p>
    <w:p>
      <w:pPr>
        <w:spacing w:after="0" w:line="1"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7"/>
          <w:szCs w:val="17"/>
          <w:color w:val="auto"/>
        </w:rPr>
        <w:t>Approximately $9,000 was expensed during the three and nine months ended September 30, 2019, respectively, related to the 401K Plan. Approximately $11,000 and $31,000 was expensed during the three and nine months ended September 30, 2018, respectively, related to the 401K Plan. This Plan was terminated effective March 31, 2019.</w:t>
      </w:r>
    </w:p>
    <w:p>
      <w:pPr>
        <w:spacing w:after="0" w:line="138" w:lineRule="exact"/>
        <w:rPr>
          <w:sz w:val="20"/>
          <w:szCs w:val="20"/>
          <w:color w:val="auto"/>
        </w:rPr>
      </w:pPr>
    </w:p>
    <w:p>
      <w:pPr>
        <w:jc w:val="both"/>
        <w:ind w:right="160" w:firstLine="440"/>
        <w:spacing w:after="0" w:line="258" w:lineRule="auto"/>
        <w:rPr>
          <w:sz w:val="20"/>
          <w:szCs w:val="20"/>
          <w:color w:val="auto"/>
        </w:rPr>
      </w:pPr>
      <w:r>
        <w:rPr>
          <w:rFonts w:ascii="Times New Roman" w:cs="Times New Roman" w:eastAsia="Times New Roman" w:hAnsi="Times New Roman"/>
          <w:sz w:val="17"/>
          <w:szCs w:val="17"/>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7"/>
          <w:szCs w:val="17"/>
          <w:color w:val="auto"/>
        </w:rPr>
        <w:t>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$21,000 and $93,000 was expensed during the three and nine months ended September 30, 2018, related to the Profit-Sharing Plan. This Plan was terminated effective March 31, 2019, and no expense was recognized during the nine months ended September 30, 2019.</w:t>
      </w:r>
    </w:p>
    <w:p>
      <w:pPr>
        <w:spacing w:after="0" w:line="146" w:lineRule="exact"/>
        <w:rPr>
          <w:sz w:val="20"/>
          <w:szCs w:val="20"/>
          <w:color w:val="auto"/>
        </w:rPr>
      </w:pPr>
    </w:p>
    <w:p>
      <w:pPr>
        <w:ind w:left="440" w:hanging="438"/>
        <w:spacing w:after="0"/>
        <w:tabs>
          <w:tab w:leader="none" w:pos="44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18"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7"/>
          <w:szCs w:val="17"/>
          <w:color w:val="auto"/>
        </w:rPr>
        <w:t>On November 5, 2019, the Company and OHA Investment Corporation (“OHAI”) filed a combined prospectus and proxy statement related to the Company’s proposed acquisition of OHAI pursuant to a definitive agreement entered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color w:val="auto"/>
        </w:rPr>
        <w:t>into on August 1, 2019. The special meeting of the stockholders of OHAI is expected to be held on December 12, 2019.</w:t>
      </w:r>
    </w:p>
    <w:p>
      <w:pPr>
        <w:spacing w:after="0" w:line="380"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7"/>
          <w:szCs w:val="17"/>
          <w:color w:val="auto"/>
        </w:rPr>
        <w:t>On November 1, 2019, the Company executed a surrender agreement with respect to the lease for office space formally occupied by the Company. The surrender agreement required the Company to make a payment of $1.6 million to the landlord, which was approximately the amount of the Company’s lease liability as of September 30, 2019, net of the lease right-of-use asset. The termination payment was made on November 1, 2019.</w:t>
      </w:r>
    </w:p>
    <w:p>
      <w:pPr>
        <w:spacing w:after="0" w:line="141"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The Company has evaluated events and transactions occurring subsequent to September 30, 2019 for items that should potentially be recognized or disclosed in these financial statements. Other than as described above, management has determined that there are no other material subsequent events that would require adjustment to, or disclosure in, these consolidated financial statements.</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40"/>
          </w:cols>
          <w:pgMar w:left="240" w:top="123" w:right="319" w:bottom="1440" w:gutter="0" w:footer="0" w:header="0"/>
        </w:sectPr>
      </w:pPr>
    </w:p>
    <w:bookmarkStart w:id="68" w:name="page69"/>
    <w:bookmarkEnd w:id="68"/>
    <w:p>
      <w:pPr>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9" w:lineRule="exact"/>
        <w:rPr>
          <w:sz w:val="20"/>
          <w:szCs w:val="20"/>
          <w:color w:val="auto"/>
        </w:rPr>
      </w:pPr>
    </w:p>
    <w:p>
      <w:pPr>
        <w:ind w:right="480" w:firstLine="440"/>
        <w:spacing w:after="0" w:line="283" w:lineRule="auto"/>
        <w:rPr>
          <w:sz w:val="20"/>
          <w:szCs w:val="20"/>
          <w:color w:val="auto"/>
        </w:rPr>
      </w:pPr>
      <w:r>
        <w:rPr>
          <w:rFonts w:ascii="Times New Roman" w:cs="Times New Roman" w:eastAsia="Times New Roman" w:hAnsi="Times New Roman"/>
          <w:sz w:val="17"/>
          <w:szCs w:val="17"/>
          <w:color w:val="auto"/>
        </w:rPr>
        <w:t>The following discussion and analysis should be read in conjunction with the Portman Ridge Finance Corporation’s condensed and consolidated financial statements and related notes included in this Quarterly Report on Form 10-Q.</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79" w:lineRule="exact"/>
        <w:rPr>
          <w:sz w:val="20"/>
          <w:szCs w:val="20"/>
          <w:color w:val="auto"/>
        </w:rPr>
      </w:pPr>
    </w:p>
    <w:p>
      <w:pPr>
        <w:ind w:right="600" w:firstLine="440"/>
        <w:spacing w:after="0" w:line="283" w:lineRule="auto"/>
        <w:rPr>
          <w:sz w:val="20"/>
          <w:szCs w:val="20"/>
          <w:color w:val="auto"/>
        </w:rPr>
      </w:pPr>
      <w:r>
        <w:rPr>
          <w:rFonts w:ascii="Times New Roman" w:cs="Times New Roman" w:eastAsia="Times New Roman" w:hAnsi="Times New Roman"/>
          <w:sz w:val="17"/>
          <w:szCs w:val="17"/>
          <w:color w:val="auto"/>
        </w:rPr>
        <w:t>Since April 1, 2019, we have been an externally managed, non-diversified closed-end investment company that has elected to be regulated as a business development company (“BDC”) under the Investment Company Act of 1940, as amended (the “1940 Act”).</w:t>
      </w:r>
    </w:p>
    <w:p>
      <w:pPr>
        <w:spacing w:after="0" w:line="11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7"/>
          <w:szCs w:val="17"/>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its debt investments.</w:t>
      </w:r>
    </w:p>
    <w:p>
      <w:pPr>
        <w:spacing w:after="0" w:line="14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7"/>
          <w:szCs w:val="17"/>
          <w:color w:val="auto"/>
        </w:rPr>
        <w:t>On November 8, 2018, we entered into an agreement with LibreMax Intermediate Holdings, LP (“LibreMax”) under which our wholly-owned subsidiary Commodore Holdings, LLC (“Commodore”) agreed to sell Katonah Debt Advisors, L.L.C. (“Katonah Debt Advisors”), Trimaran Advisors, L.L.C. (“Trimaran Advisors”), and Trimaran Advisors Management, L.L.C. (“Trimaran Advisors Management” and, together with Katonah Debt Advisors and Trimaran Advisors, the “Disposed Manager Affiliates”) to LibreMax for a cash purchase price of approximately $37.9 million (the “LibreMax Transaction”). In connection with the closing of the LibreMax Transaction on December 31, 2018, Commodore sold the Disposed Manager Affiliates, which manage collateralized loan obligation funds (“CLO Funds”), to LibreMax for a cash purchase price of approximately $37.9 million.</w:t>
      </w:r>
    </w:p>
    <w:p>
      <w:pPr>
        <w:spacing w:after="0" w:line="138"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7"/>
          <w:szCs w:val="17"/>
          <w:color w:val="auto"/>
        </w:rPr>
        <w:t>As of September 30, 2019, our remaining asset management subsidiaries (the “Asset Manager Affiliates”) were comprised of Commodore, Katonah Management Holdings, LLC, Katonah X Management LLC (“Katonah X Management”), Katonah 2007-1 Management, LLC (“Katonah 2007-I Management”) and KCAP Management, LLC. Commodore, Katonah X Management and Katonah 2007-1 Management have no operations and are expected to be liquidated in the normal course.</w:t>
      </w:r>
    </w:p>
    <w:p>
      <w:pPr>
        <w:spacing w:after="0" w:line="13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7"/>
          <w:szCs w:val="17"/>
          <w:color w:val="auto"/>
        </w:rPr>
        <w:t>On December 14, 2018, we entered into a stock purchase and transaction agreement (the “Externalization Agreement”) with BC Partners Advisors L.P. (“BCP”), an affiliate of BC Partners LLP (“BC Partners”), pursuant to which our management function would be externalized (the “Externalization”) and Sierra Crest Investment Management LLC, an affiliate of BC Partners (the “Adviser”) would be appointed as our investment adviser, subject to our stockholders’ approval of the proposed investment advisory agreement between us and the Adviser (the “Advisory Agreement”). At a special meeting of our stockholders (the “Special Meeting”) held on February 19, 2019, our stockholders approved the Advisory Agreement. Upon closing of the Externalization (the “Closing”) on April 1, 2019, the Company commenced operations as an externally managed BDC managed by the Adviser.</w:t>
      </w:r>
    </w:p>
    <w:p>
      <w:pPr>
        <w:spacing w:after="0" w:line="15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7"/>
          <w:szCs w:val="17"/>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w:t>
      </w:r>
    </w:p>
    <w:p>
      <w:pPr>
        <w:spacing w:after="0" w:line="139"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7"/>
          <w:szCs w:val="17"/>
          <w:color w:val="auto"/>
        </w:rPr>
        <w:t>Our investment in CLO Fund Securities are primarily managed by our formerly wholly-owned asset management subsidiaries Trimaran Advisors and Trimaran Advisors Management, L.L.C. From time-to-time we have also made investments in CLO Fund Securities managed by other asset managers. The CLO Funds typically invest in broadly syndicated loans, high-yield bonds and other credit instruments. Our investments in CLO Fund Securities are anticipated to provide us with recurring cash distributions.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9" w:name="page70"/>
    <w:bookmarkEnd w:id="69"/>
    <w:p>
      <w:pPr>
        <w:ind w:right="40" w:firstLine="440"/>
        <w:spacing w:after="0" w:line="259" w:lineRule="auto"/>
        <w:rPr>
          <w:sz w:val="20"/>
          <w:szCs w:val="20"/>
          <w:color w:val="auto"/>
        </w:rPr>
      </w:pPr>
      <w:r>
        <w:rPr>
          <w:rFonts w:ascii="Times New Roman" w:cs="Times New Roman" w:eastAsia="Times New Roman" w:hAnsi="Times New Roman"/>
          <w:sz w:val="17"/>
          <w:szCs w:val="17"/>
          <w:color w:val="auto"/>
        </w:rPr>
        <w:t>Subject to market conditions, we intend to grow our portfolio of assets by raising additional capital, including through the prudent use of leverage available to us. As a BDC, we are limited in the amount of leverage we can incur under the 1940 Act. Effective March 29, 2019, we are only allowed to borrow amounts such that our asset coverage, as defined in the 1940 Act, equals at least 150% after such borrowing. We will continue to be prohibited by the indentures governing our 6.125% Notes due 2022 (the “6.125% Notes due 2022”) from making distributions on our common stock if our asset coverage, as defined in the 1940 Act, falls below 200%. See Note 7 - “Borrowings” to our consolidated financial statements.</w:t>
      </w:r>
    </w:p>
    <w:p>
      <w:pPr>
        <w:spacing w:after="0" w:line="148"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7"/>
          <w:szCs w:val="17"/>
          <w:color w:val="auto"/>
        </w:rPr>
        <w:t>We have elected to be treated for U.S. federal income tax purposes as a regulated investment company (“RIC”) under the Internal Revenue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As a RIC, we generally will not have to pay corporate-level U.S. federal income taxes on any income that we timely distribute to our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Externalization Agreement</w:t>
      </w:r>
    </w:p>
    <w:p>
      <w:pPr>
        <w:spacing w:after="0" w:line="17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7"/>
          <w:szCs w:val="17"/>
          <w:color w:val="auto"/>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our common stock for such one-year period to be at least equal to $0.40 per share, subject to certain adjustments.</w:t>
      </w:r>
    </w:p>
    <w:p>
      <w:pPr>
        <w:spacing w:after="0" w:line="152" w:lineRule="exact"/>
        <w:rPr>
          <w:sz w:val="20"/>
          <w:szCs w:val="20"/>
          <w:color w:val="auto"/>
        </w:rPr>
      </w:pPr>
    </w:p>
    <w:p>
      <w:pPr>
        <w:ind w:right="40" w:firstLine="440"/>
        <w:spacing w:after="0" w:line="283" w:lineRule="auto"/>
        <w:rPr>
          <w:sz w:val="20"/>
          <w:szCs w:val="20"/>
          <w:color w:val="auto"/>
        </w:rPr>
      </w:pPr>
      <w:r>
        <w:rPr>
          <w:rFonts w:ascii="Times New Roman" w:cs="Times New Roman" w:eastAsia="Times New Roman" w:hAnsi="Times New Roman"/>
          <w:sz w:val="17"/>
          <w:szCs w:val="17"/>
          <w:color w:val="auto"/>
        </w:rPr>
        <w:t>On the date of the Closing, we changed our name from KCAP Financial, Inc. to Portman Ridge Finance Corporation and on April 2, 2019, began trading on the NASDAQ Global Select Market under the symbol “PTMN.”</w:t>
      </w:r>
    </w:p>
    <w:p>
      <w:pPr>
        <w:spacing w:after="0" w:line="115"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7"/>
          <w:szCs w:val="17"/>
          <w:color w:val="auto"/>
        </w:rPr>
        <w:t>On April 1, 2019, in connection with the Closing, all of our then-current directors resigned from their positions on our Board of Directors (the “Board”), with the exceptions of Dean Kehler and Christopher Lacovara. Prior to their resignations, the Board approved an increase in the size of the Board from seven members to eight members and appointed the following new individuals to serve on the Board: Graeme Dell; Alexander Duka; Ted Goldthorpe; George Grunebaum; David Moffitt; and Robert Warshauer. Additionally, in connection with the Closing all of the Company’s then-current officers resigned from their positions with the exceptions of Edward Gilpin and Daniel Gilligan. Effective as of the Closing, Ted Goldthorpe was appointed as President and Chief Executive Officer and Patrick Schafer was appointed as Chief Investment Officer of the Company. In May 2019, Mr. Gilligan resigned as Chief Compliance officer, and Andrew Devine was appointed Chief Compliance Officer.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the Adviser</w:t>
      </w:r>
    </w:p>
    <w:p>
      <w:pPr>
        <w:spacing w:after="0" w:line="192"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The Adviser is an affiliate of BC Partners. LibreMax owns a minority stake in the Adviser.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128"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7"/>
          <w:szCs w:val="17"/>
          <w:color w:val="auto"/>
        </w:rPr>
        <w:t>The Adviser seeks to invest on our behalf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80"/>
          </w:cols>
          <w:pgMar w:left="240" w:top="289" w:right="2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color w:val="auto"/>
        </w:rPr>
        <w:t>Advisory Agreement</w:t>
      </w:r>
    </w:p>
    <w:p>
      <w:pPr>
        <w:spacing w:after="0" w:line="192" w:lineRule="exact"/>
        <w:rPr>
          <w:sz w:val="20"/>
          <w:szCs w:val="20"/>
          <w:color w:val="auto"/>
        </w:rPr>
      </w:pPr>
    </w:p>
    <w:p>
      <w:pPr>
        <w:ind w:right="100" w:firstLine="440"/>
        <w:spacing w:after="0" w:line="283" w:lineRule="auto"/>
        <w:rPr>
          <w:sz w:val="20"/>
          <w:szCs w:val="20"/>
          <w:color w:val="auto"/>
        </w:rPr>
      </w:pPr>
      <w:r>
        <w:rPr>
          <w:rFonts w:ascii="Times New Roman" w:cs="Times New Roman" w:eastAsia="Times New Roman" w:hAnsi="Times New Roman"/>
          <w:sz w:val="17"/>
          <w:szCs w:val="17"/>
          <w:color w:val="auto"/>
        </w:rPr>
        <w:t>The Adviser provides management services to us pursuant to the Advisory Agreement. Under the terms of the Investment Advisory Agreement, the Adviser is responsible for the following:</w:t>
      </w:r>
    </w:p>
    <w:p>
      <w:pPr>
        <w:spacing w:after="0" w:line="115" w:lineRule="exact"/>
        <w:rPr>
          <w:sz w:val="20"/>
          <w:szCs w:val="20"/>
          <w:color w:val="auto"/>
        </w:rPr>
      </w:pPr>
    </w:p>
    <w:p>
      <w:pPr>
        <w:ind w:left="880" w:hanging="443"/>
        <w:spacing w:after="0"/>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assets in accordance with our investment objective, policies and restrictions;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the composition of our portfolio, the nature and timing of the changes to our portfolio and the manner of implementing such changes;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evaluating and negotiating the structure of our investments;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our investments;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the securities and other assets we will purchase, retain or sell;</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with its valuation of our assets;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directing investment professionals of the Adviser to provide managerial assistance to our portfolio companies;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performing due diligence on prospective portfolio companies;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voting rights in respect of portfolio securities and other investments for us;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on, and exercising observer rights for, boards of directors and similar committees of our portfolio companies; and</w:t>
      </w:r>
    </w:p>
    <w:p>
      <w:pPr>
        <w:spacing w:after="0" w:line="175" w:lineRule="exact"/>
        <w:rPr>
          <w:rFonts w:ascii="Times New Roman" w:cs="Times New Roman" w:eastAsia="Times New Roman" w:hAnsi="Times New Roman"/>
          <w:sz w:val="17"/>
          <w:szCs w:val="17"/>
          <w:color w:val="auto"/>
        </w:rPr>
      </w:pPr>
    </w:p>
    <w:p>
      <w:pPr>
        <w:ind w:left="880" w:right="240" w:hanging="443"/>
        <w:spacing w:after="0" w:line="283" w:lineRule="auto"/>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us with such other investment advisory, research and related services as we may, from time to time, reasonably require for the investment of capital.</w:t>
      </w:r>
    </w:p>
    <w:p>
      <w:pPr>
        <w:spacing w:after="0" w:line="115" w:lineRule="exact"/>
        <w:rPr>
          <w:sz w:val="20"/>
          <w:szCs w:val="20"/>
          <w:color w:val="auto"/>
        </w:rPr>
      </w:pPr>
    </w:p>
    <w:p>
      <w:pPr>
        <w:ind w:right="20" w:firstLine="440"/>
        <w:spacing w:after="0" w:line="283" w:lineRule="auto"/>
        <w:rPr>
          <w:sz w:val="20"/>
          <w:szCs w:val="20"/>
          <w:color w:val="auto"/>
        </w:rPr>
      </w:pPr>
      <w:r>
        <w:rPr>
          <w:rFonts w:ascii="Times New Roman" w:cs="Times New Roman" w:eastAsia="Times New Roman" w:hAnsi="Times New Roman"/>
          <w:sz w:val="17"/>
          <w:szCs w:val="17"/>
          <w:color w:val="auto"/>
        </w:rPr>
        <w:t>The Adviser’s services under the Advisory Agreement are not exclusive, and it is free to furnish similar services to other entities so long as its services to us are not impaired.</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Term</w:t>
      </w:r>
    </w:p>
    <w:p>
      <w:pPr>
        <w:spacing w:after="0" w:line="194" w:lineRule="exact"/>
        <w:rPr>
          <w:sz w:val="20"/>
          <w:szCs w:val="20"/>
          <w:color w:val="auto"/>
        </w:rPr>
      </w:pPr>
    </w:p>
    <w:p>
      <w:pPr>
        <w:jc w:val="both"/>
        <w:ind w:right="80" w:firstLine="440"/>
        <w:spacing w:after="0" w:line="267" w:lineRule="auto"/>
        <w:rPr>
          <w:sz w:val="20"/>
          <w:szCs w:val="20"/>
          <w:color w:val="auto"/>
        </w:rPr>
      </w:pPr>
      <w:r>
        <w:rPr>
          <w:rFonts w:ascii="Times New Roman" w:cs="Times New Roman" w:eastAsia="Times New Roman" w:hAnsi="Times New Roman"/>
          <w:sz w:val="17"/>
          <w:szCs w:val="17"/>
          <w:color w:val="auto"/>
        </w:rPr>
        <w:t>On April 1, 2019, the Company entered into the Advisory Agreement with the Adviser. Unless earlier terminated as described below, the Investment Advisory Agreement will remain in effect until April 1, 2021, a period of two years from the date it first became effective and will remain in effect from year-to-year thereafter if approved annually by a majority of the Board or by the holders of a majority of our outstanding shares, and, in each case, a majority of the independent directors.</w:t>
      </w:r>
    </w:p>
    <w:p>
      <w:pPr>
        <w:spacing w:after="0" w:line="12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7"/>
          <w:szCs w:val="17"/>
          <w:color w:val="auto"/>
        </w:rPr>
        <w:t>The Advisory Agreement will automatically terminate within the meaning of the 1940 Act and related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our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Removal of Adviser</w:t>
      </w:r>
    </w:p>
    <w:p>
      <w:pPr>
        <w:spacing w:after="0" w:line="194" w:lineRule="exact"/>
        <w:rPr>
          <w:sz w:val="20"/>
          <w:szCs w:val="20"/>
          <w:color w:val="auto"/>
        </w:rPr>
      </w:pPr>
    </w:p>
    <w:p>
      <w:pPr>
        <w:ind w:right="260" w:firstLine="440"/>
        <w:spacing w:after="0" w:line="267" w:lineRule="auto"/>
        <w:rPr>
          <w:sz w:val="20"/>
          <w:szCs w:val="20"/>
          <w:color w:val="auto"/>
        </w:rPr>
      </w:pPr>
      <w:r>
        <w:rPr>
          <w:rFonts w:ascii="Times New Roman" w:cs="Times New Roman" w:eastAsia="Times New Roman" w:hAnsi="Times New Roman"/>
          <w:sz w:val="17"/>
          <w:szCs w:val="17"/>
          <w:color w:val="auto"/>
        </w:rPr>
        <w:t>The Adviser may be removed our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60"/>
          </w:cols>
          <w:pgMar w:left="240" w:top="285" w:right="29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Compensation of Adviser</w:t>
      </w:r>
    </w:p>
    <w:p>
      <w:pPr>
        <w:spacing w:after="0" w:line="19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7"/>
          <w:szCs w:val="17"/>
          <w:color w:val="auto"/>
        </w:rPr>
        <w:t>Pursuant to the terms of the Advisory Agreement, we pay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our gross assets, excluding cash and cash equivalents, but including assets purchased with borrowed amounts, as of the end of such calendar quarter. Subsequently, the Base Management Fee will be 1.50% of our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our net asset value at the end of the most recently completed calendar quarter. The Incentive Fee consists of two parts: (1) a portion based on the Company’s pre-incentive fee net investment income (the “Income-Based Fee”) and (2) a portion based on the net capital gains received on our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14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7"/>
          <w:szCs w:val="17"/>
          <w:color w:val="auto"/>
        </w:rPr>
        <w:t>Pre-incentive fee net investment income means dividends (including reinvested dividends), interest and fee income accrued by us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payment-in-kind(“PIK”) interest and zero coupon securities), accrued income that we may not have received in cash. The Adviser is not obligated to return the incentive fee it receives on PIK interest that is later determined to be uncollectible in cash. See “Item 1A. Risk Factors— Risks Related to the Adviser and its Affiliates.” Pre-incentive fee net investment income does not include any realized capital gains, realized capital losses or unrealized capital appreciation or depreciation.</w:t>
      </w:r>
    </w:p>
    <w:p>
      <w:pPr>
        <w:spacing w:after="0" w:line="139"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7"/>
          <w:szCs w:val="17"/>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we may pay an incentive fee in a calendar quarter in which we incur a loss. For example, if we receive pre-incentive fee net investment income in excess of the quarterly hurdle rate, we will pay the applicable incentive fee even if we have incurred a loss in that calendar quarter due to realized capital losses and unrealized capital depreciation. In addition, because the quarterly hurdle rate is calculated based on our net assets, decreases in our net assets due to realized capital losses or unrealized capital depreciation in any given calendar quarter may increase the likelihood that the hurdle rate is reached and therefore the likelihood of us paying an incentive fee for the subsequent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is a graphical representation of the calculation of the income-related portion of the incentive fee: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Quarterly Subordinated Incentive Fee on</w:t>
            </w:r>
          </w:p>
        </w:tc>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Pre-Incentive Fee Net Investment Income</w:t>
            </w:r>
          </w:p>
        </w:tc>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(expressed as a percentage of the value of net assets)</w:t>
            </w:r>
          </w:p>
        </w:tc>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vMerge w:val="restart"/>
          </w:tcPr>
          <w:p>
            <w:pPr>
              <w:jc w:val="right"/>
              <w:ind w:right="3215"/>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17"/>
                <w:szCs w:val="17"/>
                <w:color w:val="auto"/>
              </w:rPr>
            </w:pPr>
          </w:p>
        </w:tc>
        <w:tc>
          <w:tcPr>
            <w:tcW w:w="3860" w:type="dxa"/>
            <w:vAlign w:val="bottom"/>
            <w:vMerge w:val="restart"/>
          </w:tcPr>
          <w:p>
            <w:pPr>
              <w:jc w:val="right"/>
              <w:ind w:right="3095"/>
              <w:spacing w:after="0"/>
              <w:rPr>
                <w:sz w:val="20"/>
                <w:szCs w:val="20"/>
                <w:color w:val="auto"/>
              </w:rPr>
            </w:pPr>
            <w:r>
              <w:rPr>
                <w:rFonts w:ascii="Times New Roman" w:cs="Times New Roman" w:eastAsia="Times New Roman" w:hAnsi="Times New Roman"/>
                <w:sz w:val="17"/>
                <w:szCs w:val="17"/>
                <w:color w:val="auto"/>
              </w:rPr>
              <w:t>1.75%</w:t>
            </w:r>
          </w:p>
        </w:tc>
        <w:tc>
          <w:tcPr>
            <w:tcW w:w="20" w:type="dxa"/>
            <w:vAlign w:val="bottom"/>
          </w:tcPr>
          <w:p>
            <w:pPr>
              <w:spacing w:after="0"/>
              <w:rPr>
                <w:sz w:val="17"/>
                <w:szCs w:val="17"/>
                <w:color w:val="auto"/>
              </w:rPr>
            </w:pPr>
          </w:p>
        </w:tc>
        <w:tc>
          <w:tcPr>
            <w:tcW w:w="3740" w:type="dxa"/>
            <w:vAlign w:val="bottom"/>
            <w:vMerge w:val="restart"/>
          </w:tcPr>
          <w:p>
            <w:pPr>
              <w:jc w:val="right"/>
              <w:ind w:right="2855"/>
              <w:spacing w:after="0"/>
              <w:rPr>
                <w:sz w:val="20"/>
                <w:szCs w:val="20"/>
                <w:color w:val="auto"/>
              </w:rPr>
            </w:pPr>
            <w:r>
              <w:rPr>
                <w:rFonts w:ascii="Times New Roman" w:cs="Times New Roman" w:eastAsia="Times New Roman" w:hAnsi="Times New Roman"/>
                <w:sz w:val="17"/>
                <w:szCs w:val="17"/>
                <w:color w:val="auto"/>
              </w:rPr>
              <w:t>2.121 %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shd w:val="clear" w:color="auto" w:fill="000000"/>
          </w:tcPr>
          <w:p>
            <w:pPr>
              <w:spacing w:after="0"/>
              <w:rPr>
                <w:sz w:val="17"/>
                <w:szCs w:val="17"/>
                <w:color w:val="auto"/>
              </w:rPr>
            </w:pPr>
          </w:p>
        </w:tc>
        <w:tc>
          <w:tcPr>
            <w:tcW w:w="37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38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37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20" w:type="dxa"/>
            <w:vAlign w:val="bottom"/>
            <w:shd w:val="clear" w:color="auto" w:fill="000000"/>
          </w:tcPr>
          <w:p>
            <w:pPr>
              <w:spacing w:after="0"/>
              <w:rPr>
                <w:sz w:val="24"/>
                <w:szCs w:val="24"/>
                <w:color w:val="auto"/>
              </w:rPr>
            </w:pPr>
          </w:p>
        </w:tc>
        <w:tc>
          <w:tcPr>
            <w:tcW w:w="3760" w:type="dxa"/>
            <w:vAlign w:val="bottom"/>
          </w:tcPr>
          <w:p>
            <w:pPr>
              <w:jc w:val="right"/>
              <w:ind w:right="1475"/>
              <w:spacing w:after="0"/>
              <w:rPr>
                <w:sz w:val="20"/>
                <w:szCs w:val="20"/>
                <w:color w:val="auto"/>
              </w:rPr>
            </w:pPr>
            <w:r>
              <w:rPr>
                <w:rFonts w:ascii="Times New Roman" w:cs="Times New Roman" w:eastAsia="Times New Roman" w:hAnsi="Times New Roman"/>
                <w:sz w:val="17"/>
                <w:szCs w:val="17"/>
                <w:color w:val="auto"/>
              </w:rPr>
              <w:t>← 0% →</w:t>
            </w:r>
          </w:p>
        </w:tc>
        <w:tc>
          <w:tcPr>
            <w:tcW w:w="20" w:type="dxa"/>
            <w:vAlign w:val="bottom"/>
            <w:shd w:val="clear" w:color="auto" w:fill="000000"/>
          </w:tcPr>
          <w:p>
            <w:pPr>
              <w:spacing w:after="0"/>
              <w:rPr>
                <w:sz w:val="24"/>
                <w:szCs w:val="24"/>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100% →</w:t>
            </w:r>
          </w:p>
        </w:tc>
        <w:tc>
          <w:tcPr>
            <w:tcW w:w="20" w:type="dxa"/>
            <w:vAlign w:val="bottom"/>
            <w:shd w:val="clear" w:color="auto" w:fill="000000"/>
          </w:tcPr>
          <w:p>
            <w:pPr>
              <w:spacing w:after="0"/>
              <w:rPr>
                <w:sz w:val="24"/>
                <w:szCs w:val="24"/>
                <w:color w:val="auto"/>
              </w:rPr>
            </w:pPr>
          </w:p>
        </w:tc>
        <w:tc>
          <w:tcPr>
            <w:tcW w:w="3740" w:type="dxa"/>
            <w:vAlign w:val="bottom"/>
          </w:tcPr>
          <w:p>
            <w:pPr>
              <w:jc w:val="right"/>
              <w:ind w:right="1355"/>
              <w:spacing w:after="0"/>
              <w:rPr>
                <w:sz w:val="20"/>
                <w:szCs w:val="20"/>
                <w:color w:val="auto"/>
              </w:rPr>
            </w:pPr>
            <w:r>
              <w:rPr>
                <w:rFonts w:ascii="Times New Roman" w:cs="Times New Roman" w:eastAsia="Times New Roman" w:hAnsi="Times New Roman"/>
                <w:sz w:val="17"/>
                <w:szCs w:val="17"/>
                <w:color w:val="auto"/>
              </w:rPr>
              <w:t>← 17.5% →</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818"/>
        </w:trPr>
        <w:tc>
          <w:tcPr>
            <w:tcW w:w="20" w:type="dxa"/>
            <w:vAlign w:val="bottom"/>
            <w:shd w:val="clear" w:color="auto" w:fill="000000"/>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72" w:name="page73"/>
    <w:bookmarkEnd w:id="72"/>
    <w:p>
      <w:pPr>
        <w:ind w:right="60" w:firstLine="440"/>
        <w:spacing w:after="0" w:line="256" w:lineRule="auto"/>
        <w:rPr>
          <w:sz w:val="20"/>
          <w:szCs w:val="20"/>
          <w:color w:val="auto"/>
        </w:rPr>
      </w:pPr>
      <w:r>
        <w:rPr>
          <w:rFonts w:ascii="Times New Roman" w:cs="Times New Roman" w:eastAsia="Times New Roman" w:hAnsi="Times New Roman"/>
          <w:sz w:val="17"/>
          <w:szCs w:val="17"/>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We will accrue, but will not pay, a capital gains incentive fee with respect to unrealized appreciation because a capital gains incentive fee would be owed to the Adviser if we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fees that are payable under the Investment Advisory Agreement for any partial period will be appropriately prorated.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Limitations of Liability and Indemnification</w:t>
      </w:r>
    </w:p>
    <w:p>
      <w:pPr>
        <w:spacing w:after="0" w:line="18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us for acts or omissions performed in accordance with and pursuant to the Advisory Agreement, except those resulting from acts constituting criminal conduct, gross negligence, willful misfeasance, bad faith or reckless disregard of the duties that the Adviser owes to us under the Advisory Agreement. In addition, as part of the Advisory Agreement, we have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Board Approval of the Advisory Agreement</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7"/>
          <w:szCs w:val="17"/>
          <w:color w:val="auto"/>
        </w:rPr>
        <w:t>On December 12, 2018, our then-current Board held an in-person meeting to consider and approve the Advisory Agreement and related matters. The Board of Directors was provided the information required to consider the Advisory Agreement, including: (a) the nature, quality and extent of the advisory and other services to be provided to us by the Adviser; (b) comparative data with respect to advisory fees or similar expenses paid by other BDCs with similar investment objectives; (c) our projected operating expenses and expense ratio compared to BDCs with similar investment objectives; (d) any existing and potential sources of indirect income to the Adviser from its relationship with us and the profitability of that relationship; (e) 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 the possibility of obtaining similar services from other third-party service providers or continuing to operate as an internally managed BDC.</w:t>
      </w:r>
    </w:p>
    <w:p>
      <w:pPr>
        <w:spacing w:after="0" w:line="158" w:lineRule="exact"/>
        <w:rPr>
          <w:sz w:val="20"/>
          <w:szCs w:val="20"/>
          <w:color w:val="auto"/>
        </w:rPr>
      </w:pPr>
    </w:p>
    <w:p>
      <w:pPr>
        <w:ind w:right="140" w:firstLine="440"/>
        <w:spacing w:after="0" w:line="283" w:lineRule="auto"/>
        <w:rPr>
          <w:sz w:val="20"/>
          <w:szCs w:val="20"/>
          <w:color w:val="auto"/>
        </w:rPr>
      </w:pPr>
      <w:r>
        <w:rPr>
          <w:rFonts w:ascii="Times New Roman" w:cs="Times New Roman" w:eastAsia="Times New Roman" w:hAnsi="Times New Roman"/>
          <w:sz w:val="17"/>
          <w:szCs w:val="17"/>
          <w:color w:val="auto"/>
        </w:rPr>
        <w:t>The Board, including a majority of independent directors, will oversee and monitor our investment performance and, beginning with the second anniversary of the effective date of the Advisory Agreement, will annually review the compensation we pay to the Adviser.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Administration Agreement</w:t>
      </w:r>
    </w:p>
    <w:p>
      <w:pPr>
        <w:spacing w:after="0" w:line="192"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7"/>
          <w:szCs w:val="17"/>
          <w:color w:val="auto"/>
        </w:rPr>
        <w:t>Under the terms of the Administration Agreement between the Company and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We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we will reimburse the Administrator for any services performed for us by such affiliate or third party.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3" w:name="page74"/>
    <w:bookmarkEnd w:id="73"/>
    <w:p>
      <w:pPr>
        <w:ind w:right="60" w:firstLine="440"/>
        <w:spacing w:after="0" w:line="259" w:lineRule="auto"/>
        <w:rPr>
          <w:sz w:val="20"/>
          <w:szCs w:val="20"/>
          <w:color w:val="auto"/>
        </w:rPr>
      </w:pPr>
      <w:r>
        <w:rPr>
          <w:rFonts w:ascii="Times New Roman" w:cs="Times New Roman" w:eastAsia="Times New Roman" w:hAnsi="Times New Roman"/>
          <w:sz w:val="17"/>
          <w:szCs w:val="17"/>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our allocable portion of the compensation paid to our chief compliance officer and chief financial officer and their respective staff who provide services to us.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148"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7"/>
          <w:szCs w:val="17"/>
          <w:color w:val="auto"/>
        </w:rPr>
        <w:t>On April 1, 2019, the Board approved the Administration Agreement with the Administrator. Unless earlier terminated as described below, the Administration Agreement will remain in effect until April 1, 2021, a period of two years from the date it first became effective and will remain in effect from year-to-</w:t>
      </w:r>
    </w:p>
    <w:p>
      <w:pPr>
        <w:spacing w:after="0" w:line="1" w:lineRule="exact"/>
        <w:rPr>
          <w:sz w:val="20"/>
          <w:szCs w:val="20"/>
          <w:color w:val="auto"/>
        </w:rPr>
      </w:pPr>
    </w:p>
    <w:p>
      <w:pPr>
        <w:ind w:right="720"/>
        <w:spacing w:after="0" w:line="262" w:lineRule="auto"/>
        <w:rPr>
          <w:sz w:val="20"/>
          <w:szCs w:val="20"/>
          <w:color w:val="auto"/>
        </w:rPr>
      </w:pPr>
      <w:r>
        <w:rPr>
          <w:rFonts w:ascii="Times New Roman" w:cs="Times New Roman" w:eastAsia="Times New Roman" w:hAnsi="Times New Roman"/>
          <w:sz w:val="17"/>
          <w:szCs w:val="17"/>
          <w:color w:val="auto"/>
        </w:rPr>
        <w:t>year thereafter if approved annually by a majority of the Board or by the holders of a Majority of the Outstanding Shares, and, in each case, a majority of the independent directors.</w:t>
      </w:r>
    </w:p>
    <w:p>
      <w:pPr>
        <w:spacing w:after="0" w:line="132"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7"/>
          <w:szCs w:val="17"/>
          <w:color w:val="auto"/>
        </w:rPr>
        <w:t>We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OHAI TRANSACTION</w:t>
      </w:r>
    </w:p>
    <w:p>
      <w:pPr>
        <w:spacing w:after="0" w:line="192" w:lineRule="exact"/>
        <w:rPr>
          <w:sz w:val="20"/>
          <w:szCs w:val="20"/>
          <w:color w:val="auto"/>
        </w:rPr>
      </w:pPr>
    </w:p>
    <w:p>
      <w:pPr>
        <w:ind w:right="40" w:firstLine="878"/>
        <w:spacing w:after="0" w:line="283" w:lineRule="auto"/>
        <w:rPr>
          <w:sz w:val="20"/>
          <w:szCs w:val="20"/>
          <w:color w:val="auto"/>
        </w:rPr>
      </w:pPr>
      <w:r>
        <w:rPr>
          <w:rFonts w:ascii="Times New Roman" w:cs="Times New Roman" w:eastAsia="Times New Roman" w:hAnsi="Times New Roman"/>
          <w:sz w:val="17"/>
          <w:szCs w:val="17"/>
          <w:color w:val="auto"/>
        </w:rPr>
        <w:t>On August 1, 2019, we and OHA Investment Corporation (“OHAI”) announced entry into a definitive agreement under which OHAI will merge with and into the Company (the “Merger”). The combined company will be externally managed by the Adviser.</w:t>
      </w:r>
    </w:p>
    <w:p>
      <w:pPr>
        <w:spacing w:after="0" w:line="115" w:lineRule="exact"/>
        <w:rPr>
          <w:sz w:val="20"/>
          <w:szCs w:val="20"/>
          <w:color w:val="auto"/>
        </w:rPr>
      </w:pPr>
    </w:p>
    <w:p>
      <w:pPr>
        <w:ind w:right="100" w:firstLine="878"/>
        <w:spacing w:after="0" w:line="283" w:lineRule="auto"/>
        <w:rPr>
          <w:sz w:val="20"/>
          <w:szCs w:val="20"/>
          <w:color w:val="auto"/>
        </w:rPr>
      </w:pPr>
      <w:r>
        <w:rPr>
          <w:rFonts w:ascii="Times New Roman" w:cs="Times New Roman" w:eastAsia="Times New Roman" w:hAnsi="Times New Roman"/>
          <w:sz w:val="17"/>
          <w:szCs w:val="17"/>
          <w:color w:val="auto"/>
        </w:rPr>
        <w:t>Following the transaction, current OHAI stockholders are expected to own approximately 16% of the combined company and OHAI’s credit facility will be paid off in full at the closing of the transaction.</w:t>
      </w:r>
    </w:p>
    <w:p>
      <w:pPr>
        <w:spacing w:after="0" w:line="115" w:lineRule="exact"/>
        <w:rPr>
          <w:sz w:val="20"/>
          <w:szCs w:val="20"/>
          <w:color w:val="auto"/>
        </w:rPr>
      </w:pPr>
    </w:p>
    <w:p>
      <w:pPr>
        <w:jc w:val="both"/>
        <w:ind w:right="80" w:firstLine="878"/>
        <w:spacing w:after="0" w:line="267" w:lineRule="auto"/>
        <w:rPr>
          <w:sz w:val="20"/>
          <w:szCs w:val="20"/>
          <w:color w:val="auto"/>
        </w:rPr>
      </w:pPr>
      <w:r>
        <w:rPr>
          <w:rFonts w:ascii="Times New Roman" w:cs="Times New Roman" w:eastAsia="Times New Roman" w:hAnsi="Times New Roman"/>
          <w:sz w:val="17"/>
          <w:szCs w:val="17"/>
          <w:color w:val="auto"/>
        </w:rPr>
        <w:t>Pursuant to the merger agreement, if at any time within one year after the closing date of the transaction our shares are trading at a price below 75% of its net asset value, we will initiate a share buyback program of up to $10 million to support the trading price of the combined entity for up to one year from the date such program is announced.</w:t>
      </w:r>
    </w:p>
    <w:p>
      <w:pPr>
        <w:spacing w:after="0" w:line="141" w:lineRule="exact"/>
        <w:rPr>
          <w:sz w:val="20"/>
          <w:szCs w:val="20"/>
          <w:color w:val="auto"/>
        </w:rPr>
      </w:pPr>
    </w:p>
    <w:p>
      <w:pPr>
        <w:ind w:firstLine="878"/>
        <w:spacing w:after="0" w:line="283" w:lineRule="auto"/>
        <w:rPr>
          <w:sz w:val="20"/>
          <w:szCs w:val="20"/>
          <w:color w:val="auto"/>
        </w:rPr>
      </w:pPr>
      <w:r>
        <w:rPr>
          <w:rFonts w:ascii="Times New Roman" w:cs="Times New Roman" w:eastAsia="Times New Roman" w:hAnsi="Times New Roman"/>
          <w:sz w:val="17"/>
          <w:szCs w:val="17"/>
          <w:color w:val="auto"/>
        </w:rPr>
        <w:t>Approval by our stockholders is not required for the Merger, and Oak Hill Advisors, L.P., the external advisor to OHAI, intends to vote its OHAI shares in favor of the transaction.</w:t>
      </w:r>
    </w:p>
    <w:p>
      <w:pPr>
        <w:spacing w:after="0" w:line="115" w:lineRule="exact"/>
        <w:rPr>
          <w:sz w:val="20"/>
          <w:szCs w:val="20"/>
          <w:color w:val="auto"/>
        </w:rPr>
      </w:pPr>
    </w:p>
    <w:p>
      <w:pPr>
        <w:ind w:right="40" w:firstLine="878"/>
        <w:spacing w:after="0" w:line="256" w:lineRule="auto"/>
        <w:rPr>
          <w:sz w:val="20"/>
          <w:szCs w:val="20"/>
          <w:color w:val="auto"/>
        </w:rPr>
      </w:pPr>
      <w:r>
        <w:rPr>
          <w:rFonts w:ascii="Times New Roman" w:cs="Times New Roman" w:eastAsia="Times New Roman" w:hAnsi="Times New Roman"/>
          <w:sz w:val="17"/>
          <w:szCs w:val="17"/>
          <w:color w:val="auto"/>
        </w:rPr>
        <w:t>Under the terms of the proposed transaction, OHAI’s stockholders will receive value per share (based on the net asset value per share of our stock and the aggregate value of cash consideration) of approximately 108% of OHAI’s net asset value per share at the time of the closing of the transaction from us and the Adviser. As of March 31, 2019, OHAI’s net asset value was $37.1 million, or $1.84 per share. In connection with the transaction, OHAI stockholders will receive a combination of (i) a minimum of $8 million in cash (approximately $0.40 per share) from us (as may be adjusted as described below); (ii) shares of our common stock valued at 100% of the our net asset value per share at the time of closing of the transaction in an aggregate number equal to OHAI’s net asset value at closing minus the $8 million cash merger consideration (as may be adjusted as described below); and (iii) an additional cash payment from the Adviser of $3 million in the aggregate, or approximately $0.15 per share.</w:t>
      </w:r>
    </w:p>
    <w:p>
      <w:pPr>
        <w:spacing w:after="0" w:line="139" w:lineRule="exact"/>
        <w:rPr>
          <w:sz w:val="20"/>
          <w:szCs w:val="20"/>
          <w:color w:val="auto"/>
        </w:rPr>
      </w:pPr>
    </w:p>
    <w:p>
      <w:pPr>
        <w:ind w:firstLine="878"/>
        <w:spacing w:after="0" w:line="259" w:lineRule="auto"/>
        <w:rPr>
          <w:sz w:val="20"/>
          <w:szCs w:val="20"/>
          <w:color w:val="auto"/>
        </w:rPr>
      </w:pPr>
      <w:r>
        <w:rPr>
          <w:rFonts w:ascii="Times New Roman" w:cs="Times New Roman" w:eastAsia="Times New Roman" w:hAnsi="Times New Roman"/>
          <w:sz w:val="17"/>
          <w:szCs w:val="17"/>
          <w:color w:val="auto"/>
        </w:rPr>
        <w:t>If the aggregate number of shares of our common stock to be issued in connection with the merger would exceed 19.9% of the issued and outstanding shares of our common stock immediately prior to the transaction closing, then the cash consideration payable by us will be increased to the minimum extent necessary such that the aggregate number of shares of our common stock to be issued in connection with the merger does not exceed such threshold. The exact exchange ratio for the stock component of the merger will be determined by the net asset value of OHAI and us as of the closing, calculated as of 5:00 p.m. New York City time on the day prior to the closing of the transaction. In addition to approval by OHAI’s stockholders, the closing of the merger is subject to customary conditions.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74" w:name="page75"/>
    <w:bookmarkEnd w:id="74"/>
    <w:p>
      <w:pPr>
        <w:ind w:right="320" w:firstLine="440"/>
        <w:spacing w:after="0" w:line="283" w:lineRule="auto"/>
        <w:rPr>
          <w:sz w:val="20"/>
          <w:szCs w:val="20"/>
          <w:color w:val="auto"/>
        </w:rPr>
      </w:pPr>
      <w:r>
        <w:rPr>
          <w:rFonts w:ascii="Times New Roman" w:cs="Times New Roman" w:eastAsia="Times New Roman" w:hAnsi="Times New Roman"/>
          <w:sz w:val="17"/>
          <w:szCs w:val="17"/>
          <w:color w:val="auto"/>
        </w:rPr>
        <w:t>On November 5, 2019, we and OHAI filed a combined prospectus and proxy statement setting the date for the OHAI stockholder meeting for December 12, 2019. We currently expect the transaction to be completed in the fourth calendar quarter of 2019.</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PORTFOLIO AND INVESTMENT ACTIVITY</w:t>
      </w:r>
    </w:p>
    <w:p>
      <w:pPr>
        <w:spacing w:after="0" w:line="179" w:lineRule="exact"/>
        <w:rPr>
          <w:sz w:val="20"/>
          <w:szCs w:val="20"/>
          <w:color w:val="auto"/>
        </w:rPr>
      </w:pPr>
    </w:p>
    <w:p>
      <w:pPr>
        <w:ind w:right="320" w:firstLine="440"/>
        <w:spacing w:after="0" w:line="267" w:lineRule="auto"/>
        <w:rPr>
          <w:sz w:val="20"/>
          <w:szCs w:val="20"/>
          <w:color w:val="auto"/>
        </w:rPr>
      </w:pPr>
      <w:r>
        <w:rPr>
          <w:rFonts w:ascii="Times New Roman" w:cs="Times New Roman" w:eastAsia="Times New Roman" w:hAnsi="Times New Roman"/>
          <w:sz w:val="17"/>
          <w:szCs w:val="17"/>
          <w:color w:val="auto"/>
        </w:rPr>
        <w:t>Our primary investments are: lending to and investing in middle-market businesses through investments in senior secured loans, junior secured loans, subordinated/mezzanine debt investments, and other equity investments, which may include warrants, investments in joint ventures, and investments in CLO Fund Securities.</w:t>
      </w:r>
    </w:p>
    <w:p>
      <w:pPr>
        <w:spacing w:after="0" w:line="128" w:lineRule="exact"/>
        <w:rPr>
          <w:sz w:val="20"/>
          <w:szCs w:val="20"/>
          <w:color w:val="auto"/>
        </w:rPr>
      </w:pPr>
    </w:p>
    <w:p>
      <w:pPr>
        <w:ind w:right="420" w:firstLine="440"/>
        <w:spacing w:after="0" w:line="283" w:lineRule="auto"/>
        <w:rPr>
          <w:sz w:val="20"/>
          <w:szCs w:val="20"/>
          <w:color w:val="auto"/>
        </w:rPr>
      </w:pPr>
      <w:r>
        <w:rPr>
          <w:rFonts w:ascii="Times New Roman" w:cs="Times New Roman" w:eastAsia="Times New Roman" w:hAnsi="Times New Roman"/>
          <w:sz w:val="17"/>
          <w:szCs w:val="17"/>
          <w:color w:val="auto"/>
        </w:rPr>
        <w:t>Total portfolio investment activity (excluding activity in U.S. treasury bills and money market investments) for the nine months ended September 30, 2019 (unaudited) and for the year ended December 31, 2018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Asset</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600"/>
              <w:spacing w:after="0" w:line="141" w:lineRule="exact"/>
              <w:rPr>
                <w:sz w:val="20"/>
                <w:szCs w:val="20"/>
                <w:color w:val="auto"/>
              </w:rPr>
            </w:pPr>
            <w:r>
              <w:rPr>
                <w:rFonts w:ascii="Times New Roman" w:cs="Times New Roman" w:eastAsia="Times New Roman" w:hAnsi="Times New Roman"/>
                <w:sz w:val="13"/>
                <w:szCs w:val="13"/>
                <w:b w:val="1"/>
                <w:bCs w:val="1"/>
                <w:color w:val="auto"/>
              </w:rPr>
              <w:t>Debt</w:t>
            </w:r>
          </w:p>
        </w:tc>
        <w:tc>
          <w:tcPr>
            <w:tcW w:w="160" w:type="dxa"/>
            <w:vAlign w:val="bottom"/>
          </w:tcPr>
          <w:p>
            <w:pPr>
              <w:spacing w:after="0"/>
              <w:rPr>
                <w:sz w:val="12"/>
                <w:szCs w:val="12"/>
                <w:color w:val="auto"/>
              </w:rPr>
            </w:pPr>
          </w:p>
        </w:tc>
        <w:tc>
          <w:tcPr>
            <w:tcW w:w="1140" w:type="dxa"/>
            <w:vAlign w:val="bottom"/>
            <w:gridSpan w:val="2"/>
          </w:tcPr>
          <w:p>
            <w:pPr>
              <w:jc w:val="right"/>
              <w:ind w:right="440"/>
              <w:spacing w:after="0" w:line="141" w:lineRule="exact"/>
              <w:rPr>
                <w:sz w:val="20"/>
                <w:szCs w:val="20"/>
                <w:color w:val="auto"/>
              </w:rPr>
            </w:pPr>
            <w:r>
              <w:rPr>
                <w:rFonts w:ascii="Times New Roman" w:cs="Times New Roman" w:eastAsia="Times New Roman" w:hAnsi="Times New Roman"/>
                <w:sz w:val="13"/>
                <w:szCs w:val="13"/>
                <w:b w:val="1"/>
                <w:bCs w:val="1"/>
                <w:color w:val="auto"/>
              </w:rPr>
              <w:t>CLO Fund</w:t>
            </w:r>
          </w:p>
        </w:tc>
        <w:tc>
          <w:tcPr>
            <w:tcW w:w="180" w:type="dxa"/>
            <w:vAlign w:val="bottom"/>
          </w:tcPr>
          <w:p>
            <w:pPr>
              <w:spacing w:after="0"/>
              <w:rPr>
                <w:sz w:val="12"/>
                <w:szCs w:val="12"/>
                <w:color w:val="auto"/>
              </w:rPr>
            </w:pPr>
          </w:p>
        </w:tc>
        <w:tc>
          <w:tcPr>
            <w:tcW w:w="1120" w:type="dxa"/>
            <w:vAlign w:val="bottom"/>
            <w:gridSpan w:val="2"/>
          </w:tcPr>
          <w:p>
            <w:pPr>
              <w:jc w:val="right"/>
              <w:ind w:right="560"/>
              <w:spacing w:after="0" w:line="141" w:lineRule="exact"/>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2"/>
                <w:szCs w:val="12"/>
                <w:color w:val="auto"/>
              </w:rPr>
            </w:pPr>
          </w:p>
        </w:tc>
        <w:tc>
          <w:tcPr>
            <w:tcW w:w="1140" w:type="dxa"/>
            <w:vAlign w:val="bottom"/>
            <w:gridSpan w:val="2"/>
          </w:tcPr>
          <w:p>
            <w:pPr>
              <w:jc w:val="right"/>
              <w:ind w:right="520"/>
              <w:spacing w:after="0" w:line="141" w:lineRule="exact"/>
              <w:rPr>
                <w:sz w:val="20"/>
                <w:szCs w:val="20"/>
                <w:color w:val="auto"/>
              </w:rPr>
            </w:pPr>
            <w:r>
              <w:rPr>
                <w:rFonts w:ascii="Times New Roman" w:cs="Times New Roman" w:eastAsia="Times New Roman" w:hAnsi="Times New Roman"/>
                <w:sz w:val="13"/>
                <w:szCs w:val="13"/>
                <w:b w:val="1"/>
                <w:bCs w:val="1"/>
                <w:color w:val="auto"/>
              </w:rPr>
              <w:t>Manager</w:t>
            </w:r>
          </w:p>
        </w:tc>
        <w:tc>
          <w:tcPr>
            <w:tcW w:w="200" w:type="dxa"/>
            <w:vAlign w:val="bottom"/>
          </w:tcPr>
          <w:p>
            <w:pPr>
              <w:spacing w:after="0"/>
              <w:rPr>
                <w:sz w:val="12"/>
                <w:szCs w:val="12"/>
                <w:color w:val="auto"/>
              </w:rPr>
            </w:pPr>
          </w:p>
        </w:tc>
        <w:tc>
          <w:tcPr>
            <w:tcW w:w="1120" w:type="dxa"/>
            <w:vAlign w:val="bottom"/>
            <w:gridSpan w:val="2"/>
          </w:tcPr>
          <w:p>
            <w:pPr>
              <w:jc w:val="right"/>
              <w:ind w:right="620"/>
              <w:spacing w:after="0" w:line="141" w:lineRule="exact"/>
              <w:rPr>
                <w:sz w:val="20"/>
                <w:szCs w:val="20"/>
                <w:color w:val="auto"/>
              </w:rPr>
            </w:pPr>
            <w:r>
              <w:rPr>
                <w:rFonts w:ascii="Times New Roman" w:cs="Times New Roman" w:eastAsia="Times New Roman" w:hAnsi="Times New Roman"/>
                <w:sz w:val="13"/>
                <w:szCs w:val="13"/>
                <w:b w:val="1"/>
                <w:bCs w:val="1"/>
                <w:color w:val="auto"/>
              </w:rPr>
              <w:t>Joint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540"/>
              <w:spacing w:after="0" w:line="141"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56"/>
        </w:trPr>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60" w:type="dxa"/>
            <w:vAlign w:val="bottom"/>
          </w:tcPr>
          <w:p>
            <w:pPr>
              <w:spacing w:after="0"/>
              <w:rPr>
                <w:sz w:val="13"/>
                <w:szCs w:val="1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8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00" w:type="dxa"/>
            <w:vAlign w:val="bottom"/>
          </w:tcPr>
          <w:p>
            <w:pPr>
              <w:spacing w:after="0"/>
              <w:rPr>
                <w:sz w:val="13"/>
                <w:szCs w:val="13"/>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Affiliates</w:t>
            </w:r>
          </w:p>
        </w:tc>
        <w:tc>
          <w:tcPr>
            <w:tcW w:w="200" w:type="dxa"/>
            <w:vAlign w:val="bottom"/>
          </w:tcPr>
          <w:p>
            <w:pPr>
              <w:spacing w:after="0"/>
              <w:rPr>
                <w:sz w:val="13"/>
                <w:szCs w:val="13"/>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Ventures</w:t>
            </w:r>
          </w:p>
        </w:tc>
        <w:tc>
          <w:tcPr>
            <w:tcW w:w="1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Derivatives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Portfolio</w:t>
            </w:r>
          </w:p>
        </w:tc>
      </w:tr>
      <w:tr>
        <w:trPr>
          <w:trHeight w:val="133"/>
        </w:trPr>
        <w:tc>
          <w:tcPr>
            <w:tcW w:w="2520" w:type="dxa"/>
            <w:vAlign w:val="bottom"/>
            <w:tcBorders>
              <w:top w:val="single" w:sz="8" w:color="CFF0FC"/>
            </w:tcBorders>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Fair Value at December 31, 2017</w:t>
            </w: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54"/>
        </w:trPr>
        <w:tc>
          <w:tcPr>
            <w:tcW w:w="2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2018 Activity:</w:t>
            </w:r>
          </w:p>
        </w:tc>
        <w:tc>
          <w:tcPr>
            <w:tcW w:w="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118,197,479</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51,678,673</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4,414,684</w:t>
            </w: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38,849,000</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21,516,000</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234,655,836</w:t>
            </w:r>
          </w:p>
        </w:tc>
        <w:tc>
          <w:tcPr>
            <w:tcW w:w="100" w:type="dxa"/>
            <w:vAlign w:val="bottom"/>
            <w:shd w:val="clear" w:color="auto" w:fill="CFF0FC"/>
          </w:tcPr>
          <w:p>
            <w:pPr>
              <w:spacing w:after="0"/>
              <w:rPr>
                <w:sz w:val="13"/>
                <w:szCs w:val="13"/>
                <w:color w:val="auto"/>
              </w:rPr>
            </w:pPr>
          </w:p>
        </w:tc>
      </w:tr>
      <w:tr>
        <w:trPr>
          <w:trHeight w:val="154"/>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Purchases / originations / draws</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92,911,178</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12,781,528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12,466,667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118,159,373</w:t>
            </w:r>
          </w:p>
        </w:tc>
        <w:tc>
          <w:tcPr>
            <w:tcW w:w="100" w:type="dxa"/>
            <w:vAlign w:val="bottom"/>
          </w:tcPr>
          <w:p>
            <w:pPr>
              <w:spacing w:after="0"/>
              <w:rPr>
                <w:sz w:val="13"/>
                <w:szCs w:val="13"/>
                <w:color w:val="auto"/>
              </w:rPr>
            </w:pPr>
          </w:p>
        </w:tc>
      </w:tr>
      <w:tr>
        <w:trPr>
          <w:trHeight w:val="154"/>
        </w:trPr>
        <w:tc>
          <w:tcPr>
            <w:tcW w:w="2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Pay-downs / pay-offs / sales</w:t>
            </w: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(57,125,611)</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(19,033,322)</w:t>
            </w: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(1,093,244)</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(34,800,000)</w:t>
            </w: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(112,052,177)</w:t>
            </w:r>
          </w:p>
        </w:tc>
      </w:tr>
      <w:tr>
        <w:trPr>
          <w:trHeight w:val="154"/>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accretion of interest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1,289,512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5,878,260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7,167,772</w:t>
            </w:r>
          </w:p>
        </w:tc>
        <w:tc>
          <w:tcPr>
            <w:tcW w:w="100" w:type="dxa"/>
            <w:vAlign w:val="bottom"/>
          </w:tcPr>
          <w:p>
            <w:pPr>
              <w:spacing w:after="0"/>
              <w:rPr>
                <w:sz w:val="13"/>
                <w:szCs w:val="13"/>
                <w:color w:val="auto"/>
              </w:rPr>
            </w:pPr>
          </w:p>
        </w:tc>
      </w:tr>
      <w:tr>
        <w:trPr>
          <w:trHeight w:val="154"/>
        </w:trPr>
        <w:tc>
          <w:tcPr>
            <w:tcW w:w="2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Net realized losses</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9,933</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(16,484,872)</w:t>
            </w: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(16,474,939)</w:t>
            </w:r>
          </w:p>
        </w:tc>
      </w:tr>
      <w:tr>
        <w:trPr>
          <w:trHeight w:val="154"/>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Increase (decrease) in fair value</w:t>
            </w:r>
          </w:p>
        </w:tc>
        <w:tc>
          <w:tcPr>
            <w:tcW w:w="18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(7,420,747)</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9,504,733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(1,283,420)</w:t>
            </w:r>
          </w:p>
        </w:tc>
        <w:tc>
          <w:tcPr>
            <w:tcW w:w="20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(579,000)</w:t>
            </w:r>
          </w:p>
        </w:tc>
        <w:tc>
          <w:tcPr>
            <w:tcW w:w="2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(3,125,560)</w:t>
            </w:r>
          </w:p>
        </w:tc>
        <w:tc>
          <w:tcPr>
            <w:tcW w:w="10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(2,903,994)</w:t>
            </w:r>
          </w:p>
        </w:tc>
      </w:tr>
      <w:tr>
        <w:trPr>
          <w:trHeight w:val="133"/>
        </w:trPr>
        <w:tc>
          <w:tcPr>
            <w:tcW w:w="2520" w:type="dxa"/>
            <w:vAlign w:val="bottom"/>
            <w:tcBorders>
              <w:top w:val="single" w:sz="8" w:color="CFF0FC"/>
            </w:tcBorders>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Fair Value at December 31, 2018</w:t>
            </w: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54"/>
        </w:trPr>
        <w:tc>
          <w:tcPr>
            <w:tcW w:w="2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2019 Activity:</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147,861,744</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44,325,000</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2,038,020</w:t>
            </w: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3,470,000</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30,857,107</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228,551,871</w:t>
            </w:r>
          </w:p>
        </w:tc>
        <w:tc>
          <w:tcPr>
            <w:tcW w:w="100" w:type="dxa"/>
            <w:vAlign w:val="bottom"/>
            <w:shd w:val="clear" w:color="auto" w:fill="CFF0FC"/>
          </w:tcPr>
          <w:p>
            <w:pPr>
              <w:spacing w:after="0"/>
              <w:rPr>
                <w:sz w:val="13"/>
                <w:szCs w:val="13"/>
                <w:color w:val="auto"/>
              </w:rPr>
            </w:pPr>
          </w:p>
        </w:tc>
      </w:tr>
      <w:tr>
        <w:trPr>
          <w:trHeight w:val="154"/>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Purchases / originations / draws</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102,582,196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11,773,915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14,141,340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128,528,061</w:t>
            </w:r>
          </w:p>
        </w:tc>
        <w:tc>
          <w:tcPr>
            <w:tcW w:w="100" w:type="dxa"/>
            <w:vAlign w:val="bottom"/>
          </w:tcPr>
          <w:p>
            <w:pPr>
              <w:spacing w:after="0"/>
              <w:rPr>
                <w:sz w:val="13"/>
                <w:szCs w:val="13"/>
                <w:color w:val="auto"/>
              </w:rPr>
            </w:pPr>
          </w:p>
        </w:tc>
      </w:tr>
      <w:tr>
        <w:trPr>
          <w:trHeight w:val="154"/>
        </w:trPr>
        <w:tc>
          <w:tcPr>
            <w:tcW w:w="2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Pay-downs / pay-offs / sales</w:t>
            </w: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(67,500,973)</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(10,874,805)</w:t>
            </w: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(80,640)</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(2,470,090)</w:t>
            </w: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(80,926,508)</w:t>
            </w:r>
          </w:p>
        </w:tc>
      </w:tr>
      <w:tr>
        <w:trPr>
          <w:trHeight w:val="154"/>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accretion of interest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185,412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4,815,733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5,001,145</w:t>
            </w:r>
          </w:p>
        </w:tc>
        <w:tc>
          <w:tcPr>
            <w:tcW w:w="100" w:type="dxa"/>
            <w:vAlign w:val="bottom"/>
          </w:tcPr>
          <w:p>
            <w:pPr>
              <w:spacing w:after="0"/>
              <w:rPr>
                <w:sz w:val="13"/>
                <w:szCs w:val="13"/>
                <w:color w:val="auto"/>
              </w:rPr>
            </w:pPr>
          </w:p>
        </w:tc>
      </w:tr>
      <w:tr>
        <w:trPr>
          <w:trHeight w:val="154"/>
        </w:trPr>
        <w:tc>
          <w:tcPr>
            <w:tcW w:w="2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Net realized gains (losses)</w:t>
            </w: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(11,088,612)</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(595,571)</w:t>
            </w: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(1,642,282)</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(3,470,000)</w:t>
            </w: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(16,796,465)</w:t>
            </w:r>
          </w:p>
        </w:tc>
      </w:tr>
      <w:tr>
        <w:trPr>
          <w:trHeight w:val="154"/>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Increase (decrease) in fair value</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3,584,578</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(799,062)</w:t>
            </w:r>
          </w:p>
        </w:tc>
        <w:tc>
          <w:tcPr>
            <w:tcW w:w="18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(5,809,402)</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2,897,649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(20,959)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(147,196)</w:t>
            </w:r>
          </w:p>
        </w:tc>
      </w:tr>
      <w:tr>
        <w:trPr>
          <w:trHeight w:val="146"/>
        </w:trPr>
        <w:tc>
          <w:tcPr>
            <w:tcW w:w="2520" w:type="dxa"/>
            <w:vAlign w:val="bottom"/>
            <w:tcBorders>
              <w:top w:val="single" w:sz="8" w:color="CFF0FC"/>
              <w:bottom w:val="single" w:sz="8" w:color="CFF0FC"/>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color w:val="auto"/>
              </w:rPr>
              <w:t>Fair Value at September 30, 2019</w:t>
            </w:r>
          </w:p>
        </w:tc>
        <w:tc>
          <w:tcPr>
            <w:tcW w:w="18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175,624,345</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36,871,295</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6,279,611</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56"/>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45,426,006</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9,650</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color w:val="auto"/>
              </w:rPr>
              <w:t>264,210,907</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75" w:name="page76"/>
    <w:bookmarkEnd w:id="75"/>
    <w:p>
      <w:pPr>
        <w:ind w:right="60" w:firstLine="440"/>
        <w:spacing w:after="0" w:line="267" w:lineRule="auto"/>
        <w:rPr>
          <w:sz w:val="20"/>
          <w:szCs w:val="20"/>
          <w:color w:val="auto"/>
        </w:rPr>
      </w:pPr>
      <w:r>
        <w:rPr>
          <w:rFonts w:ascii="Times New Roman" w:cs="Times New Roman" w:eastAsia="Times New Roman" w:hAnsi="Times New Roman"/>
          <w:sz w:val="17"/>
          <w:szCs w:val="17"/>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shows the Company’s portfolio by security type at September 30,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5"/>
          </w:tcPr>
          <w:p>
            <w:pPr>
              <w:jc w:val="center"/>
              <w:ind w:left="175"/>
              <w:spacing w:after="0"/>
              <w:rPr>
                <w:sz w:val="20"/>
                <w:szCs w:val="20"/>
                <w:color w:val="auto"/>
              </w:rPr>
            </w:pPr>
            <w:r>
              <w:rPr>
                <w:rFonts w:ascii="Times New Roman" w:cs="Times New Roman" w:eastAsia="Times New Roman" w:hAnsi="Times New Roman"/>
                <w:sz w:val="17"/>
                <w:szCs w:val="17"/>
                <w:b w:val="1"/>
                <w:bCs w:val="1"/>
                <w:color w:val="auto"/>
              </w:rPr>
              <w:t>September 30, 2019 (unaudited)</w:t>
            </w:r>
          </w:p>
        </w:tc>
        <w:tc>
          <w:tcPr>
            <w:tcW w:w="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5"/>
          </w:tcPr>
          <w:p>
            <w:pPr>
              <w:jc w:val="center"/>
              <w:ind w:left="215"/>
              <w:spacing w:after="0"/>
              <w:rPr>
                <w:sz w:val="20"/>
                <w:szCs w:val="20"/>
                <w:color w:val="auto"/>
              </w:rPr>
            </w:pPr>
            <w:r>
              <w:rPr>
                <w:rFonts w:ascii="Times New Roman" w:cs="Times New Roman" w:eastAsia="Times New Roman" w:hAnsi="Times New Roman"/>
                <w:sz w:val="17"/>
                <w:szCs w:val="17"/>
                <w:b w:val="1"/>
                <w:bCs w:val="1"/>
                <w:color w:val="auto"/>
              </w:rPr>
              <w:t>December 31, 2018</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0"/>
        </w:trPr>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35"/>
              <w:spacing w:after="0" w:line="190" w:lineRule="exact"/>
              <w:rPr>
                <w:sz w:val="20"/>
                <w:szCs w:val="20"/>
                <w:color w:val="auto"/>
              </w:rPr>
            </w:pPr>
            <w:r>
              <w:rPr>
                <w:rFonts w:ascii="Times New Roman" w:cs="Times New Roman" w:eastAsia="Times New Roman" w:hAnsi="Times New Roman"/>
                <w:sz w:val="17"/>
                <w:szCs w:val="17"/>
                <w:b w:val="1"/>
                <w:bCs w:val="1"/>
                <w:color w:val="auto"/>
              </w:rPr>
              <w:t>Cost/Amortized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55"/>
              <w:spacing w:after="0" w:line="190" w:lineRule="exact"/>
              <w:rPr>
                <w:sz w:val="20"/>
                <w:szCs w:val="20"/>
                <w:color w:val="auto"/>
              </w:rPr>
            </w:pPr>
            <w:r>
              <w:rPr>
                <w:rFonts w:ascii="Times New Roman" w:cs="Times New Roman" w:eastAsia="Times New Roman" w:hAnsi="Times New Roman"/>
                <w:sz w:val="17"/>
                <w:szCs w:val="17"/>
                <w:b w:val="1"/>
                <w:bCs w:val="1"/>
                <w:color w:val="auto"/>
              </w:rPr>
              <w:t>Cost/Amortized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5"/>
        </w:trPr>
        <w:tc>
          <w:tcPr>
            <w:tcW w:w="3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Security Type</w:t>
            </w:r>
          </w:p>
        </w:tc>
        <w:tc>
          <w:tcPr>
            <w:tcW w:w="160" w:type="dxa"/>
            <w:vAlign w:val="bottom"/>
          </w:tcPr>
          <w:p>
            <w:pPr>
              <w:spacing w:after="0"/>
              <w:rPr>
                <w:sz w:val="19"/>
                <w:szCs w:val="19"/>
                <w:color w:val="auto"/>
              </w:rPr>
            </w:pPr>
          </w:p>
        </w:tc>
        <w:tc>
          <w:tcPr>
            <w:tcW w:w="1440" w:type="dxa"/>
            <w:vAlign w:val="bottom"/>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Cost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%¹</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Cost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4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%¹</w:t>
            </w:r>
          </w:p>
        </w:tc>
        <w:tc>
          <w:tcPr>
            <w:tcW w:w="160" w:type="dxa"/>
            <w:vAlign w:val="bottom"/>
          </w:tcPr>
          <w:p>
            <w:pPr>
              <w:spacing w:after="0"/>
              <w:rPr>
                <w:sz w:val="19"/>
                <w:szCs w:val="19"/>
                <w:color w:val="auto"/>
              </w:rPr>
            </w:pPr>
          </w:p>
        </w:tc>
      </w:tr>
      <w:tr>
        <w:trPr>
          <w:trHeight w:val="210"/>
        </w:trPr>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Short-term investments²</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23,180,863</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23,180,863</w:t>
            </w:r>
          </w:p>
        </w:tc>
        <w:tc>
          <w:tcPr>
            <w:tcW w:w="3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44,756,478</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44,756,478</w:t>
            </w:r>
          </w:p>
        </w:tc>
        <w:tc>
          <w:tcPr>
            <w:tcW w:w="2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tcBorders>
              <w:top w:val="single" w:sz="8" w:color="CFF0FC"/>
            </w:tcBorders>
            <w:shd w:val="clear" w:color="auto" w:fill="CFF0FC"/>
          </w:tcPr>
          <w:p>
            <w:pPr>
              <w:spacing w:after="0"/>
              <w:rPr>
                <w:sz w:val="18"/>
                <w:szCs w:val="18"/>
                <w:color w:val="auto"/>
              </w:rPr>
            </w:pPr>
          </w:p>
        </w:tc>
      </w:tr>
      <w:tr>
        <w:trPr>
          <w:trHeight w:val="217"/>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Senior Secured Loan</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106,682,014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104,599,092</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86,040,921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77,616,209</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60" w:type="dxa"/>
            <w:vAlign w:val="bottom"/>
          </w:tcPr>
          <w:p>
            <w:pPr>
              <w:spacing w:after="0"/>
              <w:rPr>
                <w:sz w:val="18"/>
                <w:szCs w:val="18"/>
                <w:color w:val="auto"/>
              </w:rPr>
            </w:pPr>
          </w:p>
        </w:tc>
      </w:tr>
      <w:tr>
        <w:trPr>
          <w:trHeight w:val="21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Junior Secured Loan</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79,140,346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70,492,986</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76,223,561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70,245,535</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shd w:val="clear" w:color="auto" w:fill="CFF0FC"/>
          </w:tcPr>
          <w:p>
            <w:pPr>
              <w:spacing w:after="0"/>
              <w:rPr>
                <w:sz w:val="18"/>
                <w:szCs w:val="18"/>
                <w:color w:val="auto"/>
              </w:rPr>
            </w:pPr>
          </w:p>
        </w:tc>
      </w:tr>
      <w:tr>
        <w:trPr>
          <w:trHeight w:val="217"/>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Senior Unsecured Bond</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620,145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532,267</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CLO Fund Securities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48,825,983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36,871,295</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55,480,626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44,325,000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shd w:val="clear" w:color="auto" w:fill="CFF0FC"/>
          </w:tcPr>
          <w:p>
            <w:pPr>
              <w:spacing w:after="0"/>
              <w:rPr>
                <w:sz w:val="18"/>
                <w:szCs w:val="18"/>
                <w:color w:val="auto"/>
              </w:rPr>
            </w:pPr>
          </w:p>
        </w:tc>
      </w:tr>
      <w:tr>
        <w:trPr>
          <w:trHeight w:val="217"/>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19,528,755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6,279,611</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9,477,763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2,038,020</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r>
      <w:tr>
        <w:trPr>
          <w:trHeight w:val="21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Asset Manager Affiliates³</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17,791,230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17,791,230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3,470,000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8"/>
                <w:szCs w:val="18"/>
                <w:color w:val="auto"/>
              </w:rPr>
            </w:pPr>
          </w:p>
        </w:tc>
      </w:tr>
      <w:tr>
        <w:trPr>
          <w:trHeight w:val="217"/>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Joint Ventures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49,052,776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45,426,006</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37,381,525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30,857,107</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18"/>
                <w:szCs w:val="18"/>
                <w:color w:val="auto"/>
              </w:rPr>
            </w:pPr>
          </w:p>
        </w:tc>
      </w:tr>
      <w:tr>
        <w:trPr>
          <w:trHeight w:val="21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Derivatives</w:t>
            </w: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30,609</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9,650</w:t>
            </w:r>
          </w:p>
        </w:tc>
        <w:tc>
          <w:tcPr>
            <w:tcW w:w="30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3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8"/>
                <w:szCs w:val="18"/>
                <w:color w:val="auto"/>
              </w:rPr>
            </w:pPr>
          </w:p>
        </w:tc>
      </w:tr>
      <w:tr>
        <w:trPr>
          <w:trHeight w:val="210"/>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344,852,721</w:t>
            </w:r>
          </w:p>
        </w:tc>
        <w:tc>
          <w:tcPr>
            <w:tcW w:w="28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287,391,771</w:t>
            </w: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327,152,104</w:t>
            </w:r>
          </w:p>
        </w:tc>
        <w:tc>
          <w:tcPr>
            <w:tcW w:w="28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273,308,349</w:t>
            </w: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3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440" w:hanging="438"/>
        <w:spacing w:after="0"/>
        <w:tabs>
          <w:tab w:leader="none" w:pos="4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percentage of total portfolio at fair value.</w:t>
      </w:r>
    </w:p>
    <w:p>
      <w:pPr>
        <w:spacing w:after="0" w:line="26" w:lineRule="exact"/>
        <w:rPr>
          <w:sz w:val="20"/>
          <w:szCs w:val="20"/>
          <w:color w:val="auto"/>
        </w:rPr>
      </w:pPr>
    </w:p>
    <w:p>
      <w:pPr>
        <w:ind w:left="440" w:hanging="438"/>
        <w:spacing w:after="0"/>
        <w:tabs>
          <w:tab w:leader="none" w:pos="4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money market accounts and U.S. treasury bills.</w:t>
      </w:r>
    </w:p>
    <w:p>
      <w:pPr>
        <w:spacing w:after="0" w:line="9" w:lineRule="exact"/>
        <w:rPr>
          <w:sz w:val="20"/>
          <w:szCs w:val="20"/>
          <w:color w:val="auto"/>
        </w:rPr>
      </w:pPr>
    </w:p>
    <w:p>
      <w:pPr>
        <w:ind w:left="440" w:hanging="438"/>
        <w:spacing w:after="0"/>
        <w:tabs>
          <w:tab w:leader="none" w:pos="4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equity investment in the Asset Manager Affiliates.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7"/>
          <w:szCs w:val="17"/>
          <w:color w:val="auto"/>
        </w:rPr>
        <w:t>The industry concentrations, based on the fair value of the Company’s investment portfolio as of September 30, 2019 and December 31,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b w:val="1"/>
                <w:bCs w:val="1"/>
                <w:color w:val="auto"/>
              </w:rPr>
              <w:t>September 30, 2019 (unaudited)</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7"/>
                <w:szCs w:val="17"/>
                <w:b w:val="1"/>
                <w:bCs w:val="1"/>
                <w:color w:val="auto"/>
              </w:rPr>
              <w:t>December 31, 2018</w:t>
            </w:r>
          </w:p>
        </w:tc>
        <w:tc>
          <w:tcPr>
            <w:tcW w:w="3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0"/>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380"/>
              <w:spacing w:after="0" w:line="190" w:lineRule="exact"/>
              <w:rPr>
                <w:sz w:val="20"/>
                <w:szCs w:val="20"/>
                <w:color w:val="auto"/>
              </w:rPr>
            </w:pPr>
            <w:r>
              <w:rPr>
                <w:rFonts w:ascii="Times New Roman" w:cs="Times New Roman" w:eastAsia="Times New Roman" w:hAnsi="Times New Roman"/>
                <w:sz w:val="17"/>
                <w:szCs w:val="17"/>
                <w:b w:val="1"/>
                <w:bCs w:val="1"/>
                <w:color w:val="auto"/>
              </w:rPr>
              <w:t>Cost/Amortized</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55"/>
              <w:spacing w:after="0" w:line="190" w:lineRule="exact"/>
              <w:rPr>
                <w:sz w:val="20"/>
                <w:szCs w:val="20"/>
                <w:color w:val="auto"/>
              </w:rPr>
            </w:pPr>
            <w:r>
              <w:rPr>
                <w:rFonts w:ascii="Times New Roman" w:cs="Times New Roman" w:eastAsia="Times New Roman" w:hAnsi="Times New Roman"/>
                <w:sz w:val="17"/>
                <w:szCs w:val="17"/>
                <w:b w:val="1"/>
                <w:bCs w:val="1"/>
                <w:color w:val="auto"/>
              </w:rPr>
              <w:t>Cost/Amortized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Industry Classification</w:t>
            </w:r>
          </w:p>
        </w:tc>
        <w:tc>
          <w:tcPr>
            <w:tcW w:w="10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20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%¹</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Cost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r>
      <w:tr>
        <w:trPr>
          <w:trHeight w:val="210"/>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Aerospace and Defense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9,657,656</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9,696,240</w:t>
            </w: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5,434,927</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4,049,940</w:t>
            </w: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Borders>
              <w:top w:val="single" w:sz="8" w:color="CFF0FC"/>
            </w:tcBorders>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Asset Management Company </w:t>
            </w: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17,791,230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17,791,230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3,470,000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Automotive</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4,903,922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4,887,750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Banking, Finance, Insurance &amp; Real Estate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6,409,973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6,312,997</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8,831,841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8,733,933</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Beverage, Food and Tobacco</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7,927,106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7,708,868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5,963,334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5,796,506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Capital Equipment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10,868,848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9,621,366</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10,888,432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9,831,391</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Chemicals, Plastics and Rubber</w:t>
            </w: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4,862,063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4,801,645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CLO Fund Securities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48,825,983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36,871,295</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55,480,626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44,325,000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Construction &amp; Building</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1,528,417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1,491,999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1,400,223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1,394,163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Consumer goods: Durable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1,251,118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4,474</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364,240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Containers, Packaging and Glass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2,839,628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2,623,104</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1,434,568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1,440,525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Electronics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2,972,114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2,973,750</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3,007,500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3,007,500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Energy: Oil &amp; Gas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9,527,648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1,620,635</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16,827,204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8,946,568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Environmental Industries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4,011,769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3,996,789</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8,371,180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6,939,794</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Forest Products &amp; Paper</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1,569,078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1,525,481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1,564,583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1,553,920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Healthcare, Education and Childcare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9,366,290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9,119,290</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Healthcare &amp; Pharmaceuticals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41,732,075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32,182,240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38,638,822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32,287,288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High Tech Industries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24,229,777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22,864,112</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23,971,435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23,662,459</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Hotel, Gaming &amp; Leisure</w:t>
            </w: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Joint Ventures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49,052,776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45,426,006</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37,381,525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30,857,107</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Media: Advertising, Printing &amp; Publishing</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359,765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98,827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6,113,852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5,590,863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Media: Broadcasting &amp; Subscription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4,858,333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4,892,093</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Services: Business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29,630,110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28,244,892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10,398,710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9,213,416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Services: Consumer</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4,580,275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4,594,427</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Telecommunications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6,892,524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6,694,100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8,351,775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8,343,919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Textiles and Leather</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12,383,112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12,257,840</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10,140,662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9,940,294</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Money Market Accounts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13,181,680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13,181,680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34,757,129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34,757,129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shd w:val="clear" w:color="auto" w:fill="CFF0FC"/>
          </w:tcPr>
          <w:p>
            <w:pPr>
              <w:spacing w:after="0"/>
              <w:rPr>
                <w:sz w:val="18"/>
                <w:szCs w:val="18"/>
                <w:color w:val="auto"/>
              </w:rPr>
            </w:pP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Transportation: Cargo</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8,502,331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8,502,333</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4,000,634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4,000,400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r>
      <w:tr>
        <w:trPr>
          <w:trHeight w:val="217"/>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U.S. Government Obligations</w:t>
            </w: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9,999,183</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9,999,183</w:t>
            </w:r>
          </w:p>
        </w:tc>
        <w:tc>
          <w:tcPr>
            <w:tcW w:w="2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9,999,349</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9,999,349</w:t>
            </w:r>
          </w:p>
        </w:tc>
        <w:tc>
          <w:tcPr>
            <w:tcW w:w="26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shd w:val="clear" w:color="auto" w:fill="CFF0FC"/>
          </w:tcPr>
          <w:p>
            <w:pPr>
              <w:spacing w:after="0"/>
              <w:rPr>
                <w:sz w:val="18"/>
                <w:szCs w:val="18"/>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344,852,721</w:t>
            </w:r>
          </w:p>
        </w:tc>
        <w:tc>
          <w:tcPr>
            <w:tcW w:w="2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287,391,771</w:t>
            </w: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327,152,104</w:t>
            </w:r>
          </w:p>
        </w:tc>
        <w:tc>
          <w:tcPr>
            <w:tcW w:w="2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273,308,349</w:t>
            </w:r>
          </w:p>
        </w:tc>
        <w:tc>
          <w:tcPr>
            <w:tcW w:w="2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440" w:hanging="438"/>
        <w:spacing w:after="0"/>
        <w:tabs>
          <w:tab w:leader="none" w:pos="4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Calculated as a percentage of total portfolio at fair value.</w:t>
      </w:r>
    </w:p>
    <w:p>
      <w:pPr>
        <w:spacing w:after="0" w:line="24" w:lineRule="exact"/>
        <w:rPr>
          <w:sz w:val="20"/>
          <w:szCs w:val="20"/>
          <w:color w:val="auto"/>
        </w:rPr>
      </w:pPr>
    </w:p>
    <w:p>
      <w:pPr>
        <w:ind w:left="440" w:hanging="438"/>
        <w:spacing w:after="0"/>
        <w:tabs>
          <w:tab w:leader="none" w:pos="4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Represents the equity investment in the Asset Manager Affiliates.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Securities Portfolio</w:t>
      </w:r>
    </w:p>
    <w:p>
      <w:pPr>
        <w:spacing w:after="0" w:line="179" w:lineRule="exact"/>
        <w:rPr>
          <w:sz w:val="20"/>
          <w:szCs w:val="20"/>
          <w:color w:val="auto"/>
        </w:rPr>
      </w:pPr>
    </w:p>
    <w:p>
      <w:pPr>
        <w:jc w:val="both"/>
        <w:ind w:right="260" w:firstLine="440"/>
        <w:spacing w:after="0" w:line="267" w:lineRule="auto"/>
        <w:rPr>
          <w:sz w:val="20"/>
          <w:szCs w:val="20"/>
          <w:color w:val="auto"/>
        </w:rPr>
      </w:pPr>
      <w:r>
        <w:rPr>
          <w:rFonts w:ascii="Times New Roman" w:cs="Times New Roman" w:eastAsia="Times New Roman" w:hAnsi="Times New Roman"/>
          <w:sz w:val="17"/>
          <w:szCs w:val="17"/>
          <w:color w:val="auto"/>
        </w:rPr>
        <w:t>At September 30, 2019 and December 31, 2018, the weighted average contractual interest rate on our loans and debt securities was approximately 9.4% and 10.0%, respectively. At September 30, 2019 and December 31, 2018, the weighted average contractual interest rate on our loans and debt securities, excluding non-accrual and partial non-accrual investments, was approximately 9.0% and 9.1%, respectively.</w:t>
      </w:r>
    </w:p>
    <w:p>
      <w:pPr>
        <w:spacing w:after="0" w:line="128" w:lineRule="exact"/>
        <w:rPr>
          <w:sz w:val="20"/>
          <w:szCs w:val="20"/>
          <w:color w:val="auto"/>
        </w:rPr>
      </w:pPr>
    </w:p>
    <w:p>
      <w:pPr>
        <w:ind w:right="200" w:firstLine="440"/>
        <w:spacing w:after="0" w:line="283" w:lineRule="auto"/>
        <w:rPr>
          <w:sz w:val="20"/>
          <w:szCs w:val="20"/>
          <w:color w:val="auto"/>
        </w:rPr>
      </w:pPr>
      <w:r>
        <w:rPr>
          <w:rFonts w:ascii="Times New Roman" w:cs="Times New Roman" w:eastAsia="Times New Roman" w:hAnsi="Times New Roman"/>
          <w:sz w:val="17"/>
          <w:szCs w:val="17"/>
          <w:color w:val="auto"/>
        </w:rPr>
        <w:t>The investment portfolio (excluding the Company’s investment in Asset Manager Affiliates, CLO Fund Securities, and Joint Ventures) at September 30, 2019 was spread across 21 different industries and 51 different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77" w:name="page78"/>
    <w:bookmarkEnd w:id="77"/>
    <w:p>
      <w:pPr>
        <w:ind w:right="720"/>
        <w:spacing w:after="0" w:line="283" w:lineRule="auto"/>
        <w:rPr>
          <w:sz w:val="20"/>
          <w:szCs w:val="20"/>
          <w:color w:val="auto"/>
        </w:rPr>
      </w:pPr>
      <w:r>
        <w:rPr>
          <w:rFonts w:ascii="Times New Roman" w:cs="Times New Roman" w:eastAsia="Times New Roman" w:hAnsi="Times New Roman"/>
          <w:sz w:val="17"/>
          <w:szCs w:val="17"/>
          <w:color w:val="auto"/>
        </w:rPr>
        <w:t>entities with an average balance per entity of approximately $3.3 million. As of September 30, 2019 six of our investments were on non-accrual status. As of December 31, 2018 five of our investments were on non-accrual status.</w:t>
      </w:r>
    </w:p>
    <w:p>
      <w:pPr>
        <w:spacing w:after="0" w:line="127"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7"/>
          <w:szCs w:val="17"/>
          <w:color w:val="auto"/>
        </w:rPr>
        <w:t>We may invest up to 30% of our investment portfolio in “non-qualifying” opportunistic investments such as high-yield bonds, debt and equity securities of CLO Funds, foreign investments, and distressed debt or equity securities of large cap public companies. At September 30, 2019 and December 31, 2018, the total amount of non-qualifying assets was approximately 28.3% and 28.0%, respectively. The majority of non-qualifying assets were foreign investments which were approximately 12.8% and 16.5%, respectively, of our total assets (including our investments in CLO Funds, which are typically domiciled outside the U.S. and represented approximately 12.6% and 15.5% of its total assets, respectively). The investments in our Debt Securities Portfolio are all or predominantly below investment grade, and therefore have speculative characteristics with respect to the issuer’s capacity to pay interest and repay principal.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 Manager Affiliates</w:t>
      </w:r>
    </w:p>
    <w:p>
      <w:pPr>
        <w:spacing w:after="0" w:line="17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7"/>
          <w:szCs w:val="17"/>
          <w:color w:val="auto"/>
        </w:rPr>
        <w:t>The Disposed Manager Affiliates manage CLO Funds that invest in broadly syndicated loans, high yield bonds and other credit instruments. The CLO Funds managed by the Disposed Asset Manager Affiliates consist primarily of credit instruments issued by corporations. In connection with the LibreMax Transaction, on December 31, 2018, our wholly-owned subsidiary Commodore Holdings, LLC sold the Disposed Manager Affiliates, which represented substantially all of our investment in the Asset Manager Affiliates, to LibreMax for a cash purchase price of approximately $37.9 million. Accordingly, certain CLO Fund investments were reclassified from CLO Funds managed by affiliates to CLO funds managed by non-affiliates on December 31, 2018. Effective April 1, 2019, as a result of the Externalization and related transactions, CLO Fund investments managed by LibreMax were assigned to CLO Funds managed by affiliates. As of September 30, 2019, our Asset Manager Affiliates had approximately $300 million of par value of assets under management, for which management fees were waived and thus were deemed to have no value. As of December 31, 2018, our Asset Manager Affiliates had approximately $300 million of par value of assets under management on which they earned management fees, and were valued at approximately $3.5 million.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CLO Fund Securities</w:t>
      </w:r>
    </w:p>
    <w:p>
      <w:pPr>
        <w:spacing w:after="0" w:line="179" w:lineRule="exact"/>
        <w:rPr>
          <w:sz w:val="20"/>
          <w:szCs w:val="20"/>
          <w:color w:val="auto"/>
        </w:rPr>
      </w:pPr>
    </w:p>
    <w:p>
      <w:pPr>
        <w:ind w:right="320" w:firstLine="440"/>
        <w:spacing w:after="0" w:line="262" w:lineRule="auto"/>
        <w:rPr>
          <w:sz w:val="20"/>
          <w:szCs w:val="20"/>
          <w:color w:val="auto"/>
        </w:rPr>
      </w:pPr>
      <w:r>
        <w:rPr>
          <w:rFonts w:ascii="Times New Roman" w:cs="Times New Roman" w:eastAsia="Times New Roman" w:hAnsi="Times New Roman"/>
          <w:sz w:val="17"/>
          <w:szCs w:val="17"/>
          <w:color w:val="auto"/>
        </w:rPr>
        <w:t>We have made minority investments in the subordinated securities or preferred shares of CLO Funds managed by the Disposed Manager Affiliates and may selectively invest in securities issued by CLO Funds managed by other asset management companies. As of September 30, 2019 and December 31, 2018, we had approximately $36.9 million and $44.3 million, respectively, invested in CLO Fund Securities, issued primarily by CLO Funds managed by the Disposed Manager Affiliates.</w:t>
      </w:r>
    </w:p>
    <w:p>
      <w:pPr>
        <w:spacing w:after="0" w:line="131" w:lineRule="exact"/>
        <w:rPr>
          <w:sz w:val="20"/>
          <w:szCs w:val="20"/>
          <w:color w:val="auto"/>
        </w:rPr>
      </w:pPr>
    </w:p>
    <w:p>
      <w:pPr>
        <w:ind w:right="400" w:firstLine="440"/>
        <w:spacing w:after="0" w:line="283" w:lineRule="auto"/>
        <w:rPr>
          <w:sz w:val="20"/>
          <w:szCs w:val="20"/>
          <w:color w:val="auto"/>
        </w:rPr>
      </w:pPr>
      <w:r>
        <w:rPr>
          <w:rFonts w:ascii="Times New Roman" w:cs="Times New Roman" w:eastAsia="Times New Roman" w:hAnsi="Times New Roman"/>
          <w:sz w:val="17"/>
          <w:szCs w:val="17"/>
          <w:color w:val="auto"/>
        </w:rPr>
        <w:t>The CLO Funds invest primarily in broadly syndicated non-investment grade loans, high-yield bonds and other credit instruments of corporate issuers. The underlying assets in each of the CLO Fund Securities in which we have an investment are generally diversified secured or unsecured corporate debt.</w:t>
      </w:r>
    </w:p>
    <w:p>
      <w:pPr>
        <w:spacing w:after="0" w:line="127" w:lineRule="exact"/>
        <w:rPr>
          <w:sz w:val="20"/>
          <w:szCs w:val="20"/>
          <w:color w:val="auto"/>
        </w:rPr>
      </w:pPr>
    </w:p>
    <w:p>
      <w:pPr>
        <w:jc w:val="both"/>
        <w:ind w:right="140" w:firstLine="440"/>
        <w:spacing w:after="0" w:line="256" w:lineRule="auto"/>
        <w:rPr>
          <w:sz w:val="20"/>
          <w:szCs w:val="20"/>
          <w:color w:val="auto"/>
        </w:rPr>
      </w:pPr>
      <w:r>
        <w:rPr>
          <w:rFonts w:ascii="Times New Roman" w:cs="Times New Roman" w:eastAsia="Times New Roman" w:hAnsi="Times New Roman"/>
          <w:sz w:val="17"/>
          <w:szCs w:val="17"/>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For a more detailed discussion of the risks related to our investments in CLO Funds, please see “Risk Factors — Risks Related to Our Investments</w:t>
      </w:r>
    </w:p>
    <w:p>
      <w:pPr>
        <w:spacing w:after="0" w:line="2"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7"/>
          <w:szCs w:val="17"/>
          <w:color w:val="auto"/>
        </w:rPr>
        <w:t>— Our investments may be risky, and you could lose all or part of your investment.” in Part I, “Item 1A. Risk Factors” in our Annual Report on Form 10-K for the year ended December 31, 2018.</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7"/>
          <w:szCs w:val="17"/>
          <w:color w:val="auto"/>
        </w:rPr>
        <w:t>Our CLO Fund Securities as of September 30, 2019 and December 31, 2018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4"/>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September 30, 2019</w:t>
            </w: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6"/>
          </w:tcPr>
          <w:p>
            <w:pPr>
              <w:ind w:left="400"/>
              <w:spacing w:after="0"/>
              <w:rPr>
                <w:sz w:val="20"/>
                <w:szCs w:val="20"/>
                <w:color w:val="auto"/>
              </w:rPr>
            </w:pPr>
            <w:r>
              <w:rPr>
                <w:rFonts w:ascii="Times New Roman" w:cs="Times New Roman" w:eastAsia="Times New Roman" w:hAnsi="Times New Roman"/>
                <w:sz w:val="17"/>
                <w:szCs w:val="17"/>
                <w:b w:val="1"/>
                <w:bCs w:val="1"/>
                <w:color w:val="auto"/>
              </w:rPr>
              <w:t>December 31, 2018</w:t>
            </w:r>
            <w:r>
              <w:rPr>
                <w:rFonts w:ascii="Times New Roman" w:cs="Times New Roman" w:eastAsia="Times New Roman" w:hAnsi="Times New Roman"/>
                <w:sz w:val="14"/>
                <w:szCs w:val="14"/>
                <w:b w:val="1"/>
                <w:bCs w:val="1"/>
                <w:color w:val="auto"/>
              </w:rPr>
              <w:t>2</w:t>
            </w:r>
          </w:p>
        </w:tc>
      </w:tr>
      <w:tr>
        <w:trPr>
          <w:trHeight w:val="190"/>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60"/>
              <w:spacing w:after="0" w:line="190" w:lineRule="exact"/>
              <w:rPr>
                <w:sz w:val="20"/>
                <w:szCs w:val="20"/>
                <w:color w:val="auto"/>
              </w:rPr>
            </w:pPr>
            <w:r>
              <w:rPr>
                <w:rFonts w:ascii="Times New Roman" w:cs="Times New Roman" w:eastAsia="Times New Roman" w:hAnsi="Times New Roman"/>
                <w:sz w:val="17"/>
                <w:szCs w:val="17"/>
                <w:b w:val="1"/>
                <w:bCs w:val="1"/>
                <w:color w:val="auto"/>
              </w:rPr>
              <w:t>Amortized</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60"/>
              <w:spacing w:after="0" w:line="190" w:lineRule="exact"/>
              <w:rPr>
                <w:sz w:val="20"/>
                <w:szCs w:val="20"/>
                <w:color w:val="auto"/>
              </w:rPr>
            </w:pPr>
            <w:r>
              <w:rPr>
                <w:rFonts w:ascii="Times New Roman" w:cs="Times New Roman" w:eastAsia="Times New Roman" w:hAnsi="Times New Roman"/>
                <w:sz w:val="17"/>
                <w:szCs w:val="17"/>
                <w:b w:val="1"/>
                <w:bCs w:val="1"/>
                <w:color w:val="auto"/>
              </w:rPr>
              <w:t>Amortized</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3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CLO Fund Securities</w:t>
            </w:r>
          </w:p>
        </w:tc>
        <w:tc>
          <w:tcPr>
            <w:tcW w:w="120" w:type="dxa"/>
            <w:vAlign w:val="bottom"/>
          </w:tcPr>
          <w:p>
            <w:pPr>
              <w:spacing w:after="0"/>
              <w:rPr>
                <w:sz w:val="19"/>
                <w:szCs w:val="19"/>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2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10"/>
        </w:trPr>
        <w:tc>
          <w:tcPr>
            <w:tcW w:w="3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Katonah III, Ltd.</w:t>
            </w:r>
          </w:p>
        </w:tc>
        <w:tc>
          <w:tcPr>
            <w:tcW w:w="1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Notes</w:t>
            </w: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1,287,155</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487,508</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1,287,155</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369,280</w:t>
            </w:r>
          </w:p>
        </w:tc>
        <w:tc>
          <w:tcPr>
            <w:tcW w:w="100" w:type="dxa"/>
            <w:vAlign w:val="bottom"/>
            <w:tcBorders>
              <w:top w:val="single" w:sz="8" w:color="CFF0FC"/>
            </w:tcBorders>
            <w:shd w:val="clear" w:color="auto" w:fill="CFF0FC"/>
          </w:tcPr>
          <w:p>
            <w:pPr>
              <w:spacing w:after="0"/>
              <w:rPr>
                <w:sz w:val="18"/>
                <w:szCs w:val="18"/>
                <w:color w:val="auto"/>
              </w:rPr>
            </w:pPr>
          </w:p>
        </w:tc>
      </w:tr>
      <w:tr>
        <w:trPr>
          <w:trHeight w:val="201"/>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Catamaran CLO 2013- 1 Ltd.</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Subordinated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3260" w:type="dxa"/>
            <w:vAlign w:val="bottom"/>
          </w:tcPr>
          <w:p>
            <w:pPr>
              <w:spacing w:after="0"/>
              <w:rPr>
                <w:sz w:val="19"/>
                <w:szCs w:val="19"/>
                <w:color w:val="auto"/>
              </w:rPr>
            </w:pP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Notes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6,294,986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6,268,534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6,378,611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7,016,733</w:t>
            </w:r>
          </w:p>
        </w:tc>
        <w:tc>
          <w:tcPr>
            <w:tcW w:w="100" w:type="dxa"/>
            <w:vAlign w:val="bottom"/>
          </w:tcPr>
          <w:p>
            <w:pPr>
              <w:spacing w:after="0"/>
              <w:rPr>
                <w:sz w:val="19"/>
                <w:szCs w:val="19"/>
                <w:color w:val="auto"/>
              </w:rPr>
            </w:pPr>
          </w:p>
        </w:tc>
      </w:tr>
      <w:tr>
        <w:trPr>
          <w:trHeight w:val="201"/>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Catamaran CLO 2014-1 Ltd.</w:t>
            </w:r>
          </w:p>
        </w:tc>
        <w:tc>
          <w:tcPr>
            <w:tcW w:w="1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Subordinated</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326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Notes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10,192,718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8,302,955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11,740,622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9,777,251</w:t>
            </w:r>
          </w:p>
        </w:tc>
        <w:tc>
          <w:tcPr>
            <w:tcW w:w="100" w:type="dxa"/>
            <w:vAlign w:val="bottom"/>
            <w:shd w:val="clear" w:color="auto" w:fill="CFF0FC"/>
          </w:tcPr>
          <w:p>
            <w:pPr>
              <w:spacing w:after="0"/>
              <w:rPr>
                <w:sz w:val="19"/>
                <w:szCs w:val="19"/>
                <w:color w:val="auto"/>
              </w:rPr>
            </w:pPr>
          </w:p>
        </w:tc>
      </w:tr>
      <w:tr>
        <w:trPr>
          <w:trHeight w:val="217"/>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Great Lakes KCAP F3C Senior LLC</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Class E Notes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4,407,106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4,473,840</w:t>
            </w:r>
          </w:p>
        </w:tc>
        <w:tc>
          <w:tcPr>
            <w:tcW w:w="100" w:type="dxa"/>
            <w:vAlign w:val="bottom"/>
          </w:tcPr>
          <w:p>
            <w:pPr>
              <w:spacing w:after="0"/>
              <w:rPr>
                <w:sz w:val="18"/>
                <w:szCs w:val="18"/>
                <w:color w:val="auto"/>
              </w:rPr>
            </w:pPr>
          </w:p>
        </w:tc>
      </w:tr>
      <w:tr>
        <w:trPr>
          <w:trHeight w:val="201"/>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Dryden 30 Senior Loan Fund</w:t>
            </w:r>
          </w:p>
        </w:tc>
        <w:tc>
          <w:tcPr>
            <w:tcW w:w="1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Subordinated</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326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Notes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1,516,717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1,932,505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1,438,701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1,913,925</w:t>
            </w:r>
          </w:p>
        </w:tc>
        <w:tc>
          <w:tcPr>
            <w:tcW w:w="100" w:type="dxa"/>
            <w:vAlign w:val="bottom"/>
            <w:shd w:val="clear" w:color="auto" w:fill="CFF0FC"/>
          </w:tcPr>
          <w:p>
            <w:pPr>
              <w:spacing w:after="0"/>
              <w:rPr>
                <w:sz w:val="19"/>
                <w:szCs w:val="19"/>
                <w:color w:val="auto"/>
              </w:rPr>
            </w:pPr>
          </w:p>
        </w:tc>
      </w:tr>
      <w:tr>
        <w:trPr>
          <w:trHeight w:val="201"/>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Catamaran CLO 2014-2 Ltd.</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Subordinated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3260" w:type="dxa"/>
            <w:vAlign w:val="bottom"/>
          </w:tcPr>
          <w:p>
            <w:pPr>
              <w:spacing w:after="0"/>
              <w:rPr>
                <w:sz w:val="19"/>
                <w:szCs w:val="19"/>
                <w:color w:val="auto"/>
              </w:rPr>
            </w:pP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Notes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6,132,465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1,221,236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6,314,484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2,158,200</w:t>
            </w:r>
          </w:p>
        </w:tc>
        <w:tc>
          <w:tcPr>
            <w:tcW w:w="100" w:type="dxa"/>
            <w:vAlign w:val="bottom"/>
          </w:tcPr>
          <w:p>
            <w:pPr>
              <w:spacing w:after="0"/>
              <w:rPr>
                <w:sz w:val="19"/>
                <w:szCs w:val="19"/>
                <w:color w:val="auto"/>
              </w:rPr>
            </w:pPr>
          </w:p>
        </w:tc>
      </w:tr>
      <w:tr>
        <w:trPr>
          <w:trHeight w:val="201"/>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Catamaran CLO 2015-1 Ltd.</w:t>
            </w:r>
          </w:p>
        </w:tc>
        <w:tc>
          <w:tcPr>
            <w:tcW w:w="1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Subordinated</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326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Notes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4,190,443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2,856,878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4,353,347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3,048,698</w:t>
            </w:r>
          </w:p>
        </w:tc>
        <w:tc>
          <w:tcPr>
            <w:tcW w:w="100" w:type="dxa"/>
            <w:vAlign w:val="bottom"/>
            <w:shd w:val="clear" w:color="auto" w:fill="CFF0FC"/>
          </w:tcPr>
          <w:p>
            <w:pPr>
              <w:spacing w:after="0"/>
              <w:rPr>
                <w:sz w:val="19"/>
                <w:szCs w:val="19"/>
                <w:color w:val="auto"/>
              </w:rPr>
            </w:pPr>
          </w:p>
        </w:tc>
      </w:tr>
      <w:tr>
        <w:trPr>
          <w:trHeight w:val="201"/>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Catamaran CLO 2016-1 Ltd.</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Subordinated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3260" w:type="dxa"/>
            <w:vAlign w:val="bottom"/>
          </w:tcPr>
          <w:p>
            <w:pPr>
              <w:spacing w:after="0"/>
              <w:rPr>
                <w:sz w:val="19"/>
                <w:szCs w:val="19"/>
                <w:color w:val="auto"/>
              </w:rPr>
            </w:pP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Notes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9,440,106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6,854,783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9,717,150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7,067,073</w:t>
            </w:r>
          </w:p>
        </w:tc>
        <w:tc>
          <w:tcPr>
            <w:tcW w:w="100" w:type="dxa"/>
            <w:vAlign w:val="bottom"/>
          </w:tcPr>
          <w:p>
            <w:pPr>
              <w:spacing w:after="0"/>
              <w:rPr>
                <w:sz w:val="19"/>
                <w:szCs w:val="19"/>
                <w:color w:val="auto"/>
              </w:rPr>
            </w:pPr>
          </w:p>
        </w:tc>
      </w:tr>
      <w:tr>
        <w:trPr>
          <w:trHeight w:val="201"/>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Catamaran CLO 2018-1 Ltd.</w:t>
            </w:r>
          </w:p>
        </w:tc>
        <w:tc>
          <w:tcPr>
            <w:tcW w:w="1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Subordinated</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326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Notes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9,771,393</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8,946,896</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9,843,450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8,500,000</w:t>
            </w:r>
          </w:p>
        </w:tc>
        <w:tc>
          <w:tcPr>
            <w:tcW w:w="100" w:type="dxa"/>
            <w:vAlign w:val="bottom"/>
            <w:shd w:val="clear" w:color="auto" w:fill="CFF0FC"/>
          </w:tcPr>
          <w:p>
            <w:pPr>
              <w:spacing w:after="0"/>
              <w:rPr>
                <w:sz w:val="19"/>
                <w:szCs w:val="19"/>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48,825,983</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36,871,295</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55,480,626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44,325,000</w:t>
            </w:r>
          </w:p>
        </w:tc>
        <w:tc>
          <w:tcPr>
            <w:tcW w:w="100" w:type="dxa"/>
            <w:vAlign w:val="bottom"/>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hanging="438"/>
        <w:spacing w:after="0"/>
        <w:tabs>
          <w:tab w:leader="none" w:pos="4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Represents percentage of class held at September 30, 2019.</w:t>
      </w:r>
    </w:p>
    <w:p>
      <w:pPr>
        <w:spacing w:after="0" w:line="24" w:lineRule="exact"/>
        <w:rPr>
          <w:sz w:val="20"/>
          <w:szCs w:val="20"/>
          <w:color w:val="auto"/>
        </w:rPr>
      </w:pPr>
    </w:p>
    <w:p>
      <w:pPr>
        <w:ind w:left="440" w:hanging="438"/>
        <w:spacing w:after="0"/>
        <w:tabs>
          <w:tab w:leader="none" w:pos="4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Other than Great Lakes KCAP F3C Senior LLC, none of our CLO Fund securities investments were managed by affiliates as of December 31, 2018</w:t>
      </w:r>
    </w:p>
    <w:p>
      <w:pPr>
        <w:spacing w:after="0" w:line="9" w:lineRule="exact"/>
        <w:rPr>
          <w:sz w:val="20"/>
          <w:szCs w:val="20"/>
          <w:color w:val="auto"/>
        </w:rPr>
      </w:pPr>
    </w:p>
    <w:p>
      <w:pPr>
        <w:ind w:left="440" w:hanging="438"/>
        <w:spacing w:after="0"/>
        <w:tabs>
          <w:tab w:leader="none" w:pos="4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Other than Katonah III, Ltd and Dryden 30, all of our CLO Fund securities investments were managed by affiliates as of September 30, 2019.</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 Joint Ventures: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KCAP Freedom 3 LLC</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7"/>
          <w:szCs w:val="17"/>
          <w:color w:val="auto"/>
        </w:rPr>
        <w:t>During the third quarter of 2017, we and Freedom 3 Opportunities LLC (“Freedom 3 Opportunities”), an affiliate of Freedom 3 Capital LLC, entered into an agreement to create KCAP Freedom 3 LLC (the “Joint Venture”). We contributed approximately $37 million and Freedom 3 Opportunities contributed approximately $25 million,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from us and we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139" w:lineRule="exact"/>
        <w:rPr>
          <w:sz w:val="20"/>
          <w:szCs w:val="20"/>
          <w:color w:val="auto"/>
        </w:rPr>
      </w:pPr>
    </w:p>
    <w:p>
      <w:pPr>
        <w:ind w:right="320" w:firstLine="440"/>
        <w:spacing w:after="0" w:line="259" w:lineRule="auto"/>
        <w:rPr>
          <w:sz w:val="20"/>
          <w:szCs w:val="20"/>
          <w:color w:val="auto"/>
        </w:rPr>
      </w:pPr>
      <w:r>
        <w:rPr>
          <w:rFonts w:ascii="Times New Roman" w:cs="Times New Roman" w:eastAsia="Times New Roman" w:hAnsi="Times New Roman"/>
          <w:sz w:val="17"/>
          <w:szCs w:val="17"/>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us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9" w:name="page80"/>
    <w:bookmarkEnd w:id="79"/>
    <w:p>
      <w:pPr>
        <w:ind w:right="120" w:firstLine="440"/>
        <w:spacing w:after="0" w:line="259" w:lineRule="auto"/>
        <w:rPr>
          <w:sz w:val="20"/>
          <w:szCs w:val="20"/>
          <w:color w:val="auto"/>
        </w:rPr>
      </w:pPr>
      <w:r>
        <w:rPr>
          <w:rFonts w:ascii="Times New Roman" w:cs="Times New Roman" w:eastAsia="Times New Roman" w:hAnsi="Times New Roman"/>
          <w:sz w:val="17"/>
          <w:szCs w:val="17"/>
          <w:color w:val="auto"/>
        </w:rPr>
        <w:t>We own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Joint Venture’s investment committee, which is comprised of one member appointed by us and one member appointed by Freedom 3 Opportunities.</w:t>
      </w:r>
    </w:p>
    <w:p>
      <w:pPr>
        <w:spacing w:after="0" w:line="148"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7"/>
          <w:szCs w:val="17"/>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131"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7"/>
          <w:szCs w:val="17"/>
          <w:color w:val="auto"/>
        </w:rPr>
        <w:t>We have determined that the Joint Venture is an investment company under Accounting Standards Codification (“ASC”), Financial Services — Investment Companies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Joint Venture because we do not control the Joint Venture due to allocation of the voting rights among the Joint Venture partners.</w:t>
      </w:r>
    </w:p>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KCAP Freedom 3 LLC</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Summarized Statement of Financial Condition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20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05"/>
        </w:trPr>
        <w:tc>
          <w:tcPr>
            <w:tcW w:w="48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0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5"/>
        </w:trPr>
        <w:tc>
          <w:tcPr>
            <w:tcW w:w="4860" w:type="dxa"/>
            <w:vAlign w:val="bottom"/>
            <w:tcBorders>
              <w:bottom w:val="single" w:sz="8" w:color="CFF0FC"/>
            </w:tcBorders>
          </w:tcPr>
          <w:p>
            <w:pPr>
              <w:spacing w:after="0"/>
              <w:rPr>
                <w:sz w:val="19"/>
                <w:szCs w:val="19"/>
                <w:color w:val="auto"/>
              </w:rPr>
            </w:pPr>
          </w:p>
        </w:tc>
        <w:tc>
          <w:tcPr>
            <w:tcW w:w="3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100" w:type="dxa"/>
            <w:vAlign w:val="bottom"/>
            <w:tcBorders>
              <w:bottom w:val="single" w:sz="8" w:color="CFF0FC"/>
            </w:tcBorders>
          </w:tcPr>
          <w:p>
            <w:pPr>
              <w:spacing w:after="0"/>
              <w:rPr>
                <w:sz w:val="19"/>
                <w:szCs w:val="19"/>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Investment at fair value</w:t>
            </w:r>
          </w:p>
        </w:tc>
        <w:tc>
          <w:tcPr>
            <w:tcW w:w="30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33,548,354</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32,621,188</w:t>
            </w:r>
          </w:p>
        </w:tc>
        <w:tc>
          <w:tcPr>
            <w:tcW w:w="100" w:type="dxa"/>
            <w:vAlign w:val="bottom"/>
            <w:shd w:val="clear" w:color="auto" w:fill="CFF0FC"/>
          </w:tcPr>
          <w:p>
            <w:pPr>
              <w:spacing w:after="0"/>
              <w:rPr>
                <w:sz w:val="18"/>
                <w:szCs w:val="18"/>
                <w:color w:val="auto"/>
              </w:rPr>
            </w:pPr>
          </w:p>
        </w:tc>
      </w:tr>
      <w:tr>
        <w:trPr>
          <w:trHeight w:val="250"/>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30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33,548,354</w:t>
            </w:r>
          </w:p>
        </w:tc>
        <w:tc>
          <w:tcPr>
            <w:tcW w:w="2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32,621,188</w:t>
            </w:r>
          </w:p>
        </w:tc>
        <w:tc>
          <w:tcPr>
            <w:tcW w:w="100" w:type="dxa"/>
            <w:vAlign w:val="bottom"/>
            <w:tcBorders>
              <w:bottom w:val="single" w:sz="8" w:color="CFF0FC"/>
            </w:tcBorders>
          </w:tcPr>
          <w:p>
            <w:pPr>
              <w:spacing w:after="0"/>
              <w:rPr>
                <w:sz w:val="21"/>
                <w:szCs w:val="21"/>
                <w:color w:val="auto"/>
              </w:rPr>
            </w:pPr>
          </w:p>
        </w:tc>
      </w:tr>
      <w:tr>
        <w:trPr>
          <w:trHeight w:val="19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30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968,642</w:t>
            </w:r>
          </w:p>
        </w:tc>
        <w:tc>
          <w:tcPr>
            <w:tcW w:w="2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1,970,455</w:t>
            </w:r>
          </w:p>
        </w:tc>
        <w:tc>
          <w:tcPr>
            <w:tcW w:w="100" w:type="dxa"/>
            <w:vAlign w:val="bottom"/>
            <w:shd w:val="clear" w:color="auto" w:fill="CFF0FC"/>
          </w:tcPr>
          <w:p>
            <w:pPr>
              <w:spacing w:after="0"/>
              <w:rPr>
                <w:sz w:val="17"/>
                <w:szCs w:val="17"/>
                <w:color w:val="auto"/>
              </w:rPr>
            </w:pPr>
          </w:p>
        </w:tc>
      </w:tr>
      <w:tr>
        <w:trPr>
          <w:trHeight w:val="210"/>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Total Equity</w:t>
            </w:r>
          </w:p>
        </w:tc>
        <w:tc>
          <w:tcPr>
            <w:tcW w:w="30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32,579,712</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30,650,733</w:t>
            </w:r>
          </w:p>
        </w:tc>
        <w:tc>
          <w:tcPr>
            <w:tcW w:w="100" w:type="dxa"/>
            <w:vAlign w:val="bottom"/>
            <w:tcBorders>
              <w:bottom w:val="single" w:sz="8" w:color="CFF0FC"/>
            </w:tcBorders>
          </w:tcPr>
          <w:p>
            <w:pPr>
              <w:spacing w:after="0"/>
              <w:rPr>
                <w:sz w:val="18"/>
                <w:szCs w:val="18"/>
                <w:color w:val="auto"/>
              </w:rPr>
            </w:pPr>
          </w:p>
        </w:tc>
      </w:tr>
      <w:tr>
        <w:trPr>
          <w:trHeight w:val="210"/>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30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33,548,354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32,621,188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KCAP Freedom 3 LLC</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Summarized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5"/>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60" w:type="dxa"/>
            <w:vAlign w:val="bottom"/>
            <w:tcBorders>
              <w:bottom w:val="single" w:sz="8" w:color="CFF0FC"/>
            </w:tcBorders>
          </w:tcPr>
          <w:p>
            <w:pPr>
              <w:spacing w:after="0"/>
              <w:rPr>
                <w:sz w:val="19"/>
                <w:szCs w:val="19"/>
                <w:color w:val="auto"/>
              </w:rPr>
            </w:pPr>
          </w:p>
        </w:tc>
        <w:tc>
          <w:tcPr>
            <w:tcW w:w="2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Investment income</w:t>
            </w:r>
          </w:p>
        </w:tc>
        <w:tc>
          <w:tcPr>
            <w:tcW w:w="2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1,341,881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1,148,571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3,957,429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3,566,385</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35,191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56,512</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54,183</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110,273</w:t>
            </w:r>
          </w:p>
        </w:tc>
        <w:tc>
          <w:tcPr>
            <w:tcW w:w="10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investment income</w:t>
            </w:r>
          </w:p>
        </w:tc>
        <w:tc>
          <w:tcPr>
            <w:tcW w:w="2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1,306,690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1,092,059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3,903,246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3,456,112</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Unrealized appreciation on investments</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(1,663,956)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529,662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1,928,979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income</w:t>
            </w:r>
          </w:p>
        </w:tc>
        <w:tc>
          <w:tcPr>
            <w:tcW w:w="2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(357,266)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1,621,721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5,832,225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3,420,838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12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color w:val="auto"/>
              </w:rPr>
              <w:t>80</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41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16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289" w:right="19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b w:val="1"/>
          <w:bCs w:val="1"/>
          <w:color w:val="auto"/>
        </w:rPr>
        <w:t>KCAP Freedom 3 LLC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September 30,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Percentage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Ownership</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by Joint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Portfolio Company</w:t>
            </w:r>
          </w:p>
        </w:tc>
        <w:tc>
          <w:tcPr>
            <w:tcW w:w="140" w:type="dxa"/>
            <w:vAlign w:val="bottom"/>
          </w:tcPr>
          <w:p>
            <w:pPr>
              <w:spacing w:after="0"/>
              <w:rPr>
                <w:sz w:val="19"/>
                <w:szCs w:val="19"/>
                <w:color w:val="auto"/>
              </w:rPr>
            </w:pPr>
          </w:p>
        </w:tc>
        <w:tc>
          <w:tcPr>
            <w:tcW w:w="3640" w:type="dxa"/>
            <w:vAlign w:val="bottom"/>
            <w:gridSpan w:val="2"/>
          </w:tcPr>
          <w:p>
            <w:pPr>
              <w:ind w:left="1340"/>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4"/>
              </w:rPr>
              <w:t>Venture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194"/>
        </w:trPr>
        <w:tc>
          <w:tcPr>
            <w:tcW w:w="3200" w:type="dxa"/>
            <w:vAlign w:val="bottom"/>
            <w:tcBorders>
              <w:top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Great Lakes KCAP F3C Senior, LLC</w:t>
            </w:r>
            <w:r>
              <w:rPr>
                <w:rFonts w:ascii="Times New Roman" w:cs="Times New Roman" w:eastAsia="Times New Roman" w:hAnsi="Times New Roman"/>
                <w:sz w:val="14"/>
                <w:szCs w:val="14"/>
                <w:color w:val="auto"/>
              </w:rPr>
              <w:t>(1)(2)(3)</w:t>
            </w:r>
          </w:p>
        </w:tc>
        <w:tc>
          <w:tcPr>
            <w:tcW w:w="140" w:type="dxa"/>
            <w:vAlign w:val="bottom"/>
            <w:tcBorders>
              <w:top w:val="single" w:sz="8" w:color="CFF0FC"/>
            </w:tcBorders>
            <w:shd w:val="clear" w:color="auto" w:fill="CFF0FC"/>
          </w:tcPr>
          <w:p>
            <w:pPr>
              <w:spacing w:after="0"/>
              <w:rPr>
                <w:sz w:val="16"/>
                <w:szCs w:val="16"/>
                <w:color w:val="auto"/>
              </w:rPr>
            </w:pPr>
          </w:p>
        </w:tc>
        <w:tc>
          <w:tcPr>
            <w:tcW w:w="3500" w:type="dxa"/>
            <w:vAlign w:val="bottom"/>
            <w:tcBorders>
              <w:top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Subordinated Securities, effective interest 14.9%,</w:t>
            </w:r>
          </w:p>
        </w:tc>
        <w:tc>
          <w:tcPr>
            <w:tcW w:w="140" w:type="dxa"/>
            <w:vAlign w:val="bottom"/>
            <w:tcBorders>
              <w:top w:val="single" w:sz="8" w:color="CFF0FC"/>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21"/>
        </w:trPr>
        <w:tc>
          <w:tcPr>
            <w:tcW w:w="3200" w:type="dxa"/>
            <w:vAlign w:val="bottom"/>
            <w:shd w:val="clear" w:color="auto" w:fill="CFF0FC"/>
          </w:tcPr>
          <w:p>
            <w:pPr>
              <w:spacing w:after="0"/>
              <w:rPr>
                <w:sz w:val="19"/>
                <w:szCs w:val="19"/>
                <w:color w:val="auto"/>
              </w:rPr>
            </w:pPr>
          </w:p>
        </w:tc>
        <w:tc>
          <w:tcPr>
            <w:tcW w:w="37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12/29 maturity</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100.0%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41,634,567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33,548,354</w:t>
            </w:r>
          </w:p>
        </w:tc>
        <w:tc>
          <w:tcPr>
            <w:tcW w:w="100" w:type="dxa"/>
            <w:vAlign w:val="bottom"/>
            <w:shd w:val="clear" w:color="auto" w:fill="CFF0FC"/>
          </w:tcPr>
          <w:p>
            <w:pPr>
              <w:spacing w:after="0"/>
              <w:rPr>
                <w:sz w:val="19"/>
                <w:szCs w:val="19"/>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Investments</w:t>
            </w:r>
          </w:p>
        </w:tc>
        <w:tc>
          <w:tcPr>
            <w:tcW w:w="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41,634,567</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33,548,354</w:t>
            </w:r>
          </w:p>
        </w:tc>
        <w:tc>
          <w:tcPr>
            <w:tcW w:w="100" w:type="dxa"/>
            <w:vAlign w:val="bottom"/>
          </w:tcPr>
          <w:p>
            <w:pPr>
              <w:spacing w:after="0"/>
              <w:rPr>
                <w:sz w:val="18"/>
                <w:szCs w:val="18"/>
                <w:color w:val="auto"/>
              </w:rPr>
            </w:pPr>
          </w:p>
        </w:tc>
      </w:tr>
    </w:tbl>
    <w:p>
      <w:pPr>
        <w:spacing w:after="0" w:line="355" w:lineRule="exact"/>
        <w:rPr>
          <w:sz w:val="20"/>
          <w:szCs w:val="20"/>
          <w:color w:val="auto"/>
        </w:rPr>
      </w:pPr>
    </w:p>
    <w:p>
      <w:pPr>
        <w:ind w:left="440" w:right="80" w:hanging="438"/>
        <w:spacing w:after="0" w:line="256" w:lineRule="auto"/>
        <w:tabs>
          <w:tab w:leader="none" w:pos="4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Times New Roman" w:cs="Times New Roman" w:eastAsia="Times New Roman" w:hAnsi="Times New Roman"/>
          <w:sz w:val="17"/>
          <w:szCs w:val="17"/>
          <w:color w:val="auto"/>
        </w:rPr>
      </w:pPr>
    </w:p>
    <w:p>
      <w:pPr>
        <w:ind w:left="440" w:right="160" w:hanging="438"/>
        <w:spacing w:after="0" w:line="251" w:lineRule="auto"/>
        <w:tabs>
          <w:tab w:leader="none" w:pos="4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of this investment was determined using significant unobservable inputs, including default rates, prepayment rates, spreads, and the discount rate by which to value the resulting cash flows.</w:t>
      </w:r>
    </w:p>
    <w:p>
      <w:pPr>
        <w:ind w:left="440" w:hanging="438"/>
        <w:spacing w:after="0"/>
        <w:tabs>
          <w:tab w:leader="none" w:pos="4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Formerly known as KCAP F3C Senior Funding, LLC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KCAP Freedom 3 LLC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2018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Percentage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Ownership</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by Joint</w:t>
            </w:r>
          </w:p>
        </w:tc>
        <w:tc>
          <w:tcPr>
            <w:tcW w:w="16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Portfolio Company</w:t>
            </w:r>
          </w:p>
        </w:tc>
        <w:tc>
          <w:tcPr>
            <w:tcW w:w="160" w:type="dxa"/>
            <w:vAlign w:val="bottom"/>
          </w:tcPr>
          <w:p>
            <w:pPr>
              <w:spacing w:after="0"/>
              <w:rPr>
                <w:sz w:val="19"/>
                <w:szCs w:val="19"/>
                <w:color w:val="auto"/>
              </w:rPr>
            </w:pPr>
          </w:p>
        </w:tc>
        <w:tc>
          <w:tcPr>
            <w:tcW w:w="3400" w:type="dxa"/>
            <w:vAlign w:val="bottom"/>
            <w:gridSpan w:val="2"/>
          </w:tcPr>
          <w:p>
            <w:pPr>
              <w:ind w:left="1200"/>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Venture</w:t>
            </w:r>
          </w:p>
        </w:tc>
        <w:tc>
          <w:tcPr>
            <w:tcW w:w="16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Cost</w:t>
            </w:r>
          </w:p>
        </w:tc>
        <w:tc>
          <w:tcPr>
            <w:tcW w:w="18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194"/>
        </w:trPr>
        <w:tc>
          <w:tcPr>
            <w:tcW w:w="3280" w:type="dxa"/>
            <w:vAlign w:val="bottom"/>
            <w:tcBorders>
              <w:top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 xml:space="preserve">KCAP F3C Senior Funding, LLC </w:t>
            </w:r>
            <w:r>
              <w:rPr>
                <w:rFonts w:ascii="Times New Roman" w:cs="Times New Roman" w:eastAsia="Times New Roman" w:hAnsi="Times New Roman"/>
                <w:sz w:val="14"/>
                <w:szCs w:val="14"/>
                <w:color w:val="auto"/>
              </w:rPr>
              <w:t>(1)(2)</w:t>
            </w:r>
          </w:p>
        </w:tc>
        <w:tc>
          <w:tcPr>
            <w:tcW w:w="160" w:type="dxa"/>
            <w:vAlign w:val="bottom"/>
            <w:tcBorders>
              <w:top w:val="single" w:sz="8" w:color="CFF0FC"/>
            </w:tcBorders>
            <w:shd w:val="clear" w:color="auto" w:fill="CFF0FC"/>
          </w:tcPr>
          <w:p>
            <w:pPr>
              <w:spacing w:after="0"/>
              <w:rPr>
                <w:sz w:val="16"/>
                <w:szCs w:val="16"/>
                <w:color w:val="auto"/>
              </w:rPr>
            </w:pPr>
          </w:p>
        </w:tc>
        <w:tc>
          <w:tcPr>
            <w:tcW w:w="3260" w:type="dxa"/>
            <w:vAlign w:val="bottom"/>
            <w:tcBorders>
              <w:top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Subordinated Securities, effective interest</w:t>
            </w:r>
          </w:p>
        </w:tc>
        <w:tc>
          <w:tcPr>
            <w:tcW w:w="140" w:type="dxa"/>
            <w:vAlign w:val="bottom"/>
            <w:tcBorders>
              <w:top w:val="single" w:sz="8" w:color="CFF0FC"/>
            </w:tcBorders>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21"/>
        </w:trPr>
        <w:tc>
          <w:tcPr>
            <w:tcW w:w="3280" w:type="dxa"/>
            <w:vAlign w:val="bottom"/>
            <w:shd w:val="clear" w:color="auto" w:fill="CFF0FC"/>
          </w:tcPr>
          <w:p>
            <w:pPr>
              <w:spacing w:after="0"/>
              <w:rPr>
                <w:sz w:val="19"/>
                <w:szCs w:val="19"/>
                <w:color w:val="auto"/>
              </w:rPr>
            </w:pPr>
          </w:p>
        </w:tc>
        <w:tc>
          <w:tcPr>
            <w:tcW w:w="35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11.5%, 12/29 maturity</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100.0%</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42,636,380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32,621,188</w:t>
            </w:r>
          </w:p>
        </w:tc>
        <w:tc>
          <w:tcPr>
            <w:tcW w:w="100" w:type="dxa"/>
            <w:vAlign w:val="bottom"/>
            <w:shd w:val="clear" w:color="auto" w:fill="CFF0FC"/>
          </w:tcPr>
          <w:p>
            <w:pPr>
              <w:spacing w:after="0"/>
              <w:rPr>
                <w:sz w:val="19"/>
                <w:szCs w:val="19"/>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Investments</w:t>
            </w:r>
          </w:p>
        </w:tc>
        <w:tc>
          <w:tcPr>
            <w:tcW w:w="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42,636,380</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32,621,188</w:t>
            </w:r>
          </w:p>
        </w:tc>
        <w:tc>
          <w:tcPr>
            <w:tcW w:w="100" w:type="dxa"/>
            <w:vAlign w:val="bottom"/>
          </w:tcPr>
          <w:p>
            <w:pPr>
              <w:spacing w:after="0"/>
              <w:rPr>
                <w:sz w:val="18"/>
                <w:szCs w:val="18"/>
                <w:color w:val="auto"/>
              </w:rPr>
            </w:pPr>
          </w:p>
        </w:tc>
      </w:tr>
    </w:tbl>
    <w:p>
      <w:pPr>
        <w:spacing w:after="0" w:line="188" w:lineRule="exact"/>
        <w:rPr>
          <w:sz w:val="20"/>
          <w:szCs w:val="20"/>
          <w:color w:val="auto"/>
        </w:rPr>
      </w:pPr>
    </w:p>
    <w:p>
      <w:pPr>
        <w:ind w:left="440" w:right="80" w:hanging="438"/>
        <w:spacing w:after="0" w:line="256" w:lineRule="auto"/>
        <w:tabs>
          <w:tab w:leader="none" w:pos="4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Times New Roman" w:cs="Times New Roman" w:eastAsia="Times New Roman" w:hAnsi="Times New Roman"/>
          <w:sz w:val="17"/>
          <w:szCs w:val="17"/>
          <w:color w:val="auto"/>
        </w:rPr>
      </w:pPr>
    </w:p>
    <w:p>
      <w:pPr>
        <w:ind w:left="440" w:right="160" w:hanging="438"/>
        <w:spacing w:after="0" w:line="262" w:lineRule="auto"/>
        <w:tabs>
          <w:tab w:leader="none" w:pos="4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of this investment was determined using significant unobservable inputs, including default rates, prepayment rates, spreads, and the discount rate by which to value the resulting cash flows.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BCP Great Lakes Partnership LP</w:t>
      </w:r>
    </w:p>
    <w:p>
      <w:pPr>
        <w:spacing w:after="0" w:line="179"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7"/>
          <w:szCs w:val="17"/>
          <w:color w:val="auto"/>
        </w:rPr>
        <w:t>BCP Great Lakes Partnership LP (the “BCP Great Lakes Partnership”) has invested in BCP Great Lakes Holdings LP, a vehicle formed as a co-investment vehicle to facilitate the participation of certain co-investors to invest, directly or indirectly, in BCP Great Lakes Funding, LLC.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81" w:name="page82"/>
    <w:bookmarkEnd w:id="81"/>
    <w:p>
      <w:pPr>
        <w:ind w:right="40" w:firstLine="440"/>
        <w:spacing w:after="0" w:line="259" w:lineRule="auto"/>
        <w:rPr>
          <w:sz w:val="20"/>
          <w:szCs w:val="20"/>
          <w:color w:val="auto"/>
        </w:rPr>
      </w:pPr>
      <w:r>
        <w:rPr>
          <w:rFonts w:ascii="Times New Roman" w:cs="Times New Roman" w:eastAsia="Times New Roman" w:hAnsi="Times New Roman"/>
          <w:sz w:val="17"/>
          <w:szCs w:val="17"/>
          <w:color w:val="auto"/>
        </w:rPr>
        <w:t>The fair value of the Company’s investment in the BCP Great Lakes Partnership at September 30, 2019 and December 31, 2018 was $24.2 million and $12.5 million. Fair value has been determined utilizing the practical expedient pursuant to ASC 820-10. Pursuant to the terms of the BCP Great Lakes Fund LP Amended and Restated Exempted Limited Partnership Agreement (the “BCP Great Lakes Partnership Agreement”),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148"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7"/>
          <w:szCs w:val="17"/>
          <w:color w:val="auto"/>
        </w:rPr>
        <w:t>In March 2019,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Investment Company Act of 1940). As of September 30, 2019 and December 31, 2018, the Company has a $25.9 million and $12.5 million, respectively unfunded commitment to the BCP Great Lakes Partnership.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79"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7"/>
          <w:szCs w:val="17"/>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Set forth below is a discussion of our results of operations for the three and nine months ended September 30, 2019 and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79" w:lineRule="exact"/>
        <w:rPr>
          <w:sz w:val="20"/>
          <w:szCs w:val="20"/>
          <w:color w:val="auto"/>
        </w:rPr>
      </w:pPr>
    </w:p>
    <w:p>
      <w:pPr>
        <w:ind w:right="240" w:firstLine="440"/>
        <w:spacing w:after="0" w:line="283" w:lineRule="auto"/>
        <w:rPr>
          <w:sz w:val="20"/>
          <w:szCs w:val="20"/>
          <w:color w:val="auto"/>
        </w:rPr>
      </w:pPr>
      <w:r>
        <w:rPr>
          <w:rFonts w:ascii="Times New Roman" w:cs="Times New Roman" w:eastAsia="Times New Roman" w:hAnsi="Times New Roman"/>
          <w:sz w:val="17"/>
          <w:szCs w:val="17"/>
          <w:color w:val="auto"/>
        </w:rPr>
        <w:t>Revenues consist primarily of investment income from interest and dividends on our investment portfolio and various ancillary fees related to our investment holdings.</w:t>
      </w:r>
    </w:p>
    <w:p>
      <w:pPr>
        <w:spacing w:after="0" w:line="111" w:lineRule="exact"/>
        <w:rPr>
          <w:sz w:val="20"/>
          <w:szCs w:val="20"/>
          <w:color w:val="auto"/>
        </w:rPr>
      </w:pPr>
    </w:p>
    <w:p>
      <w:pPr>
        <w:ind w:right="220" w:firstLine="440"/>
        <w:spacing w:after="0" w:line="263" w:lineRule="auto"/>
        <w:rPr>
          <w:sz w:val="20"/>
          <w:szCs w:val="20"/>
          <w:color w:val="auto"/>
        </w:rPr>
      </w:pPr>
      <w:r>
        <w:rPr>
          <w:rFonts w:ascii="Times New Roman" w:cs="Times New Roman" w:eastAsia="Times New Roman" w:hAnsi="Times New Roman"/>
          <w:sz w:val="17"/>
          <w:szCs w:val="17"/>
          <w:i w:val="1"/>
          <w:iCs w:val="1"/>
          <w:color w:val="auto"/>
        </w:rPr>
        <w:t>Interest from Investments in Debt Securities</w:t>
      </w:r>
      <w:r>
        <w:rPr>
          <w:rFonts w:ascii="Times New Roman" w:cs="Times New Roman" w:eastAsia="Times New Roman" w:hAnsi="Times New Roman"/>
          <w:sz w:val="17"/>
          <w:szCs w:val="17"/>
          <w:color w:val="auto"/>
        </w:rPr>
        <w:t>. We generate interest income from our investments in debt securities that consist primarily of senior and junior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4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7"/>
          <w:szCs w:val="17"/>
          <w:i w:val="1"/>
          <w:iCs w:val="1"/>
          <w:color w:val="auto"/>
        </w:rPr>
        <w:t>Investment Income on Investments in CLO Fund Securities</w:t>
      </w:r>
      <w:r>
        <w:rPr>
          <w:rFonts w:ascii="Times New Roman" w:cs="Times New Roman" w:eastAsia="Times New Roman" w:hAnsi="Times New Roman"/>
          <w:sz w:val="17"/>
          <w:szCs w:val="17"/>
          <w:color w:val="auto"/>
        </w:rPr>
        <w:t>. We generate investment income from our investments in the securities (typically preferred shares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subordinated securities) of CLO Funds. We distinguish CLO Funds managed by its Asset Manager Affiliates as “CLO Fund Securities Managed by Affiliates”, in our consolidated financial statements. Since the Asset Manager Affiliates were owned throughout 2018 and sold on December 31, 2018, investment income on these CLO Fund securities is reflected on the statement of operations for the year of 2018 as “managed by affiliates”, while on the consolidated balance sheet at December 31, 2018 these investments are reflected as “managed by non-affiliates”. Effective April 1, 2019, as a result of the Externalization and related transactions, CLO Fund investments managed by LibreMax were assigned to CLO Funds managed by affiliates. 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82" w:name="page83"/>
    <w:bookmarkEnd w:id="82"/>
    <w:p>
      <w:pPr>
        <w:ind w:right="120" w:firstLine="440"/>
        <w:spacing w:after="0" w:line="256" w:lineRule="auto"/>
        <w:rPr>
          <w:sz w:val="20"/>
          <w:szCs w:val="20"/>
          <w:color w:val="auto"/>
        </w:rPr>
      </w:pPr>
      <w:r>
        <w:rPr>
          <w:rFonts w:ascii="Times New Roman" w:cs="Times New Roman" w:eastAsia="Times New Roman" w:hAnsi="Times New Roman"/>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generally accepted accounting principles (“GAAP”) statement of operations differs from both the tax–basis investment income and from the cash distributions actually received by the Company during the period. As a RIC, we anticipate a timely distribution of our tax-basis taxable income.</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non-junior class CLO Fund securities, interest is earned at a fixed spread relative to the LIBOR index.</w:t>
      </w:r>
    </w:p>
    <w:p>
      <w:pPr>
        <w:spacing w:after="0" w:line="17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Distributions from Asset Manager Affiliates. </w:t>
      </w:r>
      <w:r>
        <w:rPr>
          <w:rFonts w:ascii="Times New Roman" w:cs="Times New Roman" w:eastAsia="Times New Roman" w:hAnsi="Times New Roman"/>
          <w:sz w:val="17"/>
          <w:szCs w:val="17"/>
          <w:color w:val="auto"/>
        </w:rPr>
        <w:t>Substantially all of the investment in the Asset Manager Affiliates was sold on December 31, 2018. Prior thereto,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have received cash distributions from the Asset Manager Affiliates, which manage CLO Funds that invest primarily in broadly syndicated non-investment grade loans, high yield bonds and other credit instruments issued by corporations. As managers of CLO Funds, the Asset Manager Affiliates receive contractual and recurring management fees from the CLO Funds for their management and advisory services. In addition, the Asset Manager Affiliates may also earn income related to net interest on assets accumulated for future CLO issuances on which they have taken a first loss position in connection with loan warehouse arrangements for their future CLO Funds.</w:t>
      </w:r>
    </w:p>
    <w:p>
      <w:pPr>
        <w:spacing w:after="0" w:line="13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7"/>
          <w:szCs w:val="17"/>
          <w:color w:val="auto"/>
        </w:rPr>
        <w:t>As a result of tax-basis goodwill amortization and certain other tax-related adjustments, portions of distributions received may be deemed return of capital. The fair value of our investment in our Asset Manager Affiliates was de minimis at September 30, 2019. There were no distributions from the Asset Manager Affiliates during the first three quarters of 2019. For the nine months ended September 30, 2018, we recognized dividend income of $920,000 from the Asset Manager Affiliates, while cash distributions received were approximately $1.9 million. The difference between cash distributions received and the tax-basis earnings and profits is recorded as an adjustment to the cost basis of the Asset Manager Affiliates investments. For interim periods, we estimate the tax attributes of any distributions as being either from tax-basis earnings and profits (i.e. dividend income) or return of capital (i.e. adjustment to our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The aggregate of par value of assets under management by our Asset Manager Affiliates was $300 million as of September 30, 2019 and December 31, 2018.</w:t>
      </w:r>
    </w:p>
    <w:p>
      <w:pPr>
        <w:spacing w:after="0" w:line="15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Investment in Joint Ventures. </w:t>
      </w:r>
      <w:r>
        <w:rPr>
          <w:rFonts w:ascii="Times New Roman" w:cs="Times New Roman" w:eastAsia="Times New Roman" w:hAnsi="Times New Roman"/>
          <w:sz w:val="17"/>
          <w:szCs w:val="17"/>
          <w:color w:val="auto"/>
        </w:rPr>
        <w:t>For the three months ended September 30, 2019 and 2018, the Company recognized $1.3 million and $0.8 million, respectively,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 income from its investment in Joint Ventures. For the nine months ended September 30, 2019 and 2018, the Company recognized $3.5 million and $2.2 million, respectively, in investment income from its investments in Joint Ventures. As of September 30, 2019 and December 31, 2018, the fair value of our investments in Joint Ventures was approximately $45.4 million and $30.9 million, respectively. For interim periods, we recognize investment income on its investment in the Joint Ventures based upon our share of estimated earnings and profits of the Joint Venture. The final determination of the tax attributes of distributions from Joint Ventures is made on an annual (full calendar year) basis at year-end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34" w:lineRule="exact"/>
        <w:rPr>
          <w:sz w:val="20"/>
          <w:szCs w:val="20"/>
          <w:color w:val="auto"/>
        </w:rPr>
      </w:pPr>
    </w:p>
    <w:p>
      <w:pPr>
        <w:ind w:right="180" w:firstLine="440"/>
        <w:spacing w:after="0" w:line="288" w:lineRule="auto"/>
        <w:rPr>
          <w:sz w:val="20"/>
          <w:szCs w:val="20"/>
          <w:color w:val="auto"/>
        </w:rPr>
      </w:pPr>
      <w:r>
        <w:rPr>
          <w:rFonts w:ascii="Times New Roman" w:cs="Times New Roman" w:eastAsia="Times New Roman" w:hAnsi="Times New Roman"/>
          <w:sz w:val="17"/>
          <w:szCs w:val="17"/>
          <w:i w:val="1"/>
          <w:iCs w:val="1"/>
          <w:color w:val="auto"/>
        </w:rPr>
        <w:t>Capital Structuring Service Fees</w:t>
      </w:r>
      <w:r>
        <w:rPr>
          <w:rFonts w:ascii="Times New Roman" w:cs="Times New Roman" w:eastAsia="Times New Roman" w:hAnsi="Times New Roman"/>
          <w:sz w:val="17"/>
          <w:szCs w:val="17"/>
          <w:color w:val="auto"/>
        </w:rPr>
        <w:t>. We may earn ancillary structuring and other fees related to the origination, investment, disposition or liquidation of debt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 securities.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Income</w:t>
      </w:r>
    </w:p>
    <w:p>
      <w:pPr>
        <w:spacing w:after="0" w:line="192" w:lineRule="exact"/>
        <w:rPr>
          <w:sz w:val="20"/>
          <w:szCs w:val="20"/>
          <w:color w:val="auto"/>
        </w:rPr>
      </w:pPr>
    </w:p>
    <w:p>
      <w:pPr>
        <w:jc w:val="both"/>
        <w:ind w:right="120" w:firstLine="440"/>
        <w:spacing w:after="0" w:line="267" w:lineRule="auto"/>
        <w:rPr>
          <w:sz w:val="20"/>
          <w:szCs w:val="20"/>
          <w:color w:val="auto"/>
        </w:rPr>
      </w:pPr>
      <w:r>
        <w:rPr>
          <w:rFonts w:ascii="Times New Roman" w:cs="Times New Roman" w:eastAsia="Times New Roman" w:hAnsi="Times New Roman"/>
          <w:sz w:val="17"/>
          <w:szCs w:val="17"/>
          <w:color w:val="auto"/>
        </w:rPr>
        <w:t>Investment income for the three months ended September 30, 2019 and 2018 was approximately $7.1 million and $7.2 million, respectively. Of these amounts, approximately $4.2 million and $4.8 million, respectively was attributable to interest income on our Debt Securities Portfolio. The decrease in interest income on our Debt Securities Portfolio was primarily the result of additional investments placed on non-accrual status since the prior period and the decrease in LIBOR rates.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83" w:name="page84"/>
    <w:bookmarkEnd w:id="83"/>
    <w:p>
      <w:pPr>
        <w:ind w:firstLine="440"/>
        <w:spacing w:after="0" w:line="283" w:lineRule="auto"/>
        <w:rPr>
          <w:sz w:val="20"/>
          <w:szCs w:val="20"/>
          <w:color w:val="auto"/>
        </w:rPr>
      </w:pPr>
      <w:r>
        <w:rPr>
          <w:rFonts w:ascii="Times New Roman" w:cs="Times New Roman" w:eastAsia="Times New Roman" w:hAnsi="Times New Roman"/>
          <w:sz w:val="17"/>
          <w:szCs w:val="17"/>
          <w:color w:val="auto"/>
        </w:rPr>
        <w:t>Investment income for the nine months ended September 30, 2019 and 2018 was approximately $19.8 million and $20.8 million, respectively. Of these amounts, approximately $11.0 million and $12.9 million, respectively was attributable to interest income on our Debt Securities Portfolio.</w:t>
      </w:r>
    </w:p>
    <w:p>
      <w:pPr>
        <w:spacing w:after="0" w:line="127" w:lineRule="exact"/>
        <w:rPr>
          <w:sz w:val="20"/>
          <w:szCs w:val="20"/>
          <w:color w:val="auto"/>
        </w:rPr>
      </w:pPr>
    </w:p>
    <w:p>
      <w:pPr>
        <w:jc w:val="both"/>
        <w:ind w:right="260" w:firstLine="440"/>
        <w:spacing w:after="0" w:line="267" w:lineRule="auto"/>
        <w:rPr>
          <w:sz w:val="20"/>
          <w:szCs w:val="20"/>
          <w:color w:val="auto"/>
        </w:rPr>
      </w:pPr>
      <w:r>
        <w:rPr>
          <w:rFonts w:ascii="Times New Roman" w:cs="Times New Roman" w:eastAsia="Times New Roman" w:hAnsi="Times New Roman"/>
          <w:sz w:val="17"/>
          <w:szCs w:val="17"/>
          <w:color w:val="auto"/>
        </w:rPr>
        <w:t>At September 30, 2019 and December 31, 2018, the weighted average contractual interest rate on our loans and debt securities was approximately 9.4% and 10.0%, respectively. At September 30, 2019 and December 31, 2018, the weighted average contractual interest rate on our loans and debt securities, excluding non-accrual and partial non-accrual investments, was approximately 9.0% and 9.1%, respectively.</w:t>
      </w:r>
    </w:p>
    <w:p>
      <w:pPr>
        <w:spacing w:after="0" w:line="128"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7"/>
          <w:szCs w:val="17"/>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28"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7"/>
          <w:szCs w:val="17"/>
          <w:color w:val="auto"/>
        </w:rPr>
        <w:t>For the three months ended September 30, 2019 and 2018, approximately $1.6 million and $1.3 million, respectively, of investment income was attributable to investments in CLO Fund Securities. For the nine months ended September 30, 2019 and 2018, approximately $5.1 million and $4.7 million, respectively, of investment income was attributable to investments in CLO Fund Securities. On a tax basis, the Company recognized $5.9 million and $4.7 million of taxable distributable income on distributions from our CLO Fund Securities during the nine months ended September 30, 2019 and 2018,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Expenses</w:t>
      </w:r>
    </w:p>
    <w:p>
      <w:pPr>
        <w:spacing w:after="0" w:line="17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7"/>
          <w:szCs w:val="17"/>
          <w:color w:val="auto"/>
        </w:rPr>
        <w:t>Through March 31, 2019 we were internally managed, and directly incurred the cost of management and operations. As a result, we paid no investment management fees or other fees to an external advisor. Our expenses consisted primarily of interest expense on outstanding borrowings, compensation expense and general and administrative expenses, including professional fees. Interest and compensation expense are typically our largest expenses each period. Since the Closing, we have been externally managed and no longer have any employees. However, in connection with the Advisory Agreement, we pay the Adviser certain investment advisory fees and reimburse the Adviser and Administrator for certain expenses incurred in connection with the services they provide. We bear our allocable portion of the compensation paid by the Adviser (or its affiliates) to our chief compliance officer and chief financial officer and their respective staffs (based on a percentage of time such individuals devote, on an estimated basis, to our business affairs). We also bear all other costs and expenses of our operations, administration and transactions, including, but not limited to (i) 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44" w:lineRule="exact"/>
        <w:rPr>
          <w:sz w:val="20"/>
          <w:szCs w:val="20"/>
          <w:color w:val="auto"/>
        </w:rPr>
      </w:pPr>
    </w:p>
    <w:p>
      <w:pPr>
        <w:ind w:left="880" w:hanging="443"/>
        <w:spacing w:after="0"/>
        <w:tabs>
          <w:tab w:leader="none" w:pos="8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calculating our net asset value, including the cost of any third-party valuation services;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effecting any sales and repurchases of our common stock and other securities;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payable under any dealer manager or placement agent agreements, if any;</w:t>
      </w:r>
    </w:p>
    <w:p>
      <w:pPr>
        <w:spacing w:after="0" w:line="175" w:lineRule="exact"/>
        <w:rPr>
          <w:rFonts w:ascii="Times New Roman" w:cs="Times New Roman" w:eastAsia="Times New Roman" w:hAnsi="Times New Roman"/>
          <w:sz w:val="17"/>
          <w:szCs w:val="17"/>
          <w:color w:val="auto"/>
        </w:rPr>
      </w:pPr>
    </w:p>
    <w:p>
      <w:pPr>
        <w:ind w:left="5620" w:right="1460" w:hanging="5183"/>
        <w:spacing w:after="0" w:line="535" w:lineRule="auto"/>
        <w:tabs>
          <w:tab w:leader="none" w:pos="864"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administration fees payable under the Administration Agreement and any sub-administration agreements, including related expenses;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-100330</wp:posOffset>
            </wp:positionV>
            <wp:extent cx="729551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84" w:name="page85"/>
    <w:bookmarkEnd w:id="84"/>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service and other costs of borrowings or other financing arrangements;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hedging;</w:t>
      </w:r>
    </w:p>
    <w:p>
      <w:pPr>
        <w:spacing w:after="0" w:line="175" w:lineRule="exact"/>
        <w:rPr>
          <w:rFonts w:ascii="Times New Roman" w:cs="Times New Roman" w:eastAsia="Times New Roman" w:hAnsi="Times New Roman"/>
          <w:sz w:val="17"/>
          <w:szCs w:val="17"/>
          <w:color w:val="auto"/>
        </w:rPr>
      </w:pPr>
    </w:p>
    <w:p>
      <w:pPr>
        <w:ind w:left="880" w:right="100" w:hanging="443"/>
        <w:spacing w:after="0" w:line="283" w:lineRule="auto"/>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14"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agent and custodial fees;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associated with marketing efforts;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registration fees, any stock exchange listing fees and fees payable to rating agencies;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state and local taxes;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directors’ fees and expenses including certain travel expenses;</w:t>
      </w:r>
    </w:p>
    <w:p>
      <w:pPr>
        <w:spacing w:after="0" w:line="175" w:lineRule="exact"/>
        <w:rPr>
          <w:rFonts w:ascii="Times New Roman" w:cs="Times New Roman" w:eastAsia="Times New Roman" w:hAnsi="Times New Roman"/>
          <w:sz w:val="17"/>
          <w:szCs w:val="17"/>
          <w:color w:val="auto"/>
        </w:rPr>
      </w:pPr>
    </w:p>
    <w:p>
      <w:pPr>
        <w:jc w:val="both"/>
        <w:ind w:left="880" w:hanging="443"/>
        <w:spacing w:after="0" w:line="267" w:lineRule="auto"/>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27" w:lineRule="exact"/>
        <w:rPr>
          <w:rFonts w:ascii="Times New Roman" w:cs="Times New Roman" w:eastAsia="Times New Roman" w:hAnsi="Times New Roman"/>
          <w:sz w:val="17"/>
          <w:szCs w:val="17"/>
          <w:color w:val="auto"/>
        </w:rPr>
      </w:pPr>
    </w:p>
    <w:p>
      <w:pPr>
        <w:ind w:left="880" w:right="140" w:hanging="443"/>
        <w:spacing w:after="0" w:line="283" w:lineRule="auto"/>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14"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commissions and other compensation payable to brokers or dealers;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and market data;</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fidelity bond, directors and officers errors and omissions liability insurance and other insurance premiums;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costs and expenses of administration, including printing, mailing, long distance telephone and staff;</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associated with independent audits, outside legal and consulting costs;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winding up our affairs;</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incurred by either the Administrator or us in connection with administering our business, including payments under the Administration Agreement;</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extraordinary expenses (such as litigation or indemnification); and</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reporting and compliance obligations under the 1940 Act and applicable federal and state securities laws.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 xml:space="preserve">Management Fees. </w:t>
      </w:r>
      <w:r>
        <w:rPr>
          <w:rFonts w:ascii="Times New Roman" w:cs="Times New Roman" w:eastAsia="Times New Roman" w:hAnsi="Times New Roman"/>
          <w:sz w:val="17"/>
          <w:szCs w:val="17"/>
          <w:color w:val="auto"/>
        </w:rPr>
        <w:t>Management fees for the three and nine months ended September 30, 2019 were approximately $1.0 million and $2.1 million, respectively.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incentive fees earned during the third quarter of 2019.</w:t>
      </w:r>
    </w:p>
    <w:p>
      <w:pPr>
        <w:spacing w:after="0" w:line="167" w:lineRule="exact"/>
        <w:rPr>
          <w:sz w:val="20"/>
          <w:szCs w:val="20"/>
          <w:color w:val="auto"/>
        </w:rPr>
      </w:pPr>
    </w:p>
    <w:p>
      <w:pPr>
        <w:ind w:right="10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Interest and Amortization of Debt Issuance Costs</w:t>
      </w:r>
      <w:r>
        <w:rPr>
          <w:rFonts w:ascii="Times New Roman" w:cs="Times New Roman" w:eastAsia="Times New Roman" w:hAnsi="Times New Roman"/>
          <w:sz w:val="17"/>
          <w:szCs w:val="17"/>
          <w:color w:val="auto"/>
        </w:rPr>
        <w:t>. Interest expense is dependent on the average outstanding balance on our borrowings and, the base index 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period. Debt issuance costs represent fees, and other direct costs incurred in connection with the Company’s borrowings. These amounts are capitalized and amortized ratably over the expected term of the borrowing.</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85" w:name="page86"/>
    <w:bookmarkEnd w:id="85"/>
    <w:p>
      <w:pPr>
        <w:ind w:firstLine="440"/>
        <w:spacing w:after="0" w:line="263" w:lineRule="auto"/>
        <w:rPr>
          <w:sz w:val="20"/>
          <w:szCs w:val="20"/>
          <w:color w:val="auto"/>
        </w:rPr>
      </w:pPr>
      <w:r>
        <w:rPr>
          <w:rFonts w:ascii="Times New Roman" w:cs="Times New Roman" w:eastAsia="Times New Roman" w:hAnsi="Times New Roman"/>
          <w:sz w:val="17"/>
          <w:szCs w:val="17"/>
          <w:i w:val="1"/>
          <w:iCs w:val="1"/>
          <w:color w:val="auto"/>
        </w:rPr>
        <w:t>Compensation Expense</w:t>
      </w:r>
      <w:r>
        <w:rPr>
          <w:rFonts w:ascii="Times New Roman" w:cs="Times New Roman" w:eastAsia="Times New Roman" w:hAnsi="Times New Roman"/>
          <w:sz w:val="17"/>
          <w:szCs w:val="17"/>
          <w:color w:val="auto"/>
        </w:rPr>
        <w:t>. Prior to the Closing of the Externalization on April 1, 2019, compensation expense included base salaries, bonuses, stock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 benefits and employer-related payroll costs. The largest components of total compensation costs are base salaries and bonuses; generally, base salaries are expensed as incurred and annual bonus expenses are estimated and accrued. Our compensation arrangements with our employees contained a profit sharing and/or performance-based bonus component. Following the Closing, we no longer have any employees and therefore do not have any related expenses.</w:t>
      </w:r>
    </w:p>
    <w:p>
      <w:pPr>
        <w:spacing w:after="0" w:line="141" w:lineRule="exact"/>
        <w:rPr>
          <w:sz w:val="20"/>
          <w:szCs w:val="20"/>
          <w:color w:val="auto"/>
        </w:rPr>
      </w:pPr>
    </w:p>
    <w:p>
      <w:pPr>
        <w:ind w:right="14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Professional Fees, Administrative services expense and General Administrative Expenses</w:t>
      </w:r>
      <w:r>
        <w:rPr>
          <w:rFonts w:ascii="Times New Roman" w:cs="Times New Roman" w:eastAsia="Times New Roman" w:hAnsi="Times New Roman"/>
          <w:sz w:val="17"/>
          <w:szCs w:val="17"/>
          <w:color w:val="auto"/>
        </w:rPr>
        <w:t>. The balance of our expenses includes professional fees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legal, accounting, director fees, valuation and other professional services), insurance costs, Administrative services expense under the Administration Agreement and general administrative and other costs.</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expenses for the three months ended September 30, 2019 and 2018 were approximately $4.8 million and $4.2 million, respectively.</w:t>
      </w:r>
    </w:p>
    <w:p>
      <w:pPr>
        <w:spacing w:after="0" w:line="175" w:lineRule="exact"/>
        <w:rPr>
          <w:sz w:val="20"/>
          <w:szCs w:val="20"/>
          <w:color w:val="auto"/>
        </w:rPr>
      </w:pPr>
    </w:p>
    <w:p>
      <w:pPr>
        <w:ind w:right="460" w:firstLine="440"/>
        <w:spacing w:after="0" w:line="283" w:lineRule="auto"/>
        <w:rPr>
          <w:sz w:val="20"/>
          <w:szCs w:val="20"/>
          <w:color w:val="auto"/>
        </w:rPr>
      </w:pPr>
      <w:r>
        <w:rPr>
          <w:rFonts w:ascii="Times New Roman" w:cs="Times New Roman" w:eastAsia="Times New Roman" w:hAnsi="Times New Roman"/>
          <w:sz w:val="17"/>
          <w:szCs w:val="17"/>
          <w:color w:val="auto"/>
        </w:rPr>
        <w:t>For the three months ended September 30, 2019 and 2018, interest expense and amortization on debt issuance costs for the period was approximately $2.3 million and $1.9 million, respectively, on average debt outstanding of $131 million and $103 million, respectively.</w:t>
      </w:r>
    </w:p>
    <w:p>
      <w:pPr>
        <w:spacing w:after="0" w:line="127"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7"/>
          <w:szCs w:val="17"/>
          <w:color w:val="auto"/>
        </w:rPr>
        <w:t>Total expenses for the nine months ended September 30, 2019 and 2018 were approximately $18.9 million and $12.9 million, respectively. For the nine months ended September 30, 2019, we incurred approximately $3.4 million in total expenses in connection with the Externalization and approximately $1.4 million related to a non-cash impairment charge to write down the value of the right-of-use asset for the lease of office space formerly occupied by the Company prior to the Externalization. The impairment charge related to our write down of our lease right-of-use asset is recorded as a separate line item within the expense section of the consolidated statement of operations. For the nine months ended September 30, 2019 and 2018, interest expense and amortization on debt issuance costs for the period was approximately $6.1 million and $5.6 million, respectively, on average debt outstanding of $117 million and $106 million, respectively.</w:t>
      </w:r>
    </w:p>
    <w:p>
      <w:pPr>
        <w:spacing w:after="0" w:line="138" w:lineRule="exact"/>
        <w:rPr>
          <w:sz w:val="20"/>
          <w:szCs w:val="20"/>
          <w:color w:val="auto"/>
        </w:rPr>
      </w:pPr>
    </w:p>
    <w:p>
      <w:pPr>
        <w:ind w:right="320" w:firstLine="440"/>
        <w:spacing w:after="0" w:line="256" w:lineRule="auto"/>
        <w:rPr>
          <w:sz w:val="20"/>
          <w:szCs w:val="20"/>
          <w:color w:val="auto"/>
        </w:rPr>
      </w:pPr>
      <w:r>
        <w:rPr>
          <w:rFonts w:ascii="Times New Roman" w:cs="Times New Roman" w:eastAsia="Times New Roman" w:hAnsi="Times New Roman"/>
          <w:sz w:val="17"/>
          <w:szCs w:val="17"/>
          <w:color w:val="auto"/>
        </w:rPr>
        <w:t>For the three months ended September 30, 2019 and 2018, approximately $0 and $1.0 million of expenses were attributable to employee compensation, including salaries, bonuses, employee benefits, payroll taxes and stock-based compensation expense, respectively. Since April 1, 2019, as a result of the Externalization, the Company has no longer has employees and does not incur employee compensation costs. For the three months ended September 30, 2019 and 2018, respectively, professional fees and insurance expenses totaled approximately $0.8 million and $0.9 million. For the three months ended September 30, 2019, Administrative services expense was approximately $0.4 million. Other general and administrative costs, which include rent expense on the Company’s lease obligation, and other administrative expenses, totaled approximately $0.3 million and $0.4 million for the three months ended September 30, 2019 and 2018, respectively.</w:t>
      </w:r>
    </w:p>
    <w:p>
      <w:pPr>
        <w:spacing w:after="0" w:line="139" w:lineRule="exact"/>
        <w:rPr>
          <w:sz w:val="20"/>
          <w:szCs w:val="20"/>
          <w:color w:val="auto"/>
        </w:rPr>
      </w:pPr>
    </w:p>
    <w:p>
      <w:pPr>
        <w:ind w:right="40" w:firstLine="440"/>
        <w:spacing w:after="0" w:line="283" w:lineRule="auto"/>
        <w:rPr>
          <w:sz w:val="20"/>
          <w:szCs w:val="20"/>
          <w:color w:val="auto"/>
        </w:rPr>
      </w:pPr>
      <w:r>
        <w:rPr>
          <w:rFonts w:ascii="Times New Roman" w:cs="Times New Roman" w:eastAsia="Times New Roman" w:hAnsi="Times New Roman"/>
          <w:sz w:val="17"/>
          <w:szCs w:val="17"/>
          <w:color w:val="auto"/>
        </w:rPr>
        <w:t>The impairment charge related to our write down of our lease right-of-use asset is recorded as a separate line item within the expense section of the consolidated statement of operations.</w:t>
      </w:r>
    </w:p>
    <w:p>
      <w:pPr>
        <w:spacing w:after="0" w:line="127"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7"/>
          <w:szCs w:val="17"/>
          <w:color w:val="auto"/>
        </w:rPr>
        <w:t>For the nine months ended September 30, 2019 and 2018, approximately $3.7 million and $3.2 million of expenses were attributable to compensation of former employees, including salaries, bonuses, employee benefits, payroll taxes and stock-based compensation expense, respectively. For the nine months ended September 30, 2019, we incurred approximately $2.2 million in compensation expense (primarily severance) in connection with the Externalization.</w:t>
      </w:r>
    </w:p>
    <w:p>
      <w:pPr>
        <w:spacing w:after="0" w:line="12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7"/>
          <w:szCs w:val="17"/>
          <w:color w:val="auto"/>
        </w:rPr>
        <w:t>For the nine months ended September 30, 2019 and 2018, professional fees and insurance expenses totaled approximately $3.4 million and $2.7 million respectively. For nine months ended September 30, 2019, the Company incurred approximately $1.0 million of professional fees in connection with the Externalization. For the nine months ended September 30, 2019, Administrative services expense was approximately $0.8 million. Other general and administrative expenses, which includes rent expense on the Company’s lease obligation, technology and other office and administrative expenses, totaled approximately $1.4 million and $1.4 million for the nine months ended September 30, 2019 and 2018, respectively. For the nine months ended September 30, 2019, we incurred approximately $187,000 in administrative costs in connection with the Externalization.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86" w:name="page87"/>
    <w:bookmarkEnd w:id="86"/>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Net Investment Income and Net Realized Gains (Losses)</w:t>
      </w:r>
    </w:p>
    <w:p>
      <w:pPr>
        <w:spacing w:after="0" w:line="194"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7"/>
          <w:szCs w:val="17"/>
          <w:color w:val="auto"/>
        </w:rPr>
        <w:t>Net investment income and net realized gains (losses) represents the change in stockholder’s equity before net unrealized appreciation or depreciation on investments. For the three months ended September 30, 2019, net investment income and net realized losses were approximately $1.1 million, or $0.03 per share. For the three months ended September 30, 2018, net investment income and net realized gains were approximately $2.8 million, or $0.08 per share. Net investment income represents the income earned on our investments less operating and interest expense before net realized gains or losses and unrealized appreciation or depreciation on investments.</w:t>
      </w:r>
    </w:p>
    <w:p>
      <w:pPr>
        <w:spacing w:after="0" w:line="135" w:lineRule="exact"/>
        <w:rPr>
          <w:sz w:val="20"/>
          <w:szCs w:val="20"/>
          <w:color w:val="auto"/>
        </w:rPr>
      </w:pPr>
    </w:p>
    <w:p>
      <w:pPr>
        <w:ind w:right="300" w:firstLine="440"/>
        <w:spacing w:after="0" w:line="283" w:lineRule="auto"/>
        <w:rPr>
          <w:sz w:val="20"/>
          <w:szCs w:val="20"/>
          <w:color w:val="auto"/>
        </w:rPr>
      </w:pPr>
      <w:r>
        <w:rPr>
          <w:rFonts w:ascii="Times New Roman" w:cs="Times New Roman" w:eastAsia="Times New Roman" w:hAnsi="Times New Roman"/>
          <w:sz w:val="17"/>
          <w:szCs w:val="17"/>
          <w:color w:val="auto"/>
        </w:rPr>
        <w:t>For the nine months ended September 30, 2019, net investment loss and net realized losses were approximately ($15.9) million, or ($0.42) per share. For the nine months ended September 30, 2018, net investment income and net realized gains were approximately $7.8 million, or $0.21 per share.</w:t>
      </w:r>
    </w:p>
    <w:p>
      <w:pPr>
        <w:spacing w:after="0" w:line="11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7"/>
          <w:szCs w:val="17"/>
          <w:color w:val="auto"/>
        </w:rPr>
        <w:t>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the nine months ended September 30, 2019, GAAP-basis net investment income was approximately $0.9 million or $0.02 per share, while tax-basis distributable income was approximately $5.1 million or $0.14 per share. For the nine months ended September 30, 2018, GAAP-basis net investment income was approximately $7.9 million or $0.21 per basic share, while tax-basis distributable income was approximately $8.8 million or $0.24 per share.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Unrealized (Depreciation) Appreciation on Investments</w:t>
      </w:r>
    </w:p>
    <w:p>
      <w:pPr>
        <w:spacing w:after="0" w:line="17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7"/>
          <w:szCs w:val="17"/>
          <w:color w:val="auto"/>
        </w:rPr>
        <w:t>During the three months ended September 30, 2019, our total investments had net unrealized depreciation of approximately $5.3 million. Included in the net unrealized depreciation are unrealized depreciation on CLO Fund Securities of approximately $2.7 million unrealized depreciation and on equity securities of approximately $(910) thousand, an unrealized depreciation of $1.1 million on our Joint Ventures investment, unrealized depreciation on our debt securities of $0.6 million, and unrealized depreciation of $21 thousand on our derivatives. During the three months ended September 30, 2018, our total investments had net unrealized depreciation of approximately $1.5 million. Included in the net unrealized depreciation are unrealized appreciation on CLO Fund Securities of approximately $688 thousand unrealized depreciation and on equity securities of approximately $172 thousand, as well as unrealized depreciation of the Asset Manager Affiliates of $1.0 million thousand, an unrealized appreciation of $282 thousand on our Joint Ventures investment and unrealized depreciation on our debt securities of $1.2 million.</w:t>
      </w:r>
    </w:p>
    <w:p>
      <w:pPr>
        <w:spacing w:after="0" w:line="13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7"/>
          <w:szCs w:val="17"/>
          <w:color w:val="auto"/>
        </w:rPr>
        <w:t>During the nine months ended September 30, 2019, our total investments had net unrealized depreciation of approximately $0.1 million. Included in the net unrealized depreciation for the nine months ended September 30, 2019, are unrealized depreciation on CLO Fund Securities of approximately $0.8 million, net unrealized depreciation on equity securities of approximately $5.8 million, no unrealized on the Asset Manager Affiliates, as well as an unrealized appreciation of $2.9 million on our Joint Ventures investment and unrealized appreciation on our debt securities of approximately $3.6 million. During the nine months ended September 30, 2018, our total investments had net unrealized depreciation of approximately $5.0 million. Included in the net unrealized depreciation are unrealized depreciation on CLO Fund Securities of approximately $125 thousand unrealized depreciation and on equity securities of approximately $335 thousand, as well as unrealized depreciation of the Asset Manager Affiliates of $2.0 million, an unrealized depreciation of $142 thousand on our Joint Ventures investment and unrealized depreciation on our debt securities of $2.4 million.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Change in Stockholder’s Equity Resulting From Operations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net decrease in stockholders’ equity resulting from operations for the three months ended September 30, 2019 was ($4.3) million, or $(0.11) per basic share.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increase in stockholders’ equity resulting from operations for the three months ended September 30, 2018 was $1.3 million, or $0.04 per share.</w:t>
      </w:r>
    </w:p>
    <w:p>
      <w:pPr>
        <w:spacing w:after="0" w:line="158" w:lineRule="exact"/>
        <w:rPr>
          <w:sz w:val="20"/>
          <w:szCs w:val="20"/>
          <w:color w:val="auto"/>
        </w:rPr>
      </w:pPr>
    </w:p>
    <w:p>
      <w:pPr>
        <w:ind w:right="420" w:firstLine="440"/>
        <w:spacing w:after="0" w:line="283" w:lineRule="auto"/>
        <w:rPr>
          <w:sz w:val="20"/>
          <w:szCs w:val="20"/>
          <w:color w:val="auto"/>
        </w:rPr>
      </w:pPr>
      <w:r>
        <w:rPr>
          <w:rFonts w:ascii="Times New Roman" w:cs="Times New Roman" w:eastAsia="Times New Roman" w:hAnsi="Times New Roman"/>
          <w:sz w:val="17"/>
          <w:szCs w:val="17"/>
          <w:color w:val="auto"/>
        </w:rPr>
        <w:t>The net decrease in stockholders’ equity resulting from operations for the nine months ended September 30, 2019 was ($16.0) million, or $(0.43) per basic share. Net increase in stockholders’ equity resulting from operations for the nine months ended September 30, 2018 was $2.6 million, or $0.07 per share.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color w:val="auto"/>
        </w:rPr>
        <w:t>FINANCIAL CONDITION, LIQUIDITY, AND CAPITAL RESOURCES</w:t>
      </w:r>
    </w:p>
    <w:p>
      <w:pPr>
        <w:spacing w:after="0" w:line="192"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7"/>
          <w:szCs w:val="17"/>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September 30, 2019 and December 31, 2018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60" w:type="dxa"/>
            <w:vAlign w:val="bottom"/>
            <w:gridSpan w:val="6"/>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9"/>
              </w:rPr>
              <w:t>Investments at Fair Value</w:t>
            </w:r>
          </w:p>
        </w:tc>
      </w:tr>
      <w:tr>
        <w:trPr>
          <w:trHeight w:val="210"/>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Security Type</w:t>
            </w:r>
          </w:p>
        </w:tc>
        <w:tc>
          <w:tcPr>
            <w:tcW w:w="17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2019</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December 31, 2018</w:t>
            </w:r>
          </w:p>
        </w:tc>
        <w:tc>
          <w:tcPr>
            <w:tcW w:w="100" w:type="dxa"/>
            <w:vAlign w:val="bottom"/>
          </w:tcPr>
          <w:p>
            <w:pPr>
              <w:spacing w:after="0"/>
              <w:rPr>
                <w:sz w:val="18"/>
                <w:szCs w:val="18"/>
                <w:color w:val="auto"/>
              </w:rPr>
            </w:pPr>
          </w:p>
        </w:tc>
      </w:tr>
      <w:tr>
        <w:trPr>
          <w:trHeight w:val="210"/>
        </w:trPr>
        <w:tc>
          <w:tcPr>
            <w:tcW w:w="7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w:t>
            </w:r>
          </w:p>
        </w:tc>
        <w:tc>
          <w:tcPr>
            <w:tcW w:w="1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341,166</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5,417,125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1,010,578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3,907,341</w:t>
            </w:r>
          </w:p>
        </w:tc>
        <w:tc>
          <w:tcPr>
            <w:tcW w:w="100" w:type="dxa"/>
            <w:vAlign w:val="bottom"/>
          </w:tcPr>
          <w:p>
            <w:pPr>
              <w:spacing w:after="0"/>
              <w:rPr>
                <w:sz w:val="18"/>
                <w:szCs w:val="18"/>
                <w:color w:val="auto"/>
              </w:rPr>
            </w:pPr>
          </w:p>
        </w:tc>
      </w:tr>
      <w:tr>
        <w:trPr>
          <w:trHeight w:val="217"/>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Short-term investments</w:t>
            </w:r>
            <w:r>
              <w:rPr>
                <w:rFonts w:ascii="Times New Roman" w:cs="Times New Roman" w:eastAsia="Times New Roman" w:hAnsi="Times New Roman"/>
                <w:sz w:val="14"/>
                <w:szCs w:val="14"/>
                <w:color w:val="auto"/>
              </w:rPr>
              <w:t>2</w:t>
            </w: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23,180,863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44,756,478</w:t>
            </w:r>
          </w:p>
        </w:tc>
        <w:tc>
          <w:tcPr>
            <w:tcW w:w="100" w:type="dxa"/>
            <w:vAlign w:val="bottom"/>
            <w:shd w:val="clear" w:color="auto" w:fill="CFF0FC"/>
          </w:tcPr>
          <w:p>
            <w:pPr>
              <w:spacing w:after="0"/>
              <w:rPr>
                <w:sz w:val="18"/>
                <w:szCs w:val="18"/>
                <w:color w:val="auto"/>
              </w:rPr>
            </w:pPr>
          </w:p>
        </w:tc>
      </w:tr>
      <w:tr>
        <w:trPr>
          <w:trHeight w:val="217"/>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Secured Loan</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104,599,092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77,616,209</w:t>
            </w:r>
          </w:p>
        </w:tc>
        <w:tc>
          <w:tcPr>
            <w:tcW w:w="100" w:type="dxa"/>
            <w:vAlign w:val="bottom"/>
          </w:tcPr>
          <w:p>
            <w:pPr>
              <w:spacing w:after="0"/>
              <w:rPr>
                <w:sz w:val="18"/>
                <w:szCs w:val="18"/>
                <w:color w:val="auto"/>
              </w:rPr>
            </w:pPr>
          </w:p>
        </w:tc>
      </w:tr>
      <w:tr>
        <w:trPr>
          <w:trHeight w:val="217"/>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Junior Secured Loan</w:t>
            </w: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70,492,986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70,245,535</w:t>
            </w:r>
          </w:p>
        </w:tc>
        <w:tc>
          <w:tcPr>
            <w:tcW w:w="100" w:type="dxa"/>
            <w:vAlign w:val="bottom"/>
            <w:shd w:val="clear" w:color="auto" w:fill="CFF0FC"/>
          </w:tcPr>
          <w:p>
            <w:pPr>
              <w:spacing w:after="0"/>
              <w:rPr>
                <w:sz w:val="18"/>
                <w:szCs w:val="18"/>
                <w:color w:val="auto"/>
              </w:rPr>
            </w:pPr>
          </w:p>
        </w:tc>
      </w:tr>
      <w:tr>
        <w:trPr>
          <w:trHeight w:val="217"/>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Unsecured Bond</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532,267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CLO Fund Securities</w:t>
            </w: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36,871,295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44,325,000</w:t>
            </w:r>
          </w:p>
        </w:tc>
        <w:tc>
          <w:tcPr>
            <w:tcW w:w="100" w:type="dxa"/>
            <w:vAlign w:val="bottom"/>
            <w:shd w:val="clear" w:color="auto" w:fill="CFF0FC"/>
          </w:tcPr>
          <w:p>
            <w:pPr>
              <w:spacing w:after="0"/>
              <w:rPr>
                <w:sz w:val="18"/>
                <w:szCs w:val="18"/>
                <w:color w:val="auto"/>
              </w:rPr>
            </w:pPr>
          </w:p>
        </w:tc>
      </w:tr>
      <w:tr>
        <w:trPr>
          <w:trHeight w:val="217"/>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6,279,611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2,038,020</w:t>
            </w:r>
          </w:p>
        </w:tc>
        <w:tc>
          <w:tcPr>
            <w:tcW w:w="100" w:type="dxa"/>
            <w:vAlign w:val="bottom"/>
          </w:tcPr>
          <w:p>
            <w:pPr>
              <w:spacing w:after="0"/>
              <w:rPr>
                <w:sz w:val="18"/>
                <w:szCs w:val="18"/>
                <w:color w:val="auto"/>
              </w:rPr>
            </w:pPr>
          </w:p>
        </w:tc>
      </w:tr>
      <w:tr>
        <w:trPr>
          <w:trHeight w:val="217"/>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Joint Ventures</w:t>
            </w: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45,426,006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30,857,107</w:t>
            </w:r>
          </w:p>
        </w:tc>
        <w:tc>
          <w:tcPr>
            <w:tcW w:w="100" w:type="dxa"/>
            <w:vAlign w:val="bottom"/>
            <w:shd w:val="clear" w:color="auto" w:fill="CFF0FC"/>
          </w:tcPr>
          <w:p>
            <w:pPr>
              <w:spacing w:after="0"/>
              <w:rPr>
                <w:sz w:val="18"/>
                <w:szCs w:val="18"/>
                <w:color w:val="auto"/>
              </w:rPr>
            </w:pPr>
          </w:p>
        </w:tc>
      </w:tr>
      <w:tr>
        <w:trPr>
          <w:trHeight w:val="217"/>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Derivatives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Asset Manager Affiliates</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3,470,000</w:t>
            </w:r>
          </w:p>
        </w:tc>
        <w:tc>
          <w:tcPr>
            <w:tcW w:w="100" w:type="dxa"/>
            <w:vAlign w:val="bottom"/>
            <w:shd w:val="clear" w:color="auto" w:fill="CFF0FC"/>
          </w:tcPr>
          <w:p>
            <w:pPr>
              <w:spacing w:after="0"/>
              <w:rPr>
                <w:sz w:val="18"/>
                <w:szCs w:val="18"/>
                <w:color w:val="auto"/>
              </w:rPr>
            </w:pPr>
          </w:p>
        </w:tc>
      </w:tr>
      <w:tr>
        <w:trPr>
          <w:trHeight w:val="210"/>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288,743,515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282,632,815</w:t>
            </w: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7"/>
          <w:szCs w:val="17"/>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September 30, 2019, we had approximately $125 million of par value of outstanding borrowings and our asset coverage ratio of total assets to total borrowings was 204%, compliant with the minimum asset coverage level of 150% generally required for a BDC by the 1940 Act. We may also borrow amounts of up to 5% of the value of our total assets for temporary purposes.</w:t>
      </w:r>
    </w:p>
    <w:p>
      <w:pPr>
        <w:spacing w:after="0" w:line="13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7"/>
          <w:szCs w:val="17"/>
          <w:color w:val="auto"/>
        </w:rPr>
        <w:t>The recently enacted Small Business Credit Availability Act (the “SBCA”) has modified the 1940 Act by allowing a BDC to increase the maximum amount of leverage it may incur from an asset coverage ratio of 200% to an asset coverage ratio of 150%, if certain requirements are met. On March 29, 2018, the Board , including a “required majority” (as such term is defined in Section 57(o) of the 1940 Act) of its Board, approved the modified asset coverage requirements set forth in Section 61(a)(2) of the 1940 Act, as amended by the SBCA. As a result, the Company’s asset coverage requirements for senior securities changed from 200% to 150%, effective as of March 29, 2019. We will continue to be prohibited by the indentures governing our 6.125% Notes (each, as defined and discussed in Note 6-“Borrowings”) from making distributions on our common stock if our asset coverage, as defined in the 1940 Act, falls below 200%.</w:t>
      </w:r>
    </w:p>
    <w:p>
      <w:pPr>
        <w:spacing w:after="0" w:line="15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7"/>
          <w:szCs w:val="17"/>
          <w:color w:val="auto"/>
        </w:rPr>
        <w:t>During the third quarter of 2017, the company issued $77.4 million aggregate principal amount of 6.125% Notes due 2022 (the “6.125% Notes Due 2022”). The net proceeds for the 6.125% Notes Due 2022, after the payment of underwriting expenses, were approximately $74.6 million. Interest on the 6.125% Notes Due 2022 is paid quarterly in arrears on March 30, June 30, September 30 and December 30, at a rate of 6.125% commencing September 30, 2017. The 6.125% Notes Due 2022 mature on September 30, 2022 and are senior unsecured obligations. In addition, due to the asset coverage requirement currently applicable to us as a BDC and a covenant that we agreed to in connection with the issuance of the 6.125% Notes Due 2022, the Company is limited in its ability to make distributions if its asset coverage, as defined in the 1940 Act, is below 200% at the time of the declaration of the distribution. As a result, despite the SBCA, we will continue to be prohibited by the indenture governing the 6.125% Notes Due 2022 from making distributions on its common stock if its asset coverage, as defined in the 1940 Act, falls below 200%. At September 30, 2019, we were in compliance with all of our debt covenants. The indenture governing the 6.125% Notes Due 2022 contains certain restrictive covenants, including compliance with certain provisions of the 1940 Act relating to borrowing and dividends.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88" w:name="page89"/>
    <w:bookmarkEnd w:id="88"/>
    <w:p>
      <w:pPr>
        <w:ind w:right="180" w:firstLine="440"/>
        <w:spacing w:after="0" w:line="283" w:lineRule="auto"/>
        <w:rPr>
          <w:sz w:val="20"/>
          <w:szCs w:val="20"/>
          <w:color w:val="auto"/>
        </w:rPr>
      </w:pPr>
      <w:r>
        <w:rPr>
          <w:rFonts w:ascii="Times New Roman" w:cs="Times New Roman" w:eastAsia="Times New Roman" w:hAnsi="Times New Roman"/>
          <w:sz w:val="17"/>
          <w:szCs w:val="17"/>
          <w:color w:val="auto"/>
        </w:rPr>
        <w:t>Assuming the proposed merger with OHAI is completed, the Company expects to maintain adequate liquidity and compliance with regulatory and contractual asset coverage requirements.</w:t>
      </w:r>
    </w:p>
    <w:p>
      <w:pPr>
        <w:spacing w:after="0" w:line="127"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7"/>
          <w:szCs w:val="17"/>
          <w:color w:val="auto"/>
        </w:rPr>
        <w:t>On March 1, 2018, Great Lakes KCAP Funding I, LLC (“Funding”), our wholly owned subsidiary, entered into a senior secured revolving credit facility (the “Revolving Credit Facility”) with certain institutional lenders, State Bank and Trust Company, as the administrative agent, lead arranger and bookrunner, CIBC Bank USA, as documentation agent and us, as the servicer. The maximum commitment amount of the Revolving Credit Facility was increased on March 27, 2019 to $57.5 million, and on April 1, 2019 to $67.5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Revolving Credit Facility is drawn, the fee will be 0.50% per annum. We intend to use the proceeds from borrowings under the Revolving Credit Facility for general corporate purposes, including to acquire certain qualifying loans, and such other uses as permitted under the Loan and Security Agreement.</w:t>
      </w:r>
    </w:p>
    <w:p>
      <w:pPr>
        <w:spacing w:after="0" w:line="14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7"/>
          <w:szCs w:val="17"/>
          <w:color w:val="auto"/>
        </w:rPr>
        <w:t>The maturity date is the earliest of: (a) March 1, 2022 and (b) the date upon which all loans shall become due and payable in full, whether by acceleration or otherwise. The Revolving Credit Facility is secured by all of the assets held by Funding, and we have pledged our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September 30, 2019, Funding was in compliance with all of its debt covenants. As of September 30, 2019, $48.0 million principal amount of borrowings was outstanding under the Revolving Credit Facility. Interest on borrowings under the Revolving Credit Facility is paid monthly. Borrowings under the Revolving Credit Facility are subject to redemption in whole or in part at any time or from time to time, at the option of the Funding.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 Joint Ventures</w:t>
      </w:r>
    </w:p>
    <w:p>
      <w:pPr>
        <w:spacing w:after="0" w:line="192" w:lineRule="exact"/>
        <w:rPr>
          <w:sz w:val="20"/>
          <w:szCs w:val="20"/>
          <w:color w:val="auto"/>
        </w:rPr>
      </w:pPr>
    </w:p>
    <w:p>
      <w:pPr>
        <w:ind w:right="40" w:firstLine="440"/>
        <w:spacing w:after="0" w:line="283" w:lineRule="auto"/>
        <w:rPr>
          <w:sz w:val="20"/>
          <w:szCs w:val="20"/>
          <w:color w:val="auto"/>
        </w:rPr>
      </w:pPr>
      <w:r>
        <w:rPr>
          <w:rFonts w:ascii="Times New Roman" w:cs="Times New Roman" w:eastAsia="Times New Roman" w:hAnsi="Times New Roman"/>
          <w:sz w:val="17"/>
          <w:szCs w:val="17"/>
          <w:color w:val="auto"/>
        </w:rPr>
        <w:t>During the third quarter of 2017, we entered into an agreement with Freedom 3 Opportunities, an affiliate of Freedom 3 Capital LLC, entered into an agreement to create the Joint Venture See “Investment in Joint Venture,” above for further information.</w:t>
      </w:r>
    </w:p>
    <w:p>
      <w:pPr>
        <w:spacing w:after="0" w:line="11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7"/>
          <w:szCs w:val="17"/>
          <w:color w:val="auto"/>
        </w:rPr>
        <w:t>In connection with the Externalization, during the first quarter of 2019, KCAP Management agreed to waive management fees it is otherwise entitled to receive for managing Great Lakes KCAP FC3 Senior, LLC (formerly known as KCAP F3C Senior Funding, LLC). In addition, the Joint Venture was restructured such that the Company is now entitled to receive a preferred distribution in an amount equal to the fees waived by KCAP Management. The impact of these transactions is a reduction in the fair value of the Asset Manager Affiliates and increase the fair value of the Company’s investment in the Joint Venture. The reduction in the fair value of the Asset Manager Affiliates was recognized as a realized loss on the Statement of Operations during the first quarter of 2019. The increase in the fair value our investment in the Joint Venture was recognized as an unrealized gain in the Statement of Operations during the first quarter of 2019.</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 Great Lakes and Asset Purchase Letter Agreement</w:t>
      </w:r>
    </w:p>
    <w:p>
      <w:pPr>
        <w:spacing w:after="0" w:line="192"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7"/>
          <w:szCs w:val="17"/>
          <w:color w:val="auto"/>
        </w:rPr>
        <w:t>We have invested in BCP Great Lakes Fund LP (the “BCP Great Lakes Partnership”), which in turn has invested in BCP Great Lakes Holdings LP, a vehicle formed as a co-investment vehicle to facilitate the participation of certain co-investors to invest, directly or indirectly, in Great Lakes Funding LLC. The investment strategy of BCP Great Lakes Funding, LLC is to underwrite and hold senior, secured unitranche loans made to middle-market companies. We do not pay any advisory fees in connection with our investment in the BCP Great Lakes Partnership.</w:t>
      </w:r>
    </w:p>
    <w:p>
      <w:pPr>
        <w:spacing w:after="0" w:line="13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7"/>
          <w:szCs w:val="17"/>
          <w:color w:val="auto"/>
        </w:rPr>
        <w:t>The fair value of our investment in the BCP Great Lakes Partnership at September 30, 2019 was $24.2 million. Fair value has been determined utilizing the practical expedient pursuant to ASC 820-10. Pursuant to the terms of the BGP Great Lakes Fund LP Amended and Restated Exempted Limited Partnership Agreement (the “BCP Great Lakes Partnership Agreement”), we generally may not sell, exchange, assign, pledge or otherwise transfer its interest, in whole or in part, without the prior written consent of the General Partner which consent may be given or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00"/>
          </w:cols>
          <w:pgMar w:left="240" w:top="289" w:right="2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color w:val="auto"/>
        </w:rPr>
        <w:t>withheld in its sole and absolute discretion, and may be conditioned upon repayment of its share of indebtedness incurred by the BCP Great Lakes Partnership.</w:t>
      </w:r>
    </w:p>
    <w:p>
      <w:pPr>
        <w:spacing w:after="0" w:line="188"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7"/>
          <w:szCs w:val="17"/>
          <w:color w:val="auto"/>
        </w:rPr>
        <w:t>In March 2019, we increased its aggregate commitment to the BCP Great Lakes Partnership to $50 million, subject to certain limitations (including that we are not obligated to fund capital calls if such funding would cause us to be out of compliance with certain provisions of the Investment Company Act of 1940). As of September 30, 2019, we had a $25.9 million unfunded commitment to the BCP Great Lakes Partnership, subject to the limitations noted above.</w:t>
      </w:r>
    </w:p>
    <w:p>
      <w:pPr>
        <w:spacing w:after="0" w:line="128"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7"/>
          <w:szCs w:val="17"/>
          <w:color w:val="auto"/>
        </w:rPr>
        <w:t>On December 12, 2018, we and BCP entered into a letter agreement (the “Asset Purchase Letter Agreement”) pursuant to which we and BCP each agreed to use commercially reasonable efforts to effect the sale by BCP (or its affiliates or advisory clients of its affiliates), in one or more transactions, of certain assets held by BCP (or its affiliates or advisory clients thereof) that, taken together, have an aggregate principal amount of approximately $75 million, less $25 million of aggregate amount of capital contributions made by us to the BCP Great Lakes Partnership. In the second quarter of 2019 BCP’s obligations under the Asset Purchase Letter Agreement were satisfied.</w:t>
      </w:r>
    </w:p>
    <w:p>
      <w:pPr>
        <w:spacing w:after="0" w:line="13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7"/>
          <w:szCs w:val="17"/>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and we are limited in our ability to sell our common stock at a price below net asset value per share without stockholder approval (which we currently do not have), we have been and may continue to be limited in our ability to raise equity capital. See “Part I. Item 1. Business — Regulation — Common Stock”.” of our Annual Report on Form 10-K for the year ended December 31, 2018. 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divestures, spin-offs, joint ventures and other similar transactions from time to time.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Distributions</w:t>
      </w:r>
    </w:p>
    <w:p>
      <w:pPr>
        <w:spacing w:after="0" w:line="179" w:lineRule="exact"/>
        <w:rPr>
          <w:sz w:val="20"/>
          <w:szCs w:val="20"/>
          <w:color w:val="auto"/>
        </w:rPr>
      </w:pPr>
    </w:p>
    <w:p>
      <w:pPr>
        <w:ind w:right="180" w:firstLine="440"/>
        <w:spacing w:after="0" w:line="283" w:lineRule="auto"/>
        <w:rPr>
          <w:sz w:val="20"/>
          <w:szCs w:val="20"/>
          <w:color w:val="auto"/>
        </w:rPr>
      </w:pPr>
      <w:r>
        <w:rPr>
          <w:rFonts w:ascii="Times New Roman" w:cs="Times New Roman" w:eastAsia="Times New Roman" w:hAnsi="Times New Roman"/>
          <w:sz w:val="17"/>
          <w:szCs w:val="17"/>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15" w:lineRule="exact"/>
        <w:rPr>
          <w:sz w:val="20"/>
          <w:szCs w:val="20"/>
          <w:color w:val="auto"/>
        </w:rPr>
      </w:pPr>
    </w:p>
    <w:p>
      <w:pPr>
        <w:ind w:left="880" w:hanging="443"/>
        <w:spacing w:after="0"/>
        <w:tabs>
          <w:tab w:leader="none" w:pos="8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 of our ordinary net taxable income for the calendar year;</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98.2% of our capital gains, if any, in excess of capital losses for the one-year period ending on October 31 of the calendar year; and</w:t>
      </w:r>
    </w:p>
    <w:p>
      <w:pPr>
        <w:spacing w:after="0" w:line="175" w:lineRule="exact"/>
        <w:rPr>
          <w:rFonts w:ascii="Times New Roman" w:cs="Times New Roman" w:eastAsia="Times New Roman" w:hAnsi="Times New Roman"/>
          <w:sz w:val="17"/>
          <w:szCs w:val="17"/>
          <w:color w:val="auto"/>
        </w:rPr>
      </w:pPr>
    </w:p>
    <w:p>
      <w:pPr>
        <w:ind w:left="880" w:hanging="443"/>
        <w:spacing w:after="0"/>
        <w:tabs>
          <w:tab w:leader="none" w:pos="8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net ordinary income and net capital gains for the preceding year that were not distributed during such year and on which we do not pay corporate tax.</w:t>
      </w:r>
    </w:p>
    <w:p>
      <w:pPr>
        <w:spacing w:after="0" w:line="175" w:lineRule="exact"/>
        <w:rPr>
          <w:sz w:val="20"/>
          <w:szCs w:val="20"/>
          <w:color w:val="auto"/>
        </w:rPr>
      </w:pPr>
    </w:p>
    <w:p>
      <w:pPr>
        <w:ind w:right="280" w:firstLine="440"/>
        <w:spacing w:after="0" w:line="283" w:lineRule="auto"/>
        <w:rPr>
          <w:sz w:val="20"/>
          <w:szCs w:val="20"/>
          <w:color w:val="auto"/>
        </w:rPr>
      </w:pPr>
      <w:r>
        <w:rPr>
          <w:rFonts w:ascii="Times New Roman" w:cs="Times New Roman" w:eastAsia="Times New Roman" w:hAnsi="Times New Roman"/>
          <w:sz w:val="17"/>
          <w:szCs w:val="17"/>
          <w:color w:val="auto"/>
        </w:rPr>
        <w:t>We may choose to carry forward taxable income in excess of current year distributions into the next tax year and pay a 4% excise tax on such income, to the extent required.</w:t>
      </w:r>
    </w:p>
    <w:p>
      <w:pPr>
        <w:spacing w:after="0" w:line="127" w:lineRule="exact"/>
        <w:rPr>
          <w:sz w:val="20"/>
          <w:szCs w:val="20"/>
          <w:color w:val="auto"/>
        </w:rPr>
      </w:pPr>
    </w:p>
    <w:p>
      <w:pPr>
        <w:ind w:right="160" w:firstLine="440"/>
        <w:spacing w:after="0" w:line="283" w:lineRule="auto"/>
        <w:rPr>
          <w:sz w:val="20"/>
          <w:szCs w:val="20"/>
          <w:color w:val="auto"/>
        </w:rPr>
      </w:pPr>
      <w:r>
        <w:rPr>
          <w:rFonts w:ascii="Times New Roman" w:cs="Times New Roman" w:eastAsia="Times New Roman" w:hAnsi="Times New Roman"/>
          <w:sz w:val="17"/>
          <w:szCs w:val="17"/>
          <w:color w:val="auto"/>
        </w:rPr>
        <w:t>The amount of our declared distributions, as evaluated by management and approved by our Board, is based primarily on our evaluation of our net investment income and distributable taxable income.</w:t>
      </w:r>
    </w:p>
    <w:p>
      <w:pPr>
        <w:spacing w:after="0" w:line="11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7"/>
          <w:szCs w:val="17"/>
          <w:color w:val="auto"/>
        </w:rPr>
        <w:t>On March 29, 2018, our Board, including a “required majority” (as such term is defined in Section 57(o) of the 1940 Act) of the Board, approved the modified asset coverage requirements set forth in Section 61(a)(2) of the 1940 Act, as amended by the SBCA. As a result, our asset coverage requirement for senior securities changed from 200% to 150%, effective as of March 29, 2019. However, despite the SBCA, we will continue to be prohibited by the indentures governing our 6.125% Notes Due 2022 from making distributions on our common stock if our asset coverage, as defined in the 1940 Act, falls below 200%. In any such event, we would be prohibited from making distributions required in order to maintain our status as a RIC.</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80"/>
          </w:cols>
          <w:pgMar w:left="240" w:top="289" w:right="279" w:bottom="1440" w:gutter="0" w:footer="0" w:header="0"/>
        </w:sectPr>
      </w:pPr>
    </w:p>
    <w:bookmarkStart w:id="90" w:name="page91"/>
    <w:bookmarkEnd w:id="90"/>
    <w:p>
      <w:pPr>
        <w:ind w:left="440"/>
        <w:spacing w:after="0"/>
        <w:rPr>
          <w:sz w:val="20"/>
          <w:szCs w:val="20"/>
          <w:color w:val="auto"/>
        </w:rPr>
      </w:pPr>
      <w:r>
        <w:rPr>
          <w:rFonts w:ascii="Times New Roman" w:cs="Times New Roman" w:eastAsia="Times New Roman" w:hAnsi="Times New Roman"/>
          <w:sz w:val="17"/>
          <w:szCs w:val="17"/>
          <w:color w:val="auto"/>
        </w:rPr>
        <w:t>The following table sets forth the quarterly distributions paid by us since 2017.</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Declaration</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Record</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Distribution</w:t>
            </w:r>
          </w:p>
        </w:tc>
        <w:tc>
          <w:tcPr>
            <w:tcW w:w="24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Date</w:t>
            </w: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Pay Date</w:t>
            </w:r>
          </w:p>
        </w:tc>
        <w:tc>
          <w:tcPr>
            <w:tcW w:w="0" w:type="dxa"/>
            <w:vAlign w:val="bottom"/>
          </w:tcPr>
          <w:p>
            <w:pPr>
              <w:spacing w:after="0"/>
              <w:rPr>
                <w:sz w:val="1"/>
                <w:szCs w:val="1"/>
                <w:color w:val="auto"/>
              </w:rPr>
            </w:pPr>
          </w:p>
        </w:tc>
      </w:tr>
      <w:tr>
        <w:trPr>
          <w:trHeight w:val="210"/>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2019:</w:t>
            </w:r>
          </w:p>
        </w:tc>
        <w:tc>
          <w:tcPr>
            <w:tcW w:w="2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Third quarter</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8/5/2019</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8/12/2019</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8/29/2019</w:t>
            </w:r>
          </w:p>
        </w:tc>
        <w:tc>
          <w:tcPr>
            <w:tcW w:w="0" w:type="dxa"/>
            <w:vAlign w:val="bottom"/>
          </w:tcPr>
          <w:p>
            <w:pPr>
              <w:spacing w:after="0"/>
              <w:rPr>
                <w:sz w:val="1"/>
                <w:szCs w:val="1"/>
                <w:color w:val="auto"/>
              </w:rPr>
            </w:pPr>
          </w:p>
        </w:tc>
      </w:tr>
      <w:tr>
        <w:trPr>
          <w:trHeight w:val="217"/>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Second quarter</w:t>
            </w: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520" w:type="dxa"/>
            <w:vAlign w:val="bottom"/>
            <w:gridSpan w:val="2"/>
            <w:shd w:val="clear" w:color="auto" w:fill="CFF0FC"/>
          </w:tcPr>
          <w:p>
            <w:pPr>
              <w:jc w:val="center"/>
              <w:ind w:left="715"/>
              <w:spacing w:after="0"/>
              <w:rPr>
                <w:sz w:val="20"/>
                <w:szCs w:val="20"/>
                <w:color w:val="auto"/>
              </w:rPr>
            </w:pPr>
            <w:r>
              <w:rPr>
                <w:rFonts w:ascii="Times New Roman" w:cs="Times New Roman" w:eastAsia="Times New Roman" w:hAnsi="Times New Roman"/>
                <w:sz w:val="17"/>
                <w:szCs w:val="17"/>
                <w:color w:val="auto"/>
                <w:w w:val="98"/>
              </w:rPr>
              <w:t>3/20/2019</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4/5/2019</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4/26/2019</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7"/>
                <w:szCs w:val="17"/>
                <w:color w:val="auto"/>
              </w:rPr>
              <w:t>First quarter</w:t>
            </w:r>
          </w:p>
        </w:tc>
        <w:tc>
          <w:tcPr>
            <w:tcW w:w="2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640" w:type="dxa"/>
            <w:vAlign w:val="bottom"/>
            <w:tcBorders>
              <w:bottom w:val="single" w:sz="8" w:color="CFF0FC"/>
            </w:tcBorders>
            <w:gridSpan w:val="3"/>
          </w:tcPr>
          <w:p>
            <w:pPr>
              <w:jc w:val="center"/>
              <w:ind w:left="595"/>
              <w:spacing w:after="0"/>
              <w:rPr>
                <w:sz w:val="20"/>
                <w:szCs w:val="20"/>
                <w:color w:val="auto"/>
              </w:rPr>
            </w:pPr>
            <w:r>
              <w:rPr>
                <w:rFonts w:ascii="Times New Roman" w:cs="Times New Roman" w:eastAsia="Times New Roman" w:hAnsi="Times New Roman"/>
                <w:sz w:val="17"/>
                <w:szCs w:val="17"/>
                <w:color w:val="auto"/>
              </w:rPr>
              <w:t>12/12/2018</w:t>
            </w:r>
            <w:r>
              <w:rPr>
                <w:rFonts w:ascii="Times New Roman" w:cs="Times New Roman" w:eastAsia="Times New Roman" w:hAnsi="Times New Roman"/>
                <w:sz w:val="14"/>
                <w:szCs w:val="14"/>
                <w:color w:val="auto"/>
              </w:rPr>
              <w:t>1</w:t>
            </w:r>
          </w:p>
        </w:tc>
        <w:tc>
          <w:tcPr>
            <w:tcW w:w="1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1/7/2019</w:t>
            </w:r>
          </w:p>
        </w:tc>
        <w:tc>
          <w:tcPr>
            <w:tcW w:w="14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1/31/2019</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declared in 2019</w:t>
            </w:r>
          </w:p>
        </w:tc>
        <w:tc>
          <w:tcPr>
            <w:tcW w:w="2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2018:</w:t>
            </w: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Fourth quarter</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520" w:type="dxa"/>
            <w:vAlign w:val="bottom"/>
            <w:gridSpan w:val="2"/>
            <w:shd w:val="clear" w:color="auto" w:fill="CFF0FC"/>
          </w:tcPr>
          <w:p>
            <w:pPr>
              <w:jc w:val="center"/>
              <w:ind w:left="715"/>
              <w:spacing w:after="0"/>
              <w:rPr>
                <w:sz w:val="20"/>
                <w:szCs w:val="20"/>
                <w:color w:val="auto"/>
              </w:rPr>
            </w:pPr>
            <w:r>
              <w:rPr>
                <w:rFonts w:ascii="Times New Roman" w:cs="Times New Roman" w:eastAsia="Times New Roman" w:hAnsi="Times New Roman"/>
                <w:sz w:val="17"/>
                <w:szCs w:val="17"/>
                <w:color w:val="auto"/>
                <w:w w:val="98"/>
              </w:rPr>
              <w:t>9/18/2018</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10/9/2018</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10/29/2018</w:t>
            </w:r>
          </w:p>
        </w:tc>
        <w:tc>
          <w:tcPr>
            <w:tcW w:w="0" w:type="dxa"/>
            <w:vAlign w:val="bottom"/>
          </w:tcPr>
          <w:p>
            <w:pPr>
              <w:spacing w:after="0"/>
              <w:rPr>
                <w:sz w:val="1"/>
                <w:szCs w:val="1"/>
                <w:color w:val="auto"/>
              </w:rPr>
            </w:pPr>
          </w:p>
        </w:tc>
      </w:tr>
      <w:tr>
        <w:trPr>
          <w:trHeight w:val="217"/>
        </w:trPr>
        <w:tc>
          <w:tcPr>
            <w:tcW w:w="3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Third quarter</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520" w:type="dxa"/>
            <w:vAlign w:val="bottom"/>
            <w:gridSpan w:val="2"/>
          </w:tcPr>
          <w:p>
            <w:pPr>
              <w:jc w:val="center"/>
              <w:ind w:left="715"/>
              <w:spacing w:after="0"/>
              <w:rPr>
                <w:sz w:val="20"/>
                <w:szCs w:val="20"/>
                <w:color w:val="auto"/>
              </w:rPr>
            </w:pPr>
            <w:r>
              <w:rPr>
                <w:rFonts w:ascii="Times New Roman" w:cs="Times New Roman" w:eastAsia="Times New Roman" w:hAnsi="Times New Roman"/>
                <w:sz w:val="17"/>
                <w:szCs w:val="17"/>
                <w:color w:val="auto"/>
                <w:w w:val="98"/>
              </w:rPr>
              <w:t>6/19/2018</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7/6/2018</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7/27/2018</w:t>
            </w:r>
          </w:p>
        </w:tc>
        <w:tc>
          <w:tcPr>
            <w:tcW w:w="0" w:type="dxa"/>
            <w:vAlign w:val="bottom"/>
          </w:tcPr>
          <w:p>
            <w:pPr>
              <w:spacing w:after="0"/>
              <w:rPr>
                <w:sz w:val="1"/>
                <w:szCs w:val="1"/>
                <w:color w:val="auto"/>
              </w:rPr>
            </w:pPr>
          </w:p>
        </w:tc>
      </w:tr>
      <w:tr>
        <w:trPr>
          <w:trHeight w:val="217"/>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Second quarter</w:t>
            </w: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520" w:type="dxa"/>
            <w:vAlign w:val="bottom"/>
            <w:gridSpan w:val="2"/>
            <w:shd w:val="clear" w:color="auto" w:fill="CFF0FC"/>
          </w:tcPr>
          <w:p>
            <w:pPr>
              <w:jc w:val="center"/>
              <w:ind w:left="715"/>
              <w:spacing w:after="0"/>
              <w:rPr>
                <w:sz w:val="20"/>
                <w:szCs w:val="20"/>
                <w:color w:val="auto"/>
              </w:rPr>
            </w:pPr>
            <w:r>
              <w:rPr>
                <w:rFonts w:ascii="Times New Roman" w:cs="Times New Roman" w:eastAsia="Times New Roman" w:hAnsi="Times New Roman"/>
                <w:sz w:val="17"/>
                <w:szCs w:val="17"/>
                <w:color w:val="auto"/>
                <w:w w:val="98"/>
              </w:rPr>
              <w:t>3/20/2018</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4/6/2018</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4/27/2018</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7"/>
                <w:szCs w:val="17"/>
                <w:color w:val="auto"/>
              </w:rPr>
              <w:t>First quarter</w:t>
            </w:r>
          </w:p>
        </w:tc>
        <w:tc>
          <w:tcPr>
            <w:tcW w:w="2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640" w:type="dxa"/>
            <w:vAlign w:val="bottom"/>
            <w:tcBorders>
              <w:bottom w:val="single" w:sz="8" w:color="CFF0FC"/>
            </w:tcBorders>
            <w:gridSpan w:val="3"/>
          </w:tcPr>
          <w:p>
            <w:pPr>
              <w:jc w:val="center"/>
              <w:ind w:left="595"/>
              <w:spacing w:after="0"/>
              <w:rPr>
                <w:sz w:val="20"/>
                <w:szCs w:val="20"/>
                <w:color w:val="auto"/>
              </w:rPr>
            </w:pPr>
            <w:r>
              <w:rPr>
                <w:rFonts w:ascii="Times New Roman" w:cs="Times New Roman" w:eastAsia="Times New Roman" w:hAnsi="Times New Roman"/>
                <w:sz w:val="17"/>
                <w:szCs w:val="17"/>
                <w:color w:val="auto"/>
              </w:rPr>
              <w:t>12/13/2017</w:t>
            </w:r>
            <w:r>
              <w:rPr>
                <w:rFonts w:ascii="Times New Roman" w:cs="Times New Roman" w:eastAsia="Times New Roman" w:hAnsi="Times New Roman"/>
                <w:sz w:val="14"/>
                <w:szCs w:val="14"/>
                <w:color w:val="auto"/>
              </w:rPr>
              <w:t>1</w:t>
            </w:r>
          </w:p>
        </w:tc>
        <w:tc>
          <w:tcPr>
            <w:tcW w:w="1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1/5/2018</w:t>
            </w:r>
          </w:p>
        </w:tc>
        <w:tc>
          <w:tcPr>
            <w:tcW w:w="14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1/25/2018</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declared in 2018</w:t>
            </w:r>
          </w:p>
        </w:tc>
        <w:tc>
          <w:tcPr>
            <w:tcW w:w="2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2017:</w:t>
            </w: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Fourth quarter</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520" w:type="dxa"/>
            <w:vAlign w:val="bottom"/>
            <w:gridSpan w:val="2"/>
            <w:shd w:val="clear" w:color="auto" w:fill="CFF0FC"/>
          </w:tcPr>
          <w:p>
            <w:pPr>
              <w:jc w:val="center"/>
              <w:ind w:left="715"/>
              <w:spacing w:after="0"/>
              <w:rPr>
                <w:sz w:val="20"/>
                <w:szCs w:val="20"/>
                <w:color w:val="auto"/>
              </w:rPr>
            </w:pPr>
            <w:r>
              <w:rPr>
                <w:rFonts w:ascii="Times New Roman" w:cs="Times New Roman" w:eastAsia="Times New Roman" w:hAnsi="Times New Roman"/>
                <w:sz w:val="17"/>
                <w:szCs w:val="17"/>
                <w:color w:val="auto"/>
                <w:w w:val="98"/>
              </w:rPr>
              <w:t>9/22/2017</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10/10/2017</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10/26/2017</w:t>
            </w:r>
          </w:p>
        </w:tc>
        <w:tc>
          <w:tcPr>
            <w:tcW w:w="0" w:type="dxa"/>
            <w:vAlign w:val="bottom"/>
          </w:tcPr>
          <w:p>
            <w:pPr>
              <w:spacing w:after="0"/>
              <w:rPr>
                <w:sz w:val="1"/>
                <w:szCs w:val="1"/>
                <w:color w:val="auto"/>
              </w:rPr>
            </w:pPr>
          </w:p>
        </w:tc>
      </w:tr>
      <w:tr>
        <w:trPr>
          <w:trHeight w:val="217"/>
        </w:trPr>
        <w:tc>
          <w:tcPr>
            <w:tcW w:w="3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Third quarter</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520" w:type="dxa"/>
            <w:vAlign w:val="bottom"/>
            <w:gridSpan w:val="2"/>
          </w:tcPr>
          <w:p>
            <w:pPr>
              <w:jc w:val="center"/>
              <w:ind w:left="715"/>
              <w:spacing w:after="0"/>
              <w:rPr>
                <w:sz w:val="20"/>
                <w:szCs w:val="20"/>
                <w:color w:val="auto"/>
              </w:rPr>
            </w:pPr>
            <w:r>
              <w:rPr>
                <w:rFonts w:ascii="Times New Roman" w:cs="Times New Roman" w:eastAsia="Times New Roman" w:hAnsi="Times New Roman"/>
                <w:sz w:val="17"/>
                <w:szCs w:val="17"/>
                <w:color w:val="auto"/>
                <w:w w:val="98"/>
              </w:rPr>
              <w:t>6/20/2017</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7/7/2017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7/27/2017</w:t>
            </w:r>
          </w:p>
        </w:tc>
        <w:tc>
          <w:tcPr>
            <w:tcW w:w="0" w:type="dxa"/>
            <w:vAlign w:val="bottom"/>
          </w:tcPr>
          <w:p>
            <w:pPr>
              <w:spacing w:after="0"/>
              <w:rPr>
                <w:sz w:val="1"/>
                <w:szCs w:val="1"/>
                <w:color w:val="auto"/>
              </w:rPr>
            </w:pPr>
          </w:p>
        </w:tc>
      </w:tr>
      <w:tr>
        <w:trPr>
          <w:trHeight w:val="217"/>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Second quarter</w:t>
            </w: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520" w:type="dxa"/>
            <w:vAlign w:val="bottom"/>
            <w:gridSpan w:val="2"/>
            <w:shd w:val="clear" w:color="auto" w:fill="CFF0FC"/>
          </w:tcPr>
          <w:p>
            <w:pPr>
              <w:jc w:val="center"/>
              <w:ind w:left="715"/>
              <w:spacing w:after="0"/>
              <w:rPr>
                <w:sz w:val="20"/>
                <w:szCs w:val="20"/>
                <w:color w:val="auto"/>
              </w:rPr>
            </w:pPr>
            <w:r>
              <w:rPr>
                <w:rFonts w:ascii="Times New Roman" w:cs="Times New Roman" w:eastAsia="Times New Roman" w:hAnsi="Times New Roman"/>
                <w:sz w:val="17"/>
                <w:szCs w:val="17"/>
                <w:color w:val="auto"/>
                <w:w w:val="98"/>
              </w:rPr>
              <w:t>3/21/2017</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4/7/2017</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4/28/2017</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7"/>
                <w:szCs w:val="17"/>
                <w:color w:val="auto"/>
              </w:rPr>
              <w:t>First quarter</w:t>
            </w:r>
          </w:p>
        </w:tc>
        <w:tc>
          <w:tcPr>
            <w:tcW w:w="2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640" w:type="dxa"/>
            <w:vAlign w:val="bottom"/>
            <w:tcBorders>
              <w:bottom w:val="single" w:sz="8" w:color="CFF0FC"/>
            </w:tcBorders>
            <w:gridSpan w:val="3"/>
          </w:tcPr>
          <w:p>
            <w:pPr>
              <w:jc w:val="center"/>
              <w:ind w:left="595"/>
              <w:spacing w:after="0"/>
              <w:rPr>
                <w:sz w:val="20"/>
                <w:szCs w:val="20"/>
                <w:color w:val="auto"/>
              </w:rPr>
            </w:pPr>
            <w:r>
              <w:rPr>
                <w:rFonts w:ascii="Times New Roman" w:cs="Times New Roman" w:eastAsia="Times New Roman" w:hAnsi="Times New Roman"/>
                <w:sz w:val="17"/>
                <w:szCs w:val="17"/>
                <w:color w:val="auto"/>
              </w:rPr>
              <w:t>12/14/2016</w:t>
            </w:r>
            <w:r>
              <w:rPr>
                <w:rFonts w:ascii="Times New Roman" w:cs="Times New Roman" w:eastAsia="Times New Roman" w:hAnsi="Times New Roman"/>
                <w:sz w:val="14"/>
                <w:szCs w:val="14"/>
                <w:color w:val="auto"/>
              </w:rPr>
              <w:t>1</w:t>
            </w:r>
          </w:p>
        </w:tc>
        <w:tc>
          <w:tcPr>
            <w:tcW w:w="1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1/6/2017</w:t>
            </w:r>
          </w:p>
        </w:tc>
        <w:tc>
          <w:tcPr>
            <w:tcW w:w="14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1/27/2017</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declared in 2017</w:t>
            </w:r>
          </w:p>
        </w:tc>
        <w:tc>
          <w:tcPr>
            <w:tcW w:w="2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hanging="438"/>
        <w:spacing w:after="0"/>
        <w:tabs>
          <w:tab w:leader="none" w:pos="4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Since the record date of this distribution is subsequent to year-end, it is a subsequent year tax event.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79"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September 30, 2019 and December 31, 2018, the Company had approximately $28.3 million and $12.9 million commitments to fund investments, respectively. The Company may also enter into derivative contracts with off-balance sheet risk in connection with its investing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our contractual cash obligations and other commercial commitments as of September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9"/>
          </w:tcPr>
          <w:p>
            <w:pPr>
              <w:jc w:val="center"/>
              <w:ind w:right="355"/>
              <w:spacing w:after="0"/>
              <w:rPr>
                <w:sz w:val="20"/>
                <w:szCs w:val="20"/>
                <w:color w:val="auto"/>
              </w:rPr>
            </w:pPr>
            <w:r>
              <w:rPr>
                <w:rFonts w:ascii="Times New Roman" w:cs="Times New Roman" w:eastAsia="Times New Roman" w:hAnsi="Times New Roman"/>
                <w:sz w:val="17"/>
                <w:szCs w:val="17"/>
                <w:b w:val="1"/>
                <w:bCs w:val="1"/>
                <w:color w:val="auto"/>
                <w:w w:val="99"/>
              </w:rPr>
              <w:t>Payments Due by Period</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0"/>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60"/>
              <w:spacing w:after="0" w:line="190" w:lineRule="exact"/>
              <w:rPr>
                <w:sz w:val="20"/>
                <w:szCs w:val="20"/>
                <w:color w:val="auto"/>
              </w:rPr>
            </w:pPr>
            <w:r>
              <w:rPr>
                <w:rFonts w:ascii="Times New Roman" w:cs="Times New Roman" w:eastAsia="Times New Roman" w:hAnsi="Times New Roman"/>
                <w:sz w:val="17"/>
                <w:szCs w:val="17"/>
                <w:b w:val="1"/>
                <w:bCs w:val="1"/>
                <w:color w:val="auto"/>
              </w:rPr>
              <w:t>Less than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35"/>
              <w:spacing w:after="0" w:line="190" w:lineRule="exact"/>
              <w:rPr>
                <w:sz w:val="20"/>
                <w:szCs w:val="20"/>
                <w:color w:val="auto"/>
              </w:rPr>
            </w:pPr>
            <w:r>
              <w:rPr>
                <w:rFonts w:ascii="Times New Roman" w:cs="Times New Roman" w:eastAsia="Times New Roman" w:hAnsi="Times New Roman"/>
                <w:sz w:val="17"/>
                <w:szCs w:val="17"/>
                <w:b w:val="1"/>
                <w:bCs w:val="1"/>
                <w:color w:val="auto"/>
                <w:w w:val="98"/>
              </w:rPr>
              <w:t>More than</w:t>
            </w:r>
          </w:p>
        </w:tc>
        <w:tc>
          <w:tcPr>
            <w:tcW w:w="100" w:type="dxa"/>
            <w:vAlign w:val="bottom"/>
          </w:tcPr>
          <w:p>
            <w:pPr>
              <w:spacing w:after="0"/>
              <w:rPr>
                <w:sz w:val="16"/>
                <w:szCs w:val="16"/>
                <w:color w:val="auto"/>
              </w:rPr>
            </w:pPr>
          </w:p>
        </w:tc>
      </w:tr>
      <w:tr>
        <w:trPr>
          <w:trHeight w:val="225"/>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one year</w:t>
            </w:r>
          </w:p>
        </w:tc>
        <w:tc>
          <w:tcPr>
            <w:tcW w:w="10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1 - 3 years</w:t>
            </w:r>
          </w:p>
        </w:tc>
        <w:tc>
          <w:tcPr>
            <w:tcW w:w="100" w:type="dxa"/>
            <w:vAlign w:val="bottom"/>
          </w:tcPr>
          <w:p>
            <w:pPr>
              <w:spacing w:after="0"/>
              <w:rPr>
                <w:sz w:val="19"/>
                <w:szCs w:val="19"/>
                <w:color w:val="auto"/>
              </w:rPr>
            </w:pPr>
          </w:p>
        </w:tc>
        <w:tc>
          <w:tcPr>
            <w:tcW w:w="1260" w:type="dxa"/>
            <w:vAlign w:val="bottom"/>
            <w:gridSpan w:val="3"/>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3 - 5 years</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5 years</w:t>
            </w:r>
          </w:p>
        </w:tc>
      </w:tr>
      <w:tr>
        <w:trPr>
          <w:trHeight w:val="210"/>
        </w:trPr>
        <w:tc>
          <w:tcPr>
            <w:tcW w:w="5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Long-term debt obligations</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125,427,686</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125,427,686</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FF0FC"/>
            </w:tcBorders>
            <w:shd w:val="clear" w:color="auto" w:fill="CFF0FC"/>
          </w:tcPr>
          <w:p>
            <w:pPr>
              <w:spacing w:after="0"/>
              <w:rPr>
                <w:sz w:val="18"/>
                <w:szCs w:val="18"/>
                <w:color w:val="auto"/>
              </w:rPr>
            </w:pPr>
          </w:p>
        </w:tc>
      </w:tr>
      <w:tr>
        <w:trPr>
          <w:trHeight w:val="22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Obligations under long-term lease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3,735,368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800,436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2,401,308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533,624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179"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r>
        <w:rPr>
          <w:rFonts w:ascii="Times New Roman" w:cs="Times New Roman" w:eastAsia="Times New Roman" w:hAnsi="Times New Roman"/>
          <w:sz w:val="17"/>
          <w:szCs w:val="17"/>
          <w:i w:val="1"/>
          <w:iCs w:val="1"/>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91" w:name="page92"/>
    <w:bookmarkEnd w:id="91"/>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Valuation of Portfolio Investments</w:t>
      </w:r>
    </w:p>
    <w:p>
      <w:pPr>
        <w:spacing w:after="0" w:line="194" w:lineRule="exact"/>
        <w:rPr>
          <w:sz w:val="20"/>
          <w:szCs w:val="20"/>
          <w:color w:val="auto"/>
        </w:rPr>
      </w:pPr>
    </w:p>
    <w:p>
      <w:pPr>
        <w:ind w:right="380" w:firstLine="440"/>
        <w:spacing w:after="0" w:line="283" w:lineRule="auto"/>
        <w:rPr>
          <w:sz w:val="20"/>
          <w:szCs w:val="20"/>
          <w:color w:val="auto"/>
        </w:rPr>
      </w:pPr>
      <w:r>
        <w:rPr>
          <w:rFonts w:ascii="Times New Roman" w:cs="Times New Roman" w:eastAsia="Times New Roman" w:hAnsi="Times New Roman"/>
          <w:sz w:val="17"/>
          <w:szCs w:val="17"/>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1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7"/>
          <w:szCs w:val="17"/>
          <w:color w:val="auto"/>
        </w:rPr>
        <w:t>Value, as defined in Section 2(a)(41) of 1940 Act, is (1) the market price for those securities for which a market quotation is readily available and (2) for all other securities and assets, fair value as determined in good faith by our Board pursuant to procedures approved by our Board.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determined values may differ significantly from the values that would have been used had a ready market existed for the investments, and the differences could be material.</w:t>
      </w:r>
    </w:p>
    <w:p>
      <w:pPr>
        <w:spacing w:after="0" w:line="135" w:lineRule="exact"/>
        <w:rPr>
          <w:sz w:val="20"/>
          <w:szCs w:val="20"/>
          <w:color w:val="auto"/>
        </w:rPr>
      </w:pPr>
    </w:p>
    <w:p>
      <w:pPr>
        <w:jc w:val="both"/>
        <w:ind w:right="80" w:firstLine="440"/>
        <w:spacing w:after="0" w:line="267" w:lineRule="auto"/>
        <w:rPr>
          <w:sz w:val="20"/>
          <w:szCs w:val="20"/>
          <w:color w:val="auto"/>
        </w:rPr>
      </w:pPr>
      <w:r>
        <w:rPr>
          <w:rFonts w:ascii="Times New Roman" w:cs="Times New Roman" w:eastAsia="Times New Roman" w:hAnsi="Times New Roman"/>
          <w:sz w:val="17"/>
          <w:szCs w:val="17"/>
          <w:color w:val="auto"/>
        </w:rPr>
        <w:t>Pursuant to ASC 946: Financial Services — Investment Companies (“ASC 946”),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41" w:lineRule="exact"/>
        <w:rPr>
          <w:sz w:val="20"/>
          <w:szCs w:val="20"/>
          <w:color w:val="auto"/>
        </w:rPr>
      </w:pPr>
    </w:p>
    <w:p>
      <w:pPr>
        <w:ind w:right="120" w:firstLine="440"/>
        <w:spacing w:after="0" w:line="283" w:lineRule="auto"/>
        <w:rPr>
          <w:sz w:val="20"/>
          <w:szCs w:val="20"/>
          <w:color w:val="auto"/>
        </w:rPr>
      </w:pPr>
      <w:r>
        <w:rPr>
          <w:rFonts w:ascii="Times New Roman" w:cs="Times New Roman" w:eastAsia="Times New Roman" w:hAnsi="Times New Roman"/>
          <w:sz w:val="17"/>
          <w:szCs w:val="17"/>
          <w:color w:val="auto"/>
        </w:rPr>
        <w:t>See Note 4 to the consolidated financial statements for the additional information about the level of market observability associated with investments carried at fair value.</w:t>
      </w:r>
    </w:p>
    <w:p>
      <w:pPr>
        <w:spacing w:after="0" w:line="11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7"/>
          <w:szCs w:val="17"/>
          <w:color w:val="auto"/>
        </w:rPr>
        <w:t>We follow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42" w:lineRule="exact"/>
        <w:rPr>
          <w:sz w:val="20"/>
          <w:szCs w:val="20"/>
          <w:color w:val="auto"/>
        </w:rPr>
      </w:pPr>
    </w:p>
    <w:p>
      <w:pPr>
        <w:ind w:right="120" w:firstLine="440"/>
        <w:spacing w:after="0" w:line="283" w:lineRule="auto"/>
        <w:rPr>
          <w:sz w:val="20"/>
          <w:szCs w:val="20"/>
          <w:color w:val="auto"/>
        </w:rPr>
      </w:pPr>
      <w:r>
        <w:rPr>
          <w:rFonts w:ascii="Times New Roman" w:cs="Times New Roman" w:eastAsia="Times New Roman" w:hAnsi="Times New Roman"/>
          <w:sz w:val="17"/>
          <w:szCs w:val="17"/>
          <w:color w:val="auto"/>
        </w:rPr>
        <w:t>ASC 820: Fair Value establishes the following three-level hierarchy, based upon the transparency of inputs to the fair value measurement of an asset or liability as of the measurement date:</w:t>
      </w:r>
    </w:p>
    <w:p>
      <w:pPr>
        <w:spacing w:after="0" w:line="127" w:lineRule="exact"/>
        <w:rPr>
          <w:sz w:val="20"/>
          <w:szCs w:val="20"/>
          <w:color w:val="auto"/>
        </w:rPr>
      </w:pPr>
    </w:p>
    <w:p>
      <w:pPr>
        <w:ind w:left="880" w:right="200" w:hanging="443"/>
        <w:spacing w:after="0" w:line="267" w:lineRule="auto"/>
        <w:tabs>
          <w:tab w:leader="none" w:pos="8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27" w:lineRule="exact"/>
        <w:rPr>
          <w:rFonts w:ascii="Times New Roman" w:cs="Times New Roman" w:eastAsia="Times New Roman" w:hAnsi="Times New Roman"/>
          <w:sz w:val="17"/>
          <w:szCs w:val="17"/>
          <w:color w:val="auto"/>
        </w:rPr>
      </w:pPr>
    </w:p>
    <w:p>
      <w:pPr>
        <w:ind w:left="880" w:right="80" w:hanging="443"/>
        <w:spacing w:after="0" w:line="259" w:lineRule="auto"/>
        <w:tabs>
          <w:tab w:leader="none" w:pos="8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92" w:name="page93"/>
    <w:bookmarkEnd w:id="92"/>
    <w:p>
      <w:pPr>
        <w:ind w:left="880" w:right="160" w:hanging="443"/>
        <w:spacing w:after="0" w:line="257" w:lineRule="auto"/>
        <w:tabs>
          <w:tab w:leader="none" w:pos="8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38"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the Company considers factors specific to the investment. The majority of our investments are classified as Level</w:t>
      </w:r>
    </w:p>
    <w:p>
      <w:pPr>
        <w:spacing w:after="0" w:line="1" w:lineRule="exact"/>
        <w:rPr>
          <w:sz w:val="20"/>
          <w:szCs w:val="20"/>
          <w:color w:val="auto"/>
        </w:rPr>
      </w:pPr>
    </w:p>
    <w:p>
      <w:pPr>
        <w:ind w:right="320" w:firstLine="2"/>
        <w:spacing w:after="0" w:line="254" w:lineRule="auto"/>
        <w:tabs>
          <w:tab w:leader="none" w:pos="256"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51" w:lineRule="exact"/>
        <w:rPr>
          <w:sz w:val="20"/>
          <w:szCs w:val="20"/>
          <w:color w:val="auto"/>
        </w:rPr>
      </w:pPr>
    </w:p>
    <w:p>
      <w:pPr>
        <w:jc w:val="both"/>
        <w:ind w:right="160" w:firstLine="440"/>
        <w:spacing w:after="0" w:line="267" w:lineRule="auto"/>
        <w:rPr>
          <w:sz w:val="20"/>
          <w:szCs w:val="20"/>
          <w:color w:val="auto"/>
        </w:rPr>
      </w:pPr>
      <w:r>
        <w:rPr>
          <w:rFonts w:ascii="Times New Roman" w:cs="Times New Roman" w:eastAsia="Times New Roman" w:hAnsi="Times New Roman"/>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2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7"/>
          <w:szCs w:val="17"/>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44"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7"/>
          <w:szCs w:val="17"/>
          <w:color w:val="auto"/>
        </w:rPr>
        <w:t>Our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carry investments in joint ventures at fair value based upon the fair value of the investments held by the joint venture.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3" w:name="page94"/>
    <w:bookmarkEnd w:id="93"/>
    <w:p>
      <w:pPr>
        <w:ind w:firstLine="440"/>
        <w:spacing w:after="0" w:line="255" w:lineRule="auto"/>
        <w:rPr>
          <w:sz w:val="20"/>
          <w:szCs w:val="20"/>
          <w:color w:val="auto"/>
        </w:rPr>
      </w:pPr>
      <w:r>
        <w:rPr>
          <w:rFonts w:ascii="Times New Roman" w:cs="Times New Roman" w:eastAsia="Times New Roman" w:hAnsi="Times New Roman"/>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5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35"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7"/>
          <w:szCs w:val="17"/>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28"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7"/>
          <w:szCs w:val="17"/>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44" w:lineRule="exact"/>
        <w:rPr>
          <w:sz w:val="20"/>
          <w:szCs w:val="20"/>
          <w:color w:val="auto"/>
        </w:rPr>
      </w:pPr>
    </w:p>
    <w:p>
      <w:pPr>
        <w:ind w:left="440" w:right="1680"/>
        <w:spacing w:after="0" w:line="455" w:lineRule="auto"/>
        <w:rPr>
          <w:sz w:val="20"/>
          <w:szCs w:val="20"/>
          <w:color w:val="auto"/>
        </w:rPr>
      </w:pPr>
      <w:r>
        <w:rPr>
          <w:rFonts w:ascii="Times New Roman" w:cs="Times New Roman" w:eastAsia="Times New Roman" w:hAnsi="Times New Roman"/>
          <w:sz w:val="17"/>
          <w:szCs w:val="17"/>
          <w:color w:val="auto"/>
        </w:rPr>
        <w:t xml:space="preserve">Our Board may consider other methods of valuation to determine the fair value of investments as appropriate in conformity with GAAP. </w:t>
      </w:r>
      <w:r>
        <w:rPr>
          <w:rFonts w:ascii="Times New Roman" w:cs="Times New Roman" w:eastAsia="Times New Roman" w:hAnsi="Times New Roman"/>
          <w:sz w:val="17"/>
          <w:szCs w:val="17"/>
          <w:b w:val="1"/>
          <w:bCs w:val="1"/>
          <w:i w:val="1"/>
          <w:iCs w:val="1"/>
          <w:color w:val="auto"/>
        </w:rPr>
        <w:t>Interest Income</w:t>
      </w:r>
    </w:p>
    <w:p>
      <w:pPr>
        <w:spacing w:after="0" w:line="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7"/>
          <w:szCs w:val="17"/>
          <w:color w:val="auto"/>
        </w:rPr>
        <w:t>Interest income, including amortization of premium and accretion of discount and accrual of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September 30, 2019, six of our investments were on non-accrual status.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94" w:name="page95"/>
    <w:bookmarkEnd w:id="94"/>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Investment Income on CLO Fund Securities</w:t>
      </w:r>
    </w:p>
    <w:p>
      <w:pPr>
        <w:spacing w:after="0" w:line="19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7"/>
          <w:szCs w:val="17"/>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42"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non-junior class CLO Fund Securities interest is earned at a fixed spread relative to the LIBOR index.</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Distributions from Asset Manager Affiliates</w:t>
      </w:r>
    </w:p>
    <w:p>
      <w:pPr>
        <w:spacing w:after="0" w:line="181"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Payment in Kind Interest</w:t>
      </w:r>
    </w:p>
    <w:p>
      <w:pPr>
        <w:spacing w:after="0" w:line="194" w:lineRule="exact"/>
        <w:rPr>
          <w:sz w:val="20"/>
          <w:szCs w:val="20"/>
          <w:color w:val="auto"/>
        </w:rPr>
      </w:pPr>
    </w:p>
    <w:p>
      <w:pPr>
        <w:ind w:right="460" w:firstLine="440"/>
        <w:spacing w:after="0" w:line="267" w:lineRule="auto"/>
        <w:rPr>
          <w:sz w:val="20"/>
          <w:szCs w:val="20"/>
          <w:color w:val="auto"/>
        </w:rPr>
      </w:pPr>
      <w:r>
        <w:rPr>
          <w:rFonts w:ascii="Times New Roman" w:cs="Times New Roman" w:eastAsia="Times New Roman" w:hAnsi="Times New Roman"/>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Fee Income</w:t>
      </w:r>
    </w:p>
    <w:p>
      <w:pPr>
        <w:spacing w:after="0" w:line="181"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7"/>
          <w:szCs w:val="17"/>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95" w:name="page96"/>
    <w:bookmarkEnd w:id="95"/>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Management Compensation</w:t>
      </w:r>
    </w:p>
    <w:p>
      <w:pPr>
        <w:spacing w:after="0" w:line="194"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7"/>
          <w:szCs w:val="17"/>
          <w:color w:val="auto"/>
        </w:rPr>
        <w:t>As a result of the Closing we will no longer issue stock options or restricted stock under the Equity Incentive Plan or the 2008 Non-Employee Director Plan. The 1940 Act does not permit externally managed investment companies and BDCs to issue or have outstanding options or restricted stock granted to directors and employees. Immediately prior to the Closing, by virtue of the Externalization and subject to the execution of an option cancellation agreement, each option to purchase shares of the Company’s common stock granted under the Company’s 2008 Non-Employee Director Plan that was outstanding immediately prior to the Externalization (each, a “Company Stock Option”) was cancelled in exchange for the payment in cash to the holder thereof.</w:t>
      </w:r>
    </w:p>
    <w:p>
      <w:pPr>
        <w:spacing w:after="0" w:line="135" w:lineRule="exact"/>
        <w:rPr>
          <w:sz w:val="20"/>
          <w:szCs w:val="20"/>
          <w:color w:val="auto"/>
        </w:rPr>
      </w:pPr>
    </w:p>
    <w:p>
      <w:pPr>
        <w:ind w:right="280" w:firstLine="440"/>
        <w:spacing w:after="0" w:line="267" w:lineRule="auto"/>
        <w:rPr>
          <w:sz w:val="20"/>
          <w:szCs w:val="20"/>
          <w:color w:val="auto"/>
        </w:rPr>
      </w:pPr>
      <w:r>
        <w:rPr>
          <w:rFonts w:ascii="Times New Roman" w:cs="Times New Roman" w:eastAsia="Times New Roman" w:hAnsi="Times New Roman"/>
          <w:sz w:val="17"/>
          <w:szCs w:val="17"/>
          <w:color w:val="auto"/>
        </w:rPr>
        <w:t>Immediately prior to the Closing, each restricted share of the Company (the “Company Restricted Share”) outstanding and not previously forfeited under the Company’s Equity Incentive Plan and the Company’s Non-Employee Director Plan became fully vested, all restrictions with respect to such Company Restricted Shares lapsed, and the holders of such Company Restricted Shares became entitled to receive a pro rata share of the Stockholder Payment.</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United States Federal Income Taxes</w:t>
      </w:r>
    </w:p>
    <w:p>
      <w:pPr>
        <w:spacing w:after="0" w:line="194"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7"/>
          <w:szCs w:val="17"/>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Distributions to Shareholders</w:t>
      </w:r>
    </w:p>
    <w:p>
      <w:pPr>
        <w:spacing w:after="0" w:line="181" w:lineRule="exact"/>
        <w:rPr>
          <w:sz w:val="20"/>
          <w:szCs w:val="20"/>
          <w:color w:val="auto"/>
        </w:rPr>
      </w:pPr>
    </w:p>
    <w:p>
      <w:pPr>
        <w:ind w:right="460" w:firstLine="440"/>
        <w:spacing w:after="0" w:line="283" w:lineRule="auto"/>
        <w:rPr>
          <w:sz w:val="20"/>
          <w:szCs w:val="20"/>
          <w:color w:val="auto"/>
        </w:rPr>
      </w:pPr>
      <w:r>
        <w:rPr>
          <w:rFonts w:ascii="Times New Roman" w:cs="Times New Roman" w:eastAsia="Times New Roman" w:hAnsi="Times New Roman"/>
          <w:sz w:val="17"/>
          <w:szCs w:val="17"/>
          <w:color w:val="auto"/>
        </w:rPr>
        <w:t>The amount of our declared distributions, as evaluated by management and approved by our Board, is based primarily on our evaluation of net investment income and distributable taxable income. The following table sets forth the quarterly distributions paid by us for the 2019, 2018 and 2017 calendar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Declaration</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Record</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Distribution</w:t>
            </w:r>
          </w:p>
        </w:tc>
        <w:tc>
          <w:tcPr>
            <w:tcW w:w="24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Date</w:t>
            </w: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Pay Date</w:t>
            </w:r>
          </w:p>
        </w:tc>
        <w:tc>
          <w:tcPr>
            <w:tcW w:w="0" w:type="dxa"/>
            <w:vAlign w:val="bottom"/>
          </w:tcPr>
          <w:p>
            <w:pPr>
              <w:spacing w:after="0"/>
              <w:rPr>
                <w:sz w:val="1"/>
                <w:szCs w:val="1"/>
                <w:color w:val="auto"/>
              </w:rPr>
            </w:pPr>
          </w:p>
        </w:tc>
      </w:tr>
      <w:tr>
        <w:trPr>
          <w:trHeight w:val="210"/>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2019:</w:t>
            </w:r>
          </w:p>
        </w:tc>
        <w:tc>
          <w:tcPr>
            <w:tcW w:w="2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Third quarter</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8/5/2019</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8/12/2019</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8/29/2019</w:t>
            </w:r>
          </w:p>
        </w:tc>
        <w:tc>
          <w:tcPr>
            <w:tcW w:w="0" w:type="dxa"/>
            <w:vAlign w:val="bottom"/>
          </w:tcPr>
          <w:p>
            <w:pPr>
              <w:spacing w:after="0"/>
              <w:rPr>
                <w:sz w:val="1"/>
                <w:szCs w:val="1"/>
                <w:color w:val="auto"/>
              </w:rPr>
            </w:pPr>
          </w:p>
        </w:tc>
      </w:tr>
      <w:tr>
        <w:trPr>
          <w:trHeight w:val="217"/>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Second quarter</w:t>
            </w: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520" w:type="dxa"/>
            <w:vAlign w:val="bottom"/>
            <w:gridSpan w:val="2"/>
            <w:shd w:val="clear" w:color="auto" w:fill="CFF0FC"/>
          </w:tcPr>
          <w:p>
            <w:pPr>
              <w:jc w:val="center"/>
              <w:ind w:left="715"/>
              <w:spacing w:after="0"/>
              <w:rPr>
                <w:sz w:val="20"/>
                <w:szCs w:val="20"/>
                <w:color w:val="auto"/>
              </w:rPr>
            </w:pPr>
            <w:r>
              <w:rPr>
                <w:rFonts w:ascii="Times New Roman" w:cs="Times New Roman" w:eastAsia="Times New Roman" w:hAnsi="Times New Roman"/>
                <w:sz w:val="17"/>
                <w:szCs w:val="17"/>
                <w:color w:val="auto"/>
                <w:w w:val="98"/>
              </w:rPr>
              <w:t>3/20/2019</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4/5/2019</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4/26/2019</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7"/>
                <w:szCs w:val="17"/>
                <w:color w:val="auto"/>
              </w:rPr>
              <w:t>First quarter</w:t>
            </w:r>
          </w:p>
        </w:tc>
        <w:tc>
          <w:tcPr>
            <w:tcW w:w="2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640" w:type="dxa"/>
            <w:vAlign w:val="bottom"/>
            <w:tcBorders>
              <w:bottom w:val="single" w:sz="8" w:color="CFF0FC"/>
            </w:tcBorders>
            <w:gridSpan w:val="3"/>
          </w:tcPr>
          <w:p>
            <w:pPr>
              <w:jc w:val="center"/>
              <w:ind w:left="595"/>
              <w:spacing w:after="0"/>
              <w:rPr>
                <w:sz w:val="20"/>
                <w:szCs w:val="20"/>
                <w:color w:val="auto"/>
              </w:rPr>
            </w:pPr>
            <w:r>
              <w:rPr>
                <w:rFonts w:ascii="Times New Roman" w:cs="Times New Roman" w:eastAsia="Times New Roman" w:hAnsi="Times New Roman"/>
                <w:sz w:val="17"/>
                <w:szCs w:val="17"/>
                <w:color w:val="auto"/>
              </w:rPr>
              <w:t>12/12/2018</w:t>
            </w:r>
            <w:r>
              <w:rPr>
                <w:rFonts w:ascii="Times New Roman" w:cs="Times New Roman" w:eastAsia="Times New Roman" w:hAnsi="Times New Roman"/>
                <w:sz w:val="14"/>
                <w:szCs w:val="14"/>
                <w:color w:val="auto"/>
              </w:rPr>
              <w:t>1</w:t>
            </w:r>
          </w:p>
        </w:tc>
        <w:tc>
          <w:tcPr>
            <w:tcW w:w="1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1/7/2019</w:t>
            </w:r>
          </w:p>
        </w:tc>
        <w:tc>
          <w:tcPr>
            <w:tcW w:w="14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1/31/2019</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declared in 2019</w:t>
            </w:r>
          </w:p>
        </w:tc>
        <w:tc>
          <w:tcPr>
            <w:tcW w:w="2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2018:</w:t>
            </w: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Fourth quarter</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520" w:type="dxa"/>
            <w:vAlign w:val="bottom"/>
            <w:gridSpan w:val="2"/>
            <w:shd w:val="clear" w:color="auto" w:fill="CFF0FC"/>
          </w:tcPr>
          <w:p>
            <w:pPr>
              <w:jc w:val="center"/>
              <w:ind w:left="715"/>
              <w:spacing w:after="0"/>
              <w:rPr>
                <w:sz w:val="20"/>
                <w:szCs w:val="20"/>
                <w:color w:val="auto"/>
              </w:rPr>
            </w:pPr>
            <w:r>
              <w:rPr>
                <w:rFonts w:ascii="Times New Roman" w:cs="Times New Roman" w:eastAsia="Times New Roman" w:hAnsi="Times New Roman"/>
                <w:sz w:val="17"/>
                <w:szCs w:val="17"/>
                <w:color w:val="auto"/>
                <w:w w:val="98"/>
              </w:rPr>
              <w:t>9/18/2018</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10/9/2018</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10/29/2018</w:t>
            </w:r>
          </w:p>
        </w:tc>
        <w:tc>
          <w:tcPr>
            <w:tcW w:w="0" w:type="dxa"/>
            <w:vAlign w:val="bottom"/>
          </w:tcPr>
          <w:p>
            <w:pPr>
              <w:spacing w:after="0"/>
              <w:rPr>
                <w:sz w:val="1"/>
                <w:szCs w:val="1"/>
                <w:color w:val="auto"/>
              </w:rPr>
            </w:pPr>
          </w:p>
        </w:tc>
      </w:tr>
      <w:tr>
        <w:trPr>
          <w:trHeight w:val="217"/>
        </w:trPr>
        <w:tc>
          <w:tcPr>
            <w:tcW w:w="3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Third quarter</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520" w:type="dxa"/>
            <w:vAlign w:val="bottom"/>
            <w:gridSpan w:val="2"/>
          </w:tcPr>
          <w:p>
            <w:pPr>
              <w:jc w:val="center"/>
              <w:ind w:left="715"/>
              <w:spacing w:after="0"/>
              <w:rPr>
                <w:sz w:val="20"/>
                <w:szCs w:val="20"/>
                <w:color w:val="auto"/>
              </w:rPr>
            </w:pPr>
            <w:r>
              <w:rPr>
                <w:rFonts w:ascii="Times New Roman" w:cs="Times New Roman" w:eastAsia="Times New Roman" w:hAnsi="Times New Roman"/>
                <w:sz w:val="17"/>
                <w:szCs w:val="17"/>
                <w:color w:val="auto"/>
                <w:w w:val="98"/>
              </w:rPr>
              <w:t>6/19/2018</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7/6/2018</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7/27/2018</w:t>
            </w:r>
          </w:p>
        </w:tc>
        <w:tc>
          <w:tcPr>
            <w:tcW w:w="0" w:type="dxa"/>
            <w:vAlign w:val="bottom"/>
          </w:tcPr>
          <w:p>
            <w:pPr>
              <w:spacing w:after="0"/>
              <w:rPr>
                <w:sz w:val="1"/>
                <w:szCs w:val="1"/>
                <w:color w:val="auto"/>
              </w:rPr>
            </w:pPr>
          </w:p>
        </w:tc>
      </w:tr>
      <w:tr>
        <w:trPr>
          <w:trHeight w:val="217"/>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Second quarter</w:t>
            </w: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520" w:type="dxa"/>
            <w:vAlign w:val="bottom"/>
            <w:gridSpan w:val="2"/>
            <w:shd w:val="clear" w:color="auto" w:fill="CFF0FC"/>
          </w:tcPr>
          <w:p>
            <w:pPr>
              <w:jc w:val="center"/>
              <w:ind w:left="715"/>
              <w:spacing w:after="0"/>
              <w:rPr>
                <w:sz w:val="20"/>
                <w:szCs w:val="20"/>
                <w:color w:val="auto"/>
              </w:rPr>
            </w:pPr>
            <w:r>
              <w:rPr>
                <w:rFonts w:ascii="Times New Roman" w:cs="Times New Roman" w:eastAsia="Times New Roman" w:hAnsi="Times New Roman"/>
                <w:sz w:val="17"/>
                <w:szCs w:val="17"/>
                <w:color w:val="auto"/>
                <w:w w:val="98"/>
              </w:rPr>
              <w:t>3/20/2018</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4/6/2018</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4/27/2018</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7"/>
                <w:szCs w:val="17"/>
                <w:color w:val="auto"/>
              </w:rPr>
              <w:t>First quarter</w:t>
            </w:r>
          </w:p>
        </w:tc>
        <w:tc>
          <w:tcPr>
            <w:tcW w:w="2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640" w:type="dxa"/>
            <w:vAlign w:val="bottom"/>
            <w:tcBorders>
              <w:bottom w:val="single" w:sz="8" w:color="CFF0FC"/>
            </w:tcBorders>
            <w:gridSpan w:val="3"/>
          </w:tcPr>
          <w:p>
            <w:pPr>
              <w:jc w:val="center"/>
              <w:ind w:left="595"/>
              <w:spacing w:after="0"/>
              <w:rPr>
                <w:sz w:val="20"/>
                <w:szCs w:val="20"/>
                <w:color w:val="auto"/>
              </w:rPr>
            </w:pPr>
            <w:r>
              <w:rPr>
                <w:rFonts w:ascii="Times New Roman" w:cs="Times New Roman" w:eastAsia="Times New Roman" w:hAnsi="Times New Roman"/>
                <w:sz w:val="17"/>
                <w:szCs w:val="17"/>
                <w:color w:val="auto"/>
              </w:rPr>
              <w:t>12/13/2017</w:t>
            </w:r>
            <w:r>
              <w:rPr>
                <w:rFonts w:ascii="Times New Roman" w:cs="Times New Roman" w:eastAsia="Times New Roman" w:hAnsi="Times New Roman"/>
                <w:sz w:val="14"/>
                <w:szCs w:val="14"/>
                <w:color w:val="auto"/>
              </w:rPr>
              <w:t>1</w:t>
            </w:r>
          </w:p>
        </w:tc>
        <w:tc>
          <w:tcPr>
            <w:tcW w:w="1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1/5/2018</w:t>
            </w:r>
          </w:p>
        </w:tc>
        <w:tc>
          <w:tcPr>
            <w:tcW w:w="14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1/25/2018</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declared in 2018</w:t>
            </w:r>
          </w:p>
        </w:tc>
        <w:tc>
          <w:tcPr>
            <w:tcW w:w="2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2017:</w:t>
            </w: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Fourth quarter</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520" w:type="dxa"/>
            <w:vAlign w:val="bottom"/>
            <w:gridSpan w:val="2"/>
            <w:shd w:val="clear" w:color="auto" w:fill="CFF0FC"/>
          </w:tcPr>
          <w:p>
            <w:pPr>
              <w:jc w:val="center"/>
              <w:ind w:left="715"/>
              <w:spacing w:after="0"/>
              <w:rPr>
                <w:sz w:val="20"/>
                <w:szCs w:val="20"/>
                <w:color w:val="auto"/>
              </w:rPr>
            </w:pPr>
            <w:r>
              <w:rPr>
                <w:rFonts w:ascii="Times New Roman" w:cs="Times New Roman" w:eastAsia="Times New Roman" w:hAnsi="Times New Roman"/>
                <w:sz w:val="17"/>
                <w:szCs w:val="17"/>
                <w:color w:val="auto"/>
                <w:w w:val="98"/>
              </w:rPr>
              <w:t>9/22/2017</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10/10/2017</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10/26/2017</w:t>
            </w:r>
          </w:p>
        </w:tc>
        <w:tc>
          <w:tcPr>
            <w:tcW w:w="0" w:type="dxa"/>
            <w:vAlign w:val="bottom"/>
          </w:tcPr>
          <w:p>
            <w:pPr>
              <w:spacing w:after="0"/>
              <w:rPr>
                <w:sz w:val="1"/>
                <w:szCs w:val="1"/>
                <w:color w:val="auto"/>
              </w:rPr>
            </w:pPr>
          </w:p>
        </w:tc>
      </w:tr>
      <w:tr>
        <w:trPr>
          <w:trHeight w:val="217"/>
        </w:trPr>
        <w:tc>
          <w:tcPr>
            <w:tcW w:w="3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Third quarter</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520" w:type="dxa"/>
            <w:vAlign w:val="bottom"/>
            <w:gridSpan w:val="2"/>
          </w:tcPr>
          <w:p>
            <w:pPr>
              <w:jc w:val="center"/>
              <w:ind w:left="715"/>
              <w:spacing w:after="0"/>
              <w:rPr>
                <w:sz w:val="20"/>
                <w:szCs w:val="20"/>
                <w:color w:val="auto"/>
              </w:rPr>
            </w:pPr>
            <w:r>
              <w:rPr>
                <w:rFonts w:ascii="Times New Roman" w:cs="Times New Roman" w:eastAsia="Times New Roman" w:hAnsi="Times New Roman"/>
                <w:sz w:val="17"/>
                <w:szCs w:val="17"/>
                <w:color w:val="auto"/>
                <w:w w:val="98"/>
              </w:rPr>
              <w:t>6/20/2017</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7/7/2017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7/27/2017</w:t>
            </w:r>
          </w:p>
        </w:tc>
        <w:tc>
          <w:tcPr>
            <w:tcW w:w="0" w:type="dxa"/>
            <w:vAlign w:val="bottom"/>
          </w:tcPr>
          <w:p>
            <w:pPr>
              <w:spacing w:after="0"/>
              <w:rPr>
                <w:sz w:val="1"/>
                <w:szCs w:val="1"/>
                <w:color w:val="auto"/>
              </w:rPr>
            </w:pPr>
          </w:p>
        </w:tc>
      </w:tr>
      <w:tr>
        <w:trPr>
          <w:trHeight w:val="217"/>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Second quarter</w:t>
            </w: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520" w:type="dxa"/>
            <w:vAlign w:val="bottom"/>
            <w:gridSpan w:val="2"/>
            <w:shd w:val="clear" w:color="auto" w:fill="CFF0FC"/>
          </w:tcPr>
          <w:p>
            <w:pPr>
              <w:jc w:val="center"/>
              <w:ind w:left="715"/>
              <w:spacing w:after="0"/>
              <w:rPr>
                <w:sz w:val="20"/>
                <w:szCs w:val="20"/>
                <w:color w:val="auto"/>
              </w:rPr>
            </w:pPr>
            <w:r>
              <w:rPr>
                <w:rFonts w:ascii="Times New Roman" w:cs="Times New Roman" w:eastAsia="Times New Roman" w:hAnsi="Times New Roman"/>
                <w:sz w:val="17"/>
                <w:szCs w:val="17"/>
                <w:color w:val="auto"/>
                <w:w w:val="98"/>
              </w:rPr>
              <w:t>3/21/2017</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4/7/2017</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4/28/2017</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7"/>
                <w:szCs w:val="17"/>
                <w:color w:val="auto"/>
              </w:rPr>
              <w:t>First quarter</w:t>
            </w:r>
          </w:p>
        </w:tc>
        <w:tc>
          <w:tcPr>
            <w:tcW w:w="2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640" w:type="dxa"/>
            <w:vAlign w:val="bottom"/>
            <w:tcBorders>
              <w:bottom w:val="single" w:sz="8" w:color="CFF0FC"/>
            </w:tcBorders>
            <w:gridSpan w:val="3"/>
          </w:tcPr>
          <w:p>
            <w:pPr>
              <w:jc w:val="center"/>
              <w:ind w:left="595"/>
              <w:spacing w:after="0"/>
              <w:rPr>
                <w:sz w:val="20"/>
                <w:szCs w:val="20"/>
                <w:color w:val="auto"/>
              </w:rPr>
            </w:pPr>
            <w:r>
              <w:rPr>
                <w:rFonts w:ascii="Times New Roman" w:cs="Times New Roman" w:eastAsia="Times New Roman" w:hAnsi="Times New Roman"/>
                <w:sz w:val="17"/>
                <w:szCs w:val="17"/>
                <w:color w:val="auto"/>
              </w:rPr>
              <w:t>12/14/2016</w:t>
            </w:r>
            <w:r>
              <w:rPr>
                <w:rFonts w:ascii="Times New Roman" w:cs="Times New Roman" w:eastAsia="Times New Roman" w:hAnsi="Times New Roman"/>
                <w:sz w:val="14"/>
                <w:szCs w:val="14"/>
                <w:color w:val="auto"/>
              </w:rPr>
              <w:t>1</w:t>
            </w:r>
          </w:p>
        </w:tc>
        <w:tc>
          <w:tcPr>
            <w:tcW w:w="1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1/6/2017</w:t>
            </w:r>
          </w:p>
        </w:tc>
        <w:tc>
          <w:tcPr>
            <w:tcW w:w="14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1/27/2017</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declared in 2017</w:t>
            </w:r>
          </w:p>
        </w:tc>
        <w:tc>
          <w:tcPr>
            <w:tcW w:w="2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620" w:right="4180" w:hanging="5618"/>
        <w:spacing w:after="0" w:line="786" w:lineRule="auto"/>
        <w:tabs>
          <w:tab w:leader="none" w:pos="4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Since the record date of this distribution is subsequent to year-end, it is a subsequent year tax event.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-229870</wp:posOffset>
            </wp:positionV>
            <wp:extent cx="729551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96" w:name="page97"/>
    <w:bookmarkEnd w:id="96"/>
    <w:p>
      <w:pPr>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9"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7"/>
          <w:szCs w:val="17"/>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81"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7"/>
          <w:szCs w:val="17"/>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35"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7"/>
          <w:szCs w:val="17"/>
          <w:color w:val="auto"/>
        </w:rPr>
        <w:t>Our investment income is affected by fluctuations in various interest rates, including LIBOR and prime rates. As of September 30, 2019, approximately 93% of our Debt Securities Portfolio were either floating rate with a spread to an interest rate index such as LIBOR or the prime rate. 72% of these floating rate loans contain LIBOR floors ranging between 1.00% and 1.50%. We generally expect that future portfolio investments will predominately be floating rate investments. As of September 30, 2019, we had $125.4 million (par value) of borrowings outstanding at a current weighted average rate of 5.8%, of which $77.4 million par value had a fixed rate and $48.0 million par value has a floating rate.</w:t>
      </w:r>
    </w:p>
    <w:p>
      <w:pPr>
        <w:spacing w:after="0" w:line="148"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7"/>
          <w:szCs w:val="17"/>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6.125% Notes Due 2022 would remain the same, given that this debt is at a fixed rate, while the interest rate on borrowings under the Great Lakes KCAP Funding I, LLC Revolving Credit Facility would fluctuate with changes in interest rates.</w:t>
      </w:r>
    </w:p>
    <w:p>
      <w:pPr>
        <w:spacing w:after="0" w:line="131"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7"/>
          <w:szCs w:val="17"/>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28" w:lineRule="exact"/>
        <w:rPr>
          <w:sz w:val="20"/>
          <w:szCs w:val="20"/>
          <w:color w:val="auto"/>
        </w:rPr>
      </w:pPr>
    </w:p>
    <w:p>
      <w:pPr>
        <w:jc w:val="both"/>
        <w:ind w:right="160" w:firstLine="440"/>
        <w:spacing w:after="0" w:line="267" w:lineRule="auto"/>
        <w:rPr>
          <w:sz w:val="20"/>
          <w:szCs w:val="20"/>
          <w:color w:val="auto"/>
        </w:rPr>
      </w:pPr>
      <w:r>
        <w:rPr>
          <w:rFonts w:ascii="Times New Roman" w:cs="Times New Roman" w:eastAsia="Times New Roman" w:hAnsi="Times New Roman"/>
          <w:sz w:val="17"/>
          <w:szCs w:val="17"/>
          <w:color w:val="auto"/>
        </w:rPr>
        <w:t>We have analyzed the potential impact of changes in interest rates on interest income net of interest expense. Assuming that our balance sheet at September 30, 2019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80" w:type="dxa"/>
            <w:vAlign w:val="bottom"/>
            <w:gridSpan w:val="6"/>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rPr>
              <w:t>Impact on net investment income from</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36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6"/>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rPr>
              <w:t>a change in interest rates at:</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640" w:type="dxa"/>
            <w:vAlign w:val="bottom"/>
            <w:tcBorders>
              <w:bottom w:val="single" w:sz="8" w:color="CFF0FC"/>
            </w:tcBorders>
          </w:tcPr>
          <w:p>
            <w:pPr>
              <w:spacing w:after="0"/>
              <w:rPr>
                <w:sz w:val="18"/>
                <w:szCs w:val="18"/>
                <w:color w:val="auto"/>
              </w:rPr>
            </w:pPr>
          </w:p>
        </w:tc>
        <w:tc>
          <w:tcPr>
            <w:tcW w:w="3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1%</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7"/>
                <w:szCs w:val="17"/>
                <w:b w:val="1"/>
                <w:bCs w:val="1"/>
                <w:color w:val="auto"/>
              </w:rPr>
              <w:t>2%</w:t>
            </w:r>
          </w:p>
        </w:tc>
        <w:tc>
          <w:tcPr>
            <w:tcW w:w="24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Increase in interest rate</w:t>
            </w:r>
          </w:p>
        </w:tc>
        <w:tc>
          <w:tcPr>
            <w:tcW w:w="3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1,160,946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2,300,781</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3,440,616</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Decrease in interest rate</w:t>
            </w:r>
          </w:p>
        </w:tc>
        <w:tc>
          <w:tcPr>
            <w:tcW w:w="346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(1,125,623)</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(1,122,260)</w:t>
            </w: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(1,148,706)</w:t>
            </w:r>
          </w:p>
        </w:tc>
        <w:tc>
          <w:tcPr>
            <w:tcW w:w="40" w:type="dxa"/>
            <w:vAlign w:val="bottom"/>
          </w:tcPr>
          <w:p>
            <w:pPr>
              <w:spacing w:after="0"/>
              <w:rPr>
                <w:sz w:val="19"/>
                <w:szCs w:val="19"/>
                <w:color w:val="auto"/>
              </w:rPr>
            </w:pPr>
          </w:p>
        </w:tc>
      </w:tr>
      <w:tr>
        <w:trPr>
          <w:trHeight w:val="610"/>
        </w:trPr>
        <w:tc>
          <w:tcPr>
            <w:tcW w:w="3640" w:type="dxa"/>
            <w:vAlign w:val="bottom"/>
          </w:tcPr>
          <w:p>
            <w:pPr>
              <w:spacing w:after="0"/>
              <w:rPr>
                <w:sz w:val="24"/>
                <w:szCs w:val="24"/>
                <w:color w:val="auto"/>
              </w:rPr>
            </w:pPr>
          </w:p>
        </w:tc>
        <w:tc>
          <w:tcPr>
            <w:tcW w:w="3160" w:type="dxa"/>
            <w:vAlign w:val="bottom"/>
          </w:tcPr>
          <w:p>
            <w:pPr>
              <w:jc w:val="right"/>
              <w:ind w:right="915"/>
              <w:spacing w:after="0"/>
              <w:rPr>
                <w:sz w:val="20"/>
                <w:szCs w:val="20"/>
                <w:color w:val="auto"/>
              </w:rPr>
            </w:pPr>
            <w:r>
              <w:rPr>
                <w:rFonts w:ascii="Times New Roman" w:cs="Times New Roman" w:eastAsia="Times New Roman" w:hAnsi="Times New Roman"/>
                <w:sz w:val="17"/>
                <w:szCs w:val="17"/>
                <w:color w:val="auto"/>
              </w:rPr>
              <w:t>97</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7"/>
        </w:trPr>
        <w:tc>
          <w:tcPr>
            <w:tcW w:w="364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19" w:right="199" w:bottom="1440" w:gutter="0" w:footer="0" w:header="0"/>
        </w:sectPr>
      </w:pPr>
    </w:p>
    <w:bookmarkStart w:id="97" w:name="page98"/>
    <w:bookmarkEnd w:id="97"/>
    <w:p>
      <w:pPr>
        <w:ind w:firstLine="440"/>
        <w:spacing w:after="0" w:line="267" w:lineRule="auto"/>
        <w:rPr>
          <w:sz w:val="20"/>
          <w:szCs w:val="20"/>
          <w:color w:val="auto"/>
        </w:rPr>
      </w:pPr>
      <w:r>
        <w:rPr>
          <w:rFonts w:ascii="Times New Roman" w:cs="Times New Roman" w:eastAsia="Times New Roman" w:hAnsi="Times New Roman"/>
          <w:sz w:val="17"/>
          <w:szCs w:val="17"/>
          <w:color w:val="auto"/>
        </w:rPr>
        <w:t>As shown above, net investment income assuming a 1% increase in interest rates would increase by approximately $1.2 million on an annualized basis. If the increase in rates was more significant, such as 2% or 3%, the net effect on net investment income would be an increase of approximately $2.3 million and $3.4 million, respectively.</w:t>
      </w:r>
    </w:p>
    <w:p>
      <w:pPr>
        <w:spacing w:after="0" w:line="128"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7"/>
          <w:szCs w:val="17"/>
          <w:color w:val="auto"/>
        </w:rPr>
        <w:t>On an annualized basis, a decrease in interest rates of 1%, 2% and 3% would result in a decrease in net investment income of approximately $1.1 million, $1.1 million and $1.1 million, respectively. The effect on net investment income from declines in interest rates impacted by interest rate floors on certain of our floating rate investments, as there is no floor on our floating rate debt facility</w:t>
      </w:r>
    </w:p>
    <w:p>
      <w:pPr>
        <w:spacing w:after="0" w:line="14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7"/>
          <w:szCs w:val="17"/>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i w:val="1"/>
          <w:iCs w:val="1"/>
          <w:color w:val="auto"/>
        </w:rPr>
        <w:t>Portfolio Valuation</w:t>
      </w:r>
    </w:p>
    <w:p>
      <w:pPr>
        <w:spacing w:after="0" w:line="18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7"/>
          <w:szCs w:val="17"/>
          <w:color w:val="auto"/>
        </w:rPr>
        <w:t>We carry our investments at fair value, as determined in good faith by our Board pursuant to a valuation methodology approved by our Board. Investments for which market quotations are generally readily available are generally valued at such market quotations. Investments for which there is not a readily available market value are valued at fair value as determined in good faith by our Board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52"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7"/>
          <w:szCs w:val="17"/>
          <w:color w:val="auto"/>
        </w:rPr>
        <w:t>The Company has engaged an independent valuation firm to provide third party valuation consulting services to the Board.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8" w:name="page99"/>
    <w:bookmarkEnd w:id="98"/>
    <w:p>
      <w:pPr>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17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8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Securities Exchange Act of 1934, as amended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Acts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as of the end of the period covered by this report.</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81" w:lineRule="exact"/>
        <w:rPr>
          <w:sz w:val="20"/>
          <w:szCs w:val="20"/>
          <w:color w:val="auto"/>
        </w:rPr>
      </w:pPr>
    </w:p>
    <w:p>
      <w:pPr>
        <w:ind w:right="200" w:firstLine="440"/>
        <w:spacing w:after="0" w:line="283"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during the period ended September 30, 2019 that have materially affected, or are reasonably likely to materially affect, our internal control over financial reporting.</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00"/>
          </w:cols>
          <w:pgMar w:left="240" w:top="669" w:right="359" w:bottom="1440" w:gutter="0" w:footer="0" w:header="0"/>
        </w:sectPr>
      </w:pPr>
    </w:p>
    <w:bookmarkStart w:id="99" w:name="page100"/>
    <w:bookmarkEnd w:id="99"/>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7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is not currently a party to any material legal proceedings.</w:t>
      </w:r>
    </w:p>
    <w:p>
      <w:pPr>
        <w:spacing w:after="0" w:line="18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79" w:lineRule="exact"/>
        <w:rPr>
          <w:sz w:val="20"/>
          <w:szCs w:val="20"/>
          <w:color w:val="auto"/>
        </w:rPr>
      </w:pPr>
    </w:p>
    <w:p>
      <w:pPr>
        <w:jc w:val="both"/>
        <w:ind w:right="160" w:firstLine="440"/>
        <w:spacing w:after="0" w:line="267" w:lineRule="auto"/>
        <w:rPr>
          <w:sz w:val="20"/>
          <w:szCs w:val="20"/>
          <w:color w:val="auto"/>
        </w:rPr>
      </w:pPr>
      <w:r>
        <w:rPr>
          <w:rFonts w:ascii="Times New Roman" w:cs="Times New Roman" w:eastAsia="Times New Roman" w:hAnsi="Times New Roman"/>
          <w:sz w:val="17"/>
          <w:szCs w:val="17"/>
          <w:color w:val="auto"/>
        </w:rPr>
        <w:t>Other than the items noted below, there have been no material changes during fiscal 2019 to the risk factors that were included in our Annual Report on Form 10-K for the year ended December 31, 2018, as supplemented by the risk factors previously described in Part II “Item 1A. Risk Factors” in our Quarterly Report on Form 10-Q for the three months ended March 31, 2019.</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The Merger is subject to closing conditions, including stockholder approval, that, if not satisfied or waived, will result in the Merger not being completed.</w:t>
      </w:r>
    </w:p>
    <w:p>
      <w:pPr>
        <w:spacing w:after="0" w:line="18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7"/>
          <w:szCs w:val="17"/>
          <w:color w:val="auto"/>
        </w:rPr>
        <w:t>The Merger is subject to closing conditions, including certain approvals of OHAI stockholders that, if not satisfied, will prevent the Merger from being completed. The closing condition that OHAI stockholders approve the Merger may not be waived under applicable law and must be satisfied for the Merger to be completed. OHAI currently expects that all directors and executive officers of OHAI will vote their shares of OHAI common stock in favor of the proposals presented at the special meeting. If OHAI stockholders do not approve the Merger and the Merger is not completed, the resulting failure of the Merger could have a negative impact on our business and operations.</w:t>
      </w:r>
    </w:p>
    <w:p>
      <w:pPr>
        <w:spacing w:after="0" w:line="142" w:lineRule="exact"/>
        <w:rPr>
          <w:sz w:val="20"/>
          <w:szCs w:val="20"/>
          <w:color w:val="auto"/>
        </w:rPr>
      </w:pPr>
    </w:p>
    <w:p>
      <w:pPr>
        <w:ind w:right="8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realize the benefits anticipated by the Merger, including estimated cost savings, or it may take longer than anticipated to achieve such benefits.</w:t>
      </w:r>
    </w:p>
    <w:p>
      <w:pPr>
        <w:spacing w:after="0" w:line="10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7"/>
          <w:szCs w:val="17"/>
          <w:color w:val="auto"/>
        </w:rPr>
        <w:t>The realization of certain benefits anticipated as a result of the Merger will depend in part on the integration of OHAI’s investment portfolio with our portfolio and integration of OHAI’s business. There can be no assurance that OHAI’s investment portfolio or business can be operated profitably or integrated successfully into our operations in a timely fashion or at all. The dedication of management resources to such integration may detract attention from the day-to-day business of the combined company and there can be no assurance that there will not be substantial costs associated with the transition process or there will not be other material adverse effects as a result of these integration efforts. Such effects, including, but not limited to, incurring unexpected costs or delays in connection with such integration and failure of OHAI’s investment portfolio to perform as expected, could have a material adverse effect on the financial results of the combined company.</w:t>
      </w:r>
    </w:p>
    <w:p>
      <w:pPr>
        <w:spacing w:after="0" w:line="138"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7"/>
          <w:szCs w:val="17"/>
          <w:color w:val="auto"/>
        </w:rPr>
        <w:t>We also expect to achieve certain cost savings from the Merger when the two companies have fully integrated their portfolios. It is possible that the estimates of the potential cost savings could ultimately be incorrect. The cost savings estimates also assume we will be able to combine our operations with OHAI’s in a manner that permits those cost savings to be fully realized. If the estimates turn out to be incorrect or if we are not able to successfully combine OHAI’s investment portfolio or business with our operations, the anticipated cost savings may not be fully realized, or realized at all, or may take longer to realize than expected.</w:t>
      </w:r>
    </w:p>
    <w:p>
      <w:pPr>
        <w:spacing w:after="0" w:line="14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79" w:lineRule="exact"/>
        <w:rPr>
          <w:sz w:val="20"/>
          <w:szCs w:val="20"/>
          <w:color w:val="auto"/>
        </w:rPr>
      </w:pPr>
    </w:p>
    <w:p>
      <w:pPr>
        <w:ind w:right="200" w:firstLine="440"/>
        <w:spacing w:after="0" w:line="267" w:lineRule="auto"/>
        <w:rPr>
          <w:sz w:val="20"/>
          <w:szCs w:val="20"/>
          <w:color w:val="auto"/>
        </w:rPr>
      </w:pPr>
      <w:r>
        <w:rPr>
          <w:rFonts w:ascii="Times New Roman" w:cs="Times New Roman" w:eastAsia="Times New Roman" w:hAnsi="Times New Roman"/>
          <w:sz w:val="17"/>
          <w:szCs w:val="17"/>
          <w:color w:val="auto"/>
        </w:rPr>
        <w:t>While we did not engage in any sales of unregistered securities during the nine months ended September 30, 2019, we issued a total of 55,637 shares of common stock under our dividend reinvestment plan (“DRIP”). This issuance was not subject to the registration requirements of the Securities Act of 1933. For the nine months ended September 30, 2019, the aggregate value of the shares of our common stock issued under our DRIP was approximately $168,000.</w:t>
      </w:r>
    </w:p>
    <w:p>
      <w:pPr>
        <w:spacing w:after="0" w:line="12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60"/>
          </w:cols>
          <w:pgMar w:left="240" w:top="119" w:right="299" w:bottom="1440" w:gutter="0" w:footer="0" w:header="0"/>
        </w:sectPr>
      </w:pPr>
    </w:p>
    <w:bookmarkStart w:id="100" w:name="page101"/>
    <w:bookmarkEnd w:id="100"/>
    <w:p>
      <w:pPr>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8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17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Reference is made to the Exhibit List filed as a part of this report beginning on page E-1. Each of such exhibits is incorporated by reference herein.</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0460"/>
          </w:cols>
          <w:pgMar w:left="240" w:top="119" w:right="119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6"/>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00" w:type="dxa"/>
            <w:vAlign w:val="bottom"/>
            <w:gridSpan w:val="12"/>
          </w:tcPr>
          <w:p>
            <w:pPr>
              <w:ind w:left="10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88"/>
        </w:trPr>
        <w:tc>
          <w:tcPr>
            <w:tcW w:w="94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5"/>
        </w:trPr>
        <w:tc>
          <w:tcPr>
            <w:tcW w:w="9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140" w:type="dxa"/>
            <w:vAlign w:val="bottom"/>
            <w:tcBorders>
              <w:bottom w:val="single" w:sz="8" w:color="auto"/>
            </w:tcBorders>
            <w:gridSpan w:val="11"/>
          </w:tcPr>
          <w:p>
            <w:pPr>
              <w:ind w:left="40"/>
              <w:spacing w:after="0"/>
              <w:rPr>
                <w:sz w:val="20"/>
                <w:szCs w:val="20"/>
                <w:color w:val="auto"/>
              </w:rPr>
            </w:pPr>
            <w:r>
              <w:rPr>
                <w:rFonts w:ascii="Times New Roman" w:cs="Times New Roman" w:eastAsia="Times New Roman" w:hAnsi="Times New Roman"/>
                <w:sz w:val="17"/>
                <w:szCs w:val="17"/>
                <w:b w:val="1"/>
                <w:bCs w:val="1"/>
                <w:color w:val="auto"/>
              </w:rPr>
              <w:t>Description of Document</w:t>
            </w:r>
          </w:p>
        </w:tc>
      </w:tr>
      <w:tr>
        <w:trPr>
          <w:trHeight w:val="389"/>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93"/>
              </w:rPr>
              <w:t>2.</w:t>
            </w:r>
            <w:r>
              <w:rPr>
                <w:rFonts w:ascii="Times New Roman" w:cs="Times New Roman" w:eastAsia="Times New Roman" w:hAnsi="Times New Roman"/>
                <w:sz w:val="17"/>
                <w:szCs w:val="17"/>
                <w:u w:val="single" w:color="auto"/>
                <w:color w:val="auto"/>
                <w:w w:val="93"/>
              </w:rPr>
              <w:t>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7"/>
          </w:tcPr>
          <w:p>
            <w:pPr>
              <w:spacing w:after="0"/>
              <w:rPr>
                <w:rFonts w:ascii="Times New Roman" w:cs="Times New Roman" w:eastAsia="Times New Roman" w:hAnsi="Times New Roman"/>
                <w:sz w:val="17"/>
                <w:szCs w:val="17"/>
                <w:color w:val="0000EE"/>
              </w:rPr>
            </w:pPr>
            <w:hyperlink r:id="rId130">
              <w:r>
                <w:rPr>
                  <w:rFonts w:ascii="Times New Roman" w:cs="Times New Roman" w:eastAsia="Times New Roman" w:hAnsi="Times New Roman"/>
                  <w:sz w:val="17"/>
                  <w:szCs w:val="17"/>
                  <w:color w:val="0000EE"/>
                </w:rPr>
                <w:t>Agreement and Plan of Merger, dated as of July 31, 2019 by and among Portman Ridge Finance Corporation, Storm Acquisition Sub Inc., OHA</w:t>
              </w:r>
            </w:hyperlink>
          </w:p>
        </w:tc>
      </w:tr>
      <w:tr>
        <w:trPr>
          <w:trHeight w:val="20"/>
        </w:trPr>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5"/>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130">
              <w:r>
                <w:rPr>
                  <w:rFonts w:ascii="Times New Roman" w:cs="Times New Roman" w:eastAsia="Times New Roman" w:hAnsi="Times New Roman"/>
                  <w:sz w:val="17"/>
                  <w:szCs w:val="17"/>
                  <w:color w:val="0000EE"/>
                </w:rPr>
                <w:t>Investment Corporation, and Sierra Crest Investment Management LLC (incorporated by reference to Exhibit 2.1 of the Current Report on Form 8-K,</w:t>
              </w:r>
            </w:hyperlink>
          </w:p>
        </w:tc>
        <w:tc>
          <w:tcPr>
            <w:tcW w:w="140" w:type="dxa"/>
            <w:vAlign w:val="bottom"/>
          </w:tcPr>
          <w:p>
            <w:pPr>
              <w:spacing w:after="0"/>
              <w:rPr>
                <w:sz w:val="16"/>
                <w:szCs w:val="16"/>
                <w:color w:val="auto"/>
              </w:rPr>
            </w:pPr>
          </w:p>
        </w:tc>
      </w:tr>
      <w:tr>
        <w:trPr>
          <w:trHeight w:val="185"/>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bottom w:val="single" w:sz="8" w:color="0000EE"/>
            </w:tcBorders>
          </w:tcPr>
          <w:p>
            <w:pPr>
              <w:spacing w:after="0" w:line="185" w:lineRule="exact"/>
              <w:rPr>
                <w:rFonts w:ascii="Times New Roman" w:cs="Times New Roman" w:eastAsia="Times New Roman" w:hAnsi="Times New Roman"/>
                <w:sz w:val="17"/>
                <w:szCs w:val="17"/>
                <w:color w:val="0000EE"/>
                <w:w w:val="99"/>
              </w:rPr>
            </w:pPr>
            <w:hyperlink r:id="rId130">
              <w:r>
                <w:rPr>
                  <w:rFonts w:ascii="Times New Roman" w:cs="Times New Roman" w:eastAsia="Times New Roman" w:hAnsi="Times New Roman"/>
                  <w:sz w:val="17"/>
                  <w:szCs w:val="17"/>
                  <w:color w:val="0000EE"/>
                  <w:w w:val="99"/>
                </w:rPr>
                <w:t>as filed on August 1, 2019).</w:t>
              </w:r>
            </w:hyperlink>
          </w:p>
        </w:tc>
        <w:tc>
          <w:tcPr>
            <w:tcW w:w="8460" w:type="dxa"/>
            <w:vAlign w:val="bottom"/>
            <w:gridSpan w:val="16"/>
          </w:tcPr>
          <w:p>
            <w:pPr>
              <w:spacing w:after="0"/>
              <w:rPr>
                <w:sz w:val="16"/>
                <w:szCs w:val="16"/>
                <w:color w:val="auto"/>
              </w:rPr>
            </w:pPr>
          </w:p>
        </w:tc>
      </w:tr>
      <w:tr>
        <w:trPr>
          <w:trHeight w:val="185"/>
        </w:trPr>
        <w:tc>
          <w:tcPr>
            <w:tcW w:w="220" w:type="dxa"/>
            <w:vAlign w:val="bottom"/>
            <w:tcBorders>
              <w:bottom w:val="single" w:sz="8" w:color="0000EE"/>
            </w:tcBorders>
          </w:tcPr>
          <w:p>
            <w:pPr>
              <w:spacing w:after="0" w:line="185" w:lineRule="exact"/>
              <w:rPr>
                <w:rFonts w:ascii="Times New Roman" w:cs="Times New Roman" w:eastAsia="Times New Roman" w:hAnsi="Times New Roman"/>
                <w:sz w:val="17"/>
                <w:szCs w:val="17"/>
                <w:color w:val="0000EE"/>
                <w:w w:val="93"/>
              </w:rPr>
            </w:pPr>
            <w:hyperlink r:id="rId131">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1</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0" w:type="dxa"/>
            <w:vAlign w:val="bottom"/>
            <w:tcBorders>
              <w:bottom w:val="single" w:sz="8" w:color="0000EE"/>
            </w:tcBorders>
            <w:gridSpan w:val="15"/>
          </w:tcPr>
          <w:p>
            <w:pPr>
              <w:spacing w:after="0" w:line="185" w:lineRule="exact"/>
              <w:rPr>
                <w:rFonts w:ascii="Times New Roman" w:cs="Times New Roman" w:eastAsia="Times New Roman" w:hAnsi="Times New Roman"/>
                <w:sz w:val="17"/>
                <w:szCs w:val="17"/>
                <w:color w:val="0000EE"/>
              </w:rPr>
            </w:pPr>
            <w:hyperlink r:id="rId131">
              <w:r>
                <w:rPr>
                  <w:rFonts w:ascii="Times New Roman" w:cs="Times New Roman" w:eastAsia="Times New Roman" w:hAnsi="Times New Roman"/>
                  <w:sz w:val="17"/>
                  <w:szCs w:val="17"/>
                  <w:color w:val="0000EE"/>
                </w:rPr>
                <w:t>Form of Certificate of Incorporation of Company (incorporated by reference to the exhibit included in Pre-Effective Amendment No. 1 on Form N-2,</w:t>
              </w:r>
            </w:hyperlink>
          </w:p>
        </w:tc>
        <w:tc>
          <w:tcPr>
            <w:tcW w:w="160" w:type="dxa"/>
            <w:vAlign w:val="bottom"/>
            <w:gridSpan w:val="2"/>
          </w:tcPr>
          <w:p>
            <w:pPr>
              <w:spacing w:after="0"/>
              <w:rPr>
                <w:sz w:val="16"/>
                <w:szCs w:val="16"/>
                <w:color w:val="auto"/>
              </w:rPr>
            </w:pPr>
          </w:p>
        </w:tc>
      </w:tr>
      <w:tr>
        <w:trPr>
          <w:trHeight w:val="185"/>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60" w:type="dxa"/>
            <w:vAlign w:val="bottom"/>
            <w:gridSpan w:val="17"/>
          </w:tcPr>
          <w:p>
            <w:pPr>
              <w:spacing w:after="0" w:line="185" w:lineRule="exact"/>
              <w:rPr>
                <w:rFonts w:ascii="Times New Roman" w:cs="Times New Roman" w:eastAsia="Times New Roman" w:hAnsi="Times New Roman"/>
                <w:sz w:val="17"/>
                <w:szCs w:val="17"/>
                <w:color w:val="0000EE"/>
              </w:rPr>
            </w:pPr>
            <w:hyperlink r:id="rId131">
              <w:r>
                <w:rPr>
                  <w:rFonts w:ascii="Times New Roman" w:cs="Times New Roman" w:eastAsia="Times New Roman" w:hAnsi="Times New Roman"/>
                  <w:sz w:val="17"/>
                  <w:szCs w:val="17"/>
                  <w:color w:val="0000EE"/>
                </w:rPr>
                <w:t>as filed on October 6, 2006 ).</w:t>
              </w:r>
            </w:hyperlink>
          </w:p>
        </w:tc>
      </w:tr>
      <w:tr>
        <w:trPr>
          <w:trHeight w:val="20"/>
        </w:trPr>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0"/>
        </w:trPr>
        <w:tc>
          <w:tcPr>
            <w:tcW w:w="480" w:type="dxa"/>
            <w:vAlign w:val="bottom"/>
            <w:gridSpan w:val="4"/>
          </w:tcPr>
          <w:p>
            <w:pPr>
              <w:spacing w:after="0"/>
              <w:rPr>
                <w:rFonts w:ascii="Times New Roman" w:cs="Times New Roman" w:eastAsia="Times New Roman" w:hAnsi="Times New Roman"/>
                <w:sz w:val="17"/>
                <w:szCs w:val="17"/>
                <w:color w:val="0000EE"/>
              </w:rPr>
            </w:pPr>
            <w:hyperlink r:id="rId132">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7"/>
          </w:tcPr>
          <w:p>
            <w:pPr>
              <w:spacing w:after="0"/>
              <w:rPr>
                <w:rFonts w:ascii="Times New Roman" w:cs="Times New Roman" w:eastAsia="Times New Roman" w:hAnsi="Times New Roman"/>
                <w:sz w:val="17"/>
                <w:szCs w:val="17"/>
                <w:color w:val="0000EE"/>
              </w:rPr>
            </w:pPr>
            <w:hyperlink r:id="rId132">
              <w:r>
                <w:rPr>
                  <w:rFonts w:ascii="Times New Roman" w:cs="Times New Roman" w:eastAsia="Times New Roman" w:hAnsi="Times New Roman"/>
                  <w:sz w:val="17"/>
                  <w:szCs w:val="17"/>
                  <w:color w:val="0000EE"/>
                </w:rPr>
                <w:t>Certificate of Amendment to Certificate of Incorporation of Portman Ridge Finance Corporation (incorporated by reference to Exhibit 3.1 of the</w:t>
              </w:r>
            </w:hyperlink>
          </w:p>
        </w:tc>
      </w:tr>
      <w:tr>
        <w:trPr>
          <w:trHeight w:val="185"/>
        </w:trPr>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40" w:type="dxa"/>
            <w:vAlign w:val="bottom"/>
            <w:tcBorders>
              <w:top w:val="single" w:sz="8" w:color="0000EE"/>
            </w:tcBorders>
            <w:gridSpan w:val="11"/>
          </w:tcPr>
          <w:p>
            <w:pPr>
              <w:spacing w:after="0" w:line="185" w:lineRule="exact"/>
              <w:rPr>
                <w:rFonts w:ascii="Times New Roman" w:cs="Times New Roman" w:eastAsia="Times New Roman" w:hAnsi="Times New Roman"/>
                <w:sz w:val="17"/>
                <w:szCs w:val="17"/>
                <w:color w:val="0000EE"/>
              </w:rPr>
            </w:pPr>
            <w:hyperlink r:id="rId132">
              <w:r>
                <w:rPr>
                  <w:rFonts w:ascii="Times New Roman" w:cs="Times New Roman" w:eastAsia="Times New Roman" w:hAnsi="Times New Roman"/>
                  <w:sz w:val="17"/>
                  <w:szCs w:val="17"/>
                  <w:color w:val="0000EE"/>
                </w:rPr>
                <w:t>Current Report on Form 8-K, as filed on April 2, 2019).</w:t>
              </w:r>
            </w:hyperlink>
          </w:p>
        </w:tc>
        <w:tc>
          <w:tcPr>
            <w:tcW w:w="520" w:type="dxa"/>
            <w:vAlign w:val="bottom"/>
            <w:gridSpan w:val="6"/>
          </w:tcPr>
          <w:p>
            <w:pPr>
              <w:spacing w:after="0"/>
              <w:rPr>
                <w:sz w:val="16"/>
                <w:szCs w:val="16"/>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0"/>
        </w:trPr>
        <w:tc>
          <w:tcPr>
            <w:tcW w:w="220" w:type="dxa"/>
            <w:vAlign w:val="bottom"/>
          </w:tcPr>
          <w:p>
            <w:pPr>
              <w:spacing w:after="0"/>
              <w:rPr>
                <w:rFonts w:ascii="Times New Roman" w:cs="Times New Roman" w:eastAsia="Times New Roman" w:hAnsi="Times New Roman"/>
                <w:sz w:val="17"/>
                <w:szCs w:val="17"/>
                <w:color w:val="0000EE"/>
                <w:w w:val="93"/>
              </w:rPr>
            </w:pPr>
            <w:hyperlink r:id="rId133">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2</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7"/>
          </w:tcPr>
          <w:p>
            <w:pPr>
              <w:spacing w:after="0"/>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Second Amended and Restated Bylaws of KCAP Financial, Inc., dated as of December 12, 2018 (incorporated by reference to Exhibit 3.1 of the</w:t>
              </w:r>
            </w:hyperlink>
          </w:p>
        </w:tc>
      </w:tr>
      <w:tr>
        <w:trPr>
          <w:trHeight w:val="185"/>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40" w:type="dxa"/>
            <w:vAlign w:val="bottom"/>
            <w:tcBorders>
              <w:top w:val="single" w:sz="8" w:color="0000EE"/>
            </w:tcBorders>
            <w:gridSpan w:val="11"/>
          </w:tcPr>
          <w:p>
            <w:pPr>
              <w:spacing w:after="0" w:line="185" w:lineRule="exact"/>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Current Report on Form 8-K, as filed on December 14, 2018).</w:t>
              </w:r>
            </w:hyperlink>
          </w:p>
        </w:tc>
        <w:tc>
          <w:tcPr>
            <w:tcW w:w="520" w:type="dxa"/>
            <w:vAlign w:val="bottom"/>
            <w:gridSpan w:val="6"/>
          </w:tcPr>
          <w:p>
            <w:pPr>
              <w:spacing w:after="0"/>
              <w:rPr>
                <w:sz w:val="16"/>
                <w:szCs w:val="16"/>
                <w:color w:val="auto"/>
              </w:rPr>
            </w:pPr>
          </w:p>
        </w:tc>
      </w:tr>
      <w:tr>
        <w:trPr>
          <w:trHeight w:val="20"/>
        </w:trPr>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0"/>
        </w:trPr>
        <w:tc>
          <w:tcPr>
            <w:tcW w:w="480" w:type="dxa"/>
            <w:vAlign w:val="bottom"/>
            <w:gridSpan w:val="4"/>
          </w:tcPr>
          <w:p>
            <w:pPr>
              <w:spacing w:after="0"/>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7"/>
          </w:tcPr>
          <w:p>
            <w:pPr>
              <w:spacing w:after="0"/>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Amendment No. 1 to the Second Amended and Restated Bylaws of Portman Ridge Finance Corporation (incorporated by reference to Exhibit 3.2 of</w:t>
              </w:r>
            </w:hyperlink>
          </w:p>
        </w:tc>
      </w:tr>
      <w:tr>
        <w:trPr>
          <w:trHeight w:val="185"/>
        </w:trPr>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tcBorders>
              <w:top w:val="single" w:sz="8" w:color="0000EE"/>
              <w:bottom w:val="single" w:sz="8" w:color="0000EE"/>
            </w:tcBorders>
            <w:gridSpan w:val="5"/>
          </w:tcPr>
          <w:p>
            <w:pPr>
              <w:spacing w:after="0" w:line="185" w:lineRule="exact"/>
              <w:rPr>
                <w:rFonts w:ascii="Times New Roman" w:cs="Times New Roman" w:eastAsia="Times New Roman" w:hAnsi="Times New Roman"/>
                <w:sz w:val="17"/>
                <w:szCs w:val="17"/>
                <w:color w:val="0000EE"/>
                <w:w w:val="99"/>
              </w:rPr>
            </w:pPr>
            <w:hyperlink r:id="rId134">
              <w:r>
                <w:rPr>
                  <w:rFonts w:ascii="Times New Roman" w:cs="Times New Roman" w:eastAsia="Times New Roman" w:hAnsi="Times New Roman"/>
                  <w:sz w:val="17"/>
                  <w:szCs w:val="17"/>
                  <w:color w:val="0000EE"/>
                  <w:w w:val="99"/>
                </w:rPr>
                <w:t>the Current Report on Form 8-K, as filed on April 2, 2019).</w:t>
              </w:r>
            </w:hyperlink>
          </w:p>
        </w:tc>
        <w:tc>
          <w:tcPr>
            <w:tcW w:w="6100" w:type="dxa"/>
            <w:vAlign w:val="bottom"/>
            <w:tcBorders>
              <w:top w:val="single" w:sz="8" w:color="0000EE"/>
            </w:tcBorders>
            <w:gridSpan w:val="8"/>
          </w:tcPr>
          <w:p>
            <w:pPr>
              <w:spacing w:after="0"/>
              <w:rPr>
                <w:sz w:val="16"/>
                <w:szCs w:val="16"/>
                <w:color w:val="auto"/>
              </w:rPr>
            </w:pPr>
          </w:p>
        </w:tc>
        <w:tc>
          <w:tcPr>
            <w:tcW w:w="200" w:type="dxa"/>
            <w:vAlign w:val="bottom"/>
            <w:gridSpan w:val="4"/>
          </w:tcPr>
          <w:p>
            <w:pPr>
              <w:spacing w:after="0"/>
              <w:rPr>
                <w:sz w:val="16"/>
                <w:szCs w:val="16"/>
                <w:color w:val="auto"/>
              </w:rPr>
            </w:pPr>
          </w:p>
        </w:tc>
      </w:tr>
      <w:tr>
        <w:trPr>
          <w:trHeight w:val="389"/>
        </w:trPr>
        <w:tc>
          <w:tcPr>
            <w:tcW w:w="340" w:type="dxa"/>
            <w:vAlign w:val="bottom"/>
            <w:gridSpan w:val="3"/>
          </w:tcPr>
          <w:p>
            <w:pPr>
              <w:spacing w:after="0"/>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5</w:t>
              </w:r>
            </w:hyperlink>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7"/>
          </w:tcPr>
          <w:p>
            <w:pPr>
              <w:spacing w:after="0"/>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Third Amendment to Loan and Security Agreement, dated as of April 1, 2019, by and among Great Lakes KCAP Funding I, LLC, KCAP Financial,</w:t>
              </w:r>
            </w:hyperlink>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340" w:type="dxa"/>
            <w:vAlign w:val="bottom"/>
            <w:gridSpan w:val="4"/>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5"/>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Inc., the financial institutions party to the Agreement from time to time as lenders, Cadence Bank, N.A., CIBC Bank USA (incorporated by reference to</w:t>
              </w:r>
            </w:hyperlink>
          </w:p>
        </w:tc>
      </w:tr>
      <w:tr>
        <w:trPr>
          <w:trHeight w:val="185"/>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580" w:type="dxa"/>
            <w:vAlign w:val="bottom"/>
            <w:tcBorders>
              <w:bottom w:val="single" w:sz="8" w:color="0000EE"/>
            </w:tcBorders>
            <w:gridSpan w:val="7"/>
          </w:tcPr>
          <w:p>
            <w:pPr>
              <w:spacing w:after="0" w:line="185" w:lineRule="exact"/>
              <w:rPr>
                <w:rFonts w:ascii="Times New Roman" w:cs="Times New Roman" w:eastAsia="Times New Roman" w:hAnsi="Times New Roman"/>
                <w:sz w:val="17"/>
                <w:szCs w:val="17"/>
                <w:color w:val="0000EE"/>
                <w:w w:val="99"/>
              </w:rPr>
            </w:pPr>
            <w:hyperlink r:id="rId135">
              <w:r>
                <w:rPr>
                  <w:rFonts w:ascii="Times New Roman" w:cs="Times New Roman" w:eastAsia="Times New Roman" w:hAnsi="Times New Roman"/>
                  <w:sz w:val="17"/>
                  <w:szCs w:val="17"/>
                  <w:color w:val="0000EE"/>
                  <w:w w:val="99"/>
                </w:rPr>
                <w:t>Exhibit 10.2 of the Current Report on Form 8-K, as filed on April 2, 2019 (File No. 814-00735))</w:t>
              </w:r>
            </w:hyperlink>
          </w:p>
        </w:tc>
        <w:tc>
          <w:tcPr>
            <w:tcW w:w="3780" w:type="dxa"/>
            <w:vAlign w:val="bottom"/>
            <w:gridSpan w:val="10"/>
          </w:tcPr>
          <w:p>
            <w:pPr>
              <w:spacing w:after="0"/>
              <w:rPr>
                <w:sz w:val="16"/>
                <w:szCs w:val="16"/>
                <w:color w:val="auto"/>
              </w:rPr>
            </w:pPr>
          </w:p>
        </w:tc>
      </w:tr>
      <w:tr>
        <w:trPr>
          <w:trHeight w:val="389"/>
        </w:trPr>
        <w:tc>
          <w:tcPr>
            <w:tcW w:w="48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8"/>
              </w:rPr>
            </w:pPr>
            <w:hyperlink w:anchor="page104">
              <w:r>
                <w:rPr>
                  <w:rFonts w:ascii="Times New Roman" w:cs="Times New Roman" w:eastAsia="Times New Roman" w:hAnsi="Times New Roman"/>
                  <w:sz w:val="17"/>
                  <w:szCs w:val="17"/>
                  <w:color w:val="0000EE"/>
                  <w:w w:val="98"/>
                </w:rPr>
                <w:t>31.</w:t>
              </w:r>
              <w:r>
                <w:rPr>
                  <w:rFonts w:ascii="Times New Roman" w:cs="Times New Roman" w:eastAsia="Times New Roman" w:hAnsi="Times New Roman"/>
                  <w:sz w:val="17"/>
                  <w:szCs w:val="17"/>
                  <w:u w:val="single" w:color="auto"/>
                  <w:color w:val="0000EE"/>
                  <w:w w:val="98"/>
                </w:rPr>
                <w:t>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w w:val="99"/>
              </w:rPr>
            </w:pPr>
            <w:hyperlink w:anchor="page104">
              <w:r>
                <w:rPr>
                  <w:rFonts w:ascii="Times New Roman" w:cs="Times New Roman" w:eastAsia="Times New Roman" w:hAnsi="Times New Roman"/>
                  <w:sz w:val="17"/>
                  <w:szCs w:val="17"/>
                  <w:color w:val="0000EE"/>
                  <w:w w:val="99"/>
                </w:rPr>
                <w:t>Certification of Chief Executive Officer Pursuant to Rule 13a-14(a) under the Securities Exchange Act of 1934, as adopted pursuant to Section 302 of</w:t>
              </w:r>
            </w:hyperlink>
          </w:p>
        </w:tc>
        <w:tc>
          <w:tcPr>
            <w:tcW w:w="140" w:type="dxa"/>
            <w:vAlign w:val="bottom"/>
          </w:tcPr>
          <w:p>
            <w:pPr>
              <w:spacing w:after="0"/>
              <w:rPr>
                <w:sz w:val="24"/>
                <w:szCs w:val="24"/>
                <w:color w:val="auto"/>
              </w:rPr>
            </w:pPr>
          </w:p>
        </w:tc>
      </w:tr>
      <w:tr>
        <w:trPr>
          <w:trHeight w:val="185"/>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0000EE"/>
            </w:tcBorders>
            <w:gridSpan w:val="3"/>
          </w:tcPr>
          <w:p>
            <w:pPr>
              <w:spacing w:after="0" w:line="185" w:lineRule="exact"/>
              <w:rPr>
                <w:rFonts w:ascii="Times New Roman" w:cs="Times New Roman" w:eastAsia="Times New Roman" w:hAnsi="Times New Roman"/>
                <w:sz w:val="17"/>
                <w:szCs w:val="17"/>
                <w:color w:val="0000EE"/>
                <w:w w:val="99"/>
              </w:rPr>
            </w:pPr>
            <w:hyperlink w:anchor="page104">
              <w:r>
                <w:rPr>
                  <w:rFonts w:ascii="Times New Roman" w:cs="Times New Roman" w:eastAsia="Times New Roman" w:hAnsi="Times New Roman"/>
                  <w:sz w:val="17"/>
                  <w:szCs w:val="17"/>
                  <w:color w:val="0000EE"/>
                  <w:w w:val="99"/>
                </w:rPr>
                <w:t>the Sarbanes-Oxley Act of 2002.</w:t>
              </w:r>
            </w:hyperlink>
          </w:p>
        </w:tc>
        <w:tc>
          <w:tcPr>
            <w:tcW w:w="8120" w:type="dxa"/>
            <w:vAlign w:val="bottom"/>
            <w:gridSpan w:val="14"/>
          </w:tcPr>
          <w:p>
            <w:pPr>
              <w:spacing w:after="0"/>
              <w:rPr>
                <w:sz w:val="16"/>
                <w:szCs w:val="16"/>
                <w:color w:val="auto"/>
              </w:rPr>
            </w:pPr>
          </w:p>
        </w:tc>
      </w:tr>
      <w:tr>
        <w:trPr>
          <w:trHeight w:val="300"/>
        </w:trPr>
        <w:tc>
          <w:tcPr>
            <w:tcW w:w="48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8"/>
              </w:rPr>
            </w:pPr>
            <w:hyperlink w:anchor="page105">
              <w:r>
                <w:rPr>
                  <w:rFonts w:ascii="Times New Roman" w:cs="Times New Roman" w:eastAsia="Times New Roman" w:hAnsi="Times New Roman"/>
                  <w:sz w:val="17"/>
                  <w:szCs w:val="17"/>
                  <w:color w:val="0000EE"/>
                  <w:w w:val="98"/>
                </w:rPr>
                <w:t>31.</w:t>
              </w:r>
              <w:r>
                <w:rPr>
                  <w:rFonts w:ascii="Times New Roman" w:cs="Times New Roman" w:eastAsia="Times New Roman" w:hAnsi="Times New Roman"/>
                  <w:sz w:val="17"/>
                  <w:szCs w:val="17"/>
                  <w:u w:val="single" w:color="auto"/>
                  <w:color w:val="0000EE"/>
                  <w:w w:val="98"/>
                </w:rPr>
                <w:t>2**</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8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w:anchor="page105">
              <w:r>
                <w:rPr>
                  <w:rFonts w:ascii="Times New Roman" w:cs="Times New Roman" w:eastAsia="Times New Roman" w:hAnsi="Times New Roman"/>
                  <w:sz w:val="17"/>
                  <w:szCs w:val="17"/>
                  <w:color w:val="0000EE"/>
                </w:rPr>
                <w:t>Certification of Chief Financial Officer Pursuant to Rule 13a-14(a) under the Securities Exchange Act of 1934, as adopted pursuant to Section 302 of</w:t>
              </w:r>
            </w:hyperlink>
          </w:p>
        </w:tc>
        <w:tc>
          <w:tcPr>
            <w:tcW w:w="180" w:type="dxa"/>
            <w:vAlign w:val="bottom"/>
            <w:gridSpan w:val="3"/>
          </w:tcPr>
          <w:p>
            <w:pPr>
              <w:spacing w:after="0"/>
              <w:rPr>
                <w:sz w:val="24"/>
                <w:szCs w:val="24"/>
                <w:color w:val="auto"/>
              </w:rPr>
            </w:pPr>
          </w:p>
        </w:tc>
      </w:tr>
      <w:tr>
        <w:trPr>
          <w:trHeight w:val="185"/>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0000EE"/>
            </w:tcBorders>
            <w:gridSpan w:val="3"/>
          </w:tcPr>
          <w:p>
            <w:pPr>
              <w:spacing w:after="0" w:line="185" w:lineRule="exact"/>
              <w:rPr>
                <w:rFonts w:ascii="Times New Roman" w:cs="Times New Roman" w:eastAsia="Times New Roman" w:hAnsi="Times New Roman"/>
                <w:sz w:val="17"/>
                <w:szCs w:val="17"/>
                <w:color w:val="0000EE"/>
                <w:w w:val="99"/>
              </w:rPr>
            </w:pPr>
            <w:hyperlink w:anchor="page105">
              <w:r>
                <w:rPr>
                  <w:rFonts w:ascii="Times New Roman" w:cs="Times New Roman" w:eastAsia="Times New Roman" w:hAnsi="Times New Roman"/>
                  <w:sz w:val="17"/>
                  <w:szCs w:val="17"/>
                  <w:color w:val="0000EE"/>
                  <w:w w:val="99"/>
                </w:rPr>
                <w:t>the Sarbanes-Oxley Act of 2002.</w:t>
              </w:r>
            </w:hyperlink>
          </w:p>
        </w:tc>
        <w:tc>
          <w:tcPr>
            <w:tcW w:w="8120" w:type="dxa"/>
            <w:vAlign w:val="bottom"/>
            <w:gridSpan w:val="14"/>
          </w:tcPr>
          <w:p>
            <w:pPr>
              <w:spacing w:after="0"/>
              <w:rPr>
                <w:sz w:val="16"/>
                <w:szCs w:val="16"/>
                <w:color w:val="auto"/>
              </w:rPr>
            </w:pPr>
          </w:p>
        </w:tc>
      </w:tr>
      <w:tr>
        <w:trPr>
          <w:trHeight w:val="300"/>
        </w:trPr>
        <w:tc>
          <w:tcPr>
            <w:tcW w:w="480" w:type="dxa"/>
            <w:vAlign w:val="bottom"/>
            <w:gridSpan w:val="4"/>
          </w:tcPr>
          <w:p>
            <w:pPr>
              <w:spacing w:after="0"/>
              <w:rPr>
                <w:rFonts w:ascii="Times New Roman" w:cs="Times New Roman" w:eastAsia="Times New Roman" w:hAnsi="Times New Roman"/>
                <w:sz w:val="17"/>
                <w:szCs w:val="17"/>
                <w:color w:val="0000EE"/>
                <w:w w:val="98"/>
              </w:rPr>
            </w:pPr>
            <w:hyperlink w:anchor="page106">
              <w:r>
                <w:rPr>
                  <w:rFonts w:ascii="Times New Roman" w:cs="Times New Roman" w:eastAsia="Times New Roman" w:hAnsi="Times New Roman"/>
                  <w:sz w:val="17"/>
                  <w:szCs w:val="17"/>
                  <w:color w:val="0000EE"/>
                  <w:w w:val="98"/>
                </w:rPr>
                <w:t>32.</w:t>
              </w:r>
              <w:r>
                <w:rPr>
                  <w:rFonts w:ascii="Times New Roman" w:cs="Times New Roman" w:eastAsia="Times New Roman" w:hAnsi="Times New Roman"/>
                  <w:sz w:val="17"/>
                  <w:szCs w:val="17"/>
                  <w:u w:val="single" w:color="auto"/>
                  <w:color w:val="0000EE"/>
                  <w:w w:val="98"/>
                </w:rPr>
                <w:t>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60" w:type="dxa"/>
            <w:vAlign w:val="bottom"/>
            <w:gridSpan w:val="17"/>
          </w:tcPr>
          <w:p>
            <w:pPr>
              <w:spacing w:after="0"/>
              <w:rPr>
                <w:rFonts w:ascii="Times New Roman" w:cs="Times New Roman" w:eastAsia="Times New Roman" w:hAnsi="Times New Roman"/>
                <w:sz w:val="17"/>
                <w:szCs w:val="17"/>
                <w:color w:val="0000EE"/>
              </w:rPr>
            </w:pPr>
            <w:hyperlink w:anchor="page106">
              <w:r>
                <w:rPr>
                  <w:rFonts w:ascii="Times New Roman" w:cs="Times New Roman" w:eastAsia="Times New Roman" w:hAnsi="Times New Roman"/>
                  <w:sz w:val="17"/>
                  <w:szCs w:val="17"/>
                  <w:color w:val="0000EE"/>
                </w:rPr>
                <w:t>Certification of Chief Executive Officer Pursuant to 18 U. S. C. 1350, as adopted pursuant to Section 906 of the Sarbanes-Oxley Act of 2002.</w:t>
              </w:r>
            </w:hyperlink>
          </w:p>
        </w:tc>
      </w:tr>
      <w:tr>
        <w:trPr>
          <w:trHeight w:val="300"/>
        </w:trPr>
        <w:tc>
          <w:tcPr>
            <w:tcW w:w="480" w:type="dxa"/>
            <w:vAlign w:val="bottom"/>
            <w:tcBorders>
              <w:top w:val="single" w:sz="8" w:color="0000EE"/>
            </w:tcBorders>
            <w:gridSpan w:val="4"/>
          </w:tcPr>
          <w:p>
            <w:pPr>
              <w:spacing w:after="0"/>
              <w:rPr>
                <w:rFonts w:ascii="Times New Roman" w:cs="Times New Roman" w:eastAsia="Times New Roman" w:hAnsi="Times New Roman"/>
                <w:sz w:val="17"/>
                <w:szCs w:val="17"/>
                <w:color w:val="0000EE"/>
                <w:w w:val="98"/>
              </w:rPr>
            </w:pPr>
            <w:hyperlink w:anchor="page107">
              <w:r>
                <w:rPr>
                  <w:rFonts w:ascii="Times New Roman" w:cs="Times New Roman" w:eastAsia="Times New Roman" w:hAnsi="Times New Roman"/>
                  <w:sz w:val="17"/>
                  <w:szCs w:val="17"/>
                  <w:color w:val="0000EE"/>
                  <w:w w:val="98"/>
                </w:rPr>
                <w:t>32.</w:t>
              </w:r>
              <w:r>
                <w:rPr>
                  <w:rFonts w:ascii="Times New Roman" w:cs="Times New Roman" w:eastAsia="Times New Roman" w:hAnsi="Times New Roman"/>
                  <w:sz w:val="17"/>
                  <w:szCs w:val="17"/>
                  <w:u w:val="single" w:color="auto"/>
                  <w:color w:val="0000EE"/>
                  <w:w w:val="98"/>
                </w:rPr>
                <w:t>2**</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Borders>
              <w:top w:val="single" w:sz="8" w:color="0000EE"/>
            </w:tcBorders>
            <w:gridSpan w:val="9"/>
          </w:tcPr>
          <w:p>
            <w:pPr>
              <w:spacing w:after="0"/>
              <w:rPr>
                <w:rFonts w:ascii="Times New Roman" w:cs="Times New Roman" w:eastAsia="Times New Roman" w:hAnsi="Times New Roman"/>
                <w:sz w:val="17"/>
                <w:szCs w:val="17"/>
                <w:color w:val="0000EE"/>
              </w:rPr>
            </w:pPr>
            <w:hyperlink w:anchor="page107">
              <w:r>
                <w:rPr>
                  <w:rFonts w:ascii="Times New Roman" w:cs="Times New Roman" w:eastAsia="Times New Roman" w:hAnsi="Times New Roman"/>
                  <w:sz w:val="17"/>
                  <w:szCs w:val="17"/>
                  <w:color w:val="0000EE"/>
                </w:rPr>
                <w:t>Certification of Chief Financial Officer Pursuant to 18 U. S. C. 1350, as adopted pursuant to Section 906 of the Sarbanes-Oxley Act of 2002.</w:t>
              </w:r>
            </w:hyperlink>
          </w:p>
        </w:tc>
        <w:tc>
          <w:tcPr>
            <w:tcW w:w="720" w:type="dxa"/>
            <w:vAlign w:val="bottom"/>
            <w:gridSpan w:val="8"/>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left="440" w:hanging="438"/>
        <w:spacing w:after="0"/>
        <w:tabs>
          <w:tab w:leader="none" w:pos="4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Submitted herewith.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29551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9" w:lineRule="exact"/>
        <w:rPr>
          <w:sz w:val="20"/>
          <w:szCs w:val="20"/>
          <w:color w:val="auto"/>
        </w:rPr>
      </w:pPr>
    </w:p>
    <w:p>
      <w:pPr>
        <w:ind w:right="320" w:firstLine="440"/>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20" w:type="dxa"/>
            <w:vAlign w:val="bottom"/>
            <w:gridSpan w:val="2"/>
          </w:tcPr>
          <w:p>
            <w:pPr>
              <w:ind w:left="2020"/>
              <w:spacing w:after="0"/>
              <w:rPr>
                <w:sz w:val="20"/>
                <w:szCs w:val="20"/>
                <w:color w:val="auto"/>
              </w:rPr>
            </w:pPr>
            <w:r>
              <w:rPr>
                <w:rFonts w:ascii="Times New Roman" w:cs="Times New Roman" w:eastAsia="Times New Roman" w:hAnsi="Times New Roman"/>
                <w:sz w:val="17"/>
                <w:szCs w:val="17"/>
                <w:color w:val="auto"/>
              </w:rPr>
              <w:t>PORTMAN RIDGE FINANCE CORPORATION</w:t>
            </w:r>
          </w:p>
        </w:tc>
      </w:tr>
      <w:tr>
        <w:trPr>
          <w:trHeight w:val="409"/>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7, 2019</w:t>
            </w:r>
          </w:p>
        </w:tc>
        <w:tc>
          <w:tcPr>
            <w:tcW w:w="260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Edward Goldthorpe</w:t>
            </w:r>
          </w:p>
        </w:tc>
      </w:tr>
      <w:tr>
        <w:trPr>
          <w:trHeight w:val="177"/>
        </w:trPr>
        <w:tc>
          <w:tcPr>
            <w:tcW w:w="37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12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auto"/>
              </w:rPr>
              <w:t>Edward Goldthorpe</w:t>
            </w:r>
          </w:p>
        </w:tc>
      </w:tr>
      <w:tr>
        <w:trPr>
          <w:trHeight w:val="205"/>
        </w:trPr>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r>
        <w:trPr>
          <w:trHeight w:val="226"/>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09"/>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7, 2019</w:t>
            </w:r>
          </w:p>
        </w:tc>
        <w:tc>
          <w:tcPr>
            <w:tcW w:w="260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By</w:t>
            </w:r>
          </w:p>
        </w:tc>
        <w:tc>
          <w:tcPr>
            <w:tcW w:w="5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Edward U. Gilpin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0</wp:posOffset>
            </wp:positionV>
            <wp:extent cx="32575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jc w:val="center"/>
        <w:ind w:left="6300"/>
        <w:spacing w:after="0"/>
        <w:rPr>
          <w:sz w:val="20"/>
          <w:szCs w:val="20"/>
          <w:color w:val="auto"/>
        </w:rPr>
      </w:pPr>
      <w:r>
        <w:rPr>
          <w:rFonts w:ascii="Times New Roman" w:cs="Times New Roman" w:eastAsia="Times New Roman" w:hAnsi="Times New Roman"/>
          <w:sz w:val="17"/>
          <w:szCs w:val="17"/>
          <w:color w:val="auto"/>
        </w:rPr>
        <w:t>Edward U. Gilpin</w:t>
      </w:r>
    </w:p>
    <w:p>
      <w:pPr>
        <w:spacing w:after="0" w:line="22"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 * * *</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1420"/>
          </w:cols>
          <w:pgMar w:left="240" w:top="119"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AMENDED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 Edward Goldthorpe, certify that:</w:t>
      </w:r>
    </w:p>
    <w:p>
      <w:pPr>
        <w:spacing w:after="0" w:line="112" w:lineRule="exact"/>
        <w:rPr>
          <w:sz w:val="20"/>
          <w:szCs w:val="20"/>
          <w:color w:val="auto"/>
        </w:rPr>
      </w:pPr>
    </w:p>
    <w:p>
      <w:pPr>
        <w:ind w:left="620" w:hanging="162"/>
        <w:spacing w:after="0"/>
        <w:tabs>
          <w:tab w:leader="none" w:pos="6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September 30, 2019 of Portman Ridge Finance Corporation (the “registrant”);</w:t>
      </w:r>
    </w:p>
    <w:p>
      <w:pPr>
        <w:spacing w:after="0" w:line="111" w:lineRule="exact"/>
        <w:rPr>
          <w:rFonts w:ascii="Times New Roman" w:cs="Times New Roman" w:eastAsia="Times New Roman" w:hAnsi="Times New Roman"/>
          <w:sz w:val="17"/>
          <w:szCs w:val="17"/>
          <w:color w:val="auto"/>
        </w:rPr>
      </w:pPr>
    </w:p>
    <w:p>
      <w:pPr>
        <w:ind w:right="60" w:firstLine="458"/>
        <w:spacing w:after="0" w:line="283" w:lineRule="auto"/>
        <w:tabs>
          <w:tab w:leader="none" w:pos="62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7"/>
          <w:szCs w:val="17"/>
          <w:color w:val="auto"/>
        </w:rPr>
      </w:pPr>
    </w:p>
    <w:p>
      <w:pPr>
        <w:ind w:right="180" w:firstLine="458"/>
        <w:spacing w:after="0" w:line="283" w:lineRule="auto"/>
        <w:tabs>
          <w:tab w:leader="none" w:pos="62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7"/>
          <w:szCs w:val="17"/>
          <w:color w:val="auto"/>
        </w:rPr>
      </w:pPr>
    </w:p>
    <w:p>
      <w:pPr>
        <w:ind w:right="160" w:firstLine="458"/>
        <w:spacing w:after="0" w:line="267" w:lineRule="auto"/>
        <w:tabs>
          <w:tab w:leader="none" w:pos="62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sz w:val="20"/>
          <w:szCs w:val="20"/>
          <w:color w:val="auto"/>
        </w:rPr>
      </w:pPr>
    </w:p>
    <w:p>
      <w:pPr>
        <w:jc w:val="both"/>
        <w:ind w:right="260" w:firstLine="458"/>
        <w:spacing w:after="0" w:line="267" w:lineRule="auto"/>
        <w:tabs>
          <w:tab w:leader="none" w:pos="68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7"/>
          <w:szCs w:val="17"/>
          <w:color w:val="auto"/>
        </w:rPr>
      </w:pPr>
    </w:p>
    <w:p>
      <w:pPr>
        <w:ind w:right="380" w:firstLine="458"/>
        <w:spacing w:after="0" w:line="267" w:lineRule="auto"/>
        <w:tabs>
          <w:tab w:leader="none" w:pos="697"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63" w:lineRule="exact"/>
        <w:rPr>
          <w:rFonts w:ascii="Times New Roman" w:cs="Times New Roman" w:eastAsia="Times New Roman" w:hAnsi="Times New Roman"/>
          <w:sz w:val="17"/>
          <w:szCs w:val="17"/>
          <w:color w:val="auto"/>
        </w:rPr>
      </w:pPr>
    </w:p>
    <w:p>
      <w:pPr>
        <w:ind w:right="180" w:firstLine="458"/>
        <w:spacing w:after="0" w:line="283" w:lineRule="auto"/>
        <w:tabs>
          <w:tab w:leader="none" w:pos="68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7"/>
          <w:szCs w:val="17"/>
          <w:color w:val="auto"/>
        </w:rPr>
      </w:pPr>
    </w:p>
    <w:p>
      <w:pPr>
        <w:ind w:right="100" w:firstLine="458"/>
        <w:spacing w:after="0" w:line="267" w:lineRule="auto"/>
        <w:tabs>
          <w:tab w:leader="none" w:pos="697"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sz w:val="20"/>
          <w:szCs w:val="20"/>
          <w:color w:val="auto"/>
        </w:rPr>
      </w:pPr>
    </w:p>
    <w:p>
      <w:pPr>
        <w:ind w:right="580" w:firstLine="458"/>
        <w:spacing w:after="0" w:line="283" w:lineRule="auto"/>
        <w:tabs>
          <w:tab w:leader="none" w:pos="626"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sz w:val="20"/>
          <w:szCs w:val="20"/>
          <w:color w:val="auto"/>
        </w:rPr>
      </w:pPr>
    </w:p>
    <w:p>
      <w:pPr>
        <w:ind w:right="360" w:firstLine="458"/>
        <w:spacing w:after="0" w:line="283" w:lineRule="auto"/>
        <w:tabs>
          <w:tab w:leader="none" w:pos="688"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7"/>
          <w:szCs w:val="17"/>
          <w:color w:val="auto"/>
        </w:rPr>
      </w:pPr>
    </w:p>
    <w:p>
      <w:pPr>
        <w:ind w:right="560" w:firstLine="458"/>
        <w:spacing w:after="0" w:line="283" w:lineRule="auto"/>
        <w:tabs>
          <w:tab w:leader="none" w:pos="697"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tabs>
          <w:tab w:leader="none" w:pos="5700" w:val="left"/>
          <w:tab w:leader="none" w:pos="7720" w:val="left"/>
        </w:tabs>
        <w:rPr>
          <w:sz w:val="20"/>
          <w:szCs w:val="20"/>
          <w:color w:val="auto"/>
        </w:rPr>
      </w:pPr>
      <w:r>
        <w:rPr>
          <w:rFonts w:ascii="Times New Roman" w:cs="Times New Roman" w:eastAsia="Times New Roman" w:hAnsi="Times New Roman"/>
          <w:sz w:val="17"/>
          <w:szCs w:val="17"/>
          <w:color w:val="auto"/>
        </w:rPr>
        <w:t>Date: November 7, 2019</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S /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16510</wp:posOffset>
            </wp:positionV>
            <wp:extent cx="32575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Edward Goldthorpe</w:t>
      </w:r>
    </w:p>
    <w:p>
      <w:pPr>
        <w:spacing w:after="0" w:line="22"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420"/>
          </w:cols>
          <w:pgMar w:left="240" w:top="119" w:right="2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AMENDED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 Edward U. Gilpin, certify that:</w:t>
      </w:r>
    </w:p>
    <w:p>
      <w:pPr>
        <w:spacing w:after="0" w:line="112" w:lineRule="exact"/>
        <w:rPr>
          <w:sz w:val="20"/>
          <w:szCs w:val="20"/>
          <w:color w:val="auto"/>
        </w:rPr>
      </w:pPr>
    </w:p>
    <w:p>
      <w:pPr>
        <w:ind w:left="620" w:hanging="162"/>
        <w:spacing w:after="0"/>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September 30, 2019 of Portman Ridge Finance Corporation (the “registrant”);</w:t>
      </w:r>
    </w:p>
    <w:p>
      <w:pPr>
        <w:spacing w:after="0" w:line="111" w:lineRule="exact"/>
        <w:rPr>
          <w:rFonts w:ascii="Times New Roman" w:cs="Times New Roman" w:eastAsia="Times New Roman" w:hAnsi="Times New Roman"/>
          <w:sz w:val="17"/>
          <w:szCs w:val="17"/>
          <w:color w:val="auto"/>
        </w:rPr>
      </w:pPr>
    </w:p>
    <w:p>
      <w:pPr>
        <w:ind w:right="60" w:firstLine="458"/>
        <w:spacing w:after="0" w:line="283" w:lineRule="auto"/>
        <w:tabs>
          <w:tab w:leader="none" w:pos="62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7"/>
          <w:szCs w:val="17"/>
          <w:color w:val="auto"/>
        </w:rPr>
      </w:pPr>
    </w:p>
    <w:p>
      <w:pPr>
        <w:ind w:right="200" w:firstLine="458"/>
        <w:spacing w:after="0" w:line="283" w:lineRule="auto"/>
        <w:tabs>
          <w:tab w:leader="none" w:pos="62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7"/>
          <w:szCs w:val="17"/>
          <w:color w:val="auto"/>
        </w:rPr>
      </w:pPr>
    </w:p>
    <w:p>
      <w:pPr>
        <w:ind w:right="160" w:firstLine="458"/>
        <w:spacing w:after="0" w:line="267" w:lineRule="auto"/>
        <w:tabs>
          <w:tab w:leader="none" w:pos="62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sz w:val="20"/>
          <w:szCs w:val="20"/>
          <w:color w:val="auto"/>
        </w:rPr>
      </w:pPr>
    </w:p>
    <w:p>
      <w:pPr>
        <w:jc w:val="both"/>
        <w:ind w:right="260" w:firstLine="458"/>
        <w:spacing w:after="0" w:line="267" w:lineRule="auto"/>
        <w:tabs>
          <w:tab w:leader="none" w:pos="688"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7"/>
          <w:szCs w:val="17"/>
          <w:color w:val="auto"/>
        </w:rPr>
      </w:pPr>
    </w:p>
    <w:p>
      <w:pPr>
        <w:ind w:right="380" w:firstLine="458"/>
        <w:spacing w:after="0" w:line="267" w:lineRule="auto"/>
        <w:tabs>
          <w:tab w:leader="none" w:pos="697"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7"/>
          <w:szCs w:val="17"/>
          <w:color w:val="auto"/>
        </w:rPr>
      </w:pPr>
    </w:p>
    <w:p>
      <w:pPr>
        <w:ind w:right="180" w:firstLine="458"/>
        <w:spacing w:after="0" w:line="283" w:lineRule="auto"/>
        <w:tabs>
          <w:tab w:leader="none" w:pos="688"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7"/>
          <w:szCs w:val="17"/>
          <w:color w:val="auto"/>
        </w:rPr>
      </w:pPr>
    </w:p>
    <w:p>
      <w:pPr>
        <w:ind w:right="100" w:firstLine="458"/>
        <w:spacing w:after="0" w:line="267" w:lineRule="auto"/>
        <w:tabs>
          <w:tab w:leader="none" w:pos="697"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sz w:val="20"/>
          <w:szCs w:val="20"/>
          <w:color w:val="auto"/>
        </w:rPr>
      </w:pPr>
    </w:p>
    <w:p>
      <w:pPr>
        <w:ind w:right="580" w:firstLine="458"/>
        <w:spacing w:after="0" w:line="283" w:lineRule="auto"/>
        <w:tabs>
          <w:tab w:leader="none" w:pos="62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sz w:val="20"/>
          <w:szCs w:val="20"/>
          <w:color w:val="auto"/>
        </w:rPr>
      </w:pPr>
    </w:p>
    <w:p>
      <w:pPr>
        <w:ind w:right="360" w:firstLine="458"/>
        <w:spacing w:after="0" w:line="283" w:lineRule="auto"/>
        <w:tabs>
          <w:tab w:leader="none" w:pos="688"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7"/>
          <w:szCs w:val="17"/>
          <w:color w:val="auto"/>
        </w:rPr>
      </w:pPr>
    </w:p>
    <w:p>
      <w:pPr>
        <w:ind w:right="560" w:firstLine="458"/>
        <w:spacing w:after="0" w:line="283" w:lineRule="auto"/>
        <w:tabs>
          <w:tab w:leader="none" w:pos="697"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tabs>
          <w:tab w:leader="none" w:pos="5700" w:val="left"/>
          <w:tab w:leader="none" w:pos="8080" w:val="left"/>
        </w:tabs>
        <w:rPr>
          <w:sz w:val="20"/>
          <w:szCs w:val="20"/>
          <w:color w:val="auto"/>
        </w:rPr>
      </w:pPr>
      <w:r>
        <w:rPr>
          <w:rFonts w:ascii="Times New Roman" w:cs="Times New Roman" w:eastAsia="Times New Roman" w:hAnsi="Times New Roman"/>
          <w:sz w:val="17"/>
          <w:szCs w:val="17"/>
          <w:color w:val="auto"/>
        </w:rPr>
        <w:t>Date: November 7, 2019</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S / E</w:t>
      </w:r>
      <w:r>
        <w:rPr>
          <w:rFonts w:ascii="Times New Roman" w:cs="Times New Roman" w:eastAsia="Times New Roman" w:hAnsi="Times New Roman"/>
          <w:sz w:val="11"/>
          <w:szCs w:val="11"/>
          <w:color w:val="auto"/>
        </w:rPr>
        <w:t>DWARD</w:t>
      </w:r>
      <w:r>
        <w:rPr>
          <w:rFonts w:ascii="Times New Roman" w:cs="Times New Roman" w:eastAsia="Times New Roman" w:hAnsi="Times New Roman"/>
          <w:sz w:val="17"/>
          <w:szCs w:val="17"/>
          <w:color w:val="auto"/>
        </w:rPr>
        <w:t xml:space="preserve"> U. G</w:t>
      </w:r>
      <w:r>
        <w:rPr>
          <w:rFonts w:ascii="Times New Roman" w:cs="Times New Roman" w:eastAsia="Times New Roman" w:hAnsi="Times New Roman"/>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16510</wp:posOffset>
            </wp:positionV>
            <wp:extent cx="32575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Edward U. Gilpin</w:t>
      </w:r>
    </w:p>
    <w:p>
      <w:pPr>
        <w:spacing w:after="0" w:line="22"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p>
      <w:pPr>
        <w:sectPr>
          <w:pgSz w:w="11900" w:h="16838" w:orient="portrait"/>
          <w:cols w:equalWidth="0" w:num="1">
            <w:col w:w="11420"/>
          </w:cols>
          <w:pgMar w:left="240" w:top="119"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71" w:lineRule="exact"/>
        <w:rPr>
          <w:sz w:val="20"/>
          <w:szCs w:val="20"/>
          <w:color w:val="auto"/>
        </w:rPr>
      </w:pPr>
    </w:p>
    <w:p>
      <w:pPr>
        <w:ind w:right="280" w:firstLine="440"/>
        <w:spacing w:after="0" w:line="267" w:lineRule="auto"/>
        <w:rPr>
          <w:sz w:val="20"/>
          <w:szCs w:val="20"/>
          <w:color w:val="auto"/>
        </w:rPr>
      </w:pPr>
      <w:r>
        <w:rPr>
          <w:rFonts w:ascii="Times New Roman" w:cs="Times New Roman" w:eastAsia="Times New Roman" w:hAnsi="Times New Roman"/>
          <w:sz w:val="17"/>
          <w:szCs w:val="17"/>
          <w:color w:val="auto"/>
        </w:rPr>
        <w:t>In connection with the accompanying Quarterly Report of Portman Ridge Finance Corporation (the “Company”) on Form 10-Q for the quarter ended September 30, 2019 (the “Report”), I, Edward Goldthorpe, President and Chief Executive Officer of the Company, certify, pursuant to 18 U.S.C. §1350, as adopted pursuant to §906 of the Sarbanes-Oxley Act of 2002, that:</w:t>
      </w:r>
    </w:p>
    <w:p>
      <w:pPr>
        <w:spacing w:after="0" w:line="128" w:lineRule="exact"/>
        <w:rPr>
          <w:sz w:val="20"/>
          <w:szCs w:val="20"/>
          <w:color w:val="auto"/>
        </w:rPr>
      </w:pPr>
    </w:p>
    <w:p>
      <w:pPr>
        <w:ind w:left="680" w:hanging="238"/>
        <w:spacing w:after="0"/>
        <w:tabs>
          <w:tab w:leader="none" w:pos="6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175" w:lineRule="exact"/>
        <w:rPr>
          <w:rFonts w:ascii="Times New Roman" w:cs="Times New Roman" w:eastAsia="Times New Roman" w:hAnsi="Times New Roman"/>
          <w:sz w:val="17"/>
          <w:szCs w:val="17"/>
          <w:color w:val="auto"/>
        </w:rPr>
      </w:pPr>
    </w:p>
    <w:p>
      <w:pPr>
        <w:ind w:left="680" w:hanging="238"/>
        <w:spacing w:after="0"/>
        <w:tabs>
          <w:tab w:leader="none" w:pos="6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14" w:lineRule="exact"/>
        <w:rPr>
          <w:sz w:val="20"/>
          <w:szCs w:val="20"/>
          <w:color w:val="auto"/>
        </w:rPr>
      </w:pPr>
    </w:p>
    <w:p>
      <w:pPr>
        <w:spacing w:after="0"/>
        <w:tabs>
          <w:tab w:leader="none" w:pos="5700" w:val="left"/>
          <w:tab w:leader="none" w:pos="7720" w:val="left"/>
        </w:tabs>
        <w:rPr>
          <w:sz w:val="20"/>
          <w:szCs w:val="20"/>
          <w:color w:val="auto"/>
        </w:rPr>
      </w:pPr>
      <w:r>
        <w:rPr>
          <w:rFonts w:ascii="Times New Roman" w:cs="Times New Roman" w:eastAsia="Times New Roman" w:hAnsi="Times New Roman"/>
          <w:sz w:val="17"/>
          <w:szCs w:val="17"/>
          <w:color w:val="auto"/>
        </w:rPr>
        <w:t>Date: November 7, 2019</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S /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16510</wp:posOffset>
            </wp:positionV>
            <wp:extent cx="32575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Edward Goldthorpe</w:t>
      </w:r>
    </w:p>
    <w:p>
      <w:pPr>
        <w:spacing w:after="0" w:line="22"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420"/>
          </w:cols>
          <w:pgMar w:left="240" w:top="119"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71"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7"/>
          <w:szCs w:val="17"/>
          <w:color w:val="auto"/>
        </w:rPr>
        <w:t>In connection with the accompanying Quarterly Report of Portman Ridge Finance Corporation the “Company”) on Form 10-Q for the quarter ended September 30, 2019 (the “Report”), I, Edward U. Gilpin, Chief Financial Officer of the Company, certify, pursuant to 18 U.S.C. §1350, as adopted pursuant to §906 of the Sarbanes-Oxley Act of 2002, that:</w:t>
      </w:r>
    </w:p>
    <w:p>
      <w:pPr>
        <w:spacing w:after="0" w:line="128" w:lineRule="exact"/>
        <w:rPr>
          <w:sz w:val="20"/>
          <w:szCs w:val="20"/>
          <w:color w:val="auto"/>
        </w:rPr>
      </w:pPr>
    </w:p>
    <w:p>
      <w:pPr>
        <w:ind w:left="680" w:hanging="238"/>
        <w:spacing w:after="0"/>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175" w:lineRule="exact"/>
        <w:rPr>
          <w:rFonts w:ascii="Times New Roman" w:cs="Times New Roman" w:eastAsia="Times New Roman" w:hAnsi="Times New Roman"/>
          <w:sz w:val="17"/>
          <w:szCs w:val="17"/>
          <w:color w:val="auto"/>
        </w:rPr>
      </w:pPr>
    </w:p>
    <w:p>
      <w:pPr>
        <w:ind w:left="680" w:hanging="238"/>
        <w:spacing w:after="0"/>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14" w:lineRule="exact"/>
        <w:rPr>
          <w:sz w:val="20"/>
          <w:szCs w:val="20"/>
          <w:color w:val="auto"/>
        </w:rPr>
      </w:pPr>
    </w:p>
    <w:p>
      <w:pPr>
        <w:spacing w:after="0"/>
        <w:tabs>
          <w:tab w:leader="none" w:pos="5700" w:val="left"/>
          <w:tab w:leader="none" w:pos="8080" w:val="left"/>
        </w:tabs>
        <w:rPr>
          <w:sz w:val="20"/>
          <w:szCs w:val="20"/>
          <w:color w:val="auto"/>
        </w:rPr>
      </w:pPr>
      <w:r>
        <w:rPr>
          <w:rFonts w:ascii="Times New Roman" w:cs="Times New Roman" w:eastAsia="Times New Roman" w:hAnsi="Times New Roman"/>
          <w:sz w:val="17"/>
          <w:szCs w:val="17"/>
          <w:color w:val="auto"/>
        </w:rPr>
        <w:t>Date: November 7, 2019</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S / E</w:t>
      </w:r>
      <w:r>
        <w:rPr>
          <w:rFonts w:ascii="Times New Roman" w:cs="Times New Roman" w:eastAsia="Times New Roman" w:hAnsi="Times New Roman"/>
          <w:sz w:val="11"/>
          <w:szCs w:val="11"/>
          <w:color w:val="auto"/>
        </w:rPr>
        <w:t>DWARD</w:t>
      </w:r>
      <w:r>
        <w:rPr>
          <w:rFonts w:ascii="Times New Roman" w:cs="Times New Roman" w:eastAsia="Times New Roman" w:hAnsi="Times New Roman"/>
          <w:sz w:val="17"/>
          <w:szCs w:val="17"/>
          <w:color w:val="auto"/>
        </w:rPr>
        <w:t xml:space="preserve"> U. G</w:t>
      </w:r>
      <w:r>
        <w:rPr>
          <w:rFonts w:ascii="Times New Roman" w:cs="Times New Roman" w:eastAsia="Times New Roman" w:hAnsi="Times New Roman"/>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16510</wp:posOffset>
            </wp:positionV>
            <wp:extent cx="32575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Edward U. Gilpin</w:t>
      </w:r>
    </w:p>
    <w:p>
      <w:pPr>
        <w:spacing w:after="0" w:line="22"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1)"/>
      <w:numFmt w:val="decimal"/>
      <w:start w:val="1"/>
    </w:lvl>
  </w:abstractNum>
  <w:abstractNum w:abstractNumId="5">
    <w:nsid w:val="235BA861"/>
    <w:multiLevelType w:val="hybridMultilevel"/>
    <w:lvl w:ilvl="0">
      <w:lvlJc w:val="left"/>
      <w:lvlText w:val="1"/>
      <w:numFmt w:val="bullet"/>
      <w:start w:val="1"/>
    </w:lvl>
  </w:abstractNum>
  <w:abstractNum w:abstractNumId="6">
    <w:nsid w:val="47398C89"/>
    <w:multiLevelType w:val="hybridMultilevel"/>
    <w:lvl w:ilvl="0">
      <w:lvlJc w:val="left"/>
      <w:lvlText w:val="2"/>
      <w:numFmt w:val="bullet"/>
      <w:start w:val="1"/>
    </w:lvl>
  </w:abstractNum>
  <w:abstractNum w:abstractNumId="7">
    <w:nsid w:val="354FE9F9"/>
    <w:multiLevelType w:val="hybridMultilevel"/>
    <w:lvl w:ilvl="0">
      <w:lvlJc w:val="left"/>
      <w:lvlText w:val="3"/>
      <w:numFmt w:val="bullet"/>
      <w:start w:val="1"/>
    </w:lvl>
  </w:abstractNum>
  <w:abstractNum w:abstractNumId="8">
    <w:nsid w:val="15B5AF5C"/>
    <w:multiLevelType w:val="hybridMultilevel"/>
    <w:lvl w:ilvl="0">
      <w:lvlJc w:val="left"/>
      <w:lvlText w:val="4"/>
      <w:numFmt w:val="bullet"/>
      <w:start w:val="1"/>
    </w:lvl>
  </w:abstractNum>
  <w:abstractNum w:abstractNumId="9">
    <w:nsid w:val="741226BB"/>
    <w:multiLevelType w:val="hybridMultilevel"/>
    <w:lvl w:ilvl="0">
      <w:lvlJc w:val="left"/>
      <w:lvlText w:val="5"/>
      <w:numFmt w:val="bullet"/>
      <w:start w:val="1"/>
    </w:lvl>
  </w:abstractNum>
  <w:abstractNum w:abstractNumId="10">
    <w:nsid w:val="D34B6A8"/>
    <w:multiLevelType w:val="hybridMultilevel"/>
    <w:lvl w:ilvl="0">
      <w:lvlJc w:val="left"/>
      <w:lvlText w:val="6"/>
      <w:numFmt w:val="bullet"/>
      <w:start w:val="1"/>
    </w:lvl>
  </w:abstractNum>
  <w:abstractNum w:abstractNumId="11">
    <w:nsid w:val="10233C99"/>
    <w:multiLevelType w:val="hybridMultilevel"/>
    <w:lvl w:ilvl="0">
      <w:lvlJc w:val="left"/>
      <w:lvlText w:val="7"/>
      <w:numFmt w:val="bullet"/>
      <w:start w:val="1"/>
    </w:lvl>
  </w:abstractNum>
  <w:abstractNum w:abstractNumId="12">
    <w:nsid w:val="3F6AB60F"/>
    <w:multiLevelType w:val="hybridMultilevel"/>
    <w:lvl w:ilvl="0">
      <w:lvlJc w:val="left"/>
      <w:lvlText w:val="8"/>
      <w:numFmt w:val="bullet"/>
      <w:start w:val="1"/>
    </w:lvl>
  </w:abstractNum>
  <w:abstractNum w:abstractNumId="13">
    <w:nsid w:val="61574095"/>
    <w:multiLevelType w:val="hybridMultilevel"/>
    <w:lvl w:ilvl="0">
      <w:lvlJc w:val="left"/>
      <w:lvlText w:val="9"/>
      <w:numFmt w:val="bullet"/>
      <w:start w:val="1"/>
    </w:lvl>
  </w:abstractNum>
  <w:abstractNum w:abstractNumId="14">
    <w:nsid w:val="7E0C57B1"/>
    <w:multiLevelType w:val="hybridMultilevel"/>
    <w:lvl w:ilvl="0">
      <w:lvlJc w:val="left"/>
      <w:lvlText w:val="%1"/>
      <w:numFmt w:val="decimal"/>
      <w:start w:val="10"/>
    </w:lvl>
  </w:abstractNum>
  <w:abstractNum w:abstractNumId="15">
    <w:nsid w:val="77AE35EB"/>
    <w:multiLevelType w:val="hybridMultilevel"/>
    <w:lvl w:ilvl="0">
      <w:lvlJc w:val="left"/>
      <w:lvlText w:val="1"/>
      <w:numFmt w:val="bullet"/>
      <w:start w:val="1"/>
    </w:lvl>
  </w:abstractNum>
  <w:abstractNum w:abstractNumId="16">
    <w:nsid w:val="579BE4F1"/>
    <w:multiLevelType w:val="hybridMultilevel"/>
    <w:lvl w:ilvl="0">
      <w:lvlJc w:val="left"/>
      <w:lvlText w:val="2"/>
      <w:numFmt w:val="bullet"/>
      <w:start w:val="1"/>
    </w:lvl>
  </w:abstractNum>
  <w:abstractNum w:abstractNumId="17">
    <w:nsid w:val="310C50B3"/>
    <w:multiLevelType w:val="hybridMultilevel"/>
    <w:lvl w:ilvl="0">
      <w:lvlJc w:val="left"/>
      <w:lvlText w:val="3"/>
      <w:numFmt w:val="bullet"/>
      <w:start w:val="1"/>
    </w:lvl>
  </w:abstractNum>
  <w:abstractNum w:abstractNumId="18">
    <w:nsid w:val="5FF87E05"/>
    <w:multiLevelType w:val="hybridMultilevel"/>
    <w:lvl w:ilvl="0">
      <w:lvlJc w:val="left"/>
      <w:lvlText w:val="4"/>
      <w:numFmt w:val="bullet"/>
      <w:start w:val="1"/>
    </w:lvl>
  </w:abstractNum>
  <w:abstractNum w:abstractNumId="19">
    <w:nsid w:val="2F305DEF"/>
    <w:multiLevelType w:val="hybridMultilevel"/>
    <w:lvl w:ilvl="0">
      <w:lvlJc w:val="left"/>
      <w:lvlText w:val="5"/>
      <w:numFmt w:val="bullet"/>
      <w:start w:val="1"/>
    </w:lvl>
  </w:abstractNum>
  <w:abstractNum w:abstractNumId="20">
    <w:nsid w:val="25A70BF7"/>
    <w:multiLevelType w:val="hybridMultilevel"/>
    <w:lvl w:ilvl="0">
      <w:lvlJc w:val="left"/>
      <w:lvlText w:val="6"/>
      <w:numFmt w:val="bullet"/>
      <w:start w:val="1"/>
    </w:lvl>
  </w:abstractNum>
  <w:abstractNum w:abstractNumId="21">
    <w:nsid w:val="1DBABF00"/>
    <w:multiLevelType w:val="hybridMultilevel"/>
    <w:lvl w:ilvl="0">
      <w:lvlJc w:val="left"/>
      <w:lvlText w:val="7"/>
      <w:numFmt w:val="bullet"/>
      <w:start w:val="1"/>
    </w:lvl>
  </w:abstractNum>
  <w:abstractNum w:abstractNumId="22">
    <w:nsid w:val="4AD084E9"/>
    <w:multiLevelType w:val="hybridMultilevel"/>
    <w:lvl w:ilvl="0">
      <w:lvlJc w:val="left"/>
      <w:lvlText w:val="8"/>
      <w:numFmt w:val="bullet"/>
      <w:start w:val="1"/>
    </w:lvl>
  </w:abstractNum>
  <w:abstractNum w:abstractNumId="23">
    <w:nsid w:val="1F48EAA1"/>
    <w:multiLevelType w:val="hybridMultilevel"/>
    <w:lvl w:ilvl="0">
      <w:lvlJc w:val="left"/>
      <w:lvlText w:val="9"/>
      <w:numFmt w:val="bullet"/>
      <w:start w:val="1"/>
    </w:lvl>
  </w:abstractNum>
  <w:abstractNum w:abstractNumId="24">
    <w:nsid w:val="1381823A"/>
    <w:multiLevelType w:val="hybridMultilevel"/>
    <w:lvl w:ilvl="0">
      <w:lvlJc w:val="left"/>
      <w:lvlText w:val="%1"/>
      <w:numFmt w:val="decimal"/>
      <w:start w:val="10"/>
    </w:lvl>
  </w:abstractNum>
  <w:abstractNum w:abstractNumId="25">
    <w:nsid w:val="5DB70AE5"/>
    <w:multiLevelType w:val="hybridMultilevel"/>
    <w:lvl w:ilvl="0">
      <w:lvlJc w:val="left"/>
      <w:lvlText w:val="1"/>
      <w:numFmt w:val="bullet"/>
      <w:start w:val="1"/>
    </w:lvl>
  </w:abstractNum>
  <w:abstractNum w:abstractNumId="26">
    <w:nsid w:val="100F8FCA"/>
    <w:multiLevelType w:val="hybridMultilevel"/>
    <w:lvl w:ilvl="0">
      <w:lvlJc w:val="left"/>
      <w:lvlText w:val="2"/>
      <w:numFmt w:val="bullet"/>
      <w:start w:val="1"/>
    </w:lvl>
  </w:abstractNum>
  <w:abstractNum w:abstractNumId="27">
    <w:nsid w:val="6590700B"/>
    <w:multiLevelType w:val="hybridMultilevel"/>
    <w:lvl w:ilvl="0">
      <w:lvlJc w:val="left"/>
      <w:lvlText w:val="3"/>
      <w:numFmt w:val="bullet"/>
      <w:start w:val="1"/>
    </w:lvl>
  </w:abstractNum>
  <w:abstractNum w:abstractNumId="28">
    <w:nsid w:val="15014ACB"/>
    <w:multiLevelType w:val="hybridMultilevel"/>
    <w:lvl w:ilvl="0">
      <w:lvlJc w:val="left"/>
      <w:lvlText w:val="4"/>
      <w:numFmt w:val="bullet"/>
      <w:start w:val="1"/>
    </w:lvl>
  </w:abstractNum>
  <w:abstractNum w:abstractNumId="29">
    <w:nsid w:val="5F5E7FD0"/>
    <w:multiLevelType w:val="hybridMultilevel"/>
    <w:lvl w:ilvl="0">
      <w:lvlJc w:val="left"/>
      <w:lvlText w:val="5"/>
      <w:numFmt w:val="bullet"/>
      <w:start w:val="1"/>
    </w:lvl>
  </w:abstractNum>
  <w:abstractNum w:abstractNumId="30">
    <w:nsid w:val="98A3148"/>
    <w:multiLevelType w:val="hybridMultilevel"/>
    <w:lvl w:ilvl="0">
      <w:lvlJc w:val="left"/>
      <w:lvlText w:val="6"/>
      <w:numFmt w:val="bullet"/>
      <w:start w:val="1"/>
    </w:lvl>
  </w:abstractNum>
  <w:abstractNum w:abstractNumId="31">
    <w:nsid w:val="799D0247"/>
    <w:multiLevelType w:val="hybridMultilevel"/>
    <w:lvl w:ilvl="0">
      <w:lvlJc w:val="left"/>
      <w:lvlText w:val="%1."/>
      <w:numFmt w:val="decimal"/>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1."/>
      <w:numFmt w:val="decimal"/>
      <w:start w:val="2"/>
    </w:lvl>
  </w:abstractNum>
  <w:abstractNum w:abstractNumId="34">
    <w:nsid w:val="168E121F"/>
    <w:multiLevelType w:val="hybridMultilevel"/>
    <w:lvl w:ilvl="0">
      <w:lvlJc w:val="left"/>
      <w:lvlText w:val="(%1)"/>
      <w:numFmt w:val="lowerRoman"/>
      <w:start w:val="2"/>
    </w:lvl>
  </w:abstractNum>
  <w:abstractNum w:abstractNumId="35">
    <w:nsid w:val="1EBA5D23"/>
    <w:multiLevelType w:val="hybridMultilevel"/>
    <w:lvl w:ilvl="0">
      <w:lvlJc w:val="left"/>
      <w:lvlText w:val="%1."/>
      <w:numFmt w:val="decimal"/>
      <w:start w:val="3"/>
    </w:lvl>
  </w:abstractNum>
  <w:abstractNum w:abstractNumId="36">
    <w:nsid w:val="661E3F1E"/>
    <w:multiLevelType w:val="hybridMultilevel"/>
    <w:lvl w:ilvl="0">
      <w:lvlJc w:val="left"/>
      <w:lvlText w:val="%1."/>
      <w:numFmt w:val="decimal"/>
      <w:start w:val="4"/>
    </w:lvl>
  </w:abstractNum>
  <w:abstractNum w:abstractNumId="37">
    <w:nsid w:val="5DC79EA8"/>
    <w:multiLevelType w:val="hybridMultilevel"/>
    <w:lvl w:ilvl="0">
      <w:lvlJc w:val="left"/>
      <w:lvlText w:val="1"/>
      <w:numFmt w:val="bullet"/>
      <w:start w:val="1"/>
    </w:lvl>
  </w:abstractNum>
  <w:abstractNum w:abstractNumId="38">
    <w:nsid w:val="540A471C"/>
    <w:multiLevelType w:val="hybridMultilevel"/>
    <w:lvl w:ilvl="0">
      <w:lvlJc w:val="left"/>
      <w:lvlText w:val="2"/>
      <w:numFmt w:val="bullet"/>
      <w:start w:val="1"/>
    </w:lvl>
  </w:abstractNum>
  <w:abstractNum w:abstractNumId="39">
    <w:nsid w:val="7BD3EE7B"/>
    <w:multiLevelType w:val="hybridMultilevel"/>
    <w:lvl w:ilvl="0">
      <w:lvlJc w:val="left"/>
      <w:lvlText w:val="3"/>
      <w:numFmt w:val="bullet"/>
      <w:start w:val="1"/>
    </w:lvl>
  </w:abstractNum>
  <w:abstractNum w:abstractNumId="40">
    <w:nsid w:val="51D9C564"/>
    <w:multiLevelType w:val="hybridMultilevel"/>
    <w:lvl w:ilvl="0">
      <w:lvlJc w:val="left"/>
      <w:lvlText w:val="1"/>
      <w:numFmt w:val="bullet"/>
      <w:start w:val="1"/>
    </w:lvl>
  </w:abstractNum>
  <w:abstractNum w:abstractNumId="41">
    <w:nsid w:val="613EFDC5"/>
    <w:multiLevelType w:val="hybridMultilevel"/>
    <w:lvl w:ilvl="0">
      <w:lvlJc w:val="left"/>
      <w:lvlText w:val="2"/>
      <w:numFmt w:val="bullet"/>
      <w:start w:val="1"/>
    </w:lvl>
  </w:abstractNum>
  <w:abstractNum w:abstractNumId="42">
    <w:nsid w:val="BF72B14"/>
    <w:multiLevelType w:val="hybridMultilevel"/>
    <w:lvl w:ilvl="0">
      <w:lvlJc w:val="left"/>
      <w:lvlText w:val="1"/>
      <w:numFmt w:val="bullet"/>
      <w:start w:val="1"/>
    </w:lvl>
  </w:abstractNum>
  <w:abstractNum w:abstractNumId="43">
    <w:nsid w:val="11447B73"/>
    <w:multiLevelType w:val="hybridMultilevel"/>
    <w:lvl w:ilvl="0">
      <w:lvlJc w:val="left"/>
      <w:lvlText w:val="2"/>
      <w:numFmt w:val="bullet"/>
      <w:start w:val="1"/>
    </w:lvl>
  </w:abstractNum>
  <w:abstractNum w:abstractNumId="44">
    <w:nsid w:val="42963E5A"/>
    <w:multiLevelType w:val="hybridMultilevel"/>
    <w:lvl w:ilvl="0">
      <w:lvlJc w:val="left"/>
      <w:lvlText w:val="3"/>
      <w:numFmt w:val="bullet"/>
      <w:start w:val="1"/>
    </w:lvl>
  </w:abstractNum>
  <w:abstractNum w:abstractNumId="45">
    <w:nsid w:val="A0382C5"/>
    <w:multiLevelType w:val="hybridMultilevel"/>
    <w:lvl w:ilvl="0">
      <w:lvlJc w:val="left"/>
      <w:lvlText w:val="4"/>
      <w:numFmt w:val="bullet"/>
      <w:start w:val="1"/>
    </w:lvl>
  </w:abstractNum>
  <w:abstractNum w:abstractNumId="46">
    <w:nsid w:val="8F2B15E"/>
    <w:multiLevelType w:val="hybridMultilevel"/>
    <w:lvl w:ilvl="0">
      <w:lvlJc w:val="left"/>
      <w:lvlText w:val="5"/>
      <w:numFmt w:val="bullet"/>
      <w:start w:val="1"/>
    </w:lvl>
  </w:abstractNum>
  <w:abstractNum w:abstractNumId="47">
    <w:nsid w:val="1A32234B"/>
    <w:multiLevelType w:val="hybridMultilevel"/>
    <w:lvl w:ilvl="0">
      <w:lvlJc w:val="left"/>
      <w:lvlText w:val="6"/>
      <w:numFmt w:val="bullet"/>
      <w:start w:val="1"/>
    </w:lvl>
  </w:abstractNum>
  <w:abstractNum w:abstractNumId="48">
    <w:nsid w:val="3B0FD379"/>
    <w:multiLevelType w:val="hybridMultilevel"/>
    <w:lvl w:ilvl="0">
      <w:lvlJc w:val="left"/>
      <w:lvlText w:val="7"/>
      <w:numFmt w:val="bullet"/>
      <w:start w:val="1"/>
    </w:lvl>
  </w:abstractNum>
  <w:abstractNum w:abstractNumId="49">
    <w:nsid w:val="68EB2F63"/>
    <w:multiLevelType w:val="hybridMultilevel"/>
    <w:lvl w:ilvl="0">
      <w:lvlJc w:val="left"/>
      <w:lvlText w:val="1"/>
      <w:numFmt w:val="bullet"/>
      <w:start w:val="1"/>
    </w:lvl>
  </w:abstractNum>
  <w:abstractNum w:abstractNumId="50">
    <w:nsid w:val="4962813B"/>
    <w:multiLevelType w:val="hybridMultilevel"/>
    <w:lvl w:ilvl="0">
      <w:lvlJc w:val="left"/>
      <w:lvlText w:val="2"/>
      <w:numFmt w:val="bullet"/>
      <w:start w:val="1"/>
    </w:lvl>
  </w:abstractNum>
  <w:abstractNum w:abstractNumId="51">
    <w:nsid w:val="60B6DF70"/>
    <w:multiLevelType w:val="hybridMultilevel"/>
    <w:lvl w:ilvl="0">
      <w:lvlJc w:val="left"/>
      <w:lvlText w:val="3"/>
      <w:numFmt w:val="bullet"/>
      <w:start w:val="1"/>
    </w:lvl>
  </w:abstractNum>
  <w:abstractNum w:abstractNumId="52">
    <w:nsid w:val="6A5EE64"/>
    <w:multiLevelType w:val="hybridMultilevel"/>
    <w:lvl w:ilvl="0">
      <w:lvlJc w:val="left"/>
      <w:lvlText w:val="4"/>
      <w:numFmt w:val="bullet"/>
      <w:start w:val="1"/>
    </w:lvl>
  </w:abstractNum>
  <w:abstractNum w:abstractNumId="53">
    <w:nsid w:val="14330624"/>
    <w:multiLevelType w:val="hybridMultilevel"/>
    <w:lvl w:ilvl="0">
      <w:lvlJc w:val="left"/>
      <w:lvlText w:val="5"/>
      <w:numFmt w:val="bullet"/>
      <w:start w:val="1"/>
    </w:lvl>
  </w:abstractNum>
  <w:abstractNum w:abstractNumId="54">
    <w:nsid w:val="7FFFCA11"/>
    <w:multiLevelType w:val="hybridMultilevel"/>
    <w:lvl w:ilvl="0">
      <w:lvlJc w:val="left"/>
      <w:lvlText w:val="6"/>
      <w:numFmt w:val="bullet"/>
      <w:start w:val="1"/>
    </w:lvl>
  </w:abstractNum>
  <w:abstractNum w:abstractNumId="55">
    <w:nsid w:val="1A27709E"/>
    <w:multiLevelType w:val="hybridMultilevel"/>
    <w:lvl w:ilvl="0">
      <w:lvlJc w:val="left"/>
      <w:lvlText w:val="7"/>
      <w:numFmt w:val="bullet"/>
      <w:start w:val="1"/>
    </w:lvl>
  </w:abstractNum>
  <w:abstractNum w:abstractNumId="56">
    <w:nsid w:val="71EA1109"/>
    <w:multiLevelType w:val="hybridMultilevel"/>
    <w:lvl w:ilvl="0">
      <w:lvlJc w:val="left"/>
      <w:lvlText w:val="(%1)"/>
      <w:numFmt w:val="decimal"/>
      <w:start w:val="1"/>
    </w:lvl>
  </w:abstractNum>
  <w:abstractNum w:abstractNumId="57">
    <w:nsid w:val="100F59DC"/>
    <w:multiLevelType w:val="hybridMultilevel"/>
    <w:lvl w:ilvl="0">
      <w:lvlJc w:val="left"/>
      <w:lvlText w:val="(%1)"/>
      <w:numFmt w:val="decimal"/>
      <w:start w:val="1"/>
    </w:lvl>
  </w:abstractNum>
  <w:abstractNum w:abstractNumId="58">
    <w:nsid w:val="7FB7E0AA"/>
    <w:multiLevelType w:val="hybridMultilevel"/>
    <w:lvl w:ilvl="0">
      <w:lvlJc w:val="left"/>
      <w:lvlText w:val="1"/>
      <w:numFmt w:val="bullet"/>
      <w:start w:val="1"/>
    </w:lvl>
  </w:abstractNum>
  <w:abstractNum w:abstractNumId="59">
    <w:nsid w:val="6EB5BD4"/>
    <w:multiLevelType w:val="hybridMultilevel"/>
    <w:lvl w:ilvl="0">
      <w:lvlJc w:val="left"/>
      <w:lvlText w:val="2"/>
      <w:numFmt w:val="bullet"/>
      <w:start w:val="1"/>
    </w:lvl>
  </w:abstractNum>
  <w:abstractNum w:abstractNumId="60">
    <w:nsid w:val="6F6DD9AC"/>
    <w:multiLevelType w:val="hybridMultilevel"/>
    <w:lvl w:ilvl="0">
      <w:lvlJc w:val="left"/>
      <w:lvlText w:val="1"/>
      <w:numFmt w:val="bullet"/>
      <w:start w:val="1"/>
    </w:lvl>
  </w:abstractNum>
  <w:abstractNum w:abstractNumId="61">
    <w:nsid w:val="94211F2"/>
    <w:multiLevelType w:val="hybridMultilevel"/>
    <w:lvl w:ilvl="0">
      <w:lvlJc w:val="left"/>
      <w:lvlText w:val="2"/>
      <w:numFmt w:val="bullet"/>
      <w:start w:val="1"/>
    </w:lvl>
  </w:abstractNum>
  <w:abstractNum w:abstractNumId="62">
    <w:nsid w:val="885E1B"/>
    <w:multiLevelType w:val="hybridMultilevel"/>
    <w:lvl w:ilvl="0">
      <w:lvlJc w:val="left"/>
      <w:lvlText w:val="1"/>
      <w:numFmt w:val="bullet"/>
      <w:start w:val="1"/>
    </w:lvl>
  </w:abstractNum>
  <w:abstractNum w:abstractNumId="63">
    <w:nsid w:val="76272110"/>
    <w:multiLevelType w:val="hybridMultilevel"/>
    <w:lvl w:ilvl="0">
      <w:lvlJc w:val="left"/>
      <w:lvlText w:val="2"/>
      <w:numFmt w:val="bullet"/>
      <w:start w:val="1"/>
    </w:lvl>
  </w:abstractNum>
  <w:abstractNum w:abstractNumId="64">
    <w:nsid w:val="4C04A8AF"/>
    <w:multiLevelType w:val="hybridMultilevel"/>
    <w:lvl w:ilvl="0">
      <w:lvlJc w:val="left"/>
      <w:lvlText w:val="1"/>
      <w:numFmt w:val="bullet"/>
      <w:start w:val="1"/>
    </w:lvl>
  </w:abstractNum>
  <w:abstractNum w:abstractNumId="65">
    <w:nsid w:val="1716703B"/>
    <w:multiLevelType w:val="hybridMultilevel"/>
    <w:lvl w:ilvl="0">
      <w:lvlJc w:val="left"/>
      <w:lvlText w:val="2"/>
      <w:numFmt w:val="bullet"/>
      <w:start w:val="1"/>
    </w:lvl>
  </w:abstractNum>
  <w:abstractNum w:abstractNumId="66">
    <w:nsid w:val="14E17E33"/>
    <w:multiLevelType w:val="hybridMultilevel"/>
    <w:lvl w:ilvl="0">
      <w:lvlJc w:val="left"/>
      <w:lvlText w:val="%1."/>
      <w:numFmt w:val="decimal"/>
      <w:start w:val="5"/>
    </w:lvl>
  </w:abstractNum>
  <w:abstractNum w:abstractNumId="67">
    <w:nsid w:val="3222E7CD"/>
    <w:multiLevelType w:val="hybridMultilevel"/>
    <w:lvl w:ilvl="0">
      <w:lvlJc w:val="left"/>
      <w:lvlText w:val="%1."/>
      <w:numFmt w:val="decimal"/>
      <w:start w:val="6"/>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1."/>
      <w:numFmt w:val="decimal"/>
      <w:start w:val="8"/>
    </w:lvl>
  </w:abstractNum>
  <w:abstractNum w:abstractNumId="72">
    <w:nsid w:val="4A2AC315"/>
    <w:multiLevelType w:val="hybridMultilevel"/>
    <w:lvl w:ilvl="0">
      <w:lvlJc w:val="left"/>
      <w:lvlText w:val="%1."/>
      <w:numFmt w:val="decimal"/>
      <w:start w:val="9"/>
    </w:lvl>
  </w:abstractNum>
  <w:abstractNum w:abstractNumId="73">
    <w:nsid w:val="39EE015C"/>
    <w:multiLevelType w:val="hybridMultilevel"/>
    <w:lvl w:ilvl="0">
      <w:lvlJc w:val="left"/>
      <w:lvlText w:val="%1."/>
      <w:numFmt w:val="decimal"/>
      <w:start w:val="10"/>
    </w:lvl>
  </w:abstractNum>
  <w:abstractNum w:abstractNumId="74">
    <w:nsid w:val="57FC4FBB"/>
    <w:multiLevelType w:val="hybridMultilevel"/>
    <w:lvl w:ilvl="0">
      <w:lvlJc w:val="left"/>
      <w:lvlText w:val="%1."/>
      <w:numFmt w:val="decimal"/>
      <w:start w:val="11"/>
    </w:lvl>
  </w:abstractNum>
  <w:abstractNum w:abstractNumId="75">
    <w:nsid w:val="CC1016F"/>
    <w:multiLevelType w:val="hybridMultilevel"/>
    <w:lvl w:ilvl="0">
      <w:lvlJc w:val="left"/>
      <w:lvlText w:val="1"/>
      <w:numFmt w:val="bullet"/>
      <w:start w:val="1"/>
    </w:lvl>
  </w:abstractNum>
  <w:abstractNum w:abstractNumId="76">
    <w:nsid w:val="43F18422"/>
    <w:multiLevelType w:val="hybridMultilevel"/>
    <w:lvl w:ilvl="0">
      <w:lvlJc w:val="left"/>
      <w:lvlText w:val="(%1)"/>
      <w:numFmt w:val="lowerRoman"/>
      <w:start w:val="1"/>
    </w:lvl>
  </w:abstractNum>
  <w:abstractNum w:abstractNumId="77">
    <w:nsid w:val="60EF0119"/>
    <w:multiLevelType w:val="hybridMultilevel"/>
    <w:lvl w:ilvl="0">
      <w:lvlJc w:val="left"/>
      <w:lvlText w:val="%1."/>
      <w:numFmt w:val="decimal"/>
      <w:start w:val="12"/>
    </w:lvl>
  </w:abstractNum>
  <w:abstractNum w:abstractNumId="78">
    <w:nsid w:val="26F324BA"/>
    <w:multiLevelType w:val="hybridMultilevel"/>
    <w:lvl w:ilvl="0">
      <w:lvlJc w:val="left"/>
      <w:lvlText w:val="%1."/>
      <w:numFmt w:val="decimal"/>
      <w:start w:val="13"/>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¹"/>
      <w:numFmt w:val="bullet"/>
      <w:start w:val="1"/>
    </w:lvl>
  </w:abstractNum>
  <w:abstractNum w:abstractNumId="81">
    <w:nsid w:val="7055A5F5"/>
    <w:multiLevelType w:val="hybridMultilevel"/>
    <w:lvl w:ilvl="0">
      <w:lvlJc w:val="left"/>
      <w:lvlText w:val="²"/>
      <w:numFmt w:val="bullet"/>
      <w:start w:val="1"/>
    </w:lvl>
  </w:abstractNum>
  <w:abstractNum w:abstractNumId="82">
    <w:nsid w:val="5FB8370B"/>
    <w:multiLevelType w:val="hybridMultilevel"/>
    <w:lvl w:ilvl="0">
      <w:lvlJc w:val="left"/>
      <w:lvlText w:val="³"/>
      <w:numFmt w:val="bullet"/>
      <w:start w:val="1"/>
    </w:lvl>
  </w:abstractNum>
  <w:abstractNum w:abstractNumId="83">
    <w:nsid w:val="50801EE1"/>
    <w:multiLevelType w:val="hybridMultilevel"/>
    <w:lvl w:ilvl="0">
      <w:lvlJc w:val="left"/>
      <w:lvlText w:val="1"/>
      <w:numFmt w:val="bullet"/>
      <w:start w:val="1"/>
    </w:lvl>
  </w:abstractNum>
  <w:abstractNum w:abstractNumId="84">
    <w:nsid w:val="488AC1A"/>
    <w:multiLevelType w:val="hybridMultilevel"/>
    <w:lvl w:ilvl="0">
      <w:lvlJc w:val="left"/>
      <w:lvlText w:val="2"/>
      <w:numFmt w:val="bullet"/>
      <w:start w:val="1"/>
    </w:lvl>
  </w:abstractNum>
  <w:abstractNum w:abstractNumId="85">
    <w:nsid w:val="5FB8011C"/>
    <w:multiLevelType w:val="hybridMultilevel"/>
    <w:lvl w:ilvl="0">
      <w:lvlJc w:val="left"/>
      <w:lvlText w:val="\emdash "/>
      <w:numFmt w:val="bullet"/>
      <w:start w:val="1"/>
    </w:lvl>
  </w:abstractNum>
  <w:abstractNum w:abstractNumId="86">
    <w:nsid w:val="6AA78F7F"/>
    <w:multiLevelType w:val="hybridMultilevel"/>
    <w:lvl w:ilvl="0">
      <w:lvlJc w:val="left"/>
      <w:lvlText w:val="1"/>
      <w:numFmt w:val="bullet"/>
      <w:start w:val="1"/>
    </w:lvl>
  </w:abstractNum>
  <w:abstractNum w:abstractNumId="87">
    <w:nsid w:val="7672BD23"/>
    <w:multiLevelType w:val="hybridMultilevel"/>
    <w:lvl w:ilvl="0">
      <w:lvlJc w:val="left"/>
      <w:lvlText w:val="2"/>
      <w:numFmt w:val="bullet"/>
      <w:start w:val="1"/>
    </w:lvl>
  </w:abstractNum>
  <w:abstractNum w:abstractNumId="88">
    <w:nsid w:val="6FC75AF8"/>
    <w:multiLevelType w:val="hybridMultilevel"/>
    <w:lvl w:ilvl="0">
      <w:lvlJc w:val="left"/>
      <w:lvlText w:val="3"/>
      <w:numFmt w:val="bullet"/>
      <w:start w:val="1"/>
    </w:lvl>
  </w:abstractNum>
  <w:abstractNum w:abstractNumId="89">
    <w:nsid w:val="6A5F7029"/>
    <w:multiLevelType w:val="hybridMultilevel"/>
    <w:lvl w:ilvl="0">
      <w:lvlJc w:val="left"/>
      <w:lvlText w:val="(%1)"/>
      <w:numFmt w:val="decimal"/>
      <w:start w:val="1"/>
    </w:lvl>
  </w:abstractNum>
  <w:abstractNum w:abstractNumId="90">
    <w:nsid w:val="7D5E18F8"/>
    <w:multiLevelType w:val="hybridMultilevel"/>
    <w:lvl w:ilvl="0">
      <w:lvlJc w:val="left"/>
      <w:lvlText w:val="(%1)"/>
      <w:numFmt w:val="decimal"/>
      <w:start w:val="1"/>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
      <w:numFmt w:val="bullet"/>
      <w:start w:val="1"/>
    </w:lvl>
  </w:abstractNum>
  <w:abstractNum w:abstractNumId="93">
    <w:nsid w:val="7DE67713"/>
    <w:multiLevelType w:val="hybridMultilevel"/>
    <w:lvl w:ilvl="0">
      <w:lvlJc w:val="left"/>
      <w:lvlText w:val="•"/>
      <w:numFmt w:val="bullet"/>
      <w:start w:val="1"/>
    </w:lvl>
  </w:abstractNum>
  <w:abstractNum w:abstractNumId="94">
    <w:nsid w:val="555C55B5"/>
    <w:multiLevelType w:val="hybridMultilevel"/>
    <w:lvl w:ilvl="0">
      <w:lvlJc w:val="left"/>
      <w:lvlText w:val="1"/>
      <w:numFmt w:val="bullet"/>
      <w:start w:val="1"/>
    </w:lvl>
  </w:abstractNum>
  <w:abstractNum w:abstractNumId="95">
    <w:nsid w:val="3FA62ACA"/>
    <w:multiLevelType w:val="hybridMultilevel"/>
    <w:lvl w:ilvl="0">
      <w:lvlJc w:val="left"/>
      <w:lvlText w:val="•"/>
      <w:numFmt w:val="bullet"/>
      <w:start w:val="1"/>
    </w:lvl>
  </w:abstractNum>
  <w:abstractNum w:abstractNumId="96">
    <w:nsid w:val="14FCE74E"/>
    <w:multiLevelType w:val="hybridMultilevel"/>
    <w:lvl w:ilvl="0">
      <w:lvlJc w:val="left"/>
      <w:lvlText w:val="•"/>
      <w:numFmt w:val="bullet"/>
      <w:start w:val="1"/>
    </w:lvl>
  </w:abstractNum>
  <w:abstractNum w:abstractNumId="97">
    <w:nsid w:val="6A3DD3E8"/>
    <w:multiLevelType w:val="hybridMultilevel"/>
    <w:lvl w:ilvl="0">
      <w:lvlJc w:val="left"/>
      <w:lvlText w:val="%1."/>
      <w:numFmt w:val="upperLetter"/>
      <w:start w:val="61"/>
    </w:lvl>
  </w:abstractNum>
  <w:abstractNum w:abstractNumId="98">
    <w:nsid w:val="71C91298"/>
    <w:multiLevelType w:val="hybridMultilevel"/>
    <w:lvl w:ilvl="0">
      <w:lvlJc w:val="left"/>
      <w:lvlText w:val="1"/>
      <w:numFmt w:val="bullet"/>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1."/>
      <w:numFmt w:val="decimal"/>
      <w:start w:val="1"/>
    </w:lvl>
  </w:abstractNum>
  <w:abstractNum w:abstractNumId="101">
    <w:nsid w:val="1FBFE8E0"/>
    <w:multiLevelType w:val="hybridMultilevel"/>
    <w:lvl w:ilvl="0">
      <w:lvlJc w:val="left"/>
      <w:lvlText w:val="(%1)"/>
      <w:numFmt w:val="lowerLetter"/>
      <w:start w:val="1"/>
    </w:lvl>
  </w:abstractNum>
  <w:abstractNum w:abstractNumId="102">
    <w:nsid w:val="5092CA79"/>
    <w:multiLevelType w:val="hybridMultilevel"/>
    <w:lvl w:ilvl="0">
      <w:lvlJc w:val="left"/>
      <w:lvlText w:val="%1."/>
      <w:numFmt w:val="decimal"/>
      <w:start w:val="5"/>
    </w:lvl>
  </w:abstractNum>
  <w:abstractNum w:abstractNumId="103">
    <w:nsid w:val="1D545C4D"/>
    <w:multiLevelType w:val="hybridMultilevel"/>
    <w:lvl w:ilvl="0">
      <w:lvlJc w:val="left"/>
      <w:lvlText w:val="(%1)"/>
      <w:numFmt w:val="lowerLetter"/>
      <w:start w:val="1"/>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1)"/>
      <w:numFmt w:val="lowerLetter"/>
      <w:start w:val="1"/>
    </w:lvl>
  </w:abstractNum>
  <w:abstractNum w:abstractNumId="106">
    <w:nsid w:val="2A155DBC"/>
    <w:multiLevelType w:val="hybridMultilevel"/>
    <w:lvl w:ilvl="0">
      <w:lvlJc w:val="left"/>
      <w:lvlText w:val="%1."/>
      <w:numFmt w:val="decimal"/>
      <w:start w:val="5"/>
    </w:lvl>
  </w:abstractNum>
  <w:abstractNum w:abstractNumId="107">
    <w:nsid w:val="1D9F6E5F"/>
    <w:multiLevelType w:val="hybridMultilevel"/>
    <w:lvl w:ilvl="0">
      <w:lvlJc w:val="left"/>
      <w:lvlText w:val="(%1)"/>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30" Type="http://schemas.openxmlformats.org/officeDocument/2006/relationships/hyperlink" Target="http://www.sec.gov/Archives/edgar/data/1372807/000119312519211034/d640383dex21.htm" TargetMode="External"/><Relationship Id="rId131" Type="http://schemas.openxmlformats.org/officeDocument/2006/relationships/hyperlink" Target="http://www.sec.gov/Archives/edgar/data/1372807/000119312506204545/dex99a.htm" TargetMode="External"/><Relationship Id="rId132" Type="http://schemas.openxmlformats.org/officeDocument/2006/relationships/hyperlink" Target="http://www.sec.gov/Archives/edgar/data/1372807/000114420419017514/tv517653_ex3-1.htm" TargetMode="External"/><Relationship Id="rId133" Type="http://schemas.openxmlformats.org/officeDocument/2006/relationships/hyperlink" Target="http://www.sec.gov/Archives/edgar/data/1372807/000114420418064543/tv509148_ex3-1.htm" TargetMode="External"/><Relationship Id="rId134" Type="http://schemas.openxmlformats.org/officeDocument/2006/relationships/hyperlink" Target="http://www.sec.gov/Archives/edgar/data/1372807/000114420419017514/tv517653_ex3-2.htm" TargetMode="External"/><Relationship Id="rId135" Type="http://schemas.openxmlformats.org/officeDocument/2006/relationships/hyperlink" Target="http://www.sec.gov/Archives/edgar/data/1372807/000114420419017577/tv51753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2019-12-28T02:17:45Z</dcterms:created>
  <dcterms:modified xsi:type="dcterms:W3CDTF">2019-12-28T02:17:45Z</dcterms:modified>
</cp:coreProperties>
</file>