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422910</wp:posOffset>
            </wp:positionH>
            <wp:positionV relativeFrom="page">
              <wp:posOffset>880110</wp:posOffset>
            </wp:positionV>
            <wp:extent cx="670750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15240"/>
                    </a:xfrm>
                    <a:prstGeom prst="rect">
                      <a:avLst/>
                    </a:prstGeom>
                    <a:noFill/>
                  </pic:spPr>
                </pic:pic>
              </a:graphicData>
            </a:graphic>
          </wp:anchor>
        </w:drawing>
        <w:t>UNITED STATES</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138" w:lineRule="exact"/>
        <w:rPr>
          <w:sz w:val="24"/>
          <w:szCs w:val="24"/>
          <w:color w:val="auto"/>
        </w:rPr>
      </w:pPr>
    </w:p>
    <w:p>
      <w:pPr>
        <w:ind w:left="4040" w:right="3660" w:hanging="4022"/>
        <w:spacing w:after="0" w:line="339" w:lineRule="auto"/>
        <w:tabs>
          <w:tab w:leader="none" w:pos="451" w:val="left"/>
        </w:tabs>
        <w:numPr>
          <w:ilvl w:val="0"/>
          <w:numId w:val="1"/>
        </w:numPr>
        <w:rPr>
          <w:rFonts w:ascii="MS PGothic" w:cs="MS PGothic" w:eastAsia="MS PGothic" w:hAnsi="MS PGothic"/>
          <w:sz w:val="13"/>
          <w:szCs w:val="13"/>
          <w:b w:val="1"/>
          <w:bCs w:val="1"/>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 For the fiscal year ended December 31, 2024</w:t>
      </w:r>
    </w:p>
    <w:p>
      <w:pPr>
        <w:spacing w:after="0" w:line="46" w:lineRule="exact"/>
        <w:rPr>
          <w:sz w:val="24"/>
          <w:szCs w:val="24"/>
          <w:color w:val="auto"/>
        </w:rPr>
      </w:pPr>
    </w:p>
    <w:p>
      <w:pPr>
        <w:ind w:left="460" w:hanging="442"/>
        <w:spacing w:after="0"/>
        <w:tabs>
          <w:tab w:leader="none" w:pos="460" w:val="left"/>
        </w:tabs>
        <w:numPr>
          <w:ilvl w:val="0"/>
          <w:numId w:val="2"/>
        </w:numPr>
        <w:rPr>
          <w:rFonts w:ascii="MS PGothic" w:cs="MS PGothic" w:eastAsia="MS PGothic" w:hAnsi="MS PGothic"/>
          <w:sz w:val="13"/>
          <w:szCs w:val="13"/>
          <w:b w:val="1"/>
          <w:bCs w:val="1"/>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55" w:lineRule="exact"/>
        <w:rPr>
          <w:sz w:val="24"/>
          <w:szCs w:val="24"/>
          <w:color w:val="auto"/>
        </w:rPr>
      </w:pPr>
    </w:p>
    <w:p>
      <w:pPr>
        <w:jc w:val="center"/>
        <w:ind w:right="-19"/>
        <w:spacing w:after="0"/>
        <w:tabs>
          <w:tab w:leader="none" w:pos="340" w:val="left"/>
        </w:tabs>
        <w:rPr>
          <w:sz w:val="20"/>
          <w:szCs w:val="20"/>
          <w:color w:val="auto"/>
        </w:rPr>
      </w:pPr>
      <w:r>
        <w:rPr>
          <w:rFonts w:ascii="Times New Roman" w:cs="Times New Roman" w:eastAsia="Times New Roman" w:hAnsi="Times New Roman"/>
          <w:sz w:val="13"/>
          <w:szCs w:val="13"/>
          <w:b w:val="1"/>
          <w:bCs w:val="1"/>
          <w:color w:val="auto"/>
        </w:rPr>
        <w:t>For the transition period from</w:t>
      </w:r>
      <w:r>
        <w:rPr>
          <w:sz w:val="20"/>
          <w:szCs w:val="20"/>
          <w:color w:val="auto"/>
        </w:rPr>
        <w:tab/>
      </w:r>
      <w:r>
        <w:rPr>
          <w:rFonts w:ascii="Times New Roman" w:cs="Times New Roman" w:eastAsia="Times New Roman" w:hAnsi="Times New Roman"/>
          <w:sz w:val="13"/>
          <w:szCs w:val="13"/>
          <w:b w:val="1"/>
          <w:bCs w:val="1"/>
          <w:color w:val="auto"/>
        </w:rPr>
        <w:t>to</w:t>
      </w:r>
    </w:p>
    <w:p>
      <w:pPr>
        <w:spacing w:after="0" w:line="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Commission File No. 814-00735</w:t>
      </w:r>
    </w:p>
    <w:p>
      <w:pPr>
        <w:spacing w:after="0" w:line="1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8"/>
          <w:szCs w:val="38"/>
          <w:b w:val="1"/>
          <w:bCs w:val="1"/>
          <w:color w:val="auto"/>
        </w:rPr>
        <w:t>Portman Ridge Finance Corporation</w:t>
      </w:r>
    </w:p>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46" w:lineRule="exact"/>
        <w:rPr>
          <w:sz w:val="24"/>
          <w:szCs w:val="24"/>
          <w:color w:val="auto"/>
        </w:rPr>
      </w:pPr>
    </w:p>
    <w:tbl>
      <w:tblPr>
        <w:tblLayout w:type="fixed"/>
        <w:tblInd w:w="1740" w:type="dxa"/>
        <w:tblCellMar>
          <w:top w:w="0" w:type="dxa"/>
          <w:left w:w="0" w:type="dxa"/>
          <w:bottom w:w="0" w:type="dxa"/>
          <w:right w:w="0" w:type="dxa"/>
        </w:tblCellMar>
      </w:tblPr>
      <w:tr>
        <w:trPr>
          <w:trHeight w:val="169"/>
        </w:trPr>
        <w:tc>
          <w:tcPr>
            <w:tcW w:w="3660" w:type="dxa"/>
            <w:vAlign w:val="bottom"/>
          </w:tcPr>
          <w:p>
            <w:pPr>
              <w:jc w:val="center"/>
              <w:ind w:right="1892"/>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240" w:type="dxa"/>
            <w:vAlign w:val="bottom"/>
          </w:tcPr>
          <w:p>
            <w:pPr>
              <w:jc w:val="center"/>
              <w:ind w:left="1852"/>
              <w:spacing w:after="0"/>
              <w:rPr>
                <w:sz w:val="20"/>
                <w:szCs w:val="20"/>
                <w:color w:val="auto"/>
              </w:rPr>
            </w:pPr>
            <w:r>
              <w:rPr>
                <w:rFonts w:ascii="Times New Roman" w:cs="Times New Roman" w:eastAsia="Times New Roman" w:hAnsi="Times New Roman"/>
                <w:sz w:val="14"/>
                <w:szCs w:val="14"/>
                <w:b w:val="1"/>
                <w:bCs w:val="1"/>
                <w:color w:val="auto"/>
              </w:rPr>
              <w:t>20-5951150</w:t>
            </w:r>
          </w:p>
        </w:tc>
      </w:tr>
      <w:tr>
        <w:trPr>
          <w:trHeight w:val="156"/>
        </w:trPr>
        <w:tc>
          <w:tcPr>
            <w:tcW w:w="3660" w:type="dxa"/>
            <w:vAlign w:val="bottom"/>
          </w:tcPr>
          <w:p>
            <w:pPr>
              <w:jc w:val="center"/>
              <w:ind w:right="1872"/>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3240" w:type="dxa"/>
            <w:vAlign w:val="bottom"/>
          </w:tcPr>
          <w:p>
            <w:pPr>
              <w:jc w:val="center"/>
              <w:ind w:left="1852"/>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4"/>
        </w:trPr>
        <w:tc>
          <w:tcPr>
            <w:tcW w:w="3660" w:type="dxa"/>
            <w:vAlign w:val="bottom"/>
          </w:tcPr>
          <w:p>
            <w:pPr>
              <w:jc w:val="center"/>
              <w:ind w:right="1872"/>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3240" w:type="dxa"/>
            <w:vAlign w:val="bottom"/>
          </w:tcPr>
          <w:p>
            <w:pPr>
              <w:jc w:val="center"/>
              <w:ind w:left="1852"/>
              <w:spacing w:after="0"/>
              <w:rPr>
                <w:sz w:val="20"/>
                <w:szCs w:val="20"/>
                <w:color w:val="auto"/>
              </w:rPr>
            </w:pPr>
            <w:r>
              <w:rPr>
                <w:rFonts w:ascii="Times New Roman" w:cs="Times New Roman" w:eastAsia="Times New Roman" w:hAnsi="Times New Roman"/>
                <w:sz w:val="13"/>
                <w:szCs w:val="13"/>
                <w:b w:val="1"/>
                <w:bCs w:val="1"/>
                <w:color w:val="auto"/>
              </w:rPr>
              <w:t>Identification Number)</w:t>
            </w:r>
          </w:p>
        </w:tc>
      </w:tr>
    </w:tbl>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650 Madison Avenue, 3rd Floor</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New York, New York 10022</w:t>
      </w: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(212) 891-2880</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245"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3400" w:type="dxa"/>
            <w:vAlign w:val="bottom"/>
          </w:tcPr>
          <w:p>
            <w:pPr>
              <w:jc w:val="center"/>
              <w:ind w:left="80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60" w:type="dxa"/>
            <w:vAlign w:val="bottom"/>
            <w:gridSpan w:val="3"/>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20" w:type="dxa"/>
            <w:vAlign w:val="bottom"/>
          </w:tcPr>
          <w:p>
            <w:pPr>
              <w:jc w:val="center"/>
              <w:ind w:right="62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0"/>
        </w:trPr>
        <w:tc>
          <w:tcPr>
            <w:tcW w:w="3400" w:type="dxa"/>
            <w:vAlign w:val="bottom"/>
            <w:tcBorders>
              <w:top w:val="single" w:sz="8" w:color="auto"/>
            </w:tcBorders>
          </w:tcPr>
          <w:p>
            <w:pPr>
              <w:jc w:val="center"/>
              <w:ind w:left="828"/>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PTMN</w:t>
            </w:r>
          </w:p>
        </w:tc>
        <w:tc>
          <w:tcPr>
            <w:tcW w:w="12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420" w:type="dxa"/>
            <w:vAlign w:val="bottom"/>
            <w:tcBorders>
              <w:top w:val="single" w:sz="8" w:color="auto"/>
            </w:tcBorders>
          </w:tcPr>
          <w:p>
            <w:pPr>
              <w:jc w:val="center"/>
              <w:ind w:right="628"/>
              <w:spacing w:after="0"/>
              <w:rPr>
                <w:sz w:val="20"/>
                <w:szCs w:val="20"/>
                <w:color w:val="auto"/>
              </w:rPr>
            </w:pPr>
            <w:r>
              <w:rPr>
                <w:rFonts w:ascii="Times New Roman" w:cs="Times New Roman" w:eastAsia="Times New Roman" w:hAnsi="Times New Roman"/>
                <w:sz w:val="14"/>
                <w:szCs w:val="14"/>
                <w:color w:val="auto"/>
              </w:rPr>
              <w:t>The NASDAQ Global Select Market</w:t>
            </w:r>
          </w:p>
        </w:tc>
      </w:tr>
      <w:tr>
        <w:trPr>
          <w:trHeight w:val="288"/>
        </w:trPr>
        <w:tc>
          <w:tcPr>
            <w:tcW w:w="3400" w:type="dxa"/>
            <w:vAlign w:val="bottom"/>
          </w:tcPr>
          <w:p>
            <w:pPr>
              <w:spacing w:after="0"/>
              <w:rPr>
                <w:sz w:val="24"/>
                <w:szCs w:val="24"/>
                <w:color w:val="auto"/>
              </w:rPr>
            </w:pPr>
          </w:p>
        </w:tc>
        <w:tc>
          <w:tcPr>
            <w:tcW w:w="374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tc>
        <w:tc>
          <w:tcPr>
            <w:tcW w:w="3420" w:type="dxa"/>
            <w:vAlign w:val="bottom"/>
          </w:tcPr>
          <w:p>
            <w:pPr>
              <w:spacing w:after="0"/>
              <w:rPr>
                <w:sz w:val="24"/>
                <w:szCs w:val="24"/>
                <w:color w:val="auto"/>
              </w:rPr>
            </w:pPr>
          </w:p>
        </w:tc>
      </w:tr>
    </w:tbl>
    <w:p>
      <w:pPr>
        <w:ind w:left="360" w:right="2640"/>
        <w:spacing w:after="0" w:line="227"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60" w:firstLine="348"/>
        <w:spacing w:after="0" w:line="19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600" w:firstLine="348"/>
        <w:spacing w:after="0" w:line="19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120" w:firstLine="348"/>
        <w:spacing w:after="0" w:line="27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 accelerated filer, a smaller reporting company or an emerging growth company. See definitions of “large accelerated filer,” “accelerated filer,” “non-accelerated filer,” “smaller reporting company” and “emerging growth company” in Rule 12b-2 of the Exchange Act:</w:t>
      </w:r>
    </w:p>
    <w:p>
      <w:pPr>
        <w:sectPr>
          <w:pgSz w:w="11900" w:h="16840" w:orient="portrait"/>
          <w:cols w:equalWidth="0" w:num="1">
            <w:col w:w="10560"/>
          </w:cols>
          <w:pgMar w:left="660" w:top="1439" w:right="680" w:bottom="1440" w:gutter="0" w:footer="0" w:header="0"/>
        </w:sectPr>
      </w:pPr>
    </w:p>
    <w:p>
      <w:pPr>
        <w:spacing w:after="0" w:line="6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2" w:lineRule="exact"/>
        <w:rPr>
          <w:sz w:val="24"/>
          <w:szCs w:val="24"/>
          <w:color w:val="auto"/>
        </w:rPr>
      </w:pPr>
    </w:p>
    <w:p>
      <w:pPr>
        <w:sectPr>
          <w:pgSz w:w="11900" w:h="16840" w:orient="portrait"/>
          <w:cols w:equalWidth="0" w:num="8">
            <w:col w:w="1520" w:space="720"/>
            <w:col w:w="120" w:space="620"/>
            <w:col w:w="960" w:space="540"/>
            <w:col w:w="100" w:space="420"/>
            <w:col w:w="1500" w:space="720"/>
            <w:col w:w="120" w:space="500"/>
            <w:col w:w="1700" w:space="720"/>
            <w:col w:w="300"/>
          </w:cols>
          <w:pgMar w:left="660" w:top="1439" w:right="680"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95" w:lineRule="exact"/>
        <w:rPr>
          <w:sz w:val="24"/>
          <w:szCs w:val="24"/>
          <w:color w:val="auto"/>
        </w:rPr>
      </w:pPr>
    </w:p>
    <w:p>
      <w:pPr>
        <w:sectPr>
          <w:pgSz w:w="11900" w:h="16840" w:orient="portrait"/>
          <w:cols w:equalWidth="0" w:num="2">
            <w:col w:w="1660" w:space="580"/>
            <w:col w:w="8320"/>
          </w:cols>
          <w:pgMar w:left="660" w:top="1439" w:right="680" w:bottom="1440" w:gutter="0" w:footer="0" w:header="0"/>
          <w:type w:val="continuous"/>
        </w:sectPr>
      </w:pPr>
    </w:p>
    <w:p>
      <w:pPr>
        <w:ind w:right="200" w:firstLine="348"/>
        <w:spacing w:after="0" w:line="19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6" w:lineRule="exact"/>
        <w:rPr>
          <w:sz w:val="24"/>
          <w:szCs w:val="24"/>
          <w:color w:val="auto"/>
        </w:rPr>
      </w:pPr>
    </w:p>
    <w:p>
      <w:pPr>
        <w:ind w:right="420" w:firstLine="348"/>
        <w:spacing w:after="0" w:line="19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by the registered public accounting firm that prepared or issued its audit report. </w:t>
      </w:r>
      <w:r>
        <w:rPr>
          <w:rFonts w:ascii="MS PGothic" w:cs="MS PGothic" w:eastAsia="MS PGothic" w:hAnsi="MS PGothic"/>
          <w:sz w:val="14"/>
          <w:szCs w:val="14"/>
          <w:color w:val="auto"/>
        </w:rPr>
        <w:t>☐</w:t>
      </w:r>
    </w:p>
    <w:p>
      <w:pPr>
        <w:spacing w:after="0" w:line="6" w:lineRule="exact"/>
        <w:rPr>
          <w:sz w:val="24"/>
          <w:szCs w:val="24"/>
          <w:color w:val="auto"/>
        </w:rPr>
      </w:pPr>
    </w:p>
    <w:p>
      <w:pPr>
        <w:ind w:right="20" w:firstLine="348"/>
        <w:spacing w:after="0" w:line="174"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3" w:lineRule="exact"/>
        <w:rPr>
          <w:sz w:val="24"/>
          <w:szCs w:val="24"/>
          <w:color w:val="auto"/>
        </w:rPr>
      </w:pPr>
    </w:p>
    <w:p>
      <w:pPr>
        <w:ind w:right="160" w:firstLine="348"/>
        <w:spacing w:after="0" w:line="174"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3"/>
          <w:szCs w:val="13"/>
          <w:color w:val="auto"/>
        </w:rPr>
        <w:t>☐</w:t>
      </w:r>
    </w:p>
    <w:p>
      <w:pPr>
        <w:ind w:left="36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7" w:lineRule="exact"/>
        <w:rPr>
          <w:sz w:val="24"/>
          <w:szCs w:val="24"/>
          <w:color w:val="auto"/>
        </w:rPr>
      </w:pPr>
    </w:p>
    <w:p>
      <w:pPr>
        <w:ind w:right="180" w:firstLine="348"/>
        <w:spacing w:after="0" w:line="270"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stock held by non-affiliates of the registrant as of June 30, 2024 was approximately $181.3 million based upon a closing price of $19.62 reported for such date by The NASDAQ Global Select Market. This determination of affiliate status is not necessarily a conclusive determination for other purposes.</w:t>
      </w:r>
    </w:p>
    <w:p>
      <w:pPr>
        <w:spacing w:after="0" w:line="9"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4"/>
          <w:szCs w:val="14"/>
          <w:color w:val="auto"/>
        </w:rPr>
        <w:t>The number of outstanding shares of common stock of the registrant as of March 10, 2025 was 9,198,175.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133985</wp:posOffset>
            </wp:positionV>
            <wp:extent cx="6707505"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662940</wp:posOffset>
            </wp:positionV>
            <wp:extent cx="673290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39" w:right="68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105" w:lineRule="exact"/>
        <w:rPr>
          <w:sz w:val="20"/>
          <w:szCs w:val="20"/>
          <w:color w:val="auto"/>
        </w:rPr>
      </w:pPr>
    </w:p>
    <w:p>
      <w:pPr>
        <w:ind w:firstLine="348"/>
        <w:spacing w:after="0" w:line="286" w:lineRule="auto"/>
        <w:rPr>
          <w:sz w:val="20"/>
          <w:szCs w:val="20"/>
          <w:color w:val="auto"/>
        </w:rPr>
      </w:pPr>
      <w:r>
        <w:rPr>
          <w:rFonts w:ascii="Times New Roman" w:cs="Times New Roman" w:eastAsia="Times New Roman" w:hAnsi="Times New Roman"/>
          <w:sz w:val="13"/>
          <w:szCs w:val="13"/>
          <w:color w:val="auto"/>
        </w:rPr>
        <w:t>Portions of the registrant’s definitive proxy statement for the 2025 annual meeting of stockholders to be filed with the Securities and Exchange Commission within 120 days following the end of the registrant’s fiscal year-end are incorporated by reference into Part III of this report.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ABOUT REFERENCES TO PORTMAN RIDGE FINANCE CORPORATION</w:t>
      </w:r>
    </w:p>
    <w:p>
      <w:pPr>
        <w:spacing w:after="0" w:line="105" w:lineRule="exact"/>
        <w:rPr>
          <w:sz w:val="20"/>
          <w:szCs w:val="20"/>
          <w:color w:val="auto"/>
        </w:rPr>
      </w:pPr>
    </w:p>
    <w:p>
      <w:pPr>
        <w:ind w:right="20" w:firstLine="348"/>
        <w:spacing w:after="0" w:line="286" w:lineRule="auto"/>
        <w:rPr>
          <w:sz w:val="20"/>
          <w:szCs w:val="20"/>
          <w:color w:val="auto"/>
        </w:rPr>
      </w:pPr>
      <w:r>
        <w:rPr>
          <w:rFonts w:ascii="Times New Roman" w:cs="Times New Roman" w:eastAsia="Times New Roman" w:hAnsi="Times New Roman"/>
          <w:sz w:val="13"/>
          <w:szCs w:val="13"/>
          <w:color w:val="auto"/>
        </w:rPr>
        <w:t>In this Annual Report on Form 10-K, the “Company”, “Portman Ridge”, “we”, “us” and “our” refer to Portman Ridge Finance Corporation and its wholly-owned subsidiaries, unless the context otherwise requires.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ABOUT TRADEMARKS</w:t>
      </w:r>
    </w:p>
    <w:p>
      <w:pPr>
        <w:spacing w:after="0" w:line="105" w:lineRule="exact"/>
        <w:rPr>
          <w:sz w:val="20"/>
          <w:szCs w:val="20"/>
          <w:color w:val="auto"/>
        </w:rPr>
      </w:pPr>
    </w:p>
    <w:p>
      <w:pPr>
        <w:ind w:right="300" w:firstLine="348"/>
        <w:spacing w:after="0" w:line="286" w:lineRule="auto"/>
        <w:rPr>
          <w:sz w:val="20"/>
          <w:szCs w:val="20"/>
          <w:color w:val="auto"/>
        </w:rPr>
      </w:pPr>
      <w:r>
        <w:rPr>
          <w:rFonts w:ascii="Times New Roman" w:cs="Times New Roman" w:eastAsia="Times New Roman" w:hAnsi="Times New Roman"/>
          <w:sz w:val="13"/>
          <w:szCs w:val="13"/>
          <w:color w:val="auto"/>
        </w:rPr>
        <w:t>Portman Ridge Finance Corporation, our logo and other trademarks of Portman Ridge Finance Corporation are the property of Portman Ridge Finance Corporation. All other trademarks or trade names referred to in this Annual Report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492760</wp:posOffset>
            </wp:positionV>
            <wp:extent cx="6732905"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48" w:right="660" w:bottom="1440" w:gutter="0" w:footer="0" w:header="0"/>
        </w:sectPr>
      </w:pPr>
    </w:p>
    <w:bookmarkStart w:id="2" w:name="page3"/>
    <w:bookmarkEnd w:id="2"/>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040" w:type="dxa"/>
            <w:vAlign w:val="bottom"/>
          </w:tcPr>
          <w:p>
            <w:pPr>
              <w:jc w:val="right"/>
              <w:ind w:right="4494"/>
              <w:spacing w:after="0"/>
              <w:rPr>
                <w:sz w:val="20"/>
                <w:szCs w:val="20"/>
                <w:color w:val="auto"/>
              </w:rPr>
            </w:pPr>
            <w:r>
              <w:rPr>
                <w:rFonts w:ascii="Times New Roman" w:cs="Times New Roman" w:eastAsia="Times New Roman" w:hAnsi="Times New Roman"/>
                <w:sz w:val="13"/>
                <w:szCs w:val="13"/>
                <w:b w:val="1"/>
                <w:bCs w:val="1"/>
                <w:color w:val="auto"/>
              </w:rPr>
              <w:t>TABLE OF CONTENTS</w:t>
            </w:r>
          </w:p>
        </w:tc>
      </w:tr>
      <w:tr>
        <w:trPr>
          <w:trHeight w:val="336"/>
        </w:trPr>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4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180"/>
        </w:trPr>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040" w:type="dxa"/>
            <w:vAlign w:val="bottom"/>
          </w:tcPr>
          <w:p>
            <w:pPr>
              <w:jc w:val="right"/>
              <w:ind w:right="4814"/>
              <w:spacing w:after="0"/>
              <w:rPr>
                <w:sz w:val="20"/>
                <w:szCs w:val="20"/>
                <w:color w:val="auto"/>
              </w:rPr>
            </w:pPr>
            <w:r>
              <w:rPr>
                <w:rFonts w:ascii="Times New Roman" w:cs="Times New Roman" w:eastAsia="Times New Roman" w:hAnsi="Times New Roman"/>
                <w:sz w:val="13"/>
                <w:szCs w:val="13"/>
                <w:b w:val="1"/>
                <w:bCs w:val="1"/>
                <w:color w:val="auto"/>
              </w:rPr>
              <w:t>Part I</w:t>
            </w:r>
          </w:p>
        </w:tc>
      </w:tr>
      <w:tr>
        <w:trPr>
          <w:trHeight w:val="152"/>
        </w:trPr>
        <w:tc>
          <w:tcPr>
            <w:tcW w:w="920" w:type="dxa"/>
            <w:vAlign w:val="bottom"/>
          </w:tcPr>
          <w:p>
            <w:pPr>
              <w:spacing w:after="0"/>
              <w:rPr>
                <w:sz w:val="20"/>
                <w:szCs w:val="20"/>
                <w:color w:val="auto"/>
              </w:rPr>
            </w:pPr>
            <w:r>
              <w:rPr>
                <w:rFonts w:ascii="Times New Roman" w:cs="Times New Roman" w:eastAsia="Times New Roman" w:hAnsi="Times New Roman"/>
                <w:sz w:val="13"/>
                <w:szCs w:val="13"/>
                <w:color w:val="auto"/>
              </w:rPr>
              <w:t>Item 1.</w:t>
            </w:r>
          </w:p>
        </w:tc>
        <w:tc>
          <w:tcPr>
            <w:tcW w:w="480" w:type="dxa"/>
            <w:vAlign w:val="bottom"/>
            <w:tcBorders>
              <w:bottom w:val="single" w:sz="8" w:color="0000EE"/>
            </w:tcBorders>
          </w:tcPr>
          <w:p>
            <w:pPr>
              <w:spacing w:after="0"/>
              <w:rPr>
                <w:rFonts w:ascii="Times New Roman" w:cs="Times New Roman" w:eastAsia="Times New Roman" w:hAnsi="Times New Roman"/>
                <w:sz w:val="13"/>
                <w:szCs w:val="13"/>
                <w:color w:val="auto"/>
                <w:w w:val="99"/>
              </w:rPr>
            </w:pPr>
            <w:hyperlink w:anchor="page5">
              <w:r>
                <w:rPr>
                  <w:rFonts w:ascii="Times New Roman" w:cs="Times New Roman" w:eastAsia="Times New Roman" w:hAnsi="Times New Roman"/>
                  <w:sz w:val="13"/>
                  <w:szCs w:val="13"/>
                  <w:color w:val="auto"/>
                  <w:w w:val="99"/>
                </w:rPr>
                <w:t>Business</w:t>
              </w:r>
            </w:hyperlink>
          </w:p>
        </w:tc>
        <w:tc>
          <w:tcPr>
            <w:tcW w:w="2100" w:type="dxa"/>
            <w:vAlign w:val="bottom"/>
            <w:gridSpan w:val="7"/>
          </w:tcPr>
          <w:p>
            <w:pPr>
              <w:spacing w:after="0"/>
              <w:rPr>
                <w:sz w:val="13"/>
                <w:szCs w:val="13"/>
                <w:color w:val="auto"/>
              </w:rPr>
            </w:pPr>
          </w:p>
        </w:tc>
        <w:tc>
          <w:tcPr>
            <w:tcW w:w="7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0"/>
        </w:trPr>
        <w:tc>
          <w:tcPr>
            <w:tcW w:w="920" w:type="dxa"/>
            <w:vAlign w:val="bottom"/>
          </w:tcPr>
          <w:p>
            <w:pPr>
              <w:spacing w:after="0"/>
              <w:rPr>
                <w:sz w:val="20"/>
                <w:szCs w:val="20"/>
                <w:color w:val="auto"/>
              </w:rPr>
            </w:pPr>
            <w:r>
              <w:rPr>
                <w:rFonts w:ascii="Times New Roman" w:cs="Times New Roman" w:eastAsia="Times New Roman" w:hAnsi="Times New Roman"/>
                <w:sz w:val="13"/>
                <w:szCs w:val="13"/>
                <w:color w:val="auto"/>
              </w:rPr>
              <w:t>Item 1A.</w:t>
            </w:r>
          </w:p>
        </w:tc>
        <w:tc>
          <w:tcPr>
            <w:tcW w:w="2580" w:type="dxa"/>
            <w:vAlign w:val="bottom"/>
            <w:gridSpan w:val="8"/>
          </w:tcPr>
          <w:p>
            <w:pPr>
              <w:spacing w:after="0"/>
              <w:rPr>
                <w:rFonts w:ascii="Times New Roman" w:cs="Times New Roman" w:eastAsia="Times New Roman" w:hAnsi="Times New Roman"/>
                <w:sz w:val="13"/>
                <w:szCs w:val="13"/>
                <w:color w:val="auto"/>
              </w:rPr>
            </w:pPr>
            <w:hyperlink w:anchor="page17">
              <w:r>
                <w:rPr>
                  <w:rFonts w:ascii="Times New Roman" w:cs="Times New Roman" w:eastAsia="Times New Roman" w:hAnsi="Times New Roman"/>
                  <w:sz w:val="13"/>
                  <w:szCs w:val="13"/>
                  <w:color w:val="auto"/>
                </w:rPr>
                <w:t>Risk Factors</w:t>
              </w:r>
            </w:hyperlink>
          </w:p>
        </w:tc>
        <w:tc>
          <w:tcPr>
            <w:tcW w:w="7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20"/>
        </w:trPr>
        <w:tc>
          <w:tcPr>
            <w:tcW w:w="9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r>
      <w:tr>
        <w:trPr>
          <w:trHeight w:val="160"/>
        </w:trPr>
        <w:tc>
          <w:tcPr>
            <w:tcW w:w="920" w:type="dxa"/>
            <w:vAlign w:val="bottom"/>
          </w:tcPr>
          <w:p>
            <w:pPr>
              <w:spacing w:after="0"/>
              <w:rPr>
                <w:sz w:val="20"/>
                <w:szCs w:val="20"/>
                <w:color w:val="auto"/>
              </w:rPr>
            </w:pPr>
            <w:r>
              <w:rPr>
                <w:rFonts w:ascii="Times New Roman" w:cs="Times New Roman" w:eastAsia="Times New Roman" w:hAnsi="Times New Roman"/>
                <w:sz w:val="13"/>
                <w:szCs w:val="13"/>
                <w:color w:val="auto"/>
              </w:rPr>
              <w:t>Item 1B.</w:t>
            </w:r>
          </w:p>
        </w:tc>
        <w:tc>
          <w:tcPr>
            <w:tcW w:w="2580" w:type="dxa"/>
            <w:vAlign w:val="bottom"/>
            <w:gridSpan w:val="8"/>
          </w:tcPr>
          <w:p>
            <w:pPr>
              <w:spacing w:after="0"/>
              <w:rPr>
                <w:rFonts w:ascii="Times New Roman" w:cs="Times New Roman" w:eastAsia="Times New Roman" w:hAnsi="Times New Roman"/>
                <w:sz w:val="13"/>
                <w:szCs w:val="13"/>
                <w:color w:val="auto"/>
              </w:rPr>
            </w:pPr>
            <w:hyperlink w:anchor="page33">
              <w:r>
                <w:rPr>
                  <w:rFonts w:ascii="Times New Roman" w:cs="Times New Roman" w:eastAsia="Times New Roman" w:hAnsi="Times New Roman"/>
                  <w:sz w:val="13"/>
                  <w:szCs w:val="13"/>
                  <w:color w:val="auto"/>
                </w:rPr>
                <w:t>Unresolved Staff Comments</w:t>
              </w:r>
            </w:hyperlink>
          </w:p>
        </w:tc>
        <w:tc>
          <w:tcPr>
            <w:tcW w:w="7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60"/>
        </w:trPr>
        <w:tc>
          <w:tcPr>
            <w:tcW w:w="920" w:type="dxa"/>
            <w:vAlign w:val="bottom"/>
          </w:tcPr>
          <w:p>
            <w:pPr>
              <w:spacing w:after="0"/>
              <w:rPr>
                <w:sz w:val="20"/>
                <w:szCs w:val="20"/>
                <w:color w:val="auto"/>
              </w:rPr>
            </w:pPr>
            <w:r>
              <w:rPr>
                <w:rFonts w:ascii="Times New Roman" w:cs="Times New Roman" w:eastAsia="Times New Roman" w:hAnsi="Times New Roman"/>
                <w:sz w:val="13"/>
                <w:szCs w:val="13"/>
                <w:color w:val="auto"/>
              </w:rPr>
              <w:t>Item 1C.</w:t>
            </w:r>
          </w:p>
        </w:tc>
        <w:tc>
          <w:tcPr>
            <w:tcW w:w="1500" w:type="dxa"/>
            <w:vAlign w:val="bottom"/>
            <w:tcBorders>
              <w:top w:val="single" w:sz="8" w:color="0000EE"/>
            </w:tcBorders>
            <w:gridSpan w:val="7"/>
          </w:tcPr>
          <w:p>
            <w:pPr>
              <w:spacing w:after="0"/>
              <w:rPr>
                <w:rFonts w:ascii="Times New Roman" w:cs="Times New Roman" w:eastAsia="Times New Roman" w:hAnsi="Times New Roman"/>
                <w:sz w:val="13"/>
                <w:szCs w:val="13"/>
                <w:color w:val="auto"/>
              </w:rPr>
            </w:pPr>
            <w:hyperlink w:anchor="page33">
              <w:r>
                <w:rPr>
                  <w:rFonts w:ascii="Times New Roman" w:cs="Times New Roman" w:eastAsia="Times New Roman" w:hAnsi="Times New Roman"/>
                  <w:sz w:val="13"/>
                  <w:szCs w:val="13"/>
                  <w:color w:val="auto"/>
                </w:rPr>
                <w:t>Cybersecurity</w:t>
              </w:r>
            </w:hyperlink>
          </w:p>
        </w:tc>
        <w:tc>
          <w:tcPr>
            <w:tcW w:w="1080" w:type="dxa"/>
            <w:vAlign w:val="bottom"/>
          </w:tcPr>
          <w:p>
            <w:pPr>
              <w:spacing w:after="0"/>
              <w:rPr>
                <w:sz w:val="13"/>
                <w:szCs w:val="13"/>
                <w:color w:val="auto"/>
              </w:rPr>
            </w:pPr>
          </w:p>
        </w:tc>
        <w:tc>
          <w:tcPr>
            <w:tcW w:w="7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60"/>
        </w:trPr>
        <w:tc>
          <w:tcPr>
            <w:tcW w:w="920" w:type="dxa"/>
            <w:vAlign w:val="bottom"/>
          </w:tcPr>
          <w:p>
            <w:pPr>
              <w:spacing w:after="0"/>
              <w:rPr>
                <w:sz w:val="20"/>
                <w:szCs w:val="20"/>
                <w:color w:val="auto"/>
              </w:rPr>
            </w:pPr>
            <w:r>
              <w:rPr>
                <w:rFonts w:ascii="Times New Roman" w:cs="Times New Roman" w:eastAsia="Times New Roman" w:hAnsi="Times New Roman"/>
                <w:sz w:val="13"/>
                <w:szCs w:val="13"/>
                <w:color w:val="auto"/>
              </w:rPr>
              <w:t>Item 2.</w:t>
            </w:r>
          </w:p>
        </w:tc>
        <w:tc>
          <w:tcPr>
            <w:tcW w:w="54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3"/>
                <w:szCs w:val="13"/>
                <w:color w:val="auto"/>
                <w:w w:val="98"/>
              </w:rPr>
            </w:pPr>
            <w:hyperlink w:anchor="page34">
              <w:r>
                <w:rPr>
                  <w:rFonts w:ascii="Times New Roman" w:cs="Times New Roman" w:eastAsia="Times New Roman" w:hAnsi="Times New Roman"/>
                  <w:sz w:val="13"/>
                  <w:szCs w:val="13"/>
                  <w:color w:val="auto"/>
                  <w:w w:val="98"/>
                </w:rPr>
                <w:t>Properties</w:t>
              </w:r>
            </w:hyperlink>
          </w:p>
        </w:tc>
        <w:tc>
          <w:tcPr>
            <w:tcW w:w="200" w:type="dxa"/>
            <w:vAlign w:val="bottom"/>
            <w:tcBorders>
              <w:top w:val="single" w:sz="8" w:color="0000EE"/>
            </w:tcBorders>
            <w:gridSpan w:val="2"/>
          </w:tcPr>
          <w:p>
            <w:pPr>
              <w:spacing w:after="0"/>
              <w:rPr>
                <w:sz w:val="13"/>
                <w:szCs w:val="13"/>
                <w:color w:val="auto"/>
              </w:rPr>
            </w:pPr>
          </w:p>
        </w:tc>
        <w:tc>
          <w:tcPr>
            <w:tcW w:w="1840" w:type="dxa"/>
            <w:vAlign w:val="bottom"/>
            <w:gridSpan w:val="4"/>
          </w:tcPr>
          <w:p>
            <w:pPr>
              <w:spacing w:after="0"/>
              <w:rPr>
                <w:sz w:val="13"/>
                <w:szCs w:val="13"/>
                <w:color w:val="auto"/>
              </w:rPr>
            </w:pPr>
          </w:p>
        </w:tc>
        <w:tc>
          <w:tcPr>
            <w:tcW w:w="7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60"/>
        </w:trPr>
        <w:tc>
          <w:tcPr>
            <w:tcW w:w="920" w:type="dxa"/>
            <w:vAlign w:val="bottom"/>
          </w:tcPr>
          <w:p>
            <w:pPr>
              <w:spacing w:after="0"/>
              <w:rPr>
                <w:sz w:val="20"/>
                <w:szCs w:val="20"/>
                <w:color w:val="auto"/>
              </w:rPr>
            </w:pPr>
            <w:r>
              <w:rPr>
                <w:rFonts w:ascii="Times New Roman" w:cs="Times New Roman" w:eastAsia="Times New Roman" w:hAnsi="Times New Roman"/>
                <w:sz w:val="13"/>
                <w:szCs w:val="13"/>
                <w:color w:val="auto"/>
              </w:rPr>
              <w:t>Item 3.</w:t>
            </w:r>
          </w:p>
        </w:tc>
        <w:tc>
          <w:tcPr>
            <w:tcW w:w="980" w:type="dxa"/>
            <w:vAlign w:val="bottom"/>
            <w:tcBorders>
              <w:bottom w:val="single" w:sz="8" w:color="0000EE"/>
            </w:tcBorders>
            <w:gridSpan w:val="5"/>
          </w:tcPr>
          <w:p>
            <w:pPr>
              <w:spacing w:after="0"/>
              <w:rPr>
                <w:rFonts w:ascii="Times New Roman" w:cs="Times New Roman" w:eastAsia="Times New Roman" w:hAnsi="Times New Roman"/>
                <w:sz w:val="13"/>
                <w:szCs w:val="13"/>
                <w:color w:val="auto"/>
                <w:w w:val="99"/>
              </w:rPr>
            </w:pPr>
            <w:hyperlink w:anchor="page34">
              <w:r>
                <w:rPr>
                  <w:rFonts w:ascii="Times New Roman" w:cs="Times New Roman" w:eastAsia="Times New Roman" w:hAnsi="Times New Roman"/>
                  <w:sz w:val="13"/>
                  <w:szCs w:val="13"/>
                  <w:color w:val="auto"/>
                  <w:w w:val="99"/>
                </w:rPr>
                <w:t>Legal Proceedings</w:t>
              </w:r>
            </w:hyperlink>
          </w:p>
        </w:tc>
        <w:tc>
          <w:tcPr>
            <w:tcW w:w="1600" w:type="dxa"/>
            <w:vAlign w:val="bottom"/>
            <w:gridSpan w:val="3"/>
          </w:tcPr>
          <w:p>
            <w:pPr>
              <w:spacing w:after="0"/>
              <w:rPr>
                <w:sz w:val="13"/>
                <w:szCs w:val="13"/>
                <w:color w:val="auto"/>
              </w:rPr>
            </w:pPr>
          </w:p>
        </w:tc>
        <w:tc>
          <w:tcPr>
            <w:tcW w:w="7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60"/>
        </w:trPr>
        <w:tc>
          <w:tcPr>
            <w:tcW w:w="920" w:type="dxa"/>
            <w:vAlign w:val="bottom"/>
          </w:tcPr>
          <w:p>
            <w:pPr>
              <w:spacing w:after="0"/>
              <w:rPr>
                <w:sz w:val="20"/>
                <w:szCs w:val="20"/>
                <w:color w:val="auto"/>
              </w:rPr>
            </w:pPr>
            <w:r>
              <w:rPr>
                <w:rFonts w:ascii="Times New Roman" w:cs="Times New Roman" w:eastAsia="Times New Roman" w:hAnsi="Times New Roman"/>
                <w:sz w:val="13"/>
                <w:szCs w:val="13"/>
                <w:color w:val="auto"/>
              </w:rPr>
              <w:t>Item 4.</w:t>
            </w:r>
          </w:p>
        </w:tc>
        <w:tc>
          <w:tcPr>
            <w:tcW w:w="1300" w:type="dxa"/>
            <w:vAlign w:val="bottom"/>
            <w:tcBorders>
              <w:bottom w:val="single" w:sz="8" w:color="0000EE"/>
            </w:tcBorders>
            <w:gridSpan w:val="6"/>
          </w:tcPr>
          <w:p>
            <w:pPr>
              <w:spacing w:after="0"/>
              <w:rPr>
                <w:rFonts w:ascii="Times New Roman" w:cs="Times New Roman" w:eastAsia="Times New Roman" w:hAnsi="Times New Roman"/>
                <w:sz w:val="13"/>
                <w:szCs w:val="13"/>
                <w:color w:val="auto"/>
              </w:rPr>
            </w:pPr>
            <w:hyperlink w:anchor="page34">
              <w:r>
                <w:rPr>
                  <w:rFonts w:ascii="Times New Roman" w:cs="Times New Roman" w:eastAsia="Times New Roman" w:hAnsi="Times New Roman"/>
                  <w:sz w:val="13"/>
                  <w:szCs w:val="13"/>
                  <w:color w:val="auto"/>
                </w:rPr>
                <w:t>Mine Safety Disclosures</w:t>
              </w:r>
            </w:hyperlink>
          </w:p>
        </w:tc>
        <w:tc>
          <w:tcPr>
            <w:tcW w:w="1280" w:type="dxa"/>
            <w:vAlign w:val="bottom"/>
            <w:gridSpan w:val="2"/>
          </w:tcPr>
          <w:p>
            <w:pPr>
              <w:spacing w:after="0"/>
              <w:rPr>
                <w:sz w:val="13"/>
                <w:szCs w:val="13"/>
                <w:color w:val="auto"/>
              </w:rPr>
            </w:pPr>
          </w:p>
        </w:tc>
        <w:tc>
          <w:tcPr>
            <w:tcW w:w="7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120" w:type="dxa"/>
            <w:vAlign w:val="bottom"/>
            <w:gridSpan w:val="3"/>
          </w:tcPr>
          <w:p>
            <w:pPr>
              <w:ind w:left="780"/>
              <w:spacing w:after="0"/>
              <w:rPr>
                <w:sz w:val="20"/>
                <w:szCs w:val="20"/>
                <w:color w:val="auto"/>
              </w:rPr>
            </w:pPr>
            <w:r>
              <w:rPr>
                <w:rFonts w:ascii="Times New Roman" w:cs="Times New Roman" w:eastAsia="Times New Roman" w:hAnsi="Times New Roman"/>
                <w:sz w:val="13"/>
                <w:szCs w:val="13"/>
                <w:b w:val="1"/>
                <w:bCs w:val="1"/>
                <w:color w:val="auto"/>
              </w:rPr>
              <w:t>Part II</w:t>
            </w:r>
          </w:p>
        </w:tc>
        <w:tc>
          <w:tcPr>
            <w:tcW w:w="1900" w:type="dxa"/>
            <w:vAlign w:val="bottom"/>
          </w:tcPr>
          <w:p>
            <w:pPr>
              <w:spacing w:after="0"/>
              <w:rPr>
                <w:sz w:val="15"/>
                <w:szCs w:val="15"/>
                <w:color w:val="auto"/>
              </w:rPr>
            </w:pPr>
          </w:p>
        </w:tc>
      </w:tr>
      <w:tr>
        <w:trPr>
          <w:trHeight w:val="152"/>
        </w:trPr>
        <w:tc>
          <w:tcPr>
            <w:tcW w:w="920" w:type="dxa"/>
            <w:vAlign w:val="bottom"/>
          </w:tcPr>
          <w:p>
            <w:pPr>
              <w:spacing w:after="0"/>
              <w:rPr>
                <w:sz w:val="20"/>
                <w:szCs w:val="20"/>
                <w:color w:val="auto"/>
              </w:rPr>
            </w:pPr>
            <w:r>
              <w:rPr>
                <w:rFonts w:ascii="Times New Roman" w:cs="Times New Roman" w:eastAsia="Times New Roman" w:hAnsi="Times New Roman"/>
                <w:sz w:val="13"/>
                <w:szCs w:val="13"/>
                <w:color w:val="auto"/>
              </w:rPr>
              <w:t>Item 5.</w:t>
            </w:r>
          </w:p>
        </w:tc>
        <w:tc>
          <w:tcPr>
            <w:tcW w:w="5940" w:type="dxa"/>
            <w:vAlign w:val="bottom"/>
            <w:tcBorders>
              <w:bottom w:val="single" w:sz="8" w:color="0000EE"/>
            </w:tcBorders>
            <w:gridSpan w:val="8"/>
          </w:tcPr>
          <w:p>
            <w:pPr>
              <w:spacing w:after="0"/>
              <w:rPr>
                <w:rFonts w:ascii="Times New Roman" w:cs="Times New Roman" w:eastAsia="Times New Roman" w:hAnsi="Times New Roman"/>
                <w:sz w:val="13"/>
                <w:szCs w:val="13"/>
                <w:color w:val="auto"/>
              </w:rPr>
            </w:pPr>
            <w:hyperlink w:anchor="page34">
              <w:r>
                <w:rPr>
                  <w:rFonts w:ascii="Times New Roman" w:cs="Times New Roman" w:eastAsia="Times New Roman" w:hAnsi="Times New Roman"/>
                  <w:sz w:val="13"/>
                  <w:szCs w:val="13"/>
                  <w:color w:val="auto"/>
                </w:rPr>
                <w:t>Market for Registrant’s Common Equity, Related Stockholder Matters and Issuer Purchases of Equity Securities</w:t>
              </w:r>
            </w:hyperlink>
          </w:p>
        </w:tc>
        <w:tc>
          <w:tcPr>
            <w:tcW w:w="1780" w:type="dxa"/>
            <w:vAlign w:val="bottom"/>
          </w:tcPr>
          <w:p>
            <w:pPr>
              <w:spacing w:after="0"/>
              <w:rPr>
                <w:sz w:val="13"/>
                <w:szCs w:val="1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60"/>
        </w:trPr>
        <w:tc>
          <w:tcPr>
            <w:tcW w:w="920" w:type="dxa"/>
            <w:vAlign w:val="bottom"/>
          </w:tcPr>
          <w:p>
            <w:pPr>
              <w:spacing w:after="0"/>
              <w:rPr>
                <w:sz w:val="20"/>
                <w:szCs w:val="20"/>
                <w:color w:val="auto"/>
              </w:rPr>
            </w:pPr>
            <w:r>
              <w:rPr>
                <w:rFonts w:ascii="Times New Roman" w:cs="Times New Roman" w:eastAsia="Times New Roman" w:hAnsi="Times New Roman"/>
                <w:sz w:val="13"/>
                <w:szCs w:val="13"/>
                <w:color w:val="auto"/>
              </w:rPr>
              <w:t>Item 6.</w:t>
            </w:r>
          </w:p>
        </w:tc>
        <w:tc>
          <w:tcPr>
            <w:tcW w:w="7720" w:type="dxa"/>
            <w:vAlign w:val="bottom"/>
            <w:gridSpan w:val="9"/>
          </w:tcPr>
          <w:p>
            <w:pPr>
              <w:spacing w:after="0"/>
              <w:rPr>
                <w:rFonts w:ascii="Times New Roman" w:cs="Times New Roman" w:eastAsia="Times New Roman" w:hAnsi="Times New Roman"/>
                <w:sz w:val="13"/>
                <w:szCs w:val="13"/>
                <w:color w:val="auto"/>
              </w:rPr>
            </w:pPr>
            <w:hyperlink w:anchor="page36">
              <w:r>
                <w:rPr>
                  <w:rFonts w:ascii="Times New Roman" w:cs="Times New Roman" w:eastAsia="Times New Roman" w:hAnsi="Times New Roman"/>
                  <w:sz w:val="13"/>
                  <w:szCs w:val="13"/>
                  <w:color w:val="auto"/>
                </w:rPr>
                <w:t>[Reserved]</w:t>
              </w:r>
            </w:hyperlink>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60"/>
        </w:trPr>
        <w:tc>
          <w:tcPr>
            <w:tcW w:w="920" w:type="dxa"/>
            <w:vAlign w:val="bottom"/>
          </w:tcPr>
          <w:p>
            <w:pPr>
              <w:spacing w:after="0"/>
              <w:rPr>
                <w:sz w:val="20"/>
                <w:szCs w:val="20"/>
                <w:color w:val="auto"/>
              </w:rPr>
            </w:pPr>
            <w:r>
              <w:rPr>
                <w:rFonts w:ascii="Times New Roman" w:cs="Times New Roman" w:eastAsia="Times New Roman" w:hAnsi="Times New Roman"/>
                <w:sz w:val="13"/>
                <w:szCs w:val="13"/>
                <w:color w:val="auto"/>
              </w:rPr>
              <w:t>Item 7.</w:t>
            </w:r>
          </w:p>
        </w:tc>
        <w:tc>
          <w:tcPr>
            <w:tcW w:w="7720" w:type="dxa"/>
            <w:vAlign w:val="bottom"/>
            <w:gridSpan w:val="9"/>
          </w:tcPr>
          <w:p>
            <w:pPr>
              <w:spacing w:after="0"/>
              <w:rPr>
                <w:rFonts w:ascii="Times New Roman" w:cs="Times New Roman" w:eastAsia="Times New Roman" w:hAnsi="Times New Roman"/>
                <w:sz w:val="13"/>
                <w:szCs w:val="13"/>
                <w:color w:val="auto"/>
              </w:rPr>
            </w:pPr>
            <w:hyperlink w:anchor="page37">
              <w:r>
                <w:rPr>
                  <w:rFonts w:ascii="Times New Roman" w:cs="Times New Roman" w:eastAsia="Times New Roman" w:hAnsi="Times New Roman"/>
                  <w:sz w:val="13"/>
                  <w:szCs w:val="13"/>
                  <w:color w:val="auto"/>
                </w:rPr>
                <w:t>Management’s Discussion and Analysis of Financial Condition and Results of Operations</w:t>
              </w:r>
            </w:hyperlink>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60"/>
        </w:trPr>
        <w:tc>
          <w:tcPr>
            <w:tcW w:w="920" w:type="dxa"/>
            <w:vAlign w:val="bottom"/>
          </w:tcPr>
          <w:p>
            <w:pPr>
              <w:spacing w:after="0"/>
              <w:rPr>
                <w:sz w:val="20"/>
                <w:szCs w:val="20"/>
                <w:color w:val="auto"/>
              </w:rPr>
            </w:pPr>
            <w:r>
              <w:rPr>
                <w:rFonts w:ascii="Times New Roman" w:cs="Times New Roman" w:eastAsia="Times New Roman" w:hAnsi="Times New Roman"/>
                <w:sz w:val="13"/>
                <w:szCs w:val="13"/>
                <w:color w:val="auto"/>
              </w:rPr>
              <w:t>Item 7A.</w:t>
            </w:r>
          </w:p>
        </w:tc>
        <w:tc>
          <w:tcPr>
            <w:tcW w:w="320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3"/>
                <w:szCs w:val="13"/>
                <w:color w:val="auto"/>
              </w:rPr>
            </w:pPr>
            <w:hyperlink w:anchor="page50">
              <w:r>
                <w:rPr>
                  <w:rFonts w:ascii="Times New Roman" w:cs="Times New Roman" w:eastAsia="Times New Roman" w:hAnsi="Times New Roman"/>
                  <w:sz w:val="13"/>
                  <w:szCs w:val="13"/>
                  <w:color w:val="auto"/>
                </w:rPr>
                <w:t>Quantitative and Qualitative Disclosures About Market Risk</w:t>
              </w:r>
            </w:hyperlink>
          </w:p>
        </w:tc>
        <w:tc>
          <w:tcPr>
            <w:tcW w:w="1540" w:type="dxa"/>
            <w:vAlign w:val="bottom"/>
            <w:tcBorders>
              <w:top w:val="single" w:sz="8" w:color="0000EE"/>
            </w:tcBorders>
            <w:gridSpan w:val="2"/>
          </w:tcPr>
          <w:p>
            <w:pPr>
              <w:spacing w:after="0"/>
              <w:rPr>
                <w:sz w:val="13"/>
                <w:szCs w:val="13"/>
                <w:color w:val="auto"/>
              </w:rPr>
            </w:pPr>
          </w:p>
        </w:tc>
        <w:tc>
          <w:tcPr>
            <w:tcW w:w="2980" w:type="dxa"/>
            <w:vAlign w:val="bottom"/>
            <w:gridSpan w:val="2"/>
          </w:tcPr>
          <w:p>
            <w:pPr>
              <w:spacing w:after="0"/>
              <w:rPr>
                <w:sz w:val="13"/>
                <w:szCs w:val="1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r>
      <w:tr>
        <w:trPr>
          <w:trHeight w:val="160"/>
        </w:trPr>
        <w:tc>
          <w:tcPr>
            <w:tcW w:w="920" w:type="dxa"/>
            <w:vAlign w:val="bottom"/>
          </w:tcPr>
          <w:p>
            <w:pPr>
              <w:spacing w:after="0"/>
              <w:rPr>
                <w:sz w:val="20"/>
                <w:szCs w:val="20"/>
                <w:color w:val="auto"/>
              </w:rPr>
            </w:pPr>
            <w:r>
              <w:rPr>
                <w:rFonts w:ascii="Times New Roman" w:cs="Times New Roman" w:eastAsia="Times New Roman" w:hAnsi="Times New Roman"/>
                <w:sz w:val="13"/>
                <w:szCs w:val="13"/>
                <w:color w:val="auto"/>
              </w:rPr>
              <w:t>Item 8.</w:t>
            </w:r>
          </w:p>
        </w:tc>
        <w:tc>
          <w:tcPr>
            <w:tcW w:w="7720" w:type="dxa"/>
            <w:vAlign w:val="bottom"/>
            <w:gridSpan w:val="9"/>
          </w:tcPr>
          <w:p>
            <w:pPr>
              <w:spacing w:after="0"/>
              <w:rPr>
                <w:rFonts w:ascii="Times New Roman" w:cs="Times New Roman" w:eastAsia="Times New Roman" w:hAnsi="Times New Roman"/>
                <w:sz w:val="13"/>
                <w:szCs w:val="13"/>
                <w:color w:val="auto"/>
              </w:rPr>
            </w:pPr>
            <w:hyperlink w:anchor="page51">
              <w:r>
                <w:rPr>
                  <w:rFonts w:ascii="Times New Roman" w:cs="Times New Roman" w:eastAsia="Times New Roman" w:hAnsi="Times New Roman"/>
                  <w:sz w:val="13"/>
                  <w:szCs w:val="13"/>
                  <w:color w:val="auto"/>
                </w:rPr>
                <w:t>Financial Statements and Supplementary Data</w:t>
              </w:r>
            </w:hyperlink>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r>
      <w:tr>
        <w:trPr>
          <w:trHeight w:val="20"/>
        </w:trPr>
        <w:tc>
          <w:tcPr>
            <w:tcW w:w="92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60"/>
        </w:trPr>
        <w:tc>
          <w:tcPr>
            <w:tcW w:w="920" w:type="dxa"/>
            <w:vAlign w:val="bottom"/>
          </w:tcPr>
          <w:p>
            <w:pPr>
              <w:spacing w:after="0"/>
              <w:rPr>
                <w:sz w:val="20"/>
                <w:szCs w:val="20"/>
                <w:color w:val="auto"/>
              </w:rPr>
            </w:pPr>
            <w:r>
              <w:rPr>
                <w:rFonts w:ascii="Times New Roman" w:cs="Times New Roman" w:eastAsia="Times New Roman" w:hAnsi="Times New Roman"/>
                <w:sz w:val="13"/>
                <w:szCs w:val="13"/>
                <w:color w:val="auto"/>
              </w:rPr>
              <w:t>Item 9.</w:t>
            </w:r>
          </w:p>
        </w:tc>
        <w:tc>
          <w:tcPr>
            <w:tcW w:w="7720" w:type="dxa"/>
            <w:vAlign w:val="bottom"/>
            <w:gridSpan w:val="9"/>
          </w:tcPr>
          <w:p>
            <w:pPr>
              <w:spacing w:after="0"/>
              <w:rPr>
                <w:rFonts w:ascii="Times New Roman" w:cs="Times New Roman" w:eastAsia="Times New Roman" w:hAnsi="Times New Roman"/>
                <w:sz w:val="13"/>
                <w:szCs w:val="13"/>
                <w:color w:val="auto"/>
              </w:rPr>
            </w:pPr>
            <w:hyperlink w:anchor="page51">
              <w:r>
                <w:rPr>
                  <w:rFonts w:ascii="Times New Roman" w:cs="Times New Roman" w:eastAsia="Times New Roman" w:hAnsi="Times New Roman"/>
                  <w:sz w:val="13"/>
                  <w:szCs w:val="13"/>
                  <w:color w:val="auto"/>
                </w:rPr>
                <w:t>Changes in and Disagreements with Accountants on Accounting and Financial Disclosure</w:t>
              </w:r>
            </w:hyperlink>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r>
      <w:tr>
        <w:trPr>
          <w:trHeight w:val="160"/>
        </w:trPr>
        <w:tc>
          <w:tcPr>
            <w:tcW w:w="920" w:type="dxa"/>
            <w:vAlign w:val="bottom"/>
          </w:tcPr>
          <w:p>
            <w:pPr>
              <w:spacing w:after="0"/>
              <w:rPr>
                <w:sz w:val="20"/>
                <w:szCs w:val="20"/>
                <w:color w:val="auto"/>
              </w:rPr>
            </w:pPr>
            <w:r>
              <w:rPr>
                <w:rFonts w:ascii="Times New Roman" w:cs="Times New Roman" w:eastAsia="Times New Roman" w:hAnsi="Times New Roman"/>
                <w:sz w:val="13"/>
                <w:szCs w:val="13"/>
                <w:color w:val="auto"/>
              </w:rPr>
              <w:t>Item 9A.</w:t>
            </w:r>
          </w:p>
        </w:tc>
        <w:tc>
          <w:tcPr>
            <w:tcW w:w="130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3"/>
                <w:szCs w:val="13"/>
                <w:color w:val="auto"/>
              </w:rPr>
            </w:pPr>
            <w:hyperlink w:anchor="page51">
              <w:r>
                <w:rPr>
                  <w:rFonts w:ascii="Times New Roman" w:cs="Times New Roman" w:eastAsia="Times New Roman" w:hAnsi="Times New Roman"/>
                  <w:sz w:val="13"/>
                  <w:szCs w:val="13"/>
                  <w:color w:val="auto"/>
                </w:rPr>
                <w:t>Controls and Procedures</w:t>
              </w:r>
            </w:hyperlink>
          </w:p>
        </w:tc>
        <w:tc>
          <w:tcPr>
            <w:tcW w:w="3440" w:type="dxa"/>
            <w:vAlign w:val="bottom"/>
            <w:tcBorders>
              <w:top w:val="single" w:sz="8" w:color="0000EE"/>
            </w:tcBorders>
            <w:gridSpan w:val="4"/>
          </w:tcPr>
          <w:p>
            <w:pPr>
              <w:spacing w:after="0"/>
              <w:rPr>
                <w:sz w:val="13"/>
                <w:szCs w:val="13"/>
                <w:color w:val="auto"/>
              </w:rPr>
            </w:pPr>
          </w:p>
        </w:tc>
        <w:tc>
          <w:tcPr>
            <w:tcW w:w="2980" w:type="dxa"/>
            <w:vAlign w:val="bottom"/>
            <w:gridSpan w:val="2"/>
          </w:tcPr>
          <w:p>
            <w:pPr>
              <w:spacing w:after="0"/>
              <w:rPr>
                <w:sz w:val="13"/>
                <w:szCs w:val="1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r>
      <w:tr>
        <w:trPr>
          <w:trHeight w:val="160"/>
        </w:trPr>
        <w:tc>
          <w:tcPr>
            <w:tcW w:w="920" w:type="dxa"/>
            <w:vAlign w:val="bottom"/>
          </w:tcPr>
          <w:p>
            <w:pPr>
              <w:spacing w:after="0"/>
              <w:rPr>
                <w:sz w:val="20"/>
                <w:szCs w:val="20"/>
                <w:color w:val="auto"/>
              </w:rPr>
            </w:pPr>
            <w:r>
              <w:rPr>
                <w:rFonts w:ascii="Times New Roman" w:cs="Times New Roman" w:eastAsia="Times New Roman" w:hAnsi="Times New Roman"/>
                <w:sz w:val="13"/>
                <w:szCs w:val="13"/>
                <w:color w:val="auto"/>
              </w:rPr>
              <w:t>Item 9B.</w:t>
            </w:r>
          </w:p>
        </w:tc>
        <w:tc>
          <w:tcPr>
            <w:tcW w:w="7720" w:type="dxa"/>
            <w:vAlign w:val="bottom"/>
            <w:gridSpan w:val="9"/>
          </w:tcPr>
          <w:p>
            <w:pPr>
              <w:spacing w:after="0"/>
              <w:rPr>
                <w:rFonts w:ascii="Times New Roman" w:cs="Times New Roman" w:eastAsia="Times New Roman" w:hAnsi="Times New Roman"/>
                <w:sz w:val="13"/>
                <w:szCs w:val="13"/>
                <w:color w:val="auto"/>
              </w:rPr>
            </w:pPr>
            <w:hyperlink w:anchor="page52">
              <w:r>
                <w:rPr>
                  <w:rFonts w:ascii="Times New Roman" w:cs="Times New Roman" w:eastAsia="Times New Roman" w:hAnsi="Times New Roman"/>
                  <w:sz w:val="13"/>
                  <w:szCs w:val="13"/>
                  <w:color w:val="auto"/>
                </w:rPr>
                <w:t>Other Information</w:t>
              </w:r>
            </w:hyperlink>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20"/>
        </w:trPr>
        <w:tc>
          <w:tcPr>
            <w:tcW w:w="92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60"/>
        </w:trPr>
        <w:tc>
          <w:tcPr>
            <w:tcW w:w="920" w:type="dxa"/>
            <w:vAlign w:val="bottom"/>
          </w:tcPr>
          <w:p>
            <w:pPr>
              <w:spacing w:after="0"/>
              <w:rPr>
                <w:sz w:val="20"/>
                <w:szCs w:val="20"/>
                <w:color w:val="auto"/>
              </w:rPr>
            </w:pPr>
            <w:r>
              <w:rPr>
                <w:rFonts w:ascii="Times New Roman" w:cs="Times New Roman" w:eastAsia="Times New Roman" w:hAnsi="Times New Roman"/>
                <w:sz w:val="13"/>
                <w:szCs w:val="13"/>
                <w:color w:val="auto"/>
              </w:rPr>
              <w:t>Item 9C.</w:t>
            </w:r>
          </w:p>
        </w:tc>
        <w:tc>
          <w:tcPr>
            <w:tcW w:w="3600" w:type="dxa"/>
            <w:vAlign w:val="bottom"/>
            <w:tcBorders>
              <w:bottom w:val="single" w:sz="8" w:color="0000EE"/>
            </w:tcBorders>
            <w:gridSpan w:val="6"/>
          </w:tcPr>
          <w:p>
            <w:pPr>
              <w:spacing w:after="0"/>
              <w:rPr>
                <w:rFonts w:ascii="Times New Roman" w:cs="Times New Roman" w:eastAsia="Times New Roman" w:hAnsi="Times New Roman"/>
                <w:sz w:val="13"/>
                <w:szCs w:val="13"/>
                <w:color w:val="auto"/>
              </w:rPr>
            </w:pPr>
            <w:hyperlink w:anchor="page54">
              <w:r>
                <w:rPr>
                  <w:rFonts w:ascii="Times New Roman" w:cs="Times New Roman" w:eastAsia="Times New Roman" w:hAnsi="Times New Roman"/>
                  <w:sz w:val="13"/>
                  <w:szCs w:val="13"/>
                  <w:color w:val="auto"/>
                </w:rPr>
                <w:t>Disclosure Regarding Foreign Jurisdictions that Prevent Inspections</w:t>
              </w:r>
            </w:hyperlink>
          </w:p>
        </w:tc>
        <w:tc>
          <w:tcPr>
            <w:tcW w:w="4120" w:type="dxa"/>
            <w:vAlign w:val="bottom"/>
            <w:gridSpan w:val="3"/>
          </w:tcPr>
          <w:p>
            <w:pPr>
              <w:spacing w:after="0"/>
              <w:rPr>
                <w:sz w:val="13"/>
                <w:szCs w:val="1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20" w:type="dxa"/>
            <w:vAlign w:val="bottom"/>
            <w:gridSpan w:val="2"/>
          </w:tcPr>
          <w:p>
            <w:pPr>
              <w:ind w:left="360"/>
              <w:spacing w:after="0"/>
              <w:rPr>
                <w:sz w:val="20"/>
                <w:szCs w:val="20"/>
                <w:color w:val="auto"/>
              </w:rPr>
            </w:pPr>
            <w:r>
              <w:rPr>
                <w:rFonts w:ascii="Times New Roman" w:cs="Times New Roman" w:eastAsia="Times New Roman" w:hAnsi="Times New Roman"/>
                <w:sz w:val="13"/>
                <w:szCs w:val="13"/>
                <w:b w:val="1"/>
                <w:bCs w:val="1"/>
                <w:color w:val="auto"/>
              </w:rPr>
              <w:t>Part III</w:t>
            </w:r>
          </w:p>
        </w:tc>
        <w:tc>
          <w:tcPr>
            <w:tcW w:w="2200" w:type="dxa"/>
            <w:vAlign w:val="bottom"/>
          </w:tcPr>
          <w:p>
            <w:pPr>
              <w:spacing w:after="0"/>
              <w:rPr>
                <w:sz w:val="15"/>
                <w:szCs w:val="15"/>
                <w:color w:val="auto"/>
              </w:rPr>
            </w:pPr>
          </w:p>
        </w:tc>
      </w:tr>
      <w:tr>
        <w:trPr>
          <w:trHeight w:val="152"/>
        </w:trPr>
        <w:tc>
          <w:tcPr>
            <w:tcW w:w="920" w:type="dxa"/>
            <w:vAlign w:val="bottom"/>
          </w:tcPr>
          <w:p>
            <w:pPr>
              <w:spacing w:after="0"/>
              <w:rPr>
                <w:sz w:val="20"/>
                <w:szCs w:val="20"/>
                <w:color w:val="auto"/>
              </w:rPr>
            </w:pPr>
            <w:r>
              <w:rPr>
                <w:rFonts w:ascii="Times New Roman" w:cs="Times New Roman" w:eastAsia="Times New Roman" w:hAnsi="Times New Roman"/>
                <w:sz w:val="13"/>
                <w:szCs w:val="13"/>
                <w:color w:val="auto"/>
              </w:rPr>
              <w:t>Item 10.</w:t>
            </w:r>
          </w:p>
        </w:tc>
        <w:tc>
          <w:tcPr>
            <w:tcW w:w="7420" w:type="dxa"/>
            <w:vAlign w:val="bottom"/>
            <w:gridSpan w:val="6"/>
          </w:tcPr>
          <w:p>
            <w:pPr>
              <w:spacing w:after="0"/>
              <w:rPr>
                <w:rFonts w:ascii="Times New Roman" w:cs="Times New Roman" w:eastAsia="Times New Roman" w:hAnsi="Times New Roman"/>
                <w:sz w:val="13"/>
                <w:szCs w:val="13"/>
                <w:color w:val="auto"/>
              </w:rPr>
            </w:pPr>
            <w:hyperlink w:anchor="page55">
              <w:r>
                <w:rPr>
                  <w:rFonts w:ascii="Times New Roman" w:cs="Times New Roman" w:eastAsia="Times New Roman" w:hAnsi="Times New Roman"/>
                  <w:sz w:val="13"/>
                  <w:szCs w:val="13"/>
                  <w:color w:val="auto"/>
                </w:rPr>
                <w:t>Directors, Executive Officers and Corporate Governance</w:t>
              </w:r>
            </w:hyperlink>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r>
      <w:tr>
        <w:trPr>
          <w:trHeight w:val="160"/>
        </w:trPr>
        <w:tc>
          <w:tcPr>
            <w:tcW w:w="920" w:type="dxa"/>
            <w:vAlign w:val="bottom"/>
          </w:tcPr>
          <w:p>
            <w:pPr>
              <w:spacing w:after="0"/>
              <w:rPr>
                <w:sz w:val="20"/>
                <w:szCs w:val="20"/>
                <w:color w:val="auto"/>
              </w:rPr>
            </w:pPr>
            <w:r>
              <w:rPr>
                <w:rFonts w:ascii="Times New Roman" w:cs="Times New Roman" w:eastAsia="Times New Roman" w:hAnsi="Times New Roman"/>
                <w:sz w:val="13"/>
                <w:szCs w:val="13"/>
                <w:color w:val="auto"/>
              </w:rPr>
              <w:t>Item 11.</w:t>
            </w:r>
          </w:p>
        </w:tc>
        <w:tc>
          <w:tcPr>
            <w:tcW w:w="3000" w:type="dxa"/>
            <w:vAlign w:val="bottom"/>
            <w:tcBorders>
              <w:top w:val="single" w:sz="8" w:color="0000EE"/>
            </w:tcBorders>
            <w:gridSpan w:val="3"/>
          </w:tcPr>
          <w:p>
            <w:pPr>
              <w:spacing w:after="0"/>
              <w:rPr>
                <w:rFonts w:ascii="Times New Roman" w:cs="Times New Roman" w:eastAsia="Times New Roman" w:hAnsi="Times New Roman"/>
                <w:sz w:val="13"/>
                <w:szCs w:val="13"/>
                <w:color w:val="auto"/>
              </w:rPr>
            </w:pPr>
            <w:hyperlink w:anchor="page1">
              <w:r>
                <w:rPr>
                  <w:rFonts w:ascii="Times New Roman" w:cs="Times New Roman" w:eastAsia="Times New Roman" w:hAnsi="Times New Roman"/>
                  <w:sz w:val="13"/>
                  <w:szCs w:val="13"/>
                  <w:color w:val="auto"/>
                </w:rPr>
                <w:t>Executive Compensation</w:t>
              </w:r>
            </w:hyperlink>
          </w:p>
        </w:tc>
        <w:tc>
          <w:tcPr>
            <w:tcW w:w="4420" w:type="dxa"/>
            <w:vAlign w:val="bottom"/>
            <w:gridSpan w:val="3"/>
          </w:tcPr>
          <w:p>
            <w:pPr>
              <w:spacing w:after="0"/>
              <w:rPr>
                <w:sz w:val="13"/>
                <w:szCs w:val="13"/>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r>
      <w:tr>
        <w:trPr>
          <w:trHeight w:val="20"/>
        </w:trPr>
        <w:tc>
          <w:tcPr>
            <w:tcW w:w="9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60"/>
        </w:trPr>
        <w:tc>
          <w:tcPr>
            <w:tcW w:w="920" w:type="dxa"/>
            <w:vAlign w:val="bottom"/>
          </w:tcPr>
          <w:p>
            <w:pPr>
              <w:spacing w:after="0"/>
              <w:rPr>
                <w:sz w:val="20"/>
                <w:szCs w:val="20"/>
                <w:color w:val="auto"/>
              </w:rPr>
            </w:pPr>
            <w:r>
              <w:rPr>
                <w:rFonts w:ascii="Times New Roman" w:cs="Times New Roman" w:eastAsia="Times New Roman" w:hAnsi="Times New Roman"/>
                <w:sz w:val="13"/>
                <w:szCs w:val="13"/>
                <w:color w:val="auto"/>
              </w:rPr>
              <w:t>Item 12.</w:t>
            </w:r>
          </w:p>
        </w:tc>
        <w:tc>
          <w:tcPr>
            <w:tcW w:w="7420" w:type="dxa"/>
            <w:vAlign w:val="bottom"/>
            <w:gridSpan w:val="6"/>
          </w:tcPr>
          <w:p>
            <w:pPr>
              <w:spacing w:after="0"/>
              <w:rPr>
                <w:rFonts w:ascii="Times New Roman" w:cs="Times New Roman" w:eastAsia="Times New Roman" w:hAnsi="Times New Roman"/>
                <w:sz w:val="13"/>
                <w:szCs w:val="13"/>
                <w:color w:val="auto"/>
              </w:rPr>
            </w:pPr>
            <w:hyperlink w:anchor="page55">
              <w:r>
                <w:rPr>
                  <w:rFonts w:ascii="Times New Roman" w:cs="Times New Roman" w:eastAsia="Times New Roman" w:hAnsi="Times New Roman"/>
                  <w:sz w:val="13"/>
                  <w:szCs w:val="13"/>
                  <w:color w:val="auto"/>
                </w:rPr>
                <w:t>Security Ownership of Certain Beneficial Owners and Management and Related Stockholder Matters</w:t>
              </w:r>
            </w:hyperlink>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r>
      <w:tr>
        <w:trPr>
          <w:trHeight w:val="160"/>
        </w:trPr>
        <w:tc>
          <w:tcPr>
            <w:tcW w:w="920" w:type="dxa"/>
            <w:vAlign w:val="bottom"/>
          </w:tcPr>
          <w:p>
            <w:pPr>
              <w:spacing w:after="0"/>
              <w:rPr>
                <w:sz w:val="20"/>
                <w:szCs w:val="20"/>
                <w:color w:val="auto"/>
              </w:rPr>
            </w:pPr>
            <w:r>
              <w:rPr>
                <w:rFonts w:ascii="Times New Roman" w:cs="Times New Roman" w:eastAsia="Times New Roman" w:hAnsi="Times New Roman"/>
                <w:sz w:val="13"/>
                <w:szCs w:val="13"/>
                <w:color w:val="auto"/>
              </w:rPr>
              <w:t>Item 13.</w:t>
            </w:r>
          </w:p>
        </w:tc>
        <w:tc>
          <w:tcPr>
            <w:tcW w:w="5340" w:type="dxa"/>
            <w:vAlign w:val="bottom"/>
            <w:tcBorders>
              <w:top w:val="single" w:sz="8" w:color="0000EE"/>
            </w:tcBorders>
            <w:gridSpan w:val="5"/>
          </w:tcPr>
          <w:p>
            <w:pPr>
              <w:spacing w:after="0"/>
              <w:rPr>
                <w:rFonts w:ascii="Times New Roman" w:cs="Times New Roman" w:eastAsia="Times New Roman" w:hAnsi="Times New Roman"/>
                <w:sz w:val="13"/>
                <w:szCs w:val="13"/>
                <w:color w:val="auto"/>
              </w:rPr>
            </w:pPr>
            <w:hyperlink w:anchor="page55">
              <w:r>
                <w:rPr>
                  <w:rFonts w:ascii="Times New Roman" w:cs="Times New Roman" w:eastAsia="Times New Roman" w:hAnsi="Times New Roman"/>
                  <w:sz w:val="13"/>
                  <w:szCs w:val="13"/>
                  <w:color w:val="auto"/>
                </w:rPr>
                <w:t>Certain Relationships and Related Transactions, and Director Independence</w:t>
              </w:r>
            </w:hyperlink>
          </w:p>
        </w:tc>
        <w:tc>
          <w:tcPr>
            <w:tcW w:w="2080" w:type="dxa"/>
            <w:vAlign w:val="bottom"/>
          </w:tcPr>
          <w:p>
            <w:pPr>
              <w:spacing w:after="0"/>
              <w:rPr>
                <w:sz w:val="13"/>
                <w:szCs w:val="13"/>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r>
      <w:tr>
        <w:trPr>
          <w:trHeight w:val="160"/>
        </w:trPr>
        <w:tc>
          <w:tcPr>
            <w:tcW w:w="920" w:type="dxa"/>
            <w:vAlign w:val="bottom"/>
          </w:tcPr>
          <w:p>
            <w:pPr>
              <w:spacing w:after="0"/>
              <w:rPr>
                <w:sz w:val="20"/>
                <w:szCs w:val="20"/>
                <w:color w:val="auto"/>
              </w:rPr>
            </w:pPr>
            <w:r>
              <w:rPr>
                <w:rFonts w:ascii="Times New Roman" w:cs="Times New Roman" w:eastAsia="Times New Roman" w:hAnsi="Times New Roman"/>
                <w:sz w:val="13"/>
                <w:szCs w:val="13"/>
                <w:color w:val="auto"/>
              </w:rPr>
              <w:t>Item 14.</w:t>
            </w:r>
          </w:p>
        </w:tc>
        <w:tc>
          <w:tcPr>
            <w:tcW w:w="210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3"/>
                <w:szCs w:val="13"/>
                <w:color w:val="auto"/>
              </w:rPr>
            </w:pPr>
            <w:hyperlink w:anchor="page55">
              <w:r>
                <w:rPr>
                  <w:rFonts w:ascii="Times New Roman" w:cs="Times New Roman" w:eastAsia="Times New Roman" w:hAnsi="Times New Roman"/>
                  <w:sz w:val="13"/>
                  <w:szCs w:val="13"/>
                  <w:color w:val="auto"/>
                </w:rPr>
                <w:t>Principal Accountant Fees and Services</w:t>
              </w:r>
            </w:hyperlink>
          </w:p>
        </w:tc>
        <w:tc>
          <w:tcPr>
            <w:tcW w:w="1900" w:type="dxa"/>
            <w:vAlign w:val="bottom"/>
            <w:tcBorders>
              <w:top w:val="single" w:sz="8" w:color="0000EE"/>
            </w:tcBorders>
            <w:gridSpan w:val="2"/>
          </w:tcPr>
          <w:p>
            <w:pPr>
              <w:spacing w:after="0"/>
              <w:rPr>
                <w:sz w:val="13"/>
                <w:szCs w:val="13"/>
                <w:color w:val="auto"/>
              </w:rPr>
            </w:pPr>
          </w:p>
        </w:tc>
        <w:tc>
          <w:tcPr>
            <w:tcW w:w="3420" w:type="dxa"/>
            <w:vAlign w:val="bottom"/>
            <w:gridSpan w:val="2"/>
          </w:tcPr>
          <w:p>
            <w:pPr>
              <w:spacing w:after="0"/>
              <w:rPr>
                <w:sz w:val="13"/>
                <w:szCs w:val="13"/>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300" w:type="dxa"/>
            <w:vAlign w:val="bottom"/>
          </w:tcPr>
          <w:p>
            <w:pPr>
              <w:jc w:val="right"/>
              <w:ind w:right="4754"/>
              <w:spacing w:after="0"/>
              <w:rPr>
                <w:sz w:val="20"/>
                <w:szCs w:val="20"/>
                <w:color w:val="auto"/>
              </w:rPr>
            </w:pPr>
            <w:r>
              <w:rPr>
                <w:rFonts w:ascii="Times New Roman" w:cs="Times New Roman" w:eastAsia="Times New Roman" w:hAnsi="Times New Roman"/>
                <w:sz w:val="13"/>
                <w:szCs w:val="13"/>
                <w:b w:val="1"/>
                <w:bCs w:val="1"/>
                <w:color w:val="auto"/>
              </w:rPr>
              <w:t>Part IV</w:t>
            </w:r>
          </w:p>
        </w:tc>
      </w:tr>
      <w:tr>
        <w:trPr>
          <w:trHeight w:val="152"/>
        </w:trPr>
        <w:tc>
          <w:tcPr>
            <w:tcW w:w="9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Item 15.</w:t>
            </w:r>
          </w:p>
        </w:tc>
        <w:tc>
          <w:tcPr>
            <w:tcW w:w="2320" w:type="dxa"/>
            <w:vAlign w:val="bottom"/>
            <w:tcBorders>
              <w:bottom w:val="single" w:sz="8" w:color="0000EE"/>
            </w:tcBorders>
            <w:gridSpan w:val="3"/>
          </w:tcPr>
          <w:p>
            <w:pPr>
              <w:spacing w:after="0"/>
              <w:rPr>
                <w:rFonts w:ascii="Times New Roman" w:cs="Times New Roman" w:eastAsia="Times New Roman" w:hAnsi="Times New Roman"/>
                <w:sz w:val="13"/>
                <w:szCs w:val="13"/>
                <w:color w:val="auto"/>
              </w:rPr>
            </w:pPr>
            <w:hyperlink w:anchor="page56">
              <w:r>
                <w:rPr>
                  <w:rFonts w:ascii="Times New Roman" w:cs="Times New Roman" w:eastAsia="Times New Roman" w:hAnsi="Times New Roman"/>
                  <w:sz w:val="13"/>
                  <w:szCs w:val="13"/>
                  <w:color w:val="auto"/>
                </w:rPr>
                <w:t>Exhibits and Financial Statement Schedules</w:t>
              </w:r>
            </w:hyperlink>
          </w:p>
        </w:tc>
        <w:tc>
          <w:tcPr>
            <w:tcW w:w="7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160"/>
        </w:trPr>
        <w:tc>
          <w:tcPr>
            <w:tcW w:w="9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Item 16.</w:t>
            </w:r>
          </w:p>
        </w:tc>
        <w:tc>
          <w:tcPr>
            <w:tcW w:w="1140" w:type="dxa"/>
            <w:vAlign w:val="bottom"/>
            <w:tcBorders>
              <w:bottom w:val="single" w:sz="8" w:color="0000EE"/>
            </w:tcBorders>
            <w:gridSpan w:val="2"/>
          </w:tcPr>
          <w:p>
            <w:pPr>
              <w:spacing w:after="0"/>
              <w:rPr>
                <w:rFonts w:ascii="Times New Roman" w:cs="Times New Roman" w:eastAsia="Times New Roman" w:hAnsi="Times New Roman"/>
                <w:sz w:val="13"/>
                <w:szCs w:val="13"/>
                <w:color w:val="auto"/>
              </w:rPr>
            </w:pPr>
            <w:hyperlink w:anchor="page56">
              <w:r>
                <w:rPr>
                  <w:rFonts w:ascii="Times New Roman" w:cs="Times New Roman" w:eastAsia="Times New Roman" w:hAnsi="Times New Roman"/>
                  <w:sz w:val="13"/>
                  <w:szCs w:val="13"/>
                  <w:color w:val="auto"/>
                </w:rPr>
                <w:t>Form 10-K Summary</w:t>
              </w:r>
            </w:hyperlink>
          </w:p>
        </w:tc>
        <w:tc>
          <w:tcPr>
            <w:tcW w:w="1180" w:type="dxa"/>
            <w:vAlign w:val="bottom"/>
          </w:tcPr>
          <w:p>
            <w:pPr>
              <w:spacing w:after="0"/>
              <w:rPr>
                <w:sz w:val="13"/>
                <w:szCs w:val="13"/>
                <w:color w:val="auto"/>
              </w:rPr>
            </w:pPr>
          </w:p>
        </w:tc>
        <w:tc>
          <w:tcPr>
            <w:tcW w:w="7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160"/>
        </w:trPr>
        <w:tc>
          <w:tcPr>
            <w:tcW w:w="3240" w:type="dxa"/>
            <w:vAlign w:val="bottom"/>
            <w:gridSpan w:val="5"/>
          </w:tcPr>
          <w:p>
            <w:pPr>
              <w:spacing w:after="0"/>
              <w:rPr>
                <w:rFonts w:ascii="Times New Roman" w:cs="Times New Roman" w:eastAsia="Times New Roman" w:hAnsi="Times New Roman"/>
                <w:sz w:val="13"/>
                <w:szCs w:val="13"/>
                <w:color w:val="auto"/>
              </w:rPr>
            </w:pPr>
            <w:hyperlink w:anchor="page57">
              <w:r>
                <w:rPr>
                  <w:rFonts w:ascii="Times New Roman" w:cs="Times New Roman" w:eastAsia="Times New Roman" w:hAnsi="Times New Roman"/>
                  <w:sz w:val="13"/>
                  <w:szCs w:val="13"/>
                  <w:color w:val="auto"/>
                </w:rPr>
                <w:t>Financial Statements</w:t>
              </w:r>
            </w:hyperlink>
          </w:p>
        </w:tc>
        <w:tc>
          <w:tcPr>
            <w:tcW w:w="7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F-1</w:t>
            </w:r>
          </w:p>
        </w:tc>
      </w:tr>
      <w:tr>
        <w:trPr>
          <w:trHeight w:val="136"/>
        </w:trPr>
        <w:tc>
          <w:tcPr>
            <w:tcW w:w="560" w:type="dxa"/>
            <w:vAlign w:val="bottom"/>
            <w:tcBorders>
              <w:top w:val="single" w:sz="8" w:color="0000EE"/>
              <w:bottom w:val="single" w:sz="8" w:color="0000EE"/>
            </w:tcBorders>
          </w:tcPr>
          <w:p>
            <w:pPr>
              <w:spacing w:after="0" w:line="136" w:lineRule="exact"/>
              <w:rPr>
                <w:rFonts w:ascii="Times New Roman" w:cs="Times New Roman" w:eastAsia="Times New Roman" w:hAnsi="Times New Roman"/>
                <w:sz w:val="13"/>
                <w:szCs w:val="13"/>
                <w:color w:val="auto"/>
                <w:w w:val="98"/>
              </w:rPr>
            </w:pPr>
            <w:hyperlink w:anchor="page102">
              <w:r>
                <w:rPr>
                  <w:rFonts w:ascii="Times New Roman" w:cs="Times New Roman" w:eastAsia="Times New Roman" w:hAnsi="Times New Roman"/>
                  <w:sz w:val="13"/>
                  <w:szCs w:val="13"/>
                  <w:color w:val="auto"/>
                  <w:w w:val="98"/>
                </w:rPr>
                <w:t>Signatures</w:t>
              </w:r>
            </w:hyperlink>
          </w:p>
        </w:tc>
        <w:tc>
          <w:tcPr>
            <w:tcW w:w="36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9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300" w:type="dxa"/>
            <w:vAlign w:val="bottom"/>
          </w:tcPr>
          <w:p>
            <w:pPr>
              <w:spacing w:after="0"/>
              <w:rPr>
                <w:sz w:val="11"/>
                <w:szCs w:val="11"/>
                <w:color w:val="auto"/>
              </w:rPr>
            </w:pPr>
          </w:p>
        </w:tc>
      </w:tr>
    </w:tbl>
    <w:p>
      <w:pPr>
        <w:spacing w:after="0" w:line="3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417830</wp:posOffset>
            </wp:positionV>
            <wp:extent cx="673290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80" w:top="1440" w:right="680" w:bottom="1440" w:gutter="0" w:footer="0" w:header="0"/>
        </w:sectPr>
      </w:pPr>
    </w:p>
    <w:bookmarkStart w:id="3" w:name="page4"/>
    <w:bookmarkEnd w:id="3"/>
    <w:p>
      <w:pPr>
        <w:spacing w:after="0" w:line="1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CAUTIONARY STATEMENT CONCERNING FORWARD-LOOKING STATEMENTS</w:t>
      </w:r>
    </w:p>
    <w:p>
      <w:pPr>
        <w:spacing w:after="0" w:line="103" w:lineRule="exact"/>
        <w:rPr>
          <w:sz w:val="20"/>
          <w:szCs w:val="20"/>
          <w:color w:val="auto"/>
        </w:rPr>
      </w:pPr>
    </w:p>
    <w:p>
      <w:pPr>
        <w:ind w:right="80" w:firstLine="348"/>
        <w:spacing w:after="0" w:line="256" w:lineRule="auto"/>
        <w:rPr>
          <w:sz w:val="20"/>
          <w:szCs w:val="20"/>
          <w:color w:val="auto"/>
        </w:rPr>
      </w:pPr>
      <w:r>
        <w:rPr>
          <w:rFonts w:ascii="Times New Roman" w:cs="Times New Roman" w:eastAsia="Times New Roman" w:hAnsi="Times New Roman"/>
          <w:sz w:val="13"/>
          <w:szCs w:val="13"/>
          <w:i w:val="1"/>
          <w:iCs w:val="1"/>
          <w:color w:val="auto"/>
        </w:rPr>
        <w:t>This Annual Report on Form 10-K contains forward-looking statements. The matters discussed in this Annual Report, as well as in future oral and written statements by the Company, that are forward-looking statements are based on current management expectations that involve substantial risks and uncertainties which could cause actual results to differ materially from the results expressed in, or implied by, these forward- looking statements. Forward -looking statements relate to future events or our future financial performance. We generally identify forward-looking statements by terminology such as “may,” “will,” “should,” “expect,” “plan,” “anticipate,” “could,” “intend,” “target,” “project,” “contemplate,” “believe,” “estimate,” “predict,” “potential,” or “continue” or the negative of these terms or other similar words, although not all forward-looking statements include these words. Important assumptions include our ability to originate new investments, achieve certain margins and levels of profitability, the availability of additional capital, our ability to successfully and profitably integrate acquired assets and companies, and the ability to maintain certain debt to asset ratios. In light of these and other uncertainties, the inclusion of a projection or forward-looking statement in this Annual Report should not be regarded as a representation by us that our plans or objectives will be achieved.</w:t>
      </w:r>
    </w:p>
    <w:p>
      <w:pPr>
        <w:spacing w:after="0" w:line="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i w:val="1"/>
          <w:iCs w:val="1"/>
          <w:color w:val="auto"/>
        </w:rPr>
        <w:t>The forward-looking statements contained in this Annual Report on Form 10-K include statements as to:</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our ability to consummate the merger with Logan Ridge Finance Corporation (“LRFC”) on the expected timeline, or at all;</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our future operating results;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our business prospects and the prospects of our existing and prospective portfolio companies;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the return or impact of current and future investments;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our contractual arrangements and other relationships with third parties;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the dependence of our future success on the general economy and its impact on the industries in which we invest;</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the financial condition and ability of our existing and prospective portfolio companies to achieve their objectives;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our expected financings and investments;</w:t>
      </w:r>
    </w:p>
    <w:p>
      <w:pPr>
        <w:spacing w:after="0" w:line="103" w:lineRule="exact"/>
        <w:rPr>
          <w:sz w:val="20"/>
          <w:szCs w:val="20"/>
          <w:color w:val="auto"/>
        </w:rPr>
      </w:pPr>
    </w:p>
    <w:p>
      <w:pPr>
        <w:ind w:left="360"/>
        <w:spacing w:after="0" w:line="28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our ability to operate as a business development company under the Investment Company Act of 1940 and a regulated investment company under Subchapter M of the Internal Revenue Code of</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1986, including the impact of changes in laws or regulations governing our operations or the operations of our portfolio companies;</w:t>
      </w:r>
    </w:p>
    <w:p>
      <w:pPr>
        <w:spacing w:after="0" w:line="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the adequacy of our available liquidity, cash resources and working capital;</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the timing of cash flows, if any, from the operations of our portfolio companies;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the ability of Sierra Crest Investment Management LLC (the "Adviser") to locate suitable investments for us to monitor and administer our investments;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the ability of the Adviser to attract and retain highly talented professionals;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actual and potential conflicts of interest with the Adviser and its affiliates;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the effect of legal, tax, and regulatory changes on us and our portfolio companies;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the impact of a protracted decline in the liquidity of credit markets on our business;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the impact of fluctuations in interest rates on our business;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the valuation of our investments in portfolio companies, particularly those having no liquid trading market;</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our ability to recover unrealized losses;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market conditions and our ability to access additional capital;</w:t>
      </w:r>
    </w:p>
    <w:p>
      <w:pPr>
        <w:spacing w:after="0" w:line="103" w:lineRule="exact"/>
        <w:rPr>
          <w:sz w:val="20"/>
          <w:szCs w:val="20"/>
          <w:color w:val="auto"/>
        </w:rPr>
      </w:pPr>
    </w:p>
    <w:p>
      <w:pPr>
        <w:ind w:left="360" w:right="580"/>
        <w:spacing w:after="0" w:line="28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an economic downturn could have a material adverse effect on our portfolio companies' results of operations and financial condition, which could lead to a loss on some or all of our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investments in such portfolio companies and have a material adverse effect on our results of operations and financial condition;</w:t>
      </w:r>
    </w:p>
    <w:p>
      <w:pPr>
        <w:spacing w:after="0" w:line="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the timing, form and amount of any dividend distributions; and</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risks related to certain mergers diverting management’s attention from ongoing business operations.</w:t>
      </w:r>
    </w:p>
    <w:p>
      <w:pPr>
        <w:spacing w:after="0" w:line="103" w:lineRule="exact"/>
        <w:rPr>
          <w:sz w:val="20"/>
          <w:szCs w:val="20"/>
          <w:color w:val="auto"/>
        </w:rPr>
      </w:pPr>
    </w:p>
    <w:p>
      <w:pPr>
        <w:ind w:right="220" w:firstLine="348"/>
        <w:spacing w:after="0" w:line="263" w:lineRule="auto"/>
        <w:rPr>
          <w:sz w:val="20"/>
          <w:szCs w:val="20"/>
          <w:color w:val="auto"/>
        </w:rPr>
      </w:pPr>
      <w:r>
        <w:rPr>
          <w:rFonts w:ascii="Times New Roman" w:cs="Times New Roman" w:eastAsia="Times New Roman" w:hAnsi="Times New Roman"/>
          <w:sz w:val="13"/>
          <w:szCs w:val="13"/>
          <w:i w:val="1"/>
          <w:iCs w:val="1"/>
          <w:color w:val="auto"/>
        </w:rPr>
        <w:t>For a more detailed discussion of factors that could cause our actual results to differ from forward-looking statements contained in this Annual Report, please see the discussion under “Risk Factors” in Item 1A. You should not place undue reliance on these forward-looking statements. The forward-looking statements made in this Annual Report relate only to events as of the date on which the statements are made. We undertake no obligation to update any forward-looking statement to reflect events or circumstances occurring after the date this Annual Report is filed with the SEC.</w:t>
      </w:r>
    </w:p>
    <w:p>
      <w:pPr>
        <w:spacing w:after="0" w:line="1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1"/>
          <w:szCs w:val="11"/>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PART I</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Item 1. Business</w:t>
      </w:r>
    </w:p>
    <w:p>
      <w:pPr>
        <w:spacing w:after="0" w:line="107" w:lineRule="exact"/>
        <w:rPr>
          <w:sz w:val="20"/>
          <w:szCs w:val="20"/>
          <w:color w:val="auto"/>
        </w:rPr>
      </w:pPr>
    </w:p>
    <w:p>
      <w:pPr>
        <w:ind w:right="40" w:firstLine="348"/>
        <w:spacing w:after="0" w:line="286" w:lineRule="auto"/>
        <w:rPr>
          <w:sz w:val="20"/>
          <w:szCs w:val="20"/>
          <w:color w:val="auto"/>
        </w:rPr>
      </w:pPr>
      <w:r>
        <w:rPr>
          <w:rFonts w:ascii="Times New Roman" w:cs="Times New Roman" w:eastAsia="Times New Roman" w:hAnsi="Times New Roman"/>
          <w:sz w:val="13"/>
          <w:szCs w:val="13"/>
          <w:color w:val="auto"/>
        </w:rPr>
        <w:t>In this Annual Report on Form 10-K, the “Company”, “Portman Ridge”, “we”, “us” and “our” refer to Portman Ridge Finance Corporation and its wholly-owned subsidiaries, unless the context otherwise requires.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GENERAL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Our Company</w:t>
      </w:r>
    </w:p>
    <w:p>
      <w:pPr>
        <w:spacing w:after="0" w:line="105" w:lineRule="exact"/>
        <w:rPr>
          <w:sz w:val="20"/>
          <w:szCs w:val="20"/>
          <w:color w:val="auto"/>
        </w:rPr>
      </w:pPr>
    </w:p>
    <w:p>
      <w:pPr>
        <w:ind w:right="220" w:firstLine="348"/>
        <w:spacing w:after="0" w:line="262" w:lineRule="auto"/>
        <w:rPr>
          <w:sz w:val="20"/>
          <w:szCs w:val="20"/>
          <w:color w:val="auto"/>
        </w:rPr>
      </w:pPr>
      <w:r>
        <w:rPr>
          <w:rFonts w:ascii="Times New Roman" w:cs="Times New Roman" w:eastAsia="Times New Roman" w:hAnsi="Times New Roman"/>
          <w:sz w:val="13"/>
          <w:szCs w:val="13"/>
          <w:color w:val="auto"/>
        </w:rPr>
        <w:t>We are an externally managed, non- diversified closed-end investment company that has elected to be regulated as a business development company (“BDC”) under the Investment Company Act of 1940 (the “1940 Act”). Sierra Crest Investment Management LLC (the “Adviser”) is an affiliate of BC Partners LLP (“BC Partners”). Subject to the overall supervision of the Board, the Adviser is responsible for managing our business and activities, including sourcing investment opportunities, conducting research, performing diligence on potential investments, structuring our investments, and monitoring our portfolio companies on an ongoing basis through a team of investment professionals.</w:t>
      </w:r>
    </w:p>
    <w:p>
      <w:pPr>
        <w:spacing w:after="0" w:line="67" w:lineRule="exact"/>
        <w:rPr>
          <w:sz w:val="20"/>
          <w:szCs w:val="20"/>
          <w:color w:val="auto"/>
        </w:rPr>
      </w:pPr>
    </w:p>
    <w:p>
      <w:pPr>
        <w:ind w:right="220" w:firstLine="381"/>
        <w:spacing w:after="0" w:line="259" w:lineRule="auto"/>
        <w:rPr>
          <w:sz w:val="20"/>
          <w:szCs w:val="20"/>
          <w:color w:val="auto"/>
        </w:rPr>
      </w:pPr>
      <w:r>
        <w:rPr>
          <w:rFonts w:ascii="Times New Roman" w:cs="Times New Roman" w:eastAsia="Times New Roman" w:hAnsi="Times New Roman"/>
          <w:sz w:val="13"/>
          <w:szCs w:val="13"/>
          <w:color w:val="auto"/>
        </w:rPr>
        <w:t>The Adviser seeks to invest on our behalf in performing, well-established middle market businesses that operate across a wide range of industries (i.e., no concentration in any one industry). The Adviser employs fundamental credit analysis, targeting investments in businesses with relatively low levels of cyclicality and operating risk. The holding size of each position will generally be dependent upon a number of factors including total facility size, pricing and structure, and the number of other lenders in the facility. The Adviser has experience managing levered vehicles, both public and private, and seeks to enhance our returns through the use of leverage with a prudent approach that prioritizes capital preservation. The Adviser believes this strategy and approach offers attractive risk/return with lower volatility given the potential for fewer defaults and greater resilience through market cycles.</w:t>
      </w:r>
    </w:p>
    <w:p>
      <w:pPr>
        <w:spacing w:after="0" w:line="70" w:lineRule="exact"/>
        <w:rPr>
          <w:sz w:val="20"/>
          <w:szCs w:val="20"/>
          <w:color w:val="auto"/>
        </w:rPr>
      </w:pPr>
    </w:p>
    <w:p>
      <w:pPr>
        <w:ind w:right="100" w:firstLine="348"/>
        <w:spacing w:after="0" w:line="262" w:lineRule="auto"/>
        <w:rPr>
          <w:sz w:val="20"/>
          <w:szCs w:val="20"/>
          <w:color w:val="auto"/>
        </w:rPr>
      </w:pPr>
      <w:r>
        <w:rPr>
          <w:rFonts w:ascii="Times New Roman" w:cs="Times New Roman" w:eastAsia="Times New Roman" w:hAnsi="Times New Roman"/>
          <w:sz w:val="13"/>
          <w:szCs w:val="13"/>
          <w:color w:val="auto"/>
        </w:rPr>
        <w:t>We originate, structure, and invest in secured term loans, bonds or notes and mezzanine debt primarily in privately-held middle market companies but may also invest in other investments such as loans to publicly-traded companies, high-yield bonds, and distressed debt securities (collectively the “Debt Securities Portfolio”). We also invest in joint ventures and debt and subordinated securities issued by collateralized loan obligation funds (“CLO Fund Securities”). In addition, from time to time we may invest in the equity securities of privately held middle market companies and may also receive warrants or options to purchase common stock in connection with our debt investments.</w:t>
      </w:r>
    </w:p>
    <w:p>
      <w:pPr>
        <w:spacing w:after="0" w:line="67" w:lineRule="exact"/>
        <w:rPr>
          <w:sz w:val="20"/>
          <w:szCs w:val="20"/>
          <w:color w:val="auto"/>
        </w:rPr>
      </w:pPr>
    </w:p>
    <w:p>
      <w:pPr>
        <w:ind w:right="80" w:firstLine="348"/>
        <w:spacing w:after="0" w:line="258" w:lineRule="auto"/>
        <w:rPr>
          <w:sz w:val="20"/>
          <w:szCs w:val="20"/>
          <w:color w:val="auto"/>
        </w:rPr>
      </w:pPr>
      <w:r>
        <w:rPr>
          <w:rFonts w:ascii="Times New Roman" w:cs="Times New Roman" w:eastAsia="Times New Roman" w:hAnsi="Times New Roman"/>
          <w:sz w:val="13"/>
          <w:szCs w:val="13"/>
          <w:color w:val="auto"/>
        </w:rPr>
        <w:t>In our Debt Securities Portfolio, our investment objective is to generate current income and, to a lesser extent, capital appreciation from the investments in senior secured term loans, mezzanine debt and selected equity investments in privately -held middle market companies. We define the middle market as comprising companies with earnings before interest, taxes, depreciation and amortization (“EBITDA”) of $10 million to $50 million and/or total debt of $25 million to $150 million. We primarily invest in first and second lien term loans which, because of their priority in a company’s capital structure, we expect will have lower default rates and higher rates of recovery of principal if there is a default and which we expect will create a stable stream of interest income. The investments in our Debt Securities Portfolio are all or predominantly below investment grade, and have speculative characteristics with respect to the issuer’s capacity to pay interest and repay principal.</w:t>
      </w:r>
    </w:p>
    <w:p>
      <w:pPr>
        <w:spacing w:after="0" w:line="229" w:lineRule="exact"/>
        <w:rPr>
          <w:sz w:val="20"/>
          <w:szCs w:val="20"/>
          <w:color w:val="auto"/>
        </w:rPr>
      </w:pPr>
    </w:p>
    <w:p>
      <w:pPr>
        <w:ind w:right="260" w:firstLine="381"/>
        <w:spacing w:after="0" w:line="286" w:lineRule="auto"/>
        <w:rPr>
          <w:sz w:val="20"/>
          <w:szCs w:val="20"/>
          <w:color w:val="auto"/>
        </w:rPr>
      </w:pPr>
      <w:r>
        <w:rPr>
          <w:rFonts w:ascii="Times New Roman" w:cs="Times New Roman" w:eastAsia="Times New Roman" w:hAnsi="Times New Roman"/>
          <w:sz w:val="13"/>
          <w:szCs w:val="13"/>
          <w:color w:val="auto"/>
        </w:rPr>
        <w:t>From time -to-time we have made investments in CLO Fund Securities managed by other asset managers. Our collateralized loan obligation funds (“CLO Funds”) typically invest in broadly syndicated loans, high-yield bonds and other credit instruments.</w:t>
      </w:r>
    </w:p>
    <w:p>
      <w:pPr>
        <w:spacing w:after="0" w:line="52" w:lineRule="exact"/>
        <w:rPr>
          <w:sz w:val="20"/>
          <w:szCs w:val="20"/>
          <w:color w:val="auto"/>
        </w:rPr>
      </w:pPr>
    </w:p>
    <w:p>
      <w:pPr>
        <w:ind w:right="100" w:firstLine="348"/>
        <w:spacing w:after="0" w:line="268" w:lineRule="auto"/>
        <w:rPr>
          <w:sz w:val="20"/>
          <w:szCs w:val="20"/>
          <w:color w:val="auto"/>
        </w:rPr>
      </w:pPr>
      <w:r>
        <w:rPr>
          <w:rFonts w:ascii="Times New Roman" w:cs="Times New Roman" w:eastAsia="Times New Roman" w:hAnsi="Times New Roman"/>
          <w:sz w:val="13"/>
          <w:szCs w:val="13"/>
          <w:color w:val="auto"/>
        </w:rPr>
        <w:t>Our investment portfolio totaled $405.0 million at fair value as of December 31, 2024 and was spread across 28 different industries (when excluding our investments in the CLO Funds and Joint Ventures, as defined below) and 93 different entities. Our debt investment portfolio (excluding our investments in the CLO Funds, equities and Joint Ventures) totaled 320.7 million at fair value as of December 31, 2024 and was spread across 26 different industries with an average par balance per entity of approximately $2.5 million.</w:t>
      </w:r>
    </w:p>
    <w:p>
      <w:pPr>
        <w:spacing w:after="0" w:line="63" w:lineRule="exact"/>
        <w:rPr>
          <w:sz w:val="20"/>
          <w:szCs w:val="20"/>
          <w:color w:val="auto"/>
        </w:rPr>
      </w:pPr>
    </w:p>
    <w:p>
      <w:pPr>
        <w:ind w:firstLine="348"/>
        <w:spacing w:after="0" w:line="259" w:lineRule="auto"/>
        <w:rPr>
          <w:sz w:val="20"/>
          <w:szCs w:val="20"/>
          <w:color w:val="auto"/>
        </w:rPr>
      </w:pPr>
      <w:r>
        <w:rPr>
          <w:rFonts w:ascii="Times New Roman" w:cs="Times New Roman" w:eastAsia="Times New Roman" w:hAnsi="Times New Roman"/>
          <w:sz w:val="13"/>
          <w:szCs w:val="13"/>
          <w:color w:val="auto"/>
        </w:rPr>
        <w:t>Subject to market conditions, we intend to grow our portfolio of assets by raising additional capital, including through the prudent use of leverage available to us. As a BDC, we are limited in the amount of leverage we can incur under the 1940 Act. Effective March 29, 2019, we are allowed to borrow amounts such that our asset coverage, as defined in the 1940 Act, equals at least 150% after such borrowing. Because we also recognize the need to have funds available for operating our business and to make investments, we seek to have adequate liquidity at all times to cover normal cyclical swings in funding availability and to allow us to meet abnormal and unexpected funding requirements. As a result, we may hold varying amounts of cash and other short-term investments from time-to-time for liquidity purposes.</w:t>
      </w:r>
    </w:p>
    <w:p>
      <w:pPr>
        <w:spacing w:after="0" w:line="70" w:lineRule="exact"/>
        <w:rPr>
          <w:sz w:val="20"/>
          <w:szCs w:val="20"/>
          <w:color w:val="auto"/>
        </w:rPr>
      </w:pPr>
    </w:p>
    <w:p>
      <w:pPr>
        <w:ind w:right="40" w:firstLine="348"/>
        <w:spacing w:after="0" w:line="286" w:lineRule="auto"/>
        <w:rPr>
          <w:sz w:val="20"/>
          <w:szCs w:val="20"/>
          <w:color w:val="auto"/>
        </w:rPr>
      </w:pPr>
      <w:r>
        <w:rPr>
          <w:rFonts w:ascii="Times New Roman" w:cs="Times New Roman" w:eastAsia="Times New Roman" w:hAnsi="Times New Roman"/>
          <w:sz w:val="13"/>
          <w:szCs w:val="13"/>
          <w:color w:val="auto"/>
        </w:rPr>
        <w:t>We have elected to be treated for U.S. federal income tax purposes as a regulated investment company (“RIC”) under the Internal Revenue Code of 1986, as amended (the “Code”) and intend to operate in a manner to maintain our RIC status. See “-Taxation as a Regulated Investment Company” below.</w:t>
      </w:r>
    </w:p>
    <w:p>
      <w:pPr>
        <w:spacing w:after="0" w:line="52" w:lineRule="exact"/>
        <w:rPr>
          <w:sz w:val="20"/>
          <w:szCs w:val="20"/>
          <w:color w:val="auto"/>
        </w:rPr>
      </w:pPr>
    </w:p>
    <w:p>
      <w:pPr>
        <w:ind w:right="60" w:firstLine="348"/>
        <w:spacing w:after="0" w:line="262" w:lineRule="auto"/>
        <w:rPr>
          <w:sz w:val="20"/>
          <w:szCs w:val="20"/>
          <w:color w:val="auto"/>
        </w:rPr>
      </w:pPr>
      <w:r>
        <w:rPr>
          <w:rFonts w:ascii="Times New Roman" w:cs="Times New Roman" w:eastAsia="Times New Roman" w:hAnsi="Times New Roman"/>
          <w:sz w:val="13"/>
          <w:szCs w:val="13"/>
          <w:color w:val="auto"/>
        </w:rPr>
        <w:t>From time to time, we may seek to retire, repurchase, or exchange debt securities in open market purchases or by other means dependent on market conditions, liquidity, contractual obligations, and other matters. In addition, we evaluate strategic opportunities available to us, including mergers with unaffiliated funds and affiliated funds, divestures, spin-offs, joint ventures and other similar transactions from time to time. An example of an opportunity we are currently in the initial stages of evaluating is a potential merger with one or more of our affiliated 1940 Act funds, which may result in the use of an exchange ratio other than NAV-for-NAV (including but not limited to relative market price) in connection therewith.</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i w:val="1"/>
          <w:iCs w:val="1"/>
          <w:color w:val="auto"/>
        </w:rPr>
        <w:t>The Externalization</w:t>
      </w:r>
    </w:p>
    <w:p>
      <w:pPr>
        <w:spacing w:after="0" w:line="107" w:lineRule="exact"/>
        <w:rPr>
          <w:sz w:val="20"/>
          <w:szCs w:val="20"/>
          <w:color w:val="auto"/>
        </w:rPr>
      </w:pPr>
    </w:p>
    <w:p>
      <w:pPr>
        <w:ind w:right="220" w:firstLine="348"/>
        <w:spacing w:after="0" w:line="268" w:lineRule="auto"/>
        <w:rPr>
          <w:sz w:val="20"/>
          <w:szCs w:val="20"/>
          <w:color w:val="auto"/>
        </w:rPr>
      </w:pPr>
      <w:r>
        <w:rPr>
          <w:rFonts w:ascii="Times New Roman" w:cs="Times New Roman" w:eastAsia="Times New Roman" w:hAnsi="Times New Roman"/>
          <w:sz w:val="13"/>
          <w:szCs w:val="13"/>
          <w:color w:val="auto"/>
        </w:rPr>
        <w:t>On April 1, 2019 (the “Closing”), we became externally managed (the “Externalization”) by the Adviser, an affiliate of BC Partners LLP, pursuant to a stock purchase and transaction agreement (the “Externalization Agreement”) with BC Partners Advisors L.P. (“BCP”), an affiliate of BC Partners. In connection with the Externalization, our stockholders approved an investment advisory agreement (the “Advisory Agreement”) with the Adviser. See “-Advisory Agreement” below.</w:t>
      </w:r>
    </w:p>
    <w:p>
      <w:pPr>
        <w:spacing w:after="0" w:line="63" w:lineRule="exact"/>
        <w:rPr>
          <w:sz w:val="20"/>
          <w:szCs w:val="20"/>
          <w:color w:val="auto"/>
        </w:rPr>
      </w:pPr>
    </w:p>
    <w:p>
      <w:pPr>
        <w:ind w:right="80" w:firstLine="348"/>
        <w:spacing w:after="0" w:line="256" w:lineRule="auto"/>
        <w:rPr>
          <w:sz w:val="20"/>
          <w:szCs w:val="20"/>
          <w:color w:val="auto"/>
        </w:rPr>
      </w:pPr>
      <w:r>
        <w:rPr>
          <w:rFonts w:ascii="Times New Roman" w:cs="Times New Roman" w:eastAsia="Times New Roman" w:hAnsi="Times New Roman"/>
          <w:sz w:val="13"/>
          <w:szCs w:val="13"/>
          <w:color w:val="auto"/>
        </w:rPr>
        <w:t>Pursuant to the Externalization Agreement with BCP, the Adviser became our investment adviser in exchange for a cash payment from BCP, or its affiliate, of $25 million, or $0.669672 per share of our common stock, directly to our stockholders. In addition, the Adviser (or its affiliate) will use up to $10 million of the incentive fee actually paid to the Adviser prior to the second anniversary of the Closing to buy newly issued shares of our common stock at the most recently determined net asset value per share of our common stock at the time of such purchase. From inception, the Adviser has purchased approximately $4.6 million newly issued shares of our common stock in connection with the agreement. For the period of one year from the first day of the first quarter following the quarter in which the Closing occurred, the Adviser agreed to permanently forego up to the full amount of the incentive fees earned by the Adviser without recourse against or reimbursement by us, to the extent necessary in order to achieve aggregate net investment income per share of common stock for such one-year period to be at least equal to $0.40 per share, subject to certain adjustments. BCP and the Adviser’s total financial commitment to the transactions contemplated by the Externalization Agreement was $35.0 million.</w:t>
      </w:r>
    </w:p>
    <w:p>
      <w:pPr>
        <w:spacing w:after="0" w:line="72" w:lineRule="exact"/>
        <w:rPr>
          <w:sz w:val="20"/>
          <w:szCs w:val="20"/>
          <w:color w:val="auto"/>
        </w:rPr>
      </w:pPr>
    </w:p>
    <w:p>
      <w:pPr>
        <w:ind w:right="60" w:firstLine="348"/>
        <w:spacing w:after="0" w:line="286" w:lineRule="auto"/>
        <w:rPr>
          <w:sz w:val="20"/>
          <w:szCs w:val="20"/>
          <w:color w:val="auto"/>
        </w:rPr>
      </w:pPr>
      <w:r>
        <w:rPr>
          <w:rFonts w:ascii="Times New Roman" w:cs="Times New Roman" w:eastAsia="Times New Roman" w:hAnsi="Times New Roman"/>
          <w:sz w:val="13"/>
          <w:szCs w:val="13"/>
          <w:color w:val="auto"/>
        </w:rPr>
        <w:t>On the date of the Closing, we changed our name from KCAP Financial, Inc. to Portman Ridge Finance Corporation and on April 2, 2019, began trading on the NASDAQ Global Select Market under the symbol “PTMN.”</w:t>
      </w:r>
    </w:p>
    <w:p>
      <w:pPr>
        <w:spacing w:after="0" w:line="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288" w:right="640" w:bottom="1440" w:gutter="0" w:footer="0" w:header="0"/>
        </w:sectPr>
      </w:pPr>
    </w:p>
    <w:bookmarkStart w:id="5" w:name="page6"/>
    <w:bookmarkEnd w:id="5"/>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OHAI Transaction</w:t>
      </w:r>
    </w:p>
    <w:p>
      <w:pPr>
        <w:spacing w:after="0" w:line="107" w:lineRule="exact"/>
        <w:rPr>
          <w:sz w:val="20"/>
          <w:szCs w:val="20"/>
          <w:color w:val="auto"/>
        </w:rPr>
      </w:pPr>
    </w:p>
    <w:p>
      <w:pPr>
        <w:ind w:firstLine="348"/>
        <w:spacing w:after="0" w:line="261" w:lineRule="auto"/>
        <w:rPr>
          <w:sz w:val="20"/>
          <w:szCs w:val="20"/>
          <w:color w:val="auto"/>
        </w:rPr>
      </w:pPr>
      <w:r>
        <w:rPr>
          <w:rFonts w:ascii="Times New Roman" w:cs="Times New Roman" w:eastAsia="Times New Roman" w:hAnsi="Times New Roman"/>
          <w:sz w:val="13"/>
          <w:szCs w:val="13"/>
          <w:color w:val="auto"/>
        </w:rPr>
        <w:t>On December 18, 2019, we completed our acquisition of OHA Investment Corporation (“OHAI”). In accordance with the terms of the merger agreement, each share of common stock, par value $0.001 per share, of OHAI (the “OHAI Common Stock”) issued and outstanding was converted into the right to receive (i) an amount in cash, without interest, equal to approximately $0.42, and</w:t>
      </w:r>
    </w:p>
    <w:p>
      <w:pPr>
        <w:spacing w:after="0" w:line="1" w:lineRule="exact"/>
        <w:rPr>
          <w:sz w:val="20"/>
          <w:szCs w:val="20"/>
          <w:color w:val="auto"/>
        </w:rPr>
      </w:pPr>
    </w:p>
    <w:p>
      <w:pPr>
        <w:ind w:right="320" w:firstLine="6"/>
        <w:spacing w:after="0" w:line="263" w:lineRule="auto"/>
        <w:tabs>
          <w:tab w:leader="none" w:pos="194"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0.3688 shares of common stock, par value $0.01 per share, of the Company (plus any applicable cash in lieu of fractional shares). Each share of OHAI Common Stock issued and outstanding received, as additional consideration funded by the Adviser, an amount in cash, without interest, equal to approximately $0.15.</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GARS Transaction</w:t>
      </w:r>
    </w:p>
    <w:p>
      <w:pPr>
        <w:spacing w:after="0" w:line="107" w:lineRule="exact"/>
        <w:rPr>
          <w:sz w:val="20"/>
          <w:szCs w:val="20"/>
          <w:color w:val="auto"/>
        </w:rPr>
      </w:pPr>
    </w:p>
    <w:p>
      <w:pPr>
        <w:ind w:right="80" w:firstLine="348"/>
        <w:spacing w:after="0" w:line="268" w:lineRule="auto"/>
        <w:rPr>
          <w:sz w:val="20"/>
          <w:szCs w:val="20"/>
          <w:color w:val="auto"/>
        </w:rPr>
      </w:pPr>
      <w:r>
        <w:rPr>
          <w:rFonts w:ascii="Times New Roman" w:cs="Times New Roman" w:eastAsia="Times New Roman" w:hAnsi="Times New Roman"/>
          <w:sz w:val="13"/>
          <w:szCs w:val="13"/>
          <w:color w:val="auto"/>
        </w:rPr>
        <w:t>On October 28, 2020, we completed our acquisition of Garrison Capital Inc., a publicly traded BDC (“GARS”, and such transaction the “GARS Acquisition”). To effect the acquisition, our wholly owned merger subsidiary merged with and into GARS, with GARS surviving the merger as our wholly owned subsidiary. Immediately thereafter and as a single integrated transaction, GARS consummated a second merger, whereby GARS merged with and into us, with the Company surviving the merger.</w:t>
      </w:r>
    </w:p>
    <w:p>
      <w:pPr>
        <w:spacing w:after="0" w:line="63" w:lineRule="exact"/>
        <w:rPr>
          <w:sz w:val="20"/>
          <w:szCs w:val="20"/>
          <w:color w:val="auto"/>
        </w:rPr>
      </w:pPr>
    </w:p>
    <w:p>
      <w:pPr>
        <w:ind w:right="280" w:firstLine="348"/>
        <w:spacing w:after="0" w:line="262" w:lineRule="auto"/>
        <w:rPr>
          <w:sz w:val="20"/>
          <w:szCs w:val="20"/>
          <w:color w:val="auto"/>
        </w:rPr>
      </w:pPr>
      <w:r>
        <w:rPr>
          <w:rFonts w:ascii="Times New Roman" w:cs="Times New Roman" w:eastAsia="Times New Roman" w:hAnsi="Times New Roman"/>
          <w:sz w:val="13"/>
          <w:szCs w:val="13"/>
          <w:color w:val="auto"/>
        </w:rPr>
        <w:t>In accordance with the terms of the merger agreement for the GARS Acquisition, dated June 24, 2020 (the “GARS Merger Agreement”), each share of common stock, par value $0.001 per share, of GARS (the “GARS Common Stock”) issued and outstanding was converted into the right to receive (i) an amount in cash, without interest, equal to approximately $1.19 and (ii) approximately 1.917 shares of common stock, par value $0.01 per share, of the Company (plus any applicable cash in lieu of fractional shares). Each share of GARS Common Stock issued and outstanding received, as additional consideration funded by the Adviser, an amount in cash, without interest, equal to approximately $0.31.</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HCAP Transaction</w:t>
      </w:r>
    </w:p>
    <w:p>
      <w:pPr>
        <w:spacing w:after="0" w:line="107" w:lineRule="exact"/>
        <w:rPr>
          <w:sz w:val="20"/>
          <w:szCs w:val="20"/>
          <w:color w:val="auto"/>
        </w:rPr>
      </w:pPr>
    </w:p>
    <w:p>
      <w:pPr>
        <w:ind w:right="200" w:firstLine="348"/>
        <w:spacing w:after="0" w:line="262" w:lineRule="auto"/>
        <w:rPr>
          <w:sz w:val="20"/>
          <w:szCs w:val="20"/>
          <w:color w:val="auto"/>
        </w:rPr>
      </w:pPr>
      <w:r>
        <w:rPr>
          <w:rFonts w:ascii="Times New Roman" w:cs="Times New Roman" w:eastAsia="Times New Roman" w:hAnsi="Times New Roman"/>
          <w:sz w:val="13"/>
          <w:szCs w:val="13"/>
          <w:color w:val="auto"/>
        </w:rPr>
        <w:t>On June 9, 2021, we completed our acquisition of Harvest Capital Credit Corporation, a publicly traded BDC (“HCAP”, and such transaction the “HCAP Acquisition”). To effect the acquisition, our wholly owned merger subsidiary (“Acquisition Sub”) merged with and into HCAP, with HCAP surviving the merger as the Company’s wholly owned subsidiary. Immediately thereafter and as a single integrated transaction, HCAP consummated a second merger, whereby HCAP merged with and into the Company, with the Company surviving the merger. As a result of, and as of the effective time of, the second merger, HCAP’s separate corporate existence ceased.</w:t>
      </w:r>
    </w:p>
    <w:p>
      <w:pPr>
        <w:spacing w:after="0" w:line="127" w:lineRule="exact"/>
        <w:rPr>
          <w:sz w:val="20"/>
          <w:szCs w:val="20"/>
          <w:color w:val="auto"/>
        </w:rPr>
      </w:pPr>
    </w:p>
    <w:p>
      <w:pPr>
        <w:ind w:right="100" w:firstLine="348"/>
        <w:spacing w:after="0" w:line="268" w:lineRule="auto"/>
        <w:rPr>
          <w:sz w:val="20"/>
          <w:szCs w:val="20"/>
          <w:color w:val="auto"/>
        </w:rPr>
      </w:pPr>
      <w:r>
        <w:rPr>
          <w:rFonts w:ascii="Times New Roman" w:cs="Times New Roman" w:eastAsia="Times New Roman" w:hAnsi="Times New Roman"/>
          <w:sz w:val="13"/>
          <w:szCs w:val="13"/>
          <w:color w:val="auto"/>
        </w:rPr>
        <w:t>Under the terms of the merger agreement for the HCAP Acquisition, dated December 23, 2020 (the “HCAP Merger Agreement”), HCAP stockholders as of immediately prior to the effective time of the first merger (other than shares held by a subsidiary of HCAP or held, directly or indirectly, by the Company or Acquisition Sub, and all treasury shares (collectively, “Cancelled Shares”)) received a combination of (i) $18.54 million in cash paid by the Company, (ii) 15,252,453 validly issued, fully paid and non-assessable shares of the Company’s common stock, par value $0.01 per share, and (iii) an additional cash payment from the Adviser of $2.15 million in the aggregate.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Reverse Stock Split</w:t>
      </w:r>
    </w:p>
    <w:p>
      <w:pPr>
        <w:spacing w:after="0" w:line="107" w:lineRule="exact"/>
        <w:rPr>
          <w:sz w:val="20"/>
          <w:szCs w:val="20"/>
          <w:color w:val="auto"/>
        </w:rPr>
      </w:pPr>
    </w:p>
    <w:p>
      <w:pPr>
        <w:ind w:right="100" w:firstLine="348"/>
        <w:spacing w:after="0" w:line="268" w:lineRule="auto"/>
        <w:rPr>
          <w:sz w:val="20"/>
          <w:szCs w:val="20"/>
          <w:color w:val="auto"/>
        </w:rPr>
      </w:pPr>
      <w:r>
        <w:rPr>
          <w:rFonts w:ascii="Times New Roman" w:cs="Times New Roman" w:eastAsia="Times New Roman" w:hAnsi="Times New Roman"/>
          <w:sz w:val="13"/>
          <w:szCs w:val="13"/>
          <w:color w:val="auto"/>
        </w:rPr>
        <w:t>On August 23, 2021, the Company filed a Certificate of Amendment (the “Reverse Stock Split Certificate of Amendment”) to the Company’s Certificate of Incorporation with the Secretary of State of the State of Delaware to effect a 1- for-10 reverse stock split of the issued and outstanding (or held in treasury) shares of the Company’s common stock, par value $0.01 per share (the “Reverse Stock Split”). The Reverse Stock Split became effective as of 12:01 a.m. (Eastern Time) on August 26, 2021.</w:t>
      </w:r>
    </w:p>
    <w:p>
      <w:pPr>
        <w:spacing w:after="0" w:line="63" w:lineRule="exact"/>
        <w:rPr>
          <w:sz w:val="20"/>
          <w:szCs w:val="20"/>
          <w:color w:val="auto"/>
        </w:rPr>
      </w:pPr>
    </w:p>
    <w:p>
      <w:pPr>
        <w:jc w:val="both"/>
        <w:ind w:right="120" w:firstLine="348"/>
        <w:spacing w:after="0" w:line="262" w:lineRule="auto"/>
        <w:rPr>
          <w:sz w:val="20"/>
          <w:szCs w:val="20"/>
          <w:color w:val="auto"/>
        </w:rPr>
      </w:pPr>
      <w:r>
        <w:rPr>
          <w:rFonts w:ascii="Times New Roman" w:cs="Times New Roman" w:eastAsia="Times New Roman" w:hAnsi="Times New Roman"/>
          <w:sz w:val="13"/>
          <w:szCs w:val="13"/>
          <w:color w:val="auto"/>
        </w:rPr>
        <w:t>As a result of the Reverse Stock Split, every ten shares of issued and outstanding common stock were automatically combined into one issued and outstanding share of common stock. There was no change in the par value per share or the rights and preferences to the shareholders. No fractional shares were issued as a result of the Reverse Stock Split. Instead, any stockholder who would have been entitled to receive a fractional share as a result of the Reverse Stock Split received cash payments in lieu of such fractional shares (without interest and subject to backup withholding and applicable withholding taxes).</w:t>
      </w:r>
    </w:p>
    <w:p>
      <w:pPr>
        <w:spacing w:after="0" w:line="67" w:lineRule="exact"/>
        <w:rPr>
          <w:sz w:val="20"/>
          <w:szCs w:val="20"/>
          <w:color w:val="auto"/>
        </w:rPr>
      </w:pPr>
    </w:p>
    <w:p>
      <w:pPr>
        <w:ind w:right="140" w:firstLine="348"/>
        <w:spacing w:after="0" w:line="256" w:lineRule="auto"/>
        <w:rPr>
          <w:sz w:val="20"/>
          <w:szCs w:val="20"/>
          <w:color w:val="auto"/>
        </w:rPr>
      </w:pPr>
      <w:r>
        <w:rPr>
          <w:rFonts w:ascii="Times New Roman" w:cs="Times New Roman" w:eastAsia="Times New Roman" w:hAnsi="Times New Roman"/>
          <w:sz w:val="13"/>
          <w:szCs w:val="13"/>
          <w:color w:val="auto"/>
        </w:rPr>
        <w:t>On August 23, 2021, the Company filed a Certificate of Amendment to decrease the number of authorized shares of common stock by one half of the reverse stock split ratio (the “Decrease Shares Certificate of Amendment”) with the Secretary of State of the State of Delaware. The Decrease Shares Certificate of Amendment became effective as of 12:05 a.m. (Eastern Time) on August 26, 2021. Following the effectiveness of the Decrease Shares Certificate of Amendment, the number of authorized shares of common stock under the Company’s Certificate of Incorporation was reduced from 100 million shares to 20 million shares.</w:t>
      </w:r>
    </w:p>
    <w:p>
      <w:pPr>
        <w:ind w:right="120"/>
        <w:spacing w:after="0" w:line="263" w:lineRule="auto"/>
        <w:rPr>
          <w:sz w:val="20"/>
          <w:szCs w:val="20"/>
          <w:color w:val="auto"/>
        </w:rPr>
      </w:pPr>
      <w:r>
        <w:rPr>
          <w:rFonts w:ascii="Times New Roman" w:cs="Times New Roman" w:eastAsia="Times New Roman" w:hAnsi="Times New Roman"/>
          <w:sz w:val="13"/>
          <w:szCs w:val="13"/>
          <w:color w:val="auto"/>
        </w:rPr>
        <w:t>The Reverse Stock Split Certificate of Amendment and the Decrease Shares Certificate of Amendment were approved by the Company’s stockholders at its annual meeting held on June 7, 2021 and were approved by the Board on August 4, 2021.</w:t>
      </w:r>
    </w:p>
    <w:p>
      <w:pPr>
        <w:spacing w:after="0" w:line="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All share and per share values have been adjusted retroactively to reflect the split for all periods presented, except where otherwise noted.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Advisers’ Corporate Information</w:t>
      </w:r>
    </w:p>
    <w:p>
      <w:pPr>
        <w:spacing w:after="0" w:line="1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The Advisers' principal executive offices are located at 650 Madison Avenue, 3rd Floor, New York, New York 10022, and our telephone number is (212) 891-2880.</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Available Information</w:t>
      </w:r>
    </w:p>
    <w:p>
      <w:pPr>
        <w:spacing w:after="0" w:line="105" w:lineRule="exact"/>
        <w:rPr>
          <w:sz w:val="20"/>
          <w:szCs w:val="20"/>
          <w:color w:val="auto"/>
        </w:rPr>
      </w:pPr>
    </w:p>
    <w:p>
      <w:pPr>
        <w:ind w:right="180" w:firstLine="348"/>
        <w:spacing w:after="0" w:line="262" w:lineRule="auto"/>
        <w:rPr>
          <w:sz w:val="20"/>
          <w:szCs w:val="20"/>
          <w:color w:val="auto"/>
        </w:rPr>
      </w:pPr>
      <w:r>
        <w:rPr>
          <w:rFonts w:ascii="Times New Roman" w:cs="Times New Roman" w:eastAsia="Times New Roman" w:hAnsi="Times New Roman"/>
          <w:sz w:val="13"/>
          <w:szCs w:val="13"/>
          <w:color w:val="auto"/>
        </w:rPr>
        <w:t>We maintain a website on the Internet at www.portmanridge.com. The information contained in our website is not incorporated by reference into this Annual Report. We make copies of our periodic and current reports and other information meeting the informational requirements of the Securities Exchange Act of 1934 (the “Exchange Act”) available on the Investor Relations-SEC Filings section of our website free of charge as soon as reasonably practicable after we electronically file the information with, or furnish it to, the SEC. The SEC maintains an Internet site at http://www.sec.gov that contains reports, proxy and information statements and other information filed electronically by us with the SEC.</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Investment Portfolio</w:t>
      </w:r>
    </w:p>
    <w:p>
      <w:pPr>
        <w:spacing w:after="0" w:line="105" w:lineRule="exact"/>
        <w:rPr>
          <w:sz w:val="20"/>
          <w:szCs w:val="20"/>
          <w:color w:val="auto"/>
        </w:rPr>
      </w:pPr>
    </w:p>
    <w:p>
      <w:pPr>
        <w:ind w:right="520" w:firstLine="348"/>
        <w:spacing w:after="0" w:line="286" w:lineRule="auto"/>
        <w:rPr>
          <w:sz w:val="20"/>
          <w:szCs w:val="20"/>
          <w:color w:val="auto"/>
        </w:rPr>
      </w:pPr>
      <w:r>
        <w:rPr>
          <w:rFonts w:ascii="Times New Roman" w:cs="Times New Roman" w:eastAsia="Times New Roman" w:hAnsi="Times New Roman"/>
          <w:sz w:val="13"/>
          <w:szCs w:val="13"/>
          <w:color w:val="auto"/>
        </w:rPr>
        <w:t>Our investment portfolio generates investment income, which is generally used to pay principal and interest on our borrowings, our operating expenses, and to fund distributions to our stockholders. Our investment portfolio consists primarily of our Debt Securities Portfolio, investments in joint ventures and investments in CLO Fund Securities.</w:t>
      </w:r>
    </w:p>
    <w:p>
      <w:pPr>
        <w:spacing w:after="0" w:line="50" w:lineRule="exact"/>
        <w:rPr>
          <w:sz w:val="20"/>
          <w:szCs w:val="20"/>
          <w:color w:val="auto"/>
        </w:rPr>
      </w:pPr>
    </w:p>
    <w:p>
      <w:pPr>
        <w:ind w:right="280" w:firstLine="348"/>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Debt Securities Portfolio. </w:t>
      </w:r>
      <w:r>
        <w:rPr>
          <w:rFonts w:ascii="Times New Roman" w:cs="Times New Roman" w:eastAsia="Times New Roman" w:hAnsi="Times New Roman"/>
          <w:sz w:val="13"/>
          <w:szCs w:val="13"/>
          <w:color w:val="auto"/>
        </w:rPr>
        <w:t>We target privately-held middle market companies that have strong historical cash flows, experienced management teams and identifiable and defendable market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positions in industries with positive dynamics. We generally target companies that generate positive cash flows because we look to cash flows as the primary source for servicing debt.</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 w:name="page7"/>
    <w:bookmarkEnd w:id="6"/>
    <w:p>
      <w:pPr>
        <w:ind w:right="20" w:firstLine="348"/>
        <w:spacing w:after="0" w:line="259" w:lineRule="auto"/>
        <w:rPr>
          <w:sz w:val="20"/>
          <w:szCs w:val="20"/>
          <w:color w:val="auto"/>
        </w:rPr>
      </w:pPr>
      <w:r>
        <w:rPr>
          <w:rFonts w:ascii="Times New Roman" w:cs="Times New Roman" w:eastAsia="Times New Roman" w:hAnsi="Times New Roman"/>
          <w:sz w:val="13"/>
          <w:szCs w:val="13"/>
          <w:color w:val="auto"/>
        </w:rPr>
        <w:t>We employ a disciplined approach in the selection and monitoring of our investments. Generally, we target investments that will generate a current return through interest income to provide for stability in our shareholder distributions and place less reliance on realized capital gains from our investments. Our investment philosophy is focused on preserving capital with an appropriate return profile relative to risk. Our investment due diligence and selection generally focuses on an underlying issuer’s net cash flow after capital expenditures to service its debt rather than on multiples of net income, valuations or other broad benchmarks which frequently miss the nuances of an issuer’s business and prospective financial performance. We also generally avoid concentrations in any one industry or issuer. We manage risk by following our internal credit policies and procedures.</w:t>
      </w:r>
    </w:p>
    <w:p>
      <w:pPr>
        <w:spacing w:after="0" w:line="70"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3"/>
          <w:szCs w:val="13"/>
          <w:color w:val="auto"/>
        </w:rPr>
        <w:t>When we extend senior and junior secured term loans, we will generally take a security interest in the available assets of the portfolio company, including the equity interests of its subsidiaries, which we expect to help mitigate the risk that we will not be repaid. Nonetheless, there is a possibility that our lien could be subordinated to claims of other creditors. Structurally, mezzanine debt ranks subordinate in priority of payment to senior term loans and is often unsecured. Relative to equity, mezzanine debt ranks senior to common and preferred equity in a borrower’s capital structure. Typically, mezzanine debt has elements of both debt and equity instruments, offering the fixed returns in the form of interest payments associated with a loan, while providing an opportunity to participate in the capital appreciation of a borrower, if any, through an equity interest that is typically in the form of equity purchased at the time the mezzanine loan is originated or warrants to purchase equity at a future date at a fixed cost. Mezzanine debt generally earns a higher return than senior secured debt due to its higher risk profile and usually less restrictive covenants. From time to time we may receive warrants in connection with a mezzanine debt investment. The warrants associated with mezzanine debt are typically detachable, which allows lenders to receive repayment of their principal on an agreed amortization schedule on the debt security while retaining an equity interest in the borrower. Mezzanine debt with warrants also may include a “put” feature, which permits the holder to sell its equity interest back to the borrower at a price determined through an agreed formula.</w:t>
      </w:r>
    </w:p>
    <w:p>
      <w:pPr>
        <w:spacing w:after="0" w:line="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Below are summary attributes for our Debt Securities Portfolio as of and for the year ended December 31, 2024:</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•represented approximately 79.2% of the total investment portfolio at fair value;</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•contained credit instruments issued by corporate borrowers;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•primarily comprised of senior secured loans and subordinated debt (99.5% and 0.5% of Debt Securities Portfolio, respectively);</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•spread across 28 different industries and 93 different entities;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•average par balance per investment of approximately $2.5 million;</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•six investments were on non-accrual status; and</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•the weighted average contractual interest rate on our interest earning Debt Securities Portfolio was approximately 11.3%.</w:t>
      </w:r>
    </w:p>
    <w:p>
      <w:pPr>
        <w:spacing w:after="0" w:line="103" w:lineRule="exact"/>
        <w:rPr>
          <w:sz w:val="20"/>
          <w:szCs w:val="20"/>
          <w:color w:val="auto"/>
        </w:rPr>
      </w:pPr>
    </w:p>
    <w:p>
      <w:pPr>
        <w:jc w:val="both"/>
        <w:ind w:right="120" w:firstLine="348"/>
        <w:spacing w:after="0" w:line="268" w:lineRule="auto"/>
        <w:rPr>
          <w:sz w:val="20"/>
          <w:szCs w:val="20"/>
          <w:color w:val="auto"/>
        </w:rPr>
      </w:pPr>
      <w:r>
        <w:rPr>
          <w:rFonts w:ascii="Times New Roman" w:cs="Times New Roman" w:eastAsia="Times New Roman" w:hAnsi="Times New Roman"/>
          <w:sz w:val="13"/>
          <w:szCs w:val="13"/>
          <w:color w:val="auto"/>
        </w:rPr>
        <w:t>Our Debt Securities Portfolio investments generally range between $1 million to $20 million, although particular investments may be larger or smaller. The size of individual investments will vary according to their priority in a company’s capital structure, with larger investments in more secure positions in an effort to maximize capital preservation. The target size of our investments and maturity dates may vary as follows:</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•senior secured term loans from $2 million to $20 million maturing in five to seven years;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•second lien term loans from $5 million to $15 million maturing in six to eight years;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•senior unsecured loans from $5 million to $23 million maturing in six to eight years;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•mezzanine loans from $5 million to $15 million maturing in seven to ten years; and</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•equity investments from $1 million to $5 million.</w:t>
      </w:r>
    </w:p>
    <w:p>
      <w:pPr>
        <w:spacing w:after="0" w:line="10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i w:val="1"/>
          <w:iCs w:val="1"/>
          <w:color w:val="auto"/>
        </w:rPr>
        <w:t>Investment in Joint Ventures.</w:t>
      </w:r>
    </w:p>
    <w:p>
      <w:pPr>
        <w:spacing w:after="0" w:line="103" w:lineRule="exact"/>
        <w:rPr>
          <w:sz w:val="20"/>
          <w:szCs w:val="20"/>
          <w:color w:val="auto"/>
        </w:rPr>
      </w:pPr>
    </w:p>
    <w:p>
      <w:pPr>
        <w:ind w:right="40" w:firstLine="348"/>
        <w:spacing w:after="0" w:line="254" w:lineRule="auto"/>
        <w:rPr>
          <w:sz w:val="20"/>
          <w:szCs w:val="20"/>
          <w:color w:val="auto"/>
        </w:rPr>
      </w:pPr>
      <w:r>
        <w:rPr>
          <w:rFonts w:ascii="Times New Roman" w:cs="Times New Roman" w:eastAsia="Times New Roman" w:hAnsi="Times New Roman"/>
          <w:sz w:val="13"/>
          <w:szCs w:val="13"/>
          <w:i w:val="1"/>
          <w:iCs w:val="1"/>
          <w:color w:val="auto"/>
        </w:rPr>
        <w:t xml:space="preserve">KCAP Freedom 3 LLC. </w:t>
      </w:r>
      <w:r>
        <w:rPr>
          <w:rFonts w:ascii="Times New Roman" w:cs="Times New Roman" w:eastAsia="Times New Roman" w:hAnsi="Times New Roman"/>
          <w:sz w:val="13"/>
          <w:szCs w:val="13"/>
          <w:color w:val="auto"/>
        </w:rPr>
        <w:t>During the third quarter of 2017, the Company and Freedom 3 Opportunities LLC (“Freedom 3 Opportunities”), an affiliate of Freedom 3 Capital LLC, entered into an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agreement to create KCAP Freedom 3 LLC (the “F3C Joint Venture”). The Company and Freedom 3 Opportunities contributed approximately $37 million and $25 million, respectively, in assets to the F3C Joint Venture, which in turn used the assets to capitalize a new fund, Great Lakes KCAP F3C Senior Funding L.L.C. (formerly known as KCAP F3C Senior Funding, L.L.C.) (the “Fund”) managed by KCAP Management, LLC, one of the Asset Manager Affiliates. In addition, the Fund used cash on hand and borrowings under a credit facility to purchase approximately $ 184 million of primarily middle- market loans from us and we used the proceeds from such sale to redeem approximately $147 million in debt issued by KCAP Senior Funding I, LLC (“KCAP Senior Funding”). The Fund invests primarily in middle-market loans and the F3C Joint Venture partners may source middle-market loans from time- to-time for the Fund. During the fourth quarter of 2017, the Fund was refinanced through the issuance of senior and subordinated notes. The F3C Joint Venture purchased 100% of the subordinated notes issued by the Fund. In connection with the refinancing, the F3C Joint Venture made a cash distribution to us of approximately $12.6 million. Approximately $11.2 million of this distribution was a reduction in the cost basis of our investment in the F3C Joint Venture. The final determination of the tax attributes of distributions from the F3C Joint Venture is made on an annual (full calendar year) basis at the end of the year, therefore, any estimate of tax attributes of distributions made on an interim basis may not be representative of the actual tax attributes of distributions for the full year.</w:t>
      </w:r>
    </w:p>
    <w:p>
      <w:pPr>
        <w:spacing w:after="0" w:line="76"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3"/>
          <w:szCs w:val="13"/>
          <w:color w:val="auto"/>
        </w:rPr>
        <w:t>While we own a 62.8% interest in the F3C Joint Venture, the F3C Joint Venture is structured as an unconsolidated Delaware limited liability company. All portfolio and other material decisions regarding the F3C Joint Venture must be submitted to its board of managers, which is comprised of four members, two of whom were selected by us and two of whom were selected by Freedom 3 Opportunities, and must be approved by at least one member appointed by us and one appointed by Freedom 3 Opportunities. In addition, certain matters may be approved by the F3C Joint Venture’s investment committee, which is comprised of one member appointed by us and one member appointed by Freedom 3 Opportunities.</w:t>
      </w:r>
    </w:p>
    <w:p>
      <w:pPr>
        <w:spacing w:after="0" w:line="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As of December 31, 2024, our investment in the F3C Joint Venture was approximately $13.0 million at fair value.</w:t>
      </w:r>
    </w:p>
    <w:p>
      <w:pPr>
        <w:spacing w:after="0" w:line="101" w:lineRule="exact"/>
        <w:rPr>
          <w:sz w:val="20"/>
          <w:szCs w:val="20"/>
          <w:color w:val="auto"/>
        </w:rPr>
      </w:pPr>
    </w:p>
    <w:p>
      <w:pPr>
        <w:ind w:right="40" w:firstLine="348"/>
        <w:spacing w:after="0" w:line="263" w:lineRule="auto"/>
        <w:rPr>
          <w:sz w:val="20"/>
          <w:szCs w:val="20"/>
          <w:color w:val="auto"/>
        </w:rPr>
      </w:pPr>
      <w:r>
        <w:rPr>
          <w:rFonts w:ascii="Times New Roman" w:cs="Times New Roman" w:eastAsia="Times New Roman" w:hAnsi="Times New Roman"/>
          <w:sz w:val="13"/>
          <w:szCs w:val="13"/>
          <w:i w:val="1"/>
          <w:iCs w:val="1"/>
          <w:color w:val="auto"/>
        </w:rPr>
        <w:t xml:space="preserve">Series A - Great Lakes Funding II LLC. </w:t>
      </w:r>
      <w:r>
        <w:rPr>
          <w:rFonts w:ascii="Times New Roman" w:cs="Times New Roman" w:eastAsia="Times New Roman" w:hAnsi="Times New Roman"/>
          <w:sz w:val="13"/>
          <w:szCs w:val="13"/>
          <w:color w:val="auto"/>
        </w:rPr>
        <w:t>In August 2022, we invested in Series A – Great Lakes Funding II LLC (the “Great Lakes II Joint Venture,” collectively with the F3C Joint Venture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“Joint Ventures”), a joint venture with a third- party financial institution and certain other parties with an investment strategy to underwrite and hold senior, secured unitranche loans made to middle-market companies. We treat our investment in the Great Lakes II Joint Venture as a joint venture since affiliated funds of the Adviser collectively control a 50% voting interest in the Great Lakes II Joint Venture.</w:t>
      </w:r>
    </w:p>
    <w:p>
      <w:pPr>
        <w:spacing w:after="0" w:line="67" w:lineRule="exact"/>
        <w:rPr>
          <w:sz w:val="20"/>
          <w:szCs w:val="20"/>
          <w:color w:val="auto"/>
        </w:rPr>
      </w:pPr>
    </w:p>
    <w:p>
      <w:pPr>
        <w:ind w:right="160" w:firstLine="348"/>
        <w:spacing w:after="0" w:line="262" w:lineRule="auto"/>
        <w:rPr>
          <w:sz w:val="20"/>
          <w:szCs w:val="20"/>
          <w:color w:val="auto"/>
        </w:rPr>
      </w:pPr>
      <w:r>
        <w:rPr>
          <w:rFonts w:ascii="Times New Roman" w:cs="Times New Roman" w:eastAsia="Times New Roman" w:hAnsi="Times New Roman"/>
          <w:sz w:val="13"/>
          <w:szCs w:val="13"/>
          <w:color w:val="auto"/>
        </w:rPr>
        <w:t>The Great Lakes II Joint Venture is a Delaware series limited liability company, and pursuant to the terms of the Great Lakes Funding II LLC Limited Liability Company Agreement (the “Great Lakes II LLC Agreement”), prior to the end of the investment period with respect to each series established under the Great Lakes II LLC Agreement, each member of the predecessor series would be offered the opportunity to roll its interests into any subsequent series of the Great Lakes II Joint Venture. We do not pay any advisory fees in connection with our investment in the Great Lakes II Joint Venture.</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386" w:right="700" w:bottom="1440" w:gutter="0" w:footer="0" w:header="0"/>
        </w:sectPr>
      </w:pPr>
    </w:p>
    <w:bookmarkStart w:id="7" w:name="page8"/>
    <w:bookmarkEnd w:id="7"/>
    <w:p>
      <w:pPr>
        <w:ind w:right="140" w:firstLine="348"/>
        <w:spacing w:after="0" w:line="286" w:lineRule="auto"/>
        <w:rPr>
          <w:sz w:val="20"/>
          <w:szCs w:val="20"/>
          <w:color w:val="auto"/>
        </w:rPr>
      </w:pPr>
      <w:r>
        <w:rPr>
          <w:rFonts w:ascii="Times New Roman" w:cs="Times New Roman" w:eastAsia="Times New Roman" w:hAnsi="Times New Roman"/>
          <w:sz w:val="13"/>
          <w:szCs w:val="13"/>
          <w:color w:val="auto"/>
        </w:rPr>
        <w:t>The fair value of our investment in the Great Lakes II Joint Venture at December 31, 2024 was approximately $41.1 million at fair value. As of December 31, 2024, we had an aggregate $8.2 million unfunded commitment to the Great Lakes II Joint Venture.</w:t>
      </w:r>
    </w:p>
    <w:p>
      <w:pPr>
        <w:spacing w:after="0" w:line="50" w:lineRule="exact"/>
        <w:rPr>
          <w:sz w:val="20"/>
          <w:szCs w:val="20"/>
          <w:color w:val="auto"/>
        </w:rPr>
      </w:pPr>
    </w:p>
    <w:p>
      <w:pPr>
        <w:ind w:firstLine="348"/>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CLO Fund Securities. </w:t>
      </w:r>
      <w:r>
        <w:rPr>
          <w:rFonts w:ascii="Times New Roman" w:cs="Times New Roman" w:eastAsia="Times New Roman" w:hAnsi="Times New Roman"/>
          <w:sz w:val="13"/>
          <w:szCs w:val="13"/>
          <w:color w:val="auto"/>
        </w:rPr>
        <w:t>Our investments in CLO Fund Securities are primarily made up of minority investments in the subordinated securities or preferred stock of CLO Funds managed by other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asset managers.</w:t>
      </w:r>
    </w:p>
    <w:p>
      <w:pPr>
        <w:spacing w:after="0" w:line="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Below are summary attributes for our CLO Fund Securities, as of and for the year-ended December 31, 2024, unless otherwise specified:</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•CLO Fund Securities represented approximately 1.3% of the total investment portfolio at fair value;</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•CLO Fund Securities Portfolio represented investments in subordinated securities or equity securities issued by CLO Funds;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•all CLO Funds invested primarily in credit instruments issued by corporate borrowers;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Process</w:t>
      </w:r>
    </w:p>
    <w:p>
      <w:pPr>
        <w:spacing w:after="0" w:line="107"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3"/>
          <w:szCs w:val="13"/>
          <w:color w:val="auto"/>
        </w:rPr>
        <w:t>We review potential investment opportunities and conduct due diligence that typically includes a review of historical and prospective financial information, participation in a presentation held by the prospective portfolio company’s management and/or the transaction sponsor, a review of the prospective portfolio company’s product or service, an analysis and understanding of the drivers of the particular industry in which the prospective portfolio company operates, and an assessment of the debt service capabilities of the prospective portfolio company under a variety of assumed forecast scenarios.</w:t>
      </w:r>
    </w:p>
    <w:p>
      <w:pPr>
        <w:spacing w:after="0" w:line="67" w:lineRule="exact"/>
        <w:rPr>
          <w:sz w:val="20"/>
          <w:szCs w:val="20"/>
          <w:color w:val="auto"/>
        </w:rPr>
      </w:pPr>
    </w:p>
    <w:p>
      <w:pPr>
        <w:ind w:right="200" w:firstLine="348"/>
        <w:spacing w:after="0" w:line="286" w:lineRule="auto"/>
        <w:rPr>
          <w:sz w:val="20"/>
          <w:szCs w:val="20"/>
          <w:color w:val="auto"/>
        </w:rPr>
      </w:pPr>
      <w:r>
        <w:rPr>
          <w:rFonts w:ascii="Times New Roman" w:cs="Times New Roman" w:eastAsia="Times New Roman" w:hAnsi="Times New Roman"/>
          <w:sz w:val="13"/>
          <w:szCs w:val="13"/>
          <w:color w:val="auto"/>
        </w:rPr>
        <w:t>Due to our ability to source transactions through multiple channels, we expect to continue to maintain a pipeline of opportunities to allow comparative risk return analysis and selectivity. By focusing on the drivers of revenue and cash flow, we develop our own underwriting cases, and multiple stress and event specific case scenarios for each company analyzed.</w:t>
      </w:r>
    </w:p>
    <w:p>
      <w:pPr>
        <w:spacing w:after="0" w:line="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We focus on lending and investing opportunities in:</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•companies with EBITDA of $10 million to $50 million;</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•companies with financing needs of $25 million to $150 million;</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•companies purchased by well-regarded private equity sponsors;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•non-sponsored companies with successful business models, management teams and systems; and</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•high-yield bonds and broadly syndicated loans to larger companies on a selective basis.</w:t>
      </w:r>
    </w:p>
    <w:p>
      <w:pPr>
        <w:spacing w:after="0" w:line="1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3"/>
          <w:szCs w:val="13"/>
          <w:color w:val="auto"/>
        </w:rPr>
        <w:t>We source investment opportunities from:</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•private equity sponsors;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•regional investment banks for non-sponsored companies;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•financial advisers and other market intermediaries; and</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•other middle market lenders with whom we can participate in loans.</w:t>
      </w:r>
    </w:p>
    <w:p>
      <w:pPr>
        <w:spacing w:after="0" w:line="103" w:lineRule="exact"/>
        <w:rPr>
          <w:sz w:val="20"/>
          <w:szCs w:val="20"/>
          <w:color w:val="auto"/>
        </w:rPr>
      </w:pPr>
    </w:p>
    <w:p>
      <w:pPr>
        <w:ind w:right="40" w:firstLine="348"/>
        <w:spacing w:after="0" w:line="262" w:lineRule="auto"/>
        <w:rPr>
          <w:sz w:val="20"/>
          <w:szCs w:val="20"/>
          <w:color w:val="auto"/>
        </w:rPr>
      </w:pPr>
      <w:r>
        <w:rPr>
          <w:rFonts w:ascii="Times New Roman" w:cs="Times New Roman" w:eastAsia="Times New Roman" w:hAnsi="Times New Roman"/>
          <w:sz w:val="13"/>
          <w:szCs w:val="13"/>
          <w:color w:val="auto"/>
        </w:rPr>
        <w:t>In our experience, good credit judgment is based on a thorough understanding of both the qualitative and quantitative factors that determine a company’s performance. Our analysis begins with an understanding of the fundamentals of the industry in which a company operates, including the current economic environment and the outlook for the industry. We also focus on the company’s relative position within the industry and our historical ability to weather economic cycles. Other key qualitative factors include the experience and depth of the management team and the financial sponsor, if any.</w:t>
      </w:r>
    </w:p>
    <w:p>
      <w:pPr>
        <w:spacing w:after="0" w:line="67" w:lineRule="exact"/>
        <w:rPr>
          <w:sz w:val="20"/>
          <w:szCs w:val="20"/>
          <w:color w:val="auto"/>
        </w:rPr>
      </w:pPr>
    </w:p>
    <w:p>
      <w:pPr>
        <w:ind w:right="120" w:firstLine="348"/>
        <w:spacing w:after="0" w:line="259" w:lineRule="auto"/>
        <w:rPr>
          <w:sz w:val="20"/>
          <w:szCs w:val="20"/>
          <w:color w:val="auto"/>
        </w:rPr>
      </w:pPr>
      <w:r>
        <w:rPr>
          <w:rFonts w:ascii="Times New Roman" w:cs="Times New Roman" w:eastAsia="Times New Roman" w:hAnsi="Times New Roman"/>
          <w:sz w:val="13"/>
          <w:szCs w:val="13"/>
          <w:color w:val="auto"/>
        </w:rPr>
        <w:t>Only after we have a comprehensive understanding of the qualitative factors do we focus on quantitative metrics. We believe that with the context provided by the qualitative analysis, we can gain a better understanding of a company’s financial performance. We analyze a potential portfolio company’s sales growth and margins in the context of our competition as well as our ability to manage our working capital requirements and our ability to generate consistent cash flow. Based upon this historical analysis, we develop a set of projections which represents a reasonable underwriting case of most likely outcomes for the company over the period of our investment. We also look at potential downside cases to determine a company’s ability to service its debt in a stressed credit environment.</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 xml:space="preserve">Elements of the </w:t>
      </w:r>
      <w:r>
        <w:rPr>
          <w:rFonts w:ascii="Times New Roman" w:cs="Times New Roman" w:eastAsia="Times New Roman" w:hAnsi="Times New Roman"/>
          <w:sz w:val="13"/>
          <w:szCs w:val="13"/>
          <w:i w:val="1"/>
          <w:iCs w:val="1"/>
          <w:color w:val="auto"/>
        </w:rPr>
        <w:t>qualitative analysis</w:t>
      </w:r>
      <w:r>
        <w:rPr>
          <w:rFonts w:ascii="Times New Roman" w:cs="Times New Roman" w:eastAsia="Times New Roman" w:hAnsi="Times New Roman"/>
          <w:sz w:val="13"/>
          <w:szCs w:val="13"/>
          <w:color w:val="auto"/>
        </w:rPr>
        <w:t xml:space="preserve"> we use in evaluating investment opportunities include some combination of the following:</w:t>
      </w:r>
    </w:p>
    <w:p>
      <w:pPr>
        <w:spacing w:after="0" w:line="1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•industry fundamentals;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•competitive position and market share;</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•impact of historical down-cycles on the industry and us;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•quality of financial and technology infrastructure;</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•sourcing risks and opportunities;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•labor and union strategy;</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•technology risk;</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•diversity of customer base and product lines;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•quality of financial sponsor (if applicable); and</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•acquisition and integration history.</w:t>
      </w:r>
    </w:p>
    <w:p>
      <w:pPr>
        <w:spacing w:after="0" w:line="10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 xml:space="preserve">Elements of the </w:t>
      </w:r>
      <w:r>
        <w:rPr>
          <w:rFonts w:ascii="Times New Roman" w:cs="Times New Roman" w:eastAsia="Times New Roman" w:hAnsi="Times New Roman"/>
          <w:sz w:val="13"/>
          <w:szCs w:val="13"/>
          <w:i w:val="1"/>
          <w:iCs w:val="1"/>
          <w:color w:val="auto"/>
        </w:rPr>
        <w:t>quantitative analysis</w:t>
      </w:r>
      <w:r>
        <w:rPr>
          <w:rFonts w:ascii="Times New Roman" w:cs="Times New Roman" w:eastAsia="Times New Roman" w:hAnsi="Times New Roman"/>
          <w:sz w:val="13"/>
          <w:szCs w:val="13"/>
          <w:color w:val="auto"/>
        </w:rPr>
        <w:t xml:space="preserve"> we use in evaluating investment opportunities include some combination of the following:</w:t>
      </w:r>
    </w:p>
    <w:p>
      <w:pPr>
        <w:spacing w:after="0" w:line="1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•income statement analysis of growth and margin trends;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•cash flow analysis of capital expenditures and free cash flow;</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386" w:right="700" w:bottom="1440" w:gutter="0" w:footer="0" w:header="0"/>
        </w:sectPr>
      </w:pPr>
    </w:p>
    <w:bookmarkStart w:id="8" w:name="page9"/>
    <w:bookmarkEnd w:id="8"/>
    <w:p>
      <w:pPr>
        <w:ind w:left="360"/>
        <w:spacing w:after="0"/>
        <w:rPr>
          <w:sz w:val="20"/>
          <w:szCs w:val="20"/>
          <w:color w:val="auto"/>
        </w:rPr>
      </w:pPr>
      <w:r>
        <w:rPr>
          <w:rFonts w:ascii="Times New Roman" w:cs="Times New Roman" w:eastAsia="Times New Roman" w:hAnsi="Times New Roman"/>
          <w:sz w:val="13"/>
          <w:szCs w:val="13"/>
          <w:color w:val="auto"/>
        </w:rPr>
        <w:t>•financial ratio and market share standing among comparable companies;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•financial projections: underwriting versus stress case;</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•event specific credit modeling;</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•credit profile trend;</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•future capital expenditure needs and asset sale plans;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•downside protection to limit losses in an event of default;</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•risk adjusted returns and relative value analysis; and</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•enterprise and asset valuations.</w:t>
      </w:r>
    </w:p>
    <w:p>
      <w:pPr>
        <w:spacing w:after="0" w:line="103" w:lineRule="exact"/>
        <w:rPr>
          <w:sz w:val="20"/>
          <w:szCs w:val="20"/>
          <w:color w:val="auto"/>
        </w:rPr>
      </w:pPr>
    </w:p>
    <w:p>
      <w:pPr>
        <w:ind w:right="20" w:firstLine="348"/>
        <w:spacing w:after="0" w:line="286" w:lineRule="auto"/>
        <w:rPr>
          <w:sz w:val="20"/>
          <w:szCs w:val="20"/>
          <w:color w:val="auto"/>
        </w:rPr>
      </w:pPr>
      <w:r>
        <w:rPr>
          <w:rFonts w:ascii="Times New Roman" w:cs="Times New Roman" w:eastAsia="Times New Roman" w:hAnsi="Times New Roman"/>
          <w:sz w:val="13"/>
          <w:szCs w:val="13"/>
          <w:color w:val="auto"/>
        </w:rPr>
        <w:t>The origination, structuring and credit approval processes are fully integrated. Our credit team is directly involved in all due diligence and analysis prior to the formal credit approval process by our Investment Committee.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Investment Committee</w:t>
      </w:r>
    </w:p>
    <w:p>
      <w:pPr>
        <w:spacing w:after="0" w:line="1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The Investment Committee serves to provide investment consistency and adherence to our core investment philosophy and policies.</w:t>
      </w:r>
    </w:p>
    <w:p>
      <w:pPr>
        <w:spacing w:after="0" w:line="103" w:lineRule="exact"/>
        <w:rPr>
          <w:sz w:val="20"/>
          <w:szCs w:val="20"/>
          <w:color w:val="auto"/>
        </w:rPr>
      </w:pPr>
    </w:p>
    <w:p>
      <w:pPr>
        <w:ind w:right="120" w:firstLine="348"/>
        <w:spacing w:after="0" w:line="268" w:lineRule="auto"/>
        <w:rPr>
          <w:sz w:val="20"/>
          <w:szCs w:val="20"/>
          <w:color w:val="auto"/>
        </w:rPr>
      </w:pPr>
      <w:r>
        <w:rPr>
          <w:rFonts w:ascii="Times New Roman" w:cs="Times New Roman" w:eastAsia="Times New Roman" w:hAnsi="Times New Roman"/>
          <w:sz w:val="13"/>
          <w:szCs w:val="13"/>
          <w:color w:val="auto"/>
        </w:rPr>
        <w:t>Upon completion of the due diligence investigation, the underwriting team of investment professionals/analysts will prepare a credit underwriting memorandum that will summarize the contemplated transaction, present the investment highlights, analyze the risk in the transaction and mitigating factors to those risks, analyze the prospective portfolio’s historical financial statements, financial projections, industry and management team, and will then present this memorandum with its recommendations to the Investment Committee for review and approval.</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The approval of a majority of the Investment Committee is required for all investments.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Monitoring</w:t>
      </w:r>
    </w:p>
    <w:p>
      <w:pPr>
        <w:spacing w:after="0" w:line="1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Our Board, including a majority of its independent directors, oversees and monitors our investment performance and annually reviews the compensation we pay to the Adviser.</w:t>
      </w:r>
    </w:p>
    <w:p>
      <w:pPr>
        <w:spacing w:after="0" w:line="103" w:lineRule="exact"/>
        <w:rPr>
          <w:sz w:val="20"/>
          <w:szCs w:val="20"/>
          <w:color w:val="auto"/>
        </w:rPr>
      </w:pPr>
    </w:p>
    <w:p>
      <w:pPr>
        <w:jc w:val="both"/>
        <w:ind w:right="160" w:firstLine="348"/>
        <w:spacing w:after="0" w:line="268" w:lineRule="auto"/>
        <w:rPr>
          <w:sz w:val="20"/>
          <w:szCs w:val="20"/>
          <w:color w:val="auto"/>
        </w:rPr>
      </w:pPr>
      <w:r>
        <w:rPr>
          <w:rFonts w:ascii="Times New Roman" w:cs="Times New Roman" w:eastAsia="Times New Roman" w:hAnsi="Times New Roman"/>
          <w:sz w:val="13"/>
          <w:szCs w:val="13"/>
          <w:color w:val="auto"/>
        </w:rPr>
        <w:t>Our Adviser has significant experience monitoring credit portfolios. Along with origination and credit analysis, portfolio management is one of the key elements of our business. Most of our investments will not be liquid and, therefore, we must prepare to act quickly if potential issues arise so that we can work closely with the Adviser and the private equity sponsor, if applicable, of the portfolio company to take any necessary remedial action. In addition, most of the Adviser’s senior management team, has substantial workout and restructuring experience.</w:t>
      </w:r>
    </w:p>
    <w:p>
      <w:pPr>
        <w:spacing w:after="0" w:line="63" w:lineRule="exact"/>
        <w:rPr>
          <w:sz w:val="20"/>
          <w:szCs w:val="20"/>
          <w:color w:val="auto"/>
        </w:rPr>
      </w:pPr>
    </w:p>
    <w:p>
      <w:pPr>
        <w:ind w:right="320" w:firstLine="348"/>
        <w:spacing w:after="0" w:line="286" w:lineRule="auto"/>
        <w:rPr>
          <w:sz w:val="20"/>
          <w:szCs w:val="20"/>
          <w:color w:val="auto"/>
        </w:rPr>
      </w:pPr>
      <w:r>
        <w:rPr>
          <w:rFonts w:ascii="Times New Roman" w:cs="Times New Roman" w:eastAsia="Times New Roman" w:hAnsi="Times New Roman"/>
          <w:sz w:val="13"/>
          <w:szCs w:val="13"/>
          <w:color w:val="auto"/>
        </w:rPr>
        <w:t>In order to assist us in detecting issues with our Debt Securities Portfolio companies as early as possible, we perform a financial analysis at least quarterly on each portfolio company. This analysis typically includes:</w:t>
      </w:r>
    </w:p>
    <w:p>
      <w:pPr>
        <w:spacing w:after="0" w:line="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•A summary of the portfolio company’s current total credit exposure as well as our portion of this exposure.</w:t>
      </w:r>
    </w:p>
    <w:p>
      <w:pPr>
        <w:spacing w:after="0" w:line="103" w:lineRule="exact"/>
        <w:rPr>
          <w:sz w:val="20"/>
          <w:szCs w:val="20"/>
          <w:color w:val="auto"/>
        </w:rPr>
      </w:pPr>
    </w:p>
    <w:p>
      <w:pPr>
        <w:ind w:left="360"/>
        <w:spacing w:after="0" w:line="286" w:lineRule="auto"/>
        <w:rPr>
          <w:sz w:val="20"/>
          <w:szCs w:val="20"/>
          <w:color w:val="auto"/>
        </w:rPr>
      </w:pPr>
      <w:r>
        <w:rPr>
          <w:rFonts w:ascii="Times New Roman" w:cs="Times New Roman" w:eastAsia="Times New Roman" w:hAnsi="Times New Roman"/>
          <w:sz w:val="13"/>
          <w:szCs w:val="13"/>
          <w:color w:val="auto"/>
        </w:rPr>
        <w:t>•A summary and update of the portfolio company’s financial condition and performance, including but not limited to, performance versus plan, deterioration/improvement in market position, or industry fundamentals, management changes or additions, and ongoing business strategy.</w:t>
      </w:r>
    </w:p>
    <w:p>
      <w:pPr>
        <w:spacing w:after="0" w:line="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•Reaffirmation of, or proposal to change, the risk rating of the underlying investment.</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•A summary of the portfolio company’s financial covenant results vis a vis financial covenant levels established in the credit agreement.</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Watch list credits are followed closely and discussed more frequently than quarterly, as appropriate.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About the Adviser</w:t>
      </w:r>
    </w:p>
    <w:p>
      <w:pPr>
        <w:spacing w:after="0" w:line="105" w:lineRule="exact"/>
        <w:rPr>
          <w:sz w:val="20"/>
          <w:szCs w:val="20"/>
          <w:color w:val="auto"/>
        </w:rPr>
      </w:pPr>
    </w:p>
    <w:p>
      <w:pPr>
        <w:ind w:right="220" w:firstLine="348"/>
        <w:spacing w:after="0" w:line="268" w:lineRule="auto"/>
        <w:rPr>
          <w:sz w:val="20"/>
          <w:szCs w:val="20"/>
          <w:color w:val="auto"/>
        </w:rPr>
      </w:pPr>
      <w:r>
        <w:rPr>
          <w:rFonts w:ascii="Times New Roman" w:cs="Times New Roman" w:eastAsia="Times New Roman" w:hAnsi="Times New Roman"/>
          <w:sz w:val="13"/>
          <w:szCs w:val="13"/>
          <w:color w:val="auto"/>
        </w:rPr>
        <w:t>The Adviser is an affiliate of BC Partners. Subject to the overall supervision of the Board, the Adviser is responsible for managing our business and activities, including sourcing investment opportunities, conducting research, performing diligence on potential investments, structuring our investments, and monitoring our portfolio companies on an ongoing basis through a team of investment professionals.</w:t>
      </w:r>
    </w:p>
    <w:p>
      <w:pPr>
        <w:spacing w:after="0" w:line="63" w:lineRule="exact"/>
        <w:rPr>
          <w:sz w:val="20"/>
          <w:szCs w:val="20"/>
          <w:color w:val="auto"/>
        </w:rPr>
      </w:pPr>
    </w:p>
    <w:p>
      <w:pPr>
        <w:ind w:right="180" w:firstLine="348"/>
        <w:spacing w:after="0" w:line="259" w:lineRule="auto"/>
        <w:rPr>
          <w:sz w:val="20"/>
          <w:szCs w:val="20"/>
          <w:color w:val="auto"/>
        </w:rPr>
      </w:pPr>
      <w:r>
        <w:rPr>
          <w:rFonts w:ascii="Times New Roman" w:cs="Times New Roman" w:eastAsia="Times New Roman" w:hAnsi="Times New Roman"/>
          <w:sz w:val="13"/>
          <w:szCs w:val="13"/>
          <w:color w:val="auto"/>
        </w:rPr>
        <w:t>The Adviser seeks to invest on our behalf in performing, well-established middle market businesses that operate across a wide range of industries (i.e., no concentration in any one industry). The Adviser employs fundamental credit analysis, targeting investments in businesses with relatively low levels of cyclicality and operating risk. The holding size of each position will generally be dependent upon a number of factors including total facility size, pricing and structure, and the number of other lenders in the facility. The Adviser has experience managing levered vehicles, both public and private, and seeks to enhance our returns through the use of leverage with a prudent approach that prioritizes capital preservation. The Adviser believes this strategy and approach offers attractive risk/return with lower volatility given the potential for fewer defaults and greater resilience through market cycles.</w:t>
      </w:r>
    </w:p>
    <w:p>
      <w:pPr>
        <w:spacing w:after="0" w:line="70" w:lineRule="exact"/>
        <w:rPr>
          <w:sz w:val="20"/>
          <w:szCs w:val="20"/>
          <w:color w:val="auto"/>
        </w:rPr>
      </w:pPr>
    </w:p>
    <w:p>
      <w:pPr>
        <w:ind w:firstLine="348"/>
        <w:spacing w:after="0" w:line="259" w:lineRule="auto"/>
        <w:rPr>
          <w:sz w:val="20"/>
          <w:szCs w:val="20"/>
          <w:color w:val="auto"/>
        </w:rPr>
      </w:pPr>
      <w:r>
        <w:rPr>
          <w:rFonts w:ascii="Times New Roman" w:cs="Times New Roman" w:eastAsia="Times New Roman" w:hAnsi="Times New Roman"/>
          <w:sz w:val="13"/>
          <w:szCs w:val="13"/>
          <w:color w:val="auto"/>
        </w:rPr>
        <w:t>BC Partners is a leading buyout firm with a 30-year history investing across Europe and North America in private equity, private credit and real estate strategies. The assets under management for BC Partners are based on actively managed commitments of its managed funds and relevant vehicles formed for the purpose of co-investing alongside such funds. BC Partners operates a private equity investment platform (“BCP PE”) a credit investment platform (“BCP Credit”) and a real estate investment platform ("BC Partners Real Estate") as fully integrated businesses. Our investment activity will take place primarily within the BCP Credit platform. Integration with the broader BC Partners platform allows BCP Credit to leverage a team of investment professionals across its private equity platform including its operations team. The BCP Credit Investment Team (the “Investment Team”) is led by Ted Goldthorpe.</w:t>
      </w:r>
    </w:p>
    <w:p>
      <w:pPr>
        <w:spacing w:after="0" w:line="70" w:lineRule="exact"/>
        <w:rPr>
          <w:sz w:val="20"/>
          <w:szCs w:val="20"/>
          <w:color w:val="auto"/>
        </w:rPr>
      </w:pPr>
    </w:p>
    <w:p>
      <w:pPr>
        <w:ind w:firstLine="348"/>
        <w:spacing w:after="0" w:line="286" w:lineRule="auto"/>
        <w:rPr>
          <w:sz w:val="20"/>
          <w:szCs w:val="20"/>
          <w:color w:val="auto"/>
        </w:rPr>
      </w:pPr>
      <w:r>
        <w:rPr>
          <w:rFonts w:ascii="Times New Roman" w:cs="Times New Roman" w:eastAsia="Times New Roman" w:hAnsi="Times New Roman"/>
          <w:sz w:val="13"/>
          <w:szCs w:val="13"/>
          <w:color w:val="auto"/>
        </w:rPr>
        <w:t>During the fourth quarter of 2020, LibreMax Intermediate Holdings, LP (“LibreMax”) sold its minority stake in the Adviser to a wholly-owned subsidiary of Mount Logan Capital Inc. (“Mount Logan”). An affiliate of BC Partners serves as administrator to Mount Logan.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Advisory Agreement</w:t>
      </w:r>
    </w:p>
    <w:p>
      <w:pPr>
        <w:spacing w:after="0" w:line="1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The Adviser provides management services to us pursuant to the Advisory Agreement. Under the terms of the Investment Advisory Agreement, the Adviser is responsible for the following:</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•managing our assets in accordance with our investment objective, policies and restrictions;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386" w:right="700" w:bottom="1440" w:gutter="0" w:footer="0" w:header="0"/>
        </w:sectPr>
      </w:pPr>
    </w:p>
    <w:bookmarkStart w:id="9" w:name="page10"/>
    <w:bookmarkEnd w:id="9"/>
    <w:p>
      <w:pPr>
        <w:ind w:left="360"/>
        <w:spacing w:after="0"/>
        <w:rPr>
          <w:sz w:val="20"/>
          <w:szCs w:val="20"/>
          <w:color w:val="auto"/>
        </w:rPr>
      </w:pPr>
      <w:r>
        <w:rPr>
          <w:rFonts w:ascii="Times New Roman" w:cs="Times New Roman" w:eastAsia="Times New Roman" w:hAnsi="Times New Roman"/>
          <w:sz w:val="13"/>
          <w:szCs w:val="13"/>
          <w:color w:val="auto"/>
        </w:rPr>
        <w:t>•determining the composition of our portfolio, the nature and timing of the changes to our portfolio and the manner of implementing such changes;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•identifying, evaluating and negotiating the structure of our investments;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•monitoring our investments;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•determining the securities and other assets we will purchase, retain or sell;</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•assisting the Board with its valuation of our assets;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•directing investment professionals of the Adviser to provide managerial assistance to our portfolio companies;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•performing due diligence on prospective portfolio companies;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•exercising voting rights in respect of portfolio securities and other investments for us;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•serving on, and exercising observer rights for, boards of directors and similar committees of our portfolio companies; and</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•providing us with such other investment advisory, research and related services as we may, from time to time, reasonably require for the investment of capital.</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The Adviser’s services under the Advisory Agreement are not exclusive, and it is free to furnish similar services to other entities so long as its services to us are not impaired.</w:t>
      </w:r>
    </w:p>
    <w:p>
      <w:pPr>
        <w:spacing w:after="0" w:line="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b w:val="1"/>
          <w:bCs w:val="1"/>
          <w:i w:val="1"/>
          <w:iCs w:val="1"/>
          <w:color w:val="auto"/>
        </w:rPr>
        <w:t>Term</w:t>
      </w:r>
    </w:p>
    <w:p>
      <w:pPr>
        <w:spacing w:after="0" w:line="107" w:lineRule="exact"/>
        <w:rPr>
          <w:sz w:val="20"/>
          <w:szCs w:val="20"/>
          <w:color w:val="auto"/>
        </w:rPr>
      </w:pPr>
    </w:p>
    <w:p>
      <w:pPr>
        <w:ind w:right="100" w:firstLine="348"/>
        <w:spacing w:after="0" w:line="286" w:lineRule="auto"/>
        <w:rPr>
          <w:sz w:val="20"/>
          <w:szCs w:val="20"/>
          <w:color w:val="auto"/>
        </w:rPr>
      </w:pPr>
      <w:r>
        <w:rPr>
          <w:rFonts w:ascii="Times New Roman" w:cs="Times New Roman" w:eastAsia="Times New Roman" w:hAnsi="Times New Roman"/>
          <w:sz w:val="13"/>
          <w:szCs w:val="13"/>
          <w:color w:val="auto"/>
        </w:rPr>
        <w:t>Unless earlier terminated as described below, the Investment Advisory Agreement will remain in effect from year-to-year if approved annually by a majority of the Board or by the holders of a majority of our outstanding shares, and, in each case, a majority of the independent directors.</w:t>
      </w:r>
    </w:p>
    <w:p>
      <w:pPr>
        <w:spacing w:after="0" w:line="52" w:lineRule="exact"/>
        <w:rPr>
          <w:sz w:val="20"/>
          <w:szCs w:val="20"/>
          <w:color w:val="auto"/>
        </w:rPr>
      </w:pPr>
    </w:p>
    <w:p>
      <w:pPr>
        <w:ind w:right="160" w:firstLine="381"/>
        <w:spacing w:after="0" w:line="259" w:lineRule="auto"/>
        <w:rPr>
          <w:sz w:val="20"/>
          <w:szCs w:val="20"/>
          <w:color w:val="auto"/>
        </w:rPr>
      </w:pPr>
      <w:r>
        <w:rPr>
          <w:rFonts w:ascii="Times New Roman" w:cs="Times New Roman" w:eastAsia="Times New Roman" w:hAnsi="Times New Roman"/>
          <w:sz w:val="13"/>
          <w:szCs w:val="13"/>
          <w:color w:val="auto"/>
        </w:rPr>
        <w:t>The Advisory Agreement will automatically terminate within the meaning of the 1940 Act and related SEC guidance and interpretations in the event of its assignment. In accordance with the 1940 Act, without payment of any penalty, we may terminate the Advisory Agreement with the Adviser upon 60 days’ written notice. The decision to terminate the agreement may be made by a majority our Board or the stockholders holding a majority of the outstanding shares of our common stock. See “Advisory Agreement—Removal of Adviser” below. In addition, without payment of any penalty, the Adviser may generally terminate the Advisory Agreement upon 60 days’ written notice and, in certain circumstances, the Adviser may only be able to terminate the Advisory Agreement upon 120 days’ written notice.</w:t>
      </w:r>
    </w:p>
    <w:p>
      <w:pPr>
        <w:spacing w:after="0" w:line="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b w:val="1"/>
          <w:bCs w:val="1"/>
          <w:i w:val="1"/>
          <w:iCs w:val="1"/>
          <w:color w:val="auto"/>
        </w:rPr>
        <w:t>Removal of Adviser</w:t>
      </w:r>
    </w:p>
    <w:p>
      <w:pPr>
        <w:spacing w:after="0" w:line="107" w:lineRule="exact"/>
        <w:rPr>
          <w:sz w:val="20"/>
          <w:szCs w:val="20"/>
          <w:color w:val="auto"/>
        </w:rPr>
      </w:pPr>
    </w:p>
    <w:p>
      <w:pPr>
        <w:jc w:val="both"/>
        <w:ind w:right="100" w:firstLine="348"/>
        <w:spacing w:after="0" w:line="268" w:lineRule="auto"/>
        <w:rPr>
          <w:sz w:val="20"/>
          <w:szCs w:val="20"/>
          <w:color w:val="auto"/>
        </w:rPr>
      </w:pPr>
      <w:r>
        <w:rPr>
          <w:rFonts w:ascii="Times New Roman" w:cs="Times New Roman" w:eastAsia="Times New Roman" w:hAnsi="Times New Roman"/>
          <w:sz w:val="13"/>
          <w:szCs w:val="13"/>
          <w:color w:val="auto"/>
        </w:rPr>
        <w:t>The Adviser may be removed by our Board or by the affirmative vote of a Majority of the Outstanding Shares. “Majority of the Outstanding Shares” means the lesser of (1) 67% or more of the outstanding shares of our common stock present at a meeting, if the holders of more than 50% of the outstanding shares of our common stock are present or represented by proxy or (2) a majority of outstanding shares of our common stock.</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b w:val="1"/>
          <w:bCs w:val="1"/>
          <w:i w:val="1"/>
          <w:iCs w:val="1"/>
          <w:color w:val="auto"/>
        </w:rPr>
        <w:t>Compensation of Adviser</w:t>
      </w:r>
    </w:p>
    <w:p>
      <w:pPr>
        <w:spacing w:after="0" w:line="107" w:lineRule="exact"/>
        <w:rPr>
          <w:sz w:val="20"/>
          <w:szCs w:val="20"/>
          <w:color w:val="auto"/>
        </w:rPr>
      </w:pPr>
    </w:p>
    <w:p>
      <w:pPr>
        <w:ind w:right="140" w:firstLine="348"/>
        <w:spacing w:after="0" w:line="261" w:lineRule="auto"/>
        <w:rPr>
          <w:sz w:val="20"/>
          <w:szCs w:val="20"/>
          <w:color w:val="auto"/>
        </w:rPr>
      </w:pPr>
      <w:r>
        <w:rPr>
          <w:rFonts w:ascii="Times New Roman" w:cs="Times New Roman" w:eastAsia="Times New Roman" w:hAnsi="Times New Roman"/>
          <w:sz w:val="13"/>
          <w:szCs w:val="13"/>
          <w:color w:val="auto"/>
        </w:rPr>
        <w:t>Pursuant to the terms of the Advisory Agreement, we pay the Adviser (i) a base management fee (the “Base Management Fee”) and (ii) an incentive fee (the “Incentive Fee”). For the period from the date of the Advisory Agreement (the “Effective Date”) through the end of the first calendar quarter after the Effective Date, the Base Management Fee will be calculated at an annual rate of</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3"/>
          <w:szCs w:val="13"/>
          <w:color w:val="auto"/>
        </w:rPr>
        <w:t>1.50% of our gross assets, excluding cash and cash equivalents, but including assets purchased with borrowed amounts, as of the end of such calendar quarter. Subsequently, the Base Management Fee will be 1.50% of our average gross assets, excluding cash and cash equivalents, but including assets purchased with borrowed amounts, at the end of the two most recently completed calendar quarters; provided, however, that the Base Management Fee will be 1.00% of our average gross assets, excluding cash and cash equivalents, but including assets purchased with borrowed amounts, that exceed the product of (i) 200% and (ii) the value of our net asset value at the end of the most recently completed calendar quarter. The Incentive Fee consists of two parts: (1) a portion based on our pre-incentive fee net investment income (the “Income-Based Fee”) and (2) a portion based on the net capital gains received on our portfolio of securities on a cumulative basis for each calendar year, net of all realized capital losses and all unrealized capital depreciation on a cumulative basis, in each case calculated from the Effective Date, less the aggregate amount of any previously paid capital gains Incentive Fee (the “Capital Gains Fee”). The Income-Based Fee is 17.50% of pre- incentive fee net investment income with a 7.00% hurdle rate. The Capital Gains Fee is 17.50%. In connection with the Externalization, for the period of one year from the first day of the first quarter following the quarter in which the Closing occurred, the Adviser agreed to permanently forego up to the full amount of the incentive fees earned by the Adviser without recourse against or reimbursement by us, to the extent necessary in order to achieve aggregate net investment income per share of common stock for such one-year period to be at least equal to $0.40 per share, subject to certain adjustments.</w:t>
      </w:r>
    </w:p>
    <w:p>
      <w:pPr>
        <w:spacing w:after="0" w:line="79" w:lineRule="exact"/>
        <w:rPr>
          <w:sz w:val="20"/>
          <w:szCs w:val="20"/>
          <w:color w:val="auto"/>
        </w:rPr>
      </w:pPr>
    </w:p>
    <w:p>
      <w:pPr>
        <w:ind w:right="120" w:firstLine="348"/>
        <w:spacing w:after="0" w:line="256" w:lineRule="auto"/>
        <w:rPr>
          <w:sz w:val="20"/>
          <w:szCs w:val="20"/>
          <w:color w:val="auto"/>
        </w:rPr>
      </w:pPr>
      <w:r>
        <w:rPr>
          <w:rFonts w:ascii="Times New Roman" w:cs="Times New Roman" w:eastAsia="Times New Roman" w:hAnsi="Times New Roman"/>
          <w:sz w:val="13"/>
          <w:szCs w:val="13"/>
          <w:color w:val="auto"/>
        </w:rPr>
        <w:t>Pre-incentive fee net investment income means dividends (including reinvested dividends), interest and fee income accrued by us during the calendar quarter, minus operating expenses for the quarter (including the management fee, expenses payable under the administration agreement, and any interest expense and dividends paid on any issued and outstanding preferred stock, but excluding the incentive fee). Pre- incentive fee net investment income includes, in the case of investments with a deferred interest feature (such as original issue discount, debt instruments with payment-in- kind (“PIK”) interest and zero coupon securities), accrued income that we may not have received in cash. The Adviser is not obligated to return the incentive fee it receives on PIK interest that is later determined to be uncollectible in cash. See “Item 1A. Risk Factors— Risks Related to Our Business and Structure - We may be obligated to pay the Adviser incentive compensation even if it incurs a net loss due to a decline in the value of our portfolio.” Pre-incentive fee net investment income does not include any realized capital gains, realized capital losses or unrealized capital appreciation or depreciation.</w:t>
      </w:r>
    </w:p>
    <w:p>
      <w:pPr>
        <w:spacing w:after="0" w:line="72" w:lineRule="exact"/>
        <w:rPr>
          <w:sz w:val="20"/>
          <w:szCs w:val="20"/>
          <w:color w:val="auto"/>
        </w:rPr>
      </w:pPr>
    </w:p>
    <w:p>
      <w:pPr>
        <w:ind w:right="40" w:firstLine="348"/>
        <w:spacing w:after="0" w:line="256" w:lineRule="auto"/>
        <w:rPr>
          <w:sz w:val="20"/>
          <w:szCs w:val="20"/>
          <w:color w:val="auto"/>
        </w:rPr>
      </w:pPr>
      <w:r>
        <w:rPr>
          <w:rFonts w:ascii="Times New Roman" w:cs="Times New Roman" w:eastAsia="Times New Roman" w:hAnsi="Times New Roman"/>
          <w:sz w:val="13"/>
          <w:szCs w:val="13"/>
          <w:color w:val="auto"/>
        </w:rPr>
        <w:t>To determine the Income- Based Fee, pre-incentive fee net investment income is expressed as a rate of return on the value of our net assets at the end of the immediately preceding calendar quarter. Because of the structure of the incentive fee, it is possible that we may pay an incentive fee in a calendar quarter in which we incur a loss. For example, if we receive pre-incentive fee net investment income in excess of the quarterly hurdle rate, we will pay the applicable incentive fee even if we have incurred a loss in that calendar quarter due to realized capital losses and unrealized capital depreciation. In addition, because the quarterly hurdle rate is calculated based on our net assets, decreases in our net assets due to realized capital losses or unrealized capital depreciation in any given calendar quarter may increase the likelihood that the hurdle rate is reached and therefore the likelihood of us paying an incentive fee for the subsequent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The following is a graphical representation of the calculation of the Income-Based Fee:</w:t>
      </w: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86" w:right="660" w:bottom="1440" w:gutter="0" w:footer="0" w:header="0"/>
        </w:sectPr>
      </w:pPr>
    </w:p>
    <w:bookmarkStart w:id="10" w:name="page11"/>
    <w:bookmarkEnd w:id="10"/>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Quarterly Income-Based Fee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(expressed as a percentage of the value of net assets)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80" w:type="dxa"/>
            <w:vAlign w:val="bottom"/>
            <w:tcBorders>
              <w:bottom w:val="single" w:sz="8" w:color="auto"/>
            </w:tcBorders>
          </w:tcPr>
          <w:p>
            <w:pPr>
              <w:jc w:val="right"/>
              <w:ind w:right="2514"/>
              <w:spacing w:after="0"/>
              <w:rPr>
                <w:sz w:val="20"/>
                <w:szCs w:val="20"/>
                <w:color w:val="auto"/>
              </w:rPr>
            </w:pPr>
            <w:r>
              <w:rPr>
                <w:rFonts w:ascii="Times New Roman" w:cs="Times New Roman" w:eastAsia="Times New Roman" w:hAnsi="Times New Roman"/>
                <w:sz w:val="13"/>
                <w:szCs w:val="13"/>
                <w:color w:val="auto"/>
              </w:rPr>
              <w:t>0%</w:t>
            </w:r>
          </w:p>
        </w:tc>
        <w:tc>
          <w:tcPr>
            <w:tcW w:w="3540" w:type="dxa"/>
            <w:vAlign w:val="bottom"/>
            <w:tcBorders>
              <w:bottom w:val="single" w:sz="8" w:color="auto"/>
            </w:tcBorders>
          </w:tcPr>
          <w:p>
            <w:pPr>
              <w:jc w:val="right"/>
              <w:ind w:right="2374"/>
              <w:spacing w:after="0"/>
              <w:rPr>
                <w:sz w:val="20"/>
                <w:szCs w:val="20"/>
                <w:color w:val="auto"/>
              </w:rPr>
            </w:pPr>
            <w:r>
              <w:rPr>
                <w:rFonts w:ascii="Times New Roman" w:cs="Times New Roman" w:eastAsia="Times New Roman" w:hAnsi="Times New Roman"/>
                <w:sz w:val="13"/>
                <w:szCs w:val="13"/>
                <w:color w:val="auto"/>
              </w:rPr>
              <w:t>1.75%</w:t>
            </w:r>
          </w:p>
        </w:tc>
        <w:tc>
          <w:tcPr>
            <w:tcW w:w="4240" w:type="dxa"/>
            <w:vAlign w:val="bottom"/>
            <w:tcBorders>
              <w:bottom w:val="single" w:sz="8" w:color="auto"/>
            </w:tcBorders>
          </w:tcPr>
          <w:p>
            <w:pPr>
              <w:jc w:val="right"/>
              <w:ind w:right="3094"/>
              <w:spacing w:after="0"/>
              <w:rPr>
                <w:sz w:val="20"/>
                <w:szCs w:val="20"/>
                <w:color w:val="auto"/>
              </w:rPr>
            </w:pPr>
            <w:r>
              <w:rPr>
                <w:rFonts w:ascii="Times New Roman" w:cs="Times New Roman" w:eastAsia="Times New Roman" w:hAnsi="Times New Roman"/>
                <w:sz w:val="13"/>
                <w:szCs w:val="13"/>
                <w:color w:val="auto"/>
              </w:rPr>
              <w:t>2.12%</w:t>
            </w:r>
          </w:p>
        </w:tc>
      </w:tr>
      <w:tr>
        <w:trPr>
          <w:trHeight w:val="316"/>
        </w:trPr>
        <w:tc>
          <w:tcPr>
            <w:tcW w:w="2780" w:type="dxa"/>
            <w:vAlign w:val="bottom"/>
          </w:tcPr>
          <w:p>
            <w:pPr>
              <w:jc w:val="right"/>
              <w:ind w:right="694"/>
              <w:spacing w:after="0"/>
              <w:rPr>
                <w:sz w:val="20"/>
                <w:szCs w:val="20"/>
                <w:color w:val="auto"/>
              </w:rPr>
            </w:pPr>
            <w:r>
              <w:rPr>
                <w:rFonts w:ascii="Times New Roman" w:cs="Times New Roman" w:eastAsia="Times New Roman" w:hAnsi="Times New Roman"/>
                <w:sz w:val="13"/>
                <w:szCs w:val="13"/>
                <w:color w:val="auto"/>
              </w:rPr>
              <w:t>← 0% →</w:t>
            </w:r>
          </w:p>
        </w:tc>
        <w:tc>
          <w:tcPr>
            <w:tcW w:w="3540" w:type="dxa"/>
            <w:vAlign w:val="bottom"/>
          </w:tcPr>
          <w:p>
            <w:pPr>
              <w:jc w:val="right"/>
              <w:ind w:right="654"/>
              <w:spacing w:after="0"/>
              <w:rPr>
                <w:sz w:val="20"/>
                <w:szCs w:val="20"/>
                <w:color w:val="auto"/>
              </w:rPr>
            </w:pPr>
            <w:r>
              <w:rPr>
                <w:rFonts w:ascii="Times New Roman" w:cs="Times New Roman" w:eastAsia="Times New Roman" w:hAnsi="Times New Roman"/>
                <w:sz w:val="13"/>
                <w:szCs w:val="13"/>
                <w:color w:val="auto"/>
              </w:rPr>
              <w:t>← 100% →</w:t>
            </w:r>
          </w:p>
        </w:tc>
        <w:tc>
          <w:tcPr>
            <w:tcW w:w="4240" w:type="dxa"/>
            <w:vAlign w:val="bottom"/>
          </w:tcPr>
          <w:p>
            <w:pPr>
              <w:jc w:val="right"/>
              <w:ind w:right="1354"/>
              <w:spacing w:after="0"/>
              <w:rPr>
                <w:sz w:val="20"/>
                <w:szCs w:val="20"/>
                <w:color w:val="auto"/>
              </w:rPr>
            </w:pPr>
            <w:r>
              <w:rPr>
                <w:rFonts w:ascii="Times New Roman" w:cs="Times New Roman" w:eastAsia="Times New Roman" w:hAnsi="Times New Roman"/>
                <w:sz w:val="13"/>
                <w:szCs w:val="13"/>
                <w:color w:val="auto"/>
              </w:rPr>
              <w:t>← 17.5% →</w:t>
            </w:r>
          </w:p>
        </w:tc>
      </w:tr>
    </w:tbl>
    <w:p>
      <w:pPr>
        <w:spacing w:after="0" w:line="236" w:lineRule="exact"/>
        <w:rPr>
          <w:sz w:val="20"/>
          <w:szCs w:val="20"/>
          <w:color w:val="auto"/>
        </w:rPr>
      </w:pPr>
    </w:p>
    <w:p>
      <w:pPr>
        <w:ind w:right="140" w:firstLine="348"/>
        <w:spacing w:after="0" w:line="257" w:lineRule="auto"/>
        <w:rPr>
          <w:sz w:val="20"/>
          <w:szCs w:val="20"/>
          <w:color w:val="auto"/>
        </w:rPr>
      </w:pPr>
      <w:r>
        <w:rPr>
          <w:rFonts w:ascii="Times New Roman" w:cs="Times New Roman" w:eastAsia="Times New Roman" w:hAnsi="Times New Roman"/>
          <w:sz w:val="13"/>
          <w:szCs w:val="13"/>
          <w:color w:val="auto"/>
        </w:rPr>
        <w:t>The second component of the incentive fee, the Capital Gains Fee, payable at the end of each calendar year in arrears, equals 17.50% of cumulative realized capital gains through the end of such calendar year commencing with the calendar year ending December 31, 2019, computed net of all realized capital losses and unrealized capital depreciation on a cumulative basis, in each case calculated from the Effective Date, less the aggregate amount of any previously paid capital gains fee for prior periods. We will accrue, but will not pay, a Capital Gains incentive Fee with respect to unrealized appreciation because a Capital Gains incentive Fee would be owed to the Adviser if we were to sell the relevant investment and realize a capital gain. In no event will the capital gains incentive fee payable pursuant to the Investment Advisory Agreement be in excess of the amount permitted by the Investment Advisers Act of 1940, as amended (the “Advisers Act”) including Section 205 thereof.</w:t>
      </w:r>
    </w:p>
    <w:p>
      <w:pPr>
        <w:spacing w:after="0" w:line="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The fees that are payable under the Investment Advisory Agreement for any partial period will be appropriately prorated.</w:t>
      </w:r>
    </w:p>
    <w:p>
      <w:pPr>
        <w:spacing w:after="0" w:line="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b w:val="1"/>
          <w:bCs w:val="1"/>
          <w:i w:val="1"/>
          <w:iCs w:val="1"/>
          <w:color w:val="auto"/>
        </w:rPr>
        <w:t>Limitations of Liability and Indemnification</w:t>
      </w:r>
    </w:p>
    <w:p>
      <w:pPr>
        <w:spacing w:after="0" w:line="107" w:lineRule="exact"/>
        <w:rPr>
          <w:sz w:val="20"/>
          <w:szCs w:val="20"/>
          <w:color w:val="auto"/>
        </w:rPr>
      </w:pPr>
    </w:p>
    <w:p>
      <w:pPr>
        <w:ind w:right="80" w:firstLine="348"/>
        <w:spacing w:after="0" w:line="255" w:lineRule="auto"/>
        <w:rPr>
          <w:sz w:val="20"/>
          <w:szCs w:val="20"/>
          <w:color w:val="auto"/>
        </w:rPr>
      </w:pPr>
      <w:r>
        <w:rPr>
          <w:rFonts w:ascii="Times New Roman" w:cs="Times New Roman" w:eastAsia="Times New Roman" w:hAnsi="Times New Roman"/>
          <w:sz w:val="13"/>
          <w:szCs w:val="13"/>
          <w:color w:val="auto"/>
        </w:rPr>
        <w:t>Under the Advisory Agreement, the Adviser, its officers, managers, partners, agents, employees, controlling persons, members and any other person or entity affiliated with the Adviser, including without limitation its managing member, will not be liable to us for acts or omissions performed in accordance with and pursuant to the Advisory Agreement, except those resulting from acts constituting criminal conduct, gross negligence, willful misfeasance, bad faith or reckless disregard of the duties that the Adviser owes to us under the Advisory Agreement. In addition, as part of the Advisory Agreement, we have agreed to indemnify the Adviser and each of its officers, managers, partners, agents, employees, controlling persons, members and any other person or entity affiliated with the Adviser, including without limitation its general partner, and the Administrator from and against any damages, liabilities, costs and expenses, including reasonable legal fees and other expenses reasonably incurred, in or by reason of any pending, threatened or completed action, suit, investigation or other proceeding (including an action or suit by or in the right of the Company or its security holders) arising out of or otherwise based upon the performance of any of the Adviser’s duties or obligations under the Advisory Agreement or otherwise as an investment adviser of the Company, except where attributable to criminal conduct, gross negligence, willful misfeasance, bad faith or reckless disregard of such person’s duties under the Advisory Agreement.</w:t>
      </w:r>
    </w:p>
    <w:p>
      <w:pPr>
        <w:spacing w:after="0" w:line="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b w:val="1"/>
          <w:bCs w:val="1"/>
          <w:i w:val="1"/>
          <w:iCs w:val="1"/>
          <w:color w:val="auto"/>
        </w:rPr>
        <w:t>Board Approval of the Advisory Agreement</w:t>
      </w:r>
    </w:p>
    <w:p>
      <w:pPr>
        <w:spacing w:after="0" w:line="107" w:lineRule="exact"/>
        <w:rPr>
          <w:sz w:val="20"/>
          <w:szCs w:val="20"/>
          <w:color w:val="auto"/>
        </w:rPr>
      </w:pPr>
    </w:p>
    <w:p>
      <w:pPr>
        <w:ind w:right="400" w:firstLine="348"/>
        <w:spacing w:after="0" w:line="286" w:lineRule="auto"/>
        <w:rPr>
          <w:sz w:val="20"/>
          <w:szCs w:val="20"/>
          <w:color w:val="auto"/>
        </w:rPr>
      </w:pPr>
      <w:r>
        <w:rPr>
          <w:rFonts w:ascii="Times New Roman" w:cs="Times New Roman" w:eastAsia="Times New Roman" w:hAnsi="Times New Roman"/>
          <w:sz w:val="13"/>
          <w:szCs w:val="13"/>
          <w:color w:val="auto"/>
        </w:rPr>
        <w:t>On December 12, 2018, our then -current Board held an in -person meeting to consider and approve the Advisory Agreement and related matters, and on April 1, 2019, we entered into the Advisory Agreement with the Adviser. Our Board most recently determined to re-approve the Advisory Agreement at a meeting held on March 12, 2025.</w:t>
      </w:r>
    </w:p>
    <w:p>
      <w:pPr>
        <w:spacing w:after="0" w:line="52" w:lineRule="exact"/>
        <w:rPr>
          <w:sz w:val="20"/>
          <w:szCs w:val="20"/>
          <w:color w:val="auto"/>
        </w:rPr>
      </w:pPr>
    </w:p>
    <w:p>
      <w:pPr>
        <w:ind w:firstLine="348"/>
        <w:spacing w:after="0" w:line="259" w:lineRule="auto"/>
        <w:rPr>
          <w:sz w:val="20"/>
          <w:szCs w:val="20"/>
          <w:color w:val="auto"/>
        </w:rPr>
      </w:pPr>
      <w:r>
        <w:rPr>
          <w:rFonts w:ascii="Times New Roman" w:cs="Times New Roman" w:eastAsia="Times New Roman" w:hAnsi="Times New Roman"/>
          <w:sz w:val="13"/>
          <w:szCs w:val="13"/>
          <w:color w:val="auto"/>
        </w:rPr>
        <w:t>In reaching a decision to re -approve the Advisory Agreement, the Board was provided the information required to consider the Advisory Agreement, including: (a) the nature, quality and extent of the advisory and other services to be provided to us by the Adviser; (b) comparative data with respect to advisory fees or similar expenses paid by other BDCs with similar investment objectives; (c) our projected operating expenses and expense ratio compared to BDCs with similar investment objectives; (d) any existing and potential sources of indirect income to the Adviser from its relationship with us and the profitability of that relationship; (e) information about the services to be performed and the personnel performing such services under the Advisory Agreement; and (f) the organizational capability and financial condition of the Adviser and its affiliates.</w:t>
      </w:r>
    </w:p>
    <w:p>
      <w:pPr>
        <w:spacing w:after="0" w:line="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The Board, including a majority of independent directors, will oversee and monitor our investment performance and annually reviews the compensation we pay to the Adviser.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Administration Agreement</w:t>
      </w:r>
    </w:p>
    <w:p>
      <w:pPr>
        <w:spacing w:after="0" w:line="105" w:lineRule="exact"/>
        <w:rPr>
          <w:sz w:val="20"/>
          <w:szCs w:val="20"/>
          <w:color w:val="auto"/>
        </w:rPr>
      </w:pPr>
    </w:p>
    <w:p>
      <w:pPr>
        <w:ind w:right="80" w:firstLine="348"/>
        <w:spacing w:after="0" w:line="259" w:lineRule="auto"/>
        <w:rPr>
          <w:sz w:val="20"/>
          <w:szCs w:val="20"/>
          <w:color w:val="auto"/>
        </w:rPr>
      </w:pPr>
      <w:r>
        <w:rPr>
          <w:rFonts w:ascii="Times New Roman" w:cs="Times New Roman" w:eastAsia="Times New Roman" w:hAnsi="Times New Roman"/>
          <w:sz w:val="13"/>
          <w:szCs w:val="13"/>
          <w:color w:val="auto"/>
        </w:rPr>
        <w:t>Under the terms of the Administration Agreement between us and the Administrator, the Administrator will perform, or oversee the performance of, required administrative services, which includes providing office space, equipment and office services, maintaining financial records, preparing reports to stockholders and reports filed with the SEC, and managing the payment of expenses and the performance of administrative and professional services rendered by others. We will reimburse the Administrator for services performed for us pursuant to the terms of the Administration Agreement. In addition, pursuant to the terms of the Administration Agreement, the Administrator may delegate its obligations under the Administration Agreement to an affiliate or to a third party and we will reimburse the Administrator for any services performed for us by such affiliate or third party.</w:t>
      </w:r>
    </w:p>
    <w:p>
      <w:pPr>
        <w:spacing w:after="0" w:line="70" w:lineRule="exact"/>
        <w:rPr>
          <w:sz w:val="20"/>
          <w:szCs w:val="20"/>
          <w:color w:val="auto"/>
        </w:rPr>
      </w:pPr>
    </w:p>
    <w:p>
      <w:pPr>
        <w:ind w:right="40" w:firstLine="348"/>
        <w:spacing w:after="0" w:line="262" w:lineRule="auto"/>
        <w:rPr>
          <w:sz w:val="20"/>
          <w:szCs w:val="20"/>
          <w:color w:val="auto"/>
        </w:rPr>
      </w:pPr>
      <w:r>
        <w:rPr>
          <w:rFonts w:ascii="Times New Roman" w:cs="Times New Roman" w:eastAsia="Times New Roman" w:hAnsi="Times New Roman"/>
          <w:sz w:val="13"/>
          <w:szCs w:val="13"/>
          <w:color w:val="auto"/>
        </w:rPr>
        <w:t>Payments under the Administration Agreement are equal to an amount that reimburses the Administrator for its costs and expenses in performing its obligations and providing personnel and facilities (including rent, office equipment and utilities) for our use under the Administration Agreement, including our allocable portion of the compensation paid to our chief compliance officer and chief financial officer and their respective staff who provide services to us. The Board, including the independent directors, will review the general nature of the services provided by the Administrator as well as the related cost to us for those services and consider whether the cost is reasonable in light of the services provided.</w:t>
      </w:r>
    </w:p>
    <w:p>
      <w:pPr>
        <w:spacing w:after="0" w:line="67" w:lineRule="exact"/>
        <w:rPr>
          <w:sz w:val="20"/>
          <w:szCs w:val="20"/>
          <w:color w:val="auto"/>
        </w:rPr>
      </w:pPr>
    </w:p>
    <w:p>
      <w:pPr>
        <w:ind w:right="160" w:firstLine="348"/>
        <w:spacing w:after="0" w:line="268" w:lineRule="auto"/>
        <w:rPr>
          <w:sz w:val="20"/>
          <w:szCs w:val="20"/>
          <w:color w:val="auto"/>
        </w:rPr>
      </w:pPr>
      <w:r>
        <w:rPr>
          <w:rFonts w:ascii="Times New Roman" w:cs="Times New Roman" w:eastAsia="Times New Roman" w:hAnsi="Times New Roman"/>
          <w:sz w:val="13"/>
          <w:szCs w:val="13"/>
          <w:color w:val="auto"/>
        </w:rPr>
        <w:t>Unless earlier terminated as described below, the Administration Agreement will remain in effect from year-to-year if approved annually by a majority of the Board or by the holders of a Majority of the Outstanding Shares, and, in each case, a majority of the independent directors. The Board most recently determined to re-approve the Administration Agreement at a meeting held on March 12, 2025.</w:t>
      </w:r>
    </w:p>
    <w:p>
      <w:pPr>
        <w:spacing w:after="0" w:line="63" w:lineRule="exact"/>
        <w:rPr>
          <w:sz w:val="20"/>
          <w:szCs w:val="20"/>
          <w:color w:val="auto"/>
        </w:rPr>
      </w:pPr>
    </w:p>
    <w:p>
      <w:pPr>
        <w:ind w:right="80" w:firstLine="381"/>
        <w:spacing w:after="0" w:line="268" w:lineRule="auto"/>
        <w:rPr>
          <w:sz w:val="20"/>
          <w:szCs w:val="20"/>
          <w:color w:val="auto"/>
        </w:rPr>
      </w:pPr>
      <w:r>
        <w:rPr>
          <w:rFonts w:ascii="Times New Roman" w:cs="Times New Roman" w:eastAsia="Times New Roman" w:hAnsi="Times New Roman"/>
          <w:sz w:val="13"/>
          <w:szCs w:val="13"/>
          <w:color w:val="auto"/>
        </w:rPr>
        <w:t>We may terminate the Administration Agreement, without payment of any penalty, upon 60 days’ written notice. The decision to terminate the agreement may be made by a majority of the Board or the stockholders holding a Majority of the Outstanding Shares. In addition, the Adviser may terminate the Administration Agreement, without payment of any penalty, upon 60 days’ written notice.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Payment of Our Expenses under Our Advisory and Administration Agreements</w:t>
      </w:r>
    </w:p>
    <w:p>
      <w:pPr>
        <w:spacing w:after="0" w:line="105" w:lineRule="exact"/>
        <w:rPr>
          <w:sz w:val="20"/>
          <w:szCs w:val="20"/>
          <w:color w:val="auto"/>
        </w:rPr>
      </w:pPr>
    </w:p>
    <w:p>
      <w:pPr>
        <w:ind w:right="20" w:firstLine="348"/>
        <w:spacing w:after="0" w:line="262" w:lineRule="auto"/>
        <w:rPr>
          <w:sz w:val="20"/>
          <w:szCs w:val="20"/>
          <w:color w:val="auto"/>
        </w:rPr>
      </w:pPr>
      <w:r>
        <w:rPr>
          <w:rFonts w:ascii="Times New Roman" w:cs="Times New Roman" w:eastAsia="Times New Roman" w:hAnsi="Times New Roman"/>
          <w:sz w:val="13"/>
          <w:szCs w:val="13"/>
          <w:color w:val="auto"/>
        </w:rPr>
        <w:t>Except as specifically provided below, we anticipate that all investment professionals and staffs of the Adviser, when and to the extent engaged in providing investment advisory and management services to us, and the compensation and routine overhead expenses (including rent, office equipment and utilities), of such personnel allocable to such services, will be provided and paid for by the Adviser. We will bear an allocable portion of the compensation paid by the Adviser (or its affiliates) to our chief compliance officer and chief financial officer and their respective staffs (based on a percentage of time such individuals devote, on an estimated</w:t>
      </w:r>
    </w:p>
    <w:p>
      <w:pPr>
        <w:spacing w:after="0" w:line="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1" w:name="page12"/>
    <w:bookmarkEnd w:id="11"/>
    <w:p>
      <w:pPr>
        <w:ind w:right="280"/>
        <w:spacing w:after="0" w:line="268" w:lineRule="auto"/>
        <w:rPr>
          <w:sz w:val="20"/>
          <w:szCs w:val="20"/>
          <w:color w:val="auto"/>
        </w:rPr>
      </w:pPr>
      <w:r>
        <w:rPr>
          <w:rFonts w:ascii="Times New Roman" w:cs="Times New Roman" w:eastAsia="Times New Roman" w:hAnsi="Times New Roman"/>
          <w:sz w:val="13"/>
          <w:szCs w:val="13"/>
          <w:color w:val="auto"/>
        </w:rPr>
        <w:t>basis, to our business affairs). We will also bear all other costs and expenses of our operations, administration and transactions, including, but not limited to (i) investment advisory fees, including management fees and incentive fees, to the Adviser, pursuant to our Advisory Agreement; (ii) an allocable portion of overhead and other expenses incurred by the Adviser (or its affiliates) in performing its administrative obligations under our Advisory Agreement; and (iii) all other expenses of our operations and transactions including, without limitation, those relating to:</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•the cost of calculating our net asset value, including the cost of any third-party valuation services;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•the cost of effecting any sales and repurchases of our common stock and other securities;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•fees and expenses payable under any dealer manager or placement agent agreements, if any;</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•administration fees payable under our Administration Agreement and any sub-administration agreements, including related expenses;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•debt service and other costs of borrowings or other financing arrangements;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•costs of hedging;</w:t>
      </w:r>
    </w:p>
    <w:p>
      <w:pPr>
        <w:spacing w:after="0" w:line="103" w:lineRule="exact"/>
        <w:rPr>
          <w:sz w:val="20"/>
          <w:szCs w:val="20"/>
          <w:color w:val="auto"/>
        </w:rPr>
      </w:pPr>
    </w:p>
    <w:p>
      <w:pPr>
        <w:ind w:left="360"/>
        <w:spacing w:after="0" w:line="286" w:lineRule="auto"/>
        <w:rPr>
          <w:sz w:val="20"/>
          <w:szCs w:val="20"/>
          <w:color w:val="auto"/>
        </w:rPr>
      </w:pPr>
      <w:r>
        <w:rPr>
          <w:rFonts w:ascii="Times New Roman" w:cs="Times New Roman" w:eastAsia="Times New Roman" w:hAnsi="Times New Roman"/>
          <w:sz w:val="13"/>
          <w:szCs w:val="13"/>
          <w:color w:val="auto"/>
        </w:rPr>
        <w:t>•expenses, including travel expense, incurred by the Adviser, or members of the investment team, or payable to third parties, performing due diligence on prospective portfolio companies and, if necessary, enforcing our rights;</w:t>
      </w:r>
    </w:p>
    <w:p>
      <w:pPr>
        <w:spacing w:after="0" w:line="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•transfer agent and custodial fees;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•fees and expenses associated with marketing efforts;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•federal and state registration fees, any stock exchange listing fees and fees payable to rating agencies;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•federal, state and local taxes;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•independent directors’ fees and expenses including certain travel expenses;</w:t>
      </w:r>
    </w:p>
    <w:p>
      <w:pPr>
        <w:spacing w:after="0" w:line="103" w:lineRule="exact"/>
        <w:rPr>
          <w:sz w:val="20"/>
          <w:szCs w:val="20"/>
          <w:color w:val="auto"/>
        </w:rPr>
      </w:pPr>
    </w:p>
    <w:p>
      <w:pPr>
        <w:ind w:left="360" w:right="120"/>
        <w:spacing w:after="0" w:line="286" w:lineRule="auto"/>
        <w:rPr>
          <w:sz w:val="20"/>
          <w:szCs w:val="20"/>
          <w:color w:val="auto"/>
        </w:rPr>
      </w:pPr>
      <w:r>
        <w:rPr>
          <w:rFonts w:ascii="Times New Roman" w:cs="Times New Roman" w:eastAsia="Times New Roman" w:hAnsi="Times New Roman"/>
          <w:sz w:val="13"/>
          <w:szCs w:val="13"/>
          <w:color w:val="auto"/>
        </w:rPr>
        <w:t>•costs of preparing financial statements and maintaining books and records and filing reports or other documents with the SEC (or other regulatory bodies) and other reporting and compliance costs, including registration and listing fees, and the compensation of professionals responsible for the preparation of the foregoing;</w:t>
      </w:r>
    </w:p>
    <w:p>
      <w:pPr>
        <w:spacing w:after="0" w:line="52" w:lineRule="exact"/>
        <w:rPr>
          <w:sz w:val="20"/>
          <w:szCs w:val="20"/>
          <w:color w:val="auto"/>
        </w:rPr>
      </w:pPr>
    </w:p>
    <w:p>
      <w:pPr>
        <w:ind w:left="360" w:right="300"/>
        <w:spacing w:after="0" w:line="286" w:lineRule="auto"/>
        <w:rPr>
          <w:sz w:val="20"/>
          <w:szCs w:val="20"/>
          <w:color w:val="auto"/>
        </w:rPr>
      </w:pPr>
      <w:r>
        <w:rPr>
          <w:rFonts w:ascii="Times New Roman" w:cs="Times New Roman" w:eastAsia="Times New Roman" w:hAnsi="Times New Roman"/>
          <w:sz w:val="13"/>
          <w:szCs w:val="13"/>
          <w:color w:val="auto"/>
        </w:rPr>
        <w:t>•the costs of any reports, proxy statements or other notices to stockholders (including printing and mailing costs), the costs of any stockholder or director meetings and the compensation of personnel responsible for the preparation of the foregoing and related matters;</w:t>
      </w:r>
    </w:p>
    <w:p>
      <w:pPr>
        <w:spacing w:after="0" w:line="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•commissions and other compensation payable to brokers or dealers;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•research and market data;</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•fidelity bond, directors and officers errors and omissions liability insurance and other insurance premiums;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•direct costs and expenses of administration, including printing, mailing, long distance telephone and staff;</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•fees and expenses associated with independent audits, outside legal and consulting costs;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•costs of winding up our affairs;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•costs incurred by either the Administrator or us in connection with administering our business, including payments under our Administration Agreement;</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•extraordinary expenses (such as litigation or indemnification); and</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•costs associated with reporting and compliance obligations under the 1940 Act and applicable federal and state securities laws.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Allocation of Investment Opportunities and Potential Conflicts of Interest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Co-Investment Relief</w:t>
      </w:r>
    </w:p>
    <w:p>
      <w:pPr>
        <w:spacing w:after="0" w:line="107" w:lineRule="exact"/>
        <w:rPr>
          <w:sz w:val="20"/>
          <w:szCs w:val="20"/>
          <w:color w:val="auto"/>
        </w:rPr>
      </w:pPr>
    </w:p>
    <w:p>
      <w:pPr>
        <w:ind w:right="60" w:firstLine="348"/>
        <w:spacing w:after="0" w:line="254" w:lineRule="auto"/>
        <w:rPr>
          <w:sz w:val="20"/>
          <w:szCs w:val="20"/>
          <w:color w:val="auto"/>
        </w:rPr>
      </w:pPr>
      <w:r>
        <w:rPr>
          <w:rFonts w:ascii="Times New Roman" w:cs="Times New Roman" w:eastAsia="Times New Roman" w:hAnsi="Times New Roman"/>
          <w:sz w:val="13"/>
          <w:szCs w:val="13"/>
          <w:color w:val="auto"/>
        </w:rPr>
        <w:t>As a BDC, we are subject to certain regulatory restrictions in making investments. For example, BDCs generally are not permitted to co-invest with certain affiliated entities in transactions originated by the BDC or its affiliates in the absence of an exemptive order from the SEC. However, BDCs are permitted to, and may, simultaneously co-invest in transactions where price is the only negotiated term. On April 10, 2023, superseding a prior exemptive order granted on October 23, 2018, the SEC issued an order granting an application for exemptive relief to us and certain of our affiliates that allows BDCs managed by the Adviser, including us, to co-invest, subject to the satisfaction of certain conditions, in certain private placement transactions, with other funds managed by the Adviser or its affiliates, certain proprietary accounts of the Adviser or its affiliates and any future funds that are advised by the Adviser or its affiliated investment advisers. Under the terms of the exemptive order, in order for us to participate in a co-investment transaction a “required majority” (as defined in Section 57(o) of the 1940 Act) of our independent directors must conclude that (i) the terms of the proposed transaction, including the consideration to be paid, are reasonable and fair to us and our stockholders and do not involve overreaching with respect to us or our stockholders on the part of any person concerned, and (ii) the proposed transaction is consistent with the interests of our stockholders and is consistent with our investment objectives and strategies and certain criteria established by our Board.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Related Party Trades</w:t>
      </w:r>
    </w:p>
    <w:p>
      <w:pPr>
        <w:spacing w:after="0" w:line="1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There were no transactions subject to Rule 17a-7 under the 1940 Act during the years ended December 31, 2024 or December 31, 2023.</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DETERMINATION OF NET ASSET VALUE</w:t>
      </w:r>
    </w:p>
    <w:p>
      <w:pPr>
        <w:spacing w:after="0" w:line="105" w:lineRule="exact"/>
        <w:rPr>
          <w:sz w:val="20"/>
          <w:szCs w:val="20"/>
          <w:color w:val="auto"/>
        </w:rPr>
      </w:pPr>
    </w:p>
    <w:p>
      <w:pPr>
        <w:ind w:right="500" w:firstLine="348"/>
        <w:spacing w:after="0" w:line="286" w:lineRule="auto"/>
        <w:rPr>
          <w:sz w:val="20"/>
          <w:szCs w:val="20"/>
          <w:color w:val="auto"/>
        </w:rPr>
      </w:pPr>
      <w:r>
        <w:rPr>
          <w:rFonts w:ascii="Times New Roman" w:cs="Times New Roman" w:eastAsia="Times New Roman" w:hAnsi="Times New Roman"/>
          <w:sz w:val="13"/>
          <w:szCs w:val="13"/>
          <w:color w:val="auto"/>
        </w:rPr>
        <w:t>We determine the net asset value per share of our common stock quarterly. The net asset value per share is equal to the value of our total assets minus liabilities and any preferred stock outstanding divided by the total number of shares of common stock outstanding.</w:t>
      </w:r>
    </w:p>
    <w:p>
      <w:pPr>
        <w:spacing w:after="0" w:line="52" w:lineRule="exact"/>
        <w:rPr>
          <w:sz w:val="20"/>
          <w:szCs w:val="20"/>
          <w:color w:val="auto"/>
        </w:rPr>
      </w:pPr>
    </w:p>
    <w:p>
      <w:pPr>
        <w:ind w:right="120" w:firstLine="348"/>
        <w:spacing w:after="0" w:line="286" w:lineRule="auto"/>
        <w:rPr>
          <w:sz w:val="20"/>
          <w:szCs w:val="20"/>
          <w:color w:val="auto"/>
        </w:rPr>
      </w:pPr>
      <w:r>
        <w:rPr>
          <w:rFonts w:ascii="Times New Roman" w:cs="Times New Roman" w:eastAsia="Times New Roman" w:hAnsi="Times New Roman"/>
          <w:sz w:val="13"/>
          <w:szCs w:val="13"/>
          <w:color w:val="auto"/>
        </w:rPr>
        <w:t>Our net asset value per share was $19.41 and $22.76 as of December 31, 2024 and December 31, 2023, respectively. Since we report our assets at fair value for each reporting period, net asset value also represents the amount of stockholders’ equity per share for the reporting period. Our net asset value is comprised primarily of investment assets less debt and other liabilities: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86" w:right="68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49"/>
        </w:trPr>
        <w:tc>
          <w:tcPr>
            <w:tcW w:w="5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gridSpan w:val="4"/>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40" w:type="dxa"/>
            <w:vAlign w:val="bottom"/>
            <w:gridSpan w:val="5"/>
          </w:tcPr>
          <w:p>
            <w:pPr>
              <w:ind w:left="5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0" w:type="dxa"/>
            <w:vAlign w:val="bottom"/>
          </w:tcPr>
          <w:p>
            <w:pPr>
              <w:spacing w:after="0"/>
              <w:rPr>
                <w:sz w:val="1"/>
                <w:szCs w:val="1"/>
                <w:color w:val="auto"/>
              </w:rPr>
            </w:pPr>
          </w:p>
        </w:tc>
      </w:tr>
      <w:tr>
        <w:trPr>
          <w:trHeight w:val="181"/>
        </w:trPr>
        <w:tc>
          <w:tcPr>
            <w:tcW w:w="54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 in thousands)</w:t>
            </w:r>
          </w:p>
        </w:tc>
        <w:tc>
          <w:tcPr>
            <w:tcW w:w="140" w:type="dxa"/>
            <w:vAlign w:val="bottom"/>
          </w:tcPr>
          <w:p>
            <w:pPr>
              <w:spacing w:after="0"/>
              <w:rPr>
                <w:sz w:val="15"/>
                <w:szCs w:val="15"/>
                <w:color w:val="auto"/>
              </w:rPr>
            </w:pPr>
          </w:p>
        </w:tc>
        <w:tc>
          <w:tcPr>
            <w:tcW w:w="980" w:type="dxa"/>
            <w:vAlign w:val="bottom"/>
          </w:tcPr>
          <w:p>
            <w:pPr>
              <w:jc w:val="right"/>
              <w:ind w:right="154"/>
              <w:spacing w:after="0" w:line="181" w:lineRule="exact"/>
              <w:rPr>
                <w:sz w:val="20"/>
                <w:szCs w:val="20"/>
                <w:color w:val="auto"/>
              </w:rPr>
            </w:pPr>
            <w:r>
              <w:rPr>
                <w:rFonts w:ascii="Times New Roman" w:cs="Times New Roman" w:eastAsia="Times New Roman" w:hAnsi="Times New Roman"/>
                <w:sz w:val="13"/>
                <w:szCs w:val="13"/>
                <w:b w:val="1"/>
                <w:bCs w:val="1"/>
                <w:color w:val="auto"/>
              </w:rPr>
              <w:t>Fair Value</w:t>
            </w:r>
            <w:r>
              <w:rPr>
                <w:rFonts w:ascii="Times New Roman" w:cs="Times New Roman" w:eastAsia="Times New Roman" w:hAnsi="Times New Roman"/>
                <w:sz w:val="16"/>
                <w:szCs w:val="16"/>
                <w:b w:val="1"/>
                <w:bCs w:val="1"/>
                <w:color w:val="auto"/>
                <w:vertAlign w:val="superscript"/>
              </w:rPr>
              <w:t>(1)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34"/>
              <w:spacing w:after="0" w:line="181" w:lineRule="exact"/>
              <w:rPr>
                <w:sz w:val="20"/>
                <w:szCs w:val="20"/>
                <w:color w:val="auto"/>
              </w:rPr>
            </w:pPr>
            <w:r>
              <w:rPr>
                <w:rFonts w:ascii="Times New Roman" w:cs="Times New Roman" w:eastAsia="Times New Roman" w:hAnsi="Times New Roman"/>
                <w:sz w:val="13"/>
                <w:szCs w:val="13"/>
                <w:b w:val="1"/>
                <w:bCs w:val="1"/>
                <w:color w:val="auto"/>
                <w:w w:val="97"/>
              </w:rPr>
              <w:t>Per Share</w:t>
            </w:r>
            <w:r>
              <w:rPr>
                <w:rFonts w:ascii="Times New Roman" w:cs="Times New Roman" w:eastAsia="Times New Roman" w:hAnsi="Times New Roman"/>
                <w:sz w:val="16"/>
                <w:szCs w:val="16"/>
                <w:b w:val="1"/>
                <w:bCs w:val="1"/>
                <w:color w:val="auto"/>
                <w:w w:val="97"/>
                <w:vertAlign w:val="superscript"/>
              </w:rPr>
              <w:t>(1)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ind w:right="294"/>
              <w:spacing w:after="0" w:line="181" w:lineRule="exact"/>
              <w:rPr>
                <w:sz w:val="20"/>
                <w:szCs w:val="20"/>
                <w:color w:val="auto"/>
              </w:rPr>
            </w:pPr>
            <w:r>
              <w:rPr>
                <w:rFonts w:ascii="Times New Roman" w:cs="Times New Roman" w:eastAsia="Times New Roman" w:hAnsi="Times New Roman"/>
                <w:sz w:val="13"/>
                <w:szCs w:val="13"/>
                <w:b w:val="1"/>
                <w:bCs w:val="1"/>
                <w:color w:val="auto"/>
              </w:rPr>
              <w:t>Fair Value</w:t>
            </w:r>
            <w:r>
              <w:rPr>
                <w:rFonts w:ascii="Times New Roman" w:cs="Times New Roman" w:eastAsia="Times New Roman" w:hAnsi="Times New Roman"/>
                <w:sz w:val="16"/>
                <w:szCs w:val="16"/>
                <w:b w:val="1"/>
                <w:bCs w:val="1"/>
                <w:color w:val="auto"/>
                <w:vertAlign w:val="superscript"/>
              </w:rPr>
              <w:t>(1)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3"/>
                <w:szCs w:val="13"/>
                <w:b w:val="1"/>
                <w:bCs w:val="1"/>
                <w:color w:val="auto"/>
              </w:rPr>
              <w:t>Per Share</w:t>
            </w:r>
            <w:r>
              <w:rPr>
                <w:rFonts w:ascii="Times New Roman" w:cs="Times New Roman" w:eastAsia="Times New Roman" w:hAnsi="Times New Roman"/>
                <w:sz w:val="16"/>
                <w:szCs w:val="16"/>
                <w:b w:val="1"/>
                <w:bCs w:val="1"/>
                <w:color w:val="auto"/>
                <w:vertAlign w:val="superscript"/>
              </w:rPr>
              <w:t>(1)</w:t>
            </w:r>
          </w:p>
        </w:tc>
        <w:tc>
          <w:tcPr>
            <w:tcW w:w="0" w:type="dxa"/>
            <w:vAlign w:val="bottom"/>
          </w:tcPr>
          <w:p>
            <w:pPr>
              <w:spacing w:after="0"/>
              <w:rPr>
                <w:sz w:val="1"/>
                <w:szCs w:val="1"/>
                <w:color w:val="auto"/>
              </w:rPr>
            </w:pPr>
          </w:p>
        </w:tc>
      </w:tr>
      <w:tr>
        <w:trPr>
          <w:trHeight w:val="156"/>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Investments at fair value:</w:t>
            </w:r>
          </w:p>
        </w:tc>
        <w:tc>
          <w:tcPr>
            <w:tcW w:w="1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Non-controlled/non-affiliated investments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327,622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35.62</w:t>
            </w:r>
          </w:p>
        </w:tc>
        <w:tc>
          <w:tcPr>
            <w:tcW w:w="460" w:type="dxa"/>
            <w:vAlign w:val="bottom"/>
            <w:gridSpan w:val="2"/>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398,325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Non controlled affiliated investments</w:t>
            </w:r>
          </w:p>
        </w:tc>
        <w:tc>
          <w:tcPr>
            <w:tcW w:w="14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64,384</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7.00</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55,222</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Controlled affiliated investments</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13,015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14,318</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4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17,532</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26,912</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480" w:type="dxa"/>
            <w:vAlign w:val="bottom"/>
          </w:tcPr>
          <w:p>
            <w:pPr>
              <w:ind w:left="20"/>
              <w:spacing w:after="0" w:line="168" w:lineRule="exact"/>
              <w:rPr>
                <w:sz w:val="20"/>
                <w:szCs w:val="20"/>
                <w:color w:val="auto"/>
              </w:rPr>
            </w:pPr>
            <w:r>
              <w:rPr>
                <w:rFonts w:ascii="Times New Roman" w:cs="Times New Roman" w:eastAsia="Times New Roman" w:hAnsi="Times New Roman"/>
                <w:sz w:val="13"/>
                <w:szCs w:val="13"/>
                <w:color w:val="auto"/>
              </w:rPr>
              <w:t>Restricted cash</w:t>
            </w:r>
            <w:r>
              <w:rPr>
                <w:rFonts w:ascii="Times New Roman" w:cs="Times New Roman" w:eastAsia="Times New Roman" w:hAnsi="Times New Roman"/>
                <w:sz w:val="16"/>
                <w:szCs w:val="16"/>
                <w:color w:val="auto"/>
                <w:vertAlign w:val="superscript"/>
              </w:rPr>
              <w:t>(2)</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22,421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44,652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All other assets</w:t>
            </w:r>
          </w:p>
        </w:tc>
        <w:tc>
          <w:tcPr>
            <w:tcW w:w="14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8,660</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0.94</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9,810</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453,634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49.32</w:t>
            </w:r>
          </w:p>
        </w:tc>
        <w:tc>
          <w:tcPr>
            <w:tcW w:w="460" w:type="dxa"/>
            <w:vAlign w:val="bottom"/>
            <w:gridSpan w:val="2"/>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549,239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58.54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2018-2 Secured Notes (net of original issue discount)</w:t>
            </w:r>
          </w:p>
        </w:tc>
        <w:tc>
          <w:tcPr>
            <w:tcW w:w="14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124,971</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13.32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4.875% Notes Due 2026 (net of deferred financing costs and original issue discount)</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106,983</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11.63</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106,214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Great Lakes Portman Ridge Funding LLC Revolving Credit Facility (net of deferred financing costs)</w:t>
            </w:r>
          </w:p>
        </w:tc>
        <w:tc>
          <w:tcPr>
            <w:tcW w:w="14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158,157</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17.19</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91,225</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Payable for open trades</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liabilities</w:t>
            </w:r>
          </w:p>
        </w:tc>
        <w:tc>
          <w:tcPr>
            <w:tcW w:w="14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10,001</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12,791</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275,141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29.91</w:t>
            </w:r>
          </w:p>
        </w:tc>
        <w:tc>
          <w:tcPr>
            <w:tcW w:w="460" w:type="dxa"/>
            <w:vAlign w:val="bottom"/>
            <w:gridSpan w:val="2"/>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335,721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Asset Value</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178,493</w:t>
            </w:r>
          </w:p>
        </w:tc>
        <w:tc>
          <w:tcPr>
            <w:tcW w:w="180" w:type="dxa"/>
            <w:vAlign w:val="bottom"/>
            <w:vMerge w:val="restart"/>
            <w:shd w:val="clear" w:color="auto" w:fill="CFF0FC"/>
          </w:tcPr>
          <w:p>
            <w:pPr>
              <w:spacing w:after="0"/>
              <w:rPr>
                <w:sz w:val="14"/>
                <w:szCs w:val="14"/>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19.41</w:t>
            </w:r>
          </w:p>
        </w:tc>
        <w:tc>
          <w:tcPr>
            <w:tcW w:w="240" w:type="dxa"/>
            <w:vAlign w:val="bottom"/>
            <w:vMerge w:val="restart"/>
            <w:shd w:val="clear" w:color="auto" w:fill="CFF0FC"/>
          </w:tcPr>
          <w:p>
            <w:pPr>
              <w:spacing w:after="0"/>
              <w:rPr>
                <w:sz w:val="14"/>
                <w:szCs w:val="14"/>
                <w:color w:val="auto"/>
              </w:rPr>
            </w:pPr>
          </w:p>
        </w:tc>
        <w:tc>
          <w:tcPr>
            <w:tcW w:w="220" w:type="dxa"/>
            <w:vAlign w:val="bottom"/>
            <w:vMerge w:val="restart"/>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213,518</w:t>
            </w:r>
          </w:p>
        </w:tc>
        <w:tc>
          <w:tcPr>
            <w:tcW w:w="200" w:type="dxa"/>
            <w:vAlign w:val="bottom"/>
            <w:vMerge w:val="restart"/>
            <w:shd w:val="clear" w:color="auto" w:fill="CFF0FC"/>
          </w:tcPr>
          <w:p>
            <w:pPr>
              <w:spacing w:after="0"/>
              <w:rPr>
                <w:sz w:val="14"/>
                <w:szCs w:val="14"/>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22.76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548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vMerge w:val="continue"/>
            <w:shd w:val="clear" w:color="auto" w:fill="CFF0FC"/>
          </w:tcPr>
          <w:p>
            <w:pPr>
              <w:spacing w:after="0"/>
              <w:rPr>
                <w:sz w:val="11"/>
                <w:szCs w:val="11"/>
                <w:color w:val="auto"/>
              </w:rPr>
            </w:pPr>
          </w:p>
        </w:tc>
        <w:tc>
          <w:tcPr>
            <w:tcW w:w="980" w:type="dxa"/>
            <w:vAlign w:val="bottom"/>
            <w:tcBorders>
              <w:bottom w:val="single" w:sz="8" w:color="auto"/>
            </w:tcBorders>
            <w:shd w:val="clear" w:color="auto" w:fill="CFF0FC"/>
          </w:tcPr>
          <w:p>
            <w:pPr>
              <w:spacing w:after="0"/>
              <w:rPr>
                <w:sz w:val="11"/>
                <w:szCs w:val="11"/>
                <w:color w:val="auto"/>
              </w:rPr>
            </w:pPr>
          </w:p>
        </w:tc>
        <w:tc>
          <w:tcPr>
            <w:tcW w:w="180" w:type="dxa"/>
            <w:vAlign w:val="bottom"/>
            <w:tcBorders>
              <w:bottom w:val="single" w:sz="8" w:color="CFF0FC"/>
            </w:tcBorders>
            <w:vMerge w:val="continue"/>
            <w:shd w:val="clear" w:color="auto" w:fill="CFF0FC"/>
          </w:tcPr>
          <w:p>
            <w:pPr>
              <w:spacing w:after="0"/>
              <w:rPr>
                <w:sz w:val="11"/>
                <w:szCs w:val="11"/>
                <w:color w:val="auto"/>
              </w:rPr>
            </w:pPr>
          </w:p>
        </w:tc>
        <w:tc>
          <w:tcPr>
            <w:tcW w:w="100" w:type="dxa"/>
            <w:vAlign w:val="bottom"/>
            <w:tcBorders>
              <w:bottom w:val="single" w:sz="8" w:color="auto"/>
            </w:tcBorders>
            <w:vMerge w:val="continue"/>
            <w:shd w:val="clear" w:color="auto" w:fill="CFF0FC"/>
          </w:tcPr>
          <w:p>
            <w:pPr>
              <w:spacing w:after="0"/>
              <w:rPr>
                <w:sz w:val="11"/>
                <w:szCs w:val="11"/>
                <w:color w:val="auto"/>
              </w:rPr>
            </w:pPr>
          </w:p>
        </w:tc>
        <w:tc>
          <w:tcPr>
            <w:tcW w:w="780" w:type="dxa"/>
            <w:vAlign w:val="bottom"/>
            <w:tcBorders>
              <w:bottom w:val="single" w:sz="8" w:color="auto"/>
            </w:tcBorders>
            <w:vMerge w:val="continue"/>
            <w:shd w:val="clear" w:color="auto" w:fill="CFF0FC"/>
          </w:tcPr>
          <w:p>
            <w:pPr>
              <w:spacing w:after="0"/>
              <w:rPr>
                <w:sz w:val="11"/>
                <w:szCs w:val="11"/>
                <w:color w:val="auto"/>
              </w:rPr>
            </w:pPr>
          </w:p>
        </w:tc>
        <w:tc>
          <w:tcPr>
            <w:tcW w:w="240" w:type="dxa"/>
            <w:vAlign w:val="bottom"/>
            <w:tcBorders>
              <w:bottom w:val="single" w:sz="8" w:color="CFF0FC"/>
            </w:tcBorders>
            <w:vMerge w:val="continue"/>
            <w:shd w:val="clear" w:color="auto" w:fill="CFF0FC"/>
          </w:tcPr>
          <w:p>
            <w:pPr>
              <w:spacing w:after="0"/>
              <w:rPr>
                <w:sz w:val="11"/>
                <w:szCs w:val="11"/>
                <w:color w:val="auto"/>
              </w:rPr>
            </w:pPr>
          </w:p>
        </w:tc>
        <w:tc>
          <w:tcPr>
            <w:tcW w:w="220" w:type="dxa"/>
            <w:vAlign w:val="bottom"/>
            <w:tcBorders>
              <w:bottom w:val="single" w:sz="8" w:color="auto"/>
            </w:tcBorders>
            <w:vMerge w:val="continue"/>
            <w:shd w:val="clear" w:color="auto" w:fill="CFF0FC"/>
          </w:tcPr>
          <w:p>
            <w:pPr>
              <w:spacing w:after="0"/>
              <w:rPr>
                <w:sz w:val="11"/>
                <w:szCs w:val="11"/>
                <w:color w:val="auto"/>
              </w:rPr>
            </w:pPr>
          </w:p>
        </w:tc>
        <w:tc>
          <w:tcPr>
            <w:tcW w:w="1220" w:type="dxa"/>
            <w:vAlign w:val="bottom"/>
            <w:tcBorders>
              <w:bottom w:val="single" w:sz="8" w:color="auto"/>
            </w:tcBorders>
            <w:vMerge w:val="continue"/>
            <w:shd w:val="clear" w:color="auto" w:fill="CFF0FC"/>
          </w:tcPr>
          <w:p>
            <w:pPr>
              <w:spacing w:after="0"/>
              <w:rPr>
                <w:sz w:val="11"/>
                <w:szCs w:val="11"/>
                <w:color w:val="auto"/>
              </w:rPr>
            </w:pPr>
          </w:p>
        </w:tc>
        <w:tc>
          <w:tcPr>
            <w:tcW w:w="200" w:type="dxa"/>
            <w:vAlign w:val="bottom"/>
            <w:tcBorders>
              <w:bottom w:val="single" w:sz="8" w:color="CFF0FC"/>
            </w:tcBorders>
            <w:vMerge w:val="continue"/>
            <w:shd w:val="clear" w:color="auto" w:fill="CFF0FC"/>
          </w:tcPr>
          <w:p>
            <w:pPr>
              <w:spacing w:after="0"/>
              <w:rPr>
                <w:sz w:val="11"/>
                <w:szCs w:val="11"/>
                <w:color w:val="auto"/>
              </w:rPr>
            </w:pPr>
          </w:p>
        </w:tc>
        <w:tc>
          <w:tcPr>
            <w:tcW w:w="100" w:type="dxa"/>
            <w:vAlign w:val="bottom"/>
            <w:tcBorders>
              <w:bottom w:val="single" w:sz="8" w:color="auto"/>
            </w:tcBorders>
            <w:vMerge w:val="continue"/>
            <w:shd w:val="clear" w:color="auto" w:fill="CFF0FC"/>
          </w:tcPr>
          <w:p>
            <w:pPr>
              <w:spacing w:after="0"/>
              <w:rPr>
                <w:sz w:val="11"/>
                <w:szCs w:val="11"/>
                <w:color w:val="auto"/>
              </w:rPr>
            </w:pPr>
          </w:p>
        </w:tc>
        <w:tc>
          <w:tcPr>
            <w:tcW w:w="820" w:type="dxa"/>
            <w:vAlign w:val="bottom"/>
            <w:tcBorders>
              <w:bottom w:val="single" w:sz="8" w:color="auto"/>
            </w:tcBorders>
            <w:vMerge w:val="continue"/>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1"/>
          <w:szCs w:val="11"/>
          <w:color w:val="auto"/>
        </w:rPr>
        <w:t>(1)Our consolidated statements of assets and liabilities at fair value and the resulting net asset value are calculated in accordance with U.S. Generally Accepted Accounting Principles (“U.S. GAAP”). The per share presentation of these amounts (excluding net asset value per share) is an internally derived non-U.S. GAAP performance measure, calculated by dividing the relevant consolidated statements of assets and liabilities amount by the Company's outstanding shares for the respective year-end shown above. We believe that these per share amounts are useful for analyzing our consolidated statements of assets and liabilities both quantitatively and qualitatively.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(2)Consists of cash from interest and principal payments, subject to withdrawal restrictions, from certain investments of our Debt Securities Portfolio that are pledged to secure the Company’s debt obligations.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Valuation</w:t>
      </w:r>
    </w:p>
    <w:p>
      <w:pPr>
        <w:spacing w:after="0" w:line="105" w:lineRule="exact"/>
        <w:rPr>
          <w:sz w:val="20"/>
          <w:szCs w:val="20"/>
          <w:color w:val="auto"/>
        </w:rPr>
      </w:pPr>
    </w:p>
    <w:p>
      <w:pPr>
        <w:ind w:right="40" w:firstLine="348"/>
        <w:spacing w:after="0" w:line="254" w:lineRule="auto"/>
        <w:rPr>
          <w:sz w:val="20"/>
          <w:szCs w:val="20"/>
          <w:color w:val="auto"/>
        </w:rPr>
      </w:pPr>
      <w:r>
        <w:rPr>
          <w:rFonts w:ascii="Times New Roman" w:cs="Times New Roman" w:eastAsia="Times New Roman" w:hAnsi="Times New Roman"/>
          <w:sz w:val="13"/>
          <w:szCs w:val="13"/>
          <w:color w:val="auto"/>
        </w:rPr>
        <w:t>As a BDC, we invest primarily in illiquid securities, including loans to and equity of private companies and interests in other illiquid securities, such as interests in CLO Fund Securities, joint ventures, derivatives, partnerships and distressed debt securities. These portfolio investments may be subject to restrictions on resale and will generally have no established trading market. As a result, the Adviser determines in good faith the fair value of our portfolio investments pursuant to a valuation policy developed in accordance with the Financial Accounting Standards Board Accounting Standards Codification 820, Fair Value Measurements and Disclosures (“ASC 820: Fair Value”), and a valuation process approved by our Board and in accordance with the 1940 Act. Our valuation policy is intended to provide a consistent basis for determining the fair value of the portfolio. In December 2020, the SEC adopted Rule 2a-5 under the 1940 Act, which permits a BDC's board of directors to designate its investment adviser as a valuation designee to determine the fair value for its investment portfolio, subject to the active oversight of the board. Our Board adopted valuation policies and procedures pursuant to Rule 2a-5 and designated our Adviser to serve as our Board's valuation designee thereunder. Our Board remains ultimately responsible for making fair value determinations under the 1940 Act and satisfies its responsibility through oversight of the valuation designee in accordance with Rule 2a-5. We use independent valuation firms to provide third party valuation consulting services to us, the Adviser, and the Board of Directors. For additional information concerning valuation, see “Item 7: Management’s Discussion and Analysis of Financial Condition and Results of Operations – Valuation of Portfolio Investments”; and Notes 2 and 4 to the financial statements.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Competition</w:t>
      </w:r>
    </w:p>
    <w:p>
      <w:pPr>
        <w:spacing w:after="0" w:line="105" w:lineRule="exact"/>
        <w:rPr>
          <w:sz w:val="20"/>
          <w:szCs w:val="20"/>
          <w:color w:val="auto"/>
        </w:rPr>
      </w:pPr>
    </w:p>
    <w:p>
      <w:pPr>
        <w:ind w:right="120" w:firstLine="348"/>
        <w:spacing w:after="0" w:line="262" w:lineRule="auto"/>
        <w:rPr>
          <w:sz w:val="20"/>
          <w:szCs w:val="20"/>
          <w:color w:val="auto"/>
        </w:rPr>
      </w:pPr>
      <w:r>
        <w:rPr>
          <w:rFonts w:ascii="Times New Roman" w:cs="Times New Roman" w:eastAsia="Times New Roman" w:hAnsi="Times New Roman"/>
          <w:sz w:val="13"/>
          <w:szCs w:val="13"/>
          <w:color w:val="auto"/>
        </w:rPr>
        <w:t>Our primary competitors also provide financing to prospective portfolio companies. These include commercial investment banks, specialty finance companies, hedge funds, structured investment funds, and other BDCs. Our competitors may have a lower cost of funds, and many have access to funding sources that are not available to us. Many of these entities have greater managerial resources than we have, and the 1940 Act imposes certain regulatory restrictions on us as a BDC to which many of our competitors are not subject. For additional information concerning the competitive risks we face, see “Item 1A. Risk Factors — Risks Related to Our Business and Structure — We operate in a highly competitive market for investment opportunities.”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Employees</w:t>
      </w:r>
    </w:p>
    <w:p>
      <w:pPr>
        <w:spacing w:after="0" w:line="1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Since the Externalization, we have not had any employees and do not expect to have any employees.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REGULATION</w:t>
      </w:r>
    </w:p>
    <w:p>
      <w:pPr>
        <w:spacing w:after="0" w:line="105" w:lineRule="exact"/>
        <w:rPr>
          <w:sz w:val="20"/>
          <w:szCs w:val="20"/>
          <w:color w:val="auto"/>
        </w:rPr>
      </w:pPr>
    </w:p>
    <w:p>
      <w:pPr>
        <w:ind w:right="160" w:firstLine="348"/>
        <w:spacing w:after="0" w:line="286" w:lineRule="auto"/>
        <w:rPr>
          <w:sz w:val="20"/>
          <w:szCs w:val="20"/>
          <w:color w:val="auto"/>
        </w:rPr>
      </w:pPr>
      <w:r>
        <w:rPr>
          <w:rFonts w:ascii="Times New Roman" w:cs="Times New Roman" w:eastAsia="Times New Roman" w:hAnsi="Times New Roman"/>
          <w:sz w:val="13"/>
          <w:szCs w:val="13"/>
          <w:color w:val="auto"/>
        </w:rPr>
        <w:t>The following discussion is a general summary of some of the material prohibitions and restrictions governing BDCs generally. It does not purport to be a complete description of all the laws and regulations affecting BDCs.</w:t>
      </w:r>
    </w:p>
    <w:p>
      <w:pPr>
        <w:spacing w:after="0" w:line="52" w:lineRule="exact"/>
        <w:rPr>
          <w:sz w:val="20"/>
          <w:szCs w:val="20"/>
          <w:color w:val="auto"/>
        </w:rPr>
      </w:pPr>
    </w:p>
    <w:p>
      <w:pPr>
        <w:ind w:right="40" w:firstLine="348"/>
        <w:spacing w:after="0" w:line="262" w:lineRule="auto"/>
        <w:rPr>
          <w:sz w:val="20"/>
          <w:szCs w:val="20"/>
          <w:color w:val="auto"/>
        </w:rPr>
      </w:pPr>
      <w:r>
        <w:rPr>
          <w:rFonts w:ascii="Times New Roman" w:cs="Times New Roman" w:eastAsia="Times New Roman" w:hAnsi="Times New Roman"/>
          <w:sz w:val="13"/>
          <w:szCs w:val="13"/>
          <w:color w:val="auto"/>
        </w:rPr>
        <w:t>A BDC is a unique kind of investment company that primarily focuses on investing in or lending to private or relatively small publicly traded companies and making managerial assistance available to them. The 1940 Act contains prohibitions and restrictions relating to transactions between BDCs and their directors and officers and certain other related persons and requires that a majority of the directors be persons other than “interested persons,” as that term is defined in the 1940 Act. We have implemented certain procedures to ensure that we do not engage in any prohibited transactions with any persons affiliated with us.</w:t>
      </w:r>
    </w:p>
    <w:p>
      <w:pPr>
        <w:spacing w:after="0" w:line="67" w:lineRule="exact"/>
        <w:rPr>
          <w:sz w:val="20"/>
          <w:szCs w:val="20"/>
          <w:color w:val="auto"/>
        </w:rPr>
      </w:pPr>
    </w:p>
    <w:p>
      <w:pPr>
        <w:ind w:right="220" w:firstLine="348"/>
        <w:spacing w:after="0" w:line="268" w:lineRule="auto"/>
        <w:rPr>
          <w:sz w:val="20"/>
          <w:szCs w:val="20"/>
          <w:color w:val="auto"/>
        </w:rPr>
      </w:pPr>
      <w:r>
        <w:rPr>
          <w:rFonts w:ascii="Times New Roman" w:cs="Times New Roman" w:eastAsia="Times New Roman" w:hAnsi="Times New Roman"/>
          <w:sz w:val="13"/>
          <w:szCs w:val="13"/>
          <w:color w:val="auto"/>
        </w:rPr>
        <w:t>In addition, the 1940 Act provides that we may not change the nature of our business so as to cease to be, or to withdraw our election as, a BDC unless approved by a majority of our outstanding voting securities. A majority of the outstanding voting securities of a company is defined under the 1940 Act as the lesser of (i) 67% or more of such company’s shares present at a meeting or represented by proxy if more than 50% of the outstanding shares of such company are present or represented by proxy or (ii) more than 50% of the outstanding shares of such company.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Qualifying Assets</w:t>
      </w:r>
    </w:p>
    <w:p>
      <w:pPr>
        <w:spacing w:after="0" w:line="1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Under the 1940 Act, a BDC may not acquire any asset other than assets of the type listed in Section 55(a) of the 1940 Act, or “Qualifying Assets,” unless, at the time the acquisition is made,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Qualifying Assets represent at least 70% of the company’s total assets. The principal categories of Qualifying Assets relevant to our business are the following:</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5" w:right="680" w:bottom="1440" w:gutter="0" w:footer="0" w:header="0"/>
        </w:sectPr>
      </w:pPr>
    </w:p>
    <w:bookmarkStart w:id="13" w:name="page14"/>
    <w:bookmarkEnd w:id="13"/>
    <w:p>
      <w:pPr>
        <w:ind w:left="700" w:right="320" w:hanging="346"/>
        <w:spacing w:after="0" w:line="362" w:lineRule="auto"/>
        <w:tabs>
          <w:tab w:leader="none" w:pos="412"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3"/>
          <w:szCs w:val="13"/>
          <w:color w:val="auto"/>
        </w:rPr>
        <w:t>Securities of an “eligible portfolio company” purchased in transactions not involving any public offering. An “eligible portfolio company” is defined in the 1940 Act as any issuer which: (a)is organized under the laws of, and has its principal place of business in, the United States;</w:t>
      </w:r>
    </w:p>
    <w:p>
      <w:pPr>
        <w:spacing w:after="0" w:line="1" w:lineRule="exact"/>
        <w:rPr>
          <w:sz w:val="20"/>
          <w:szCs w:val="20"/>
          <w:color w:val="auto"/>
        </w:rPr>
      </w:pPr>
    </w:p>
    <w:p>
      <w:pPr>
        <w:ind w:left="700" w:right="420"/>
        <w:spacing w:after="0" w:line="286" w:lineRule="auto"/>
        <w:rPr>
          <w:sz w:val="20"/>
          <w:szCs w:val="20"/>
          <w:color w:val="auto"/>
        </w:rPr>
      </w:pPr>
      <w:r>
        <w:rPr>
          <w:rFonts w:ascii="Times New Roman" w:cs="Times New Roman" w:eastAsia="Times New Roman" w:hAnsi="Times New Roman"/>
          <w:sz w:val="13"/>
          <w:szCs w:val="13"/>
          <w:color w:val="auto"/>
        </w:rPr>
        <w:t>(b)is not an investment company (other than a small business investment company wholly-owned by the BDC) or a company that would be an investment company but for certain exclusions under the 1940 Act; and</w:t>
      </w:r>
    </w:p>
    <w:p>
      <w:pPr>
        <w:spacing w:after="0" w:line="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3"/>
          <w:szCs w:val="13"/>
          <w:color w:val="auto"/>
        </w:rPr>
        <w:t>(c)satisfies any of the following:</w:t>
      </w:r>
    </w:p>
    <w:p>
      <w:pPr>
        <w:spacing w:after="0" w:line="103" w:lineRule="exact"/>
        <w:rPr>
          <w:sz w:val="20"/>
          <w:szCs w:val="20"/>
          <w:color w:val="auto"/>
        </w:rPr>
      </w:pPr>
    </w:p>
    <w:p>
      <w:pPr>
        <w:ind w:left="1060" w:right="220"/>
        <w:spacing w:after="0" w:line="286" w:lineRule="auto"/>
        <w:rPr>
          <w:sz w:val="20"/>
          <w:szCs w:val="20"/>
          <w:color w:val="auto"/>
        </w:rPr>
      </w:pPr>
      <w:r>
        <w:rPr>
          <w:rFonts w:ascii="Times New Roman" w:cs="Times New Roman" w:eastAsia="Times New Roman" w:hAnsi="Times New Roman"/>
          <w:sz w:val="13"/>
          <w:szCs w:val="13"/>
          <w:color w:val="auto"/>
        </w:rPr>
        <w:t>(i)does not have any class of securities listed on a national securities exchange (or, if it has a class of securities listed on a national securities exchange, has an aggregate market value of outstanding voting and non-voting common equity of less than $250 million);</w:t>
      </w:r>
    </w:p>
    <w:p>
      <w:pPr>
        <w:spacing w:after="0" w:line="52" w:lineRule="exact"/>
        <w:rPr>
          <w:sz w:val="20"/>
          <w:szCs w:val="20"/>
          <w:color w:val="auto"/>
        </w:rPr>
      </w:pPr>
    </w:p>
    <w:p>
      <w:pPr>
        <w:ind w:left="1060" w:right="1160"/>
        <w:spacing w:after="0" w:line="403" w:lineRule="auto"/>
        <w:rPr>
          <w:sz w:val="20"/>
          <w:szCs w:val="20"/>
          <w:color w:val="auto"/>
        </w:rPr>
      </w:pPr>
      <w:r>
        <w:rPr>
          <w:rFonts w:ascii="Times New Roman" w:cs="Times New Roman" w:eastAsia="Times New Roman" w:hAnsi="Times New Roman"/>
          <w:sz w:val="13"/>
          <w:szCs w:val="13"/>
          <w:color w:val="auto"/>
        </w:rPr>
        <w:t>(ii)is controlled by a BDC or a group of companies including a BDC and the BDC has an affiliated person who is a director of the eligible portfolio company; (iii)is a small and solvent company having total assets of not more than $4 million and capital and surplus of not less than $2 million; or (iv)does not have outstanding any class of securities with respect to which a broker or dealer may extend margin credit.</w:t>
      </w:r>
    </w:p>
    <w:p>
      <w:pPr>
        <w:spacing w:after="0" w:line="15" w:lineRule="exact"/>
        <w:rPr>
          <w:sz w:val="20"/>
          <w:szCs w:val="20"/>
          <w:color w:val="auto"/>
        </w:rPr>
      </w:pPr>
    </w:p>
    <w:p>
      <w:pPr>
        <w:ind w:left="420" w:hanging="66"/>
        <w:spacing w:after="0"/>
        <w:tabs>
          <w:tab w:leader="none" w:pos="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3"/>
          <w:szCs w:val="13"/>
          <w:color w:val="auto"/>
        </w:rPr>
        <w:t>Securities of any eligible portfolio company that we control;</w:t>
      </w:r>
    </w:p>
    <w:p>
      <w:pPr>
        <w:spacing w:after="0" w:line="92" w:lineRule="exact"/>
        <w:rPr>
          <w:rFonts w:ascii="Times New Roman" w:cs="Times New Roman" w:eastAsia="Times New Roman" w:hAnsi="Times New Roman"/>
          <w:sz w:val="16"/>
          <w:szCs w:val="16"/>
          <w:color w:val="auto"/>
        </w:rPr>
      </w:pPr>
    </w:p>
    <w:p>
      <w:pPr>
        <w:ind w:left="420" w:hanging="66"/>
        <w:spacing w:after="0"/>
        <w:tabs>
          <w:tab w:leader="none" w:pos="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3"/>
          <w:szCs w:val="13"/>
          <w:color w:val="auto"/>
        </w:rPr>
        <w:t>Securities purchased in a private transaction from a U.S. issuer that is not an investment company and is in bankruptcy and subject to reorganization;</w:t>
      </w:r>
    </w:p>
    <w:p>
      <w:pPr>
        <w:spacing w:after="0" w:line="92" w:lineRule="exact"/>
        <w:rPr>
          <w:rFonts w:ascii="Times New Roman" w:cs="Times New Roman" w:eastAsia="Times New Roman" w:hAnsi="Times New Roman"/>
          <w:sz w:val="16"/>
          <w:szCs w:val="16"/>
          <w:color w:val="auto"/>
        </w:rPr>
      </w:pPr>
    </w:p>
    <w:p>
      <w:pPr>
        <w:ind w:left="420" w:hanging="66"/>
        <w:spacing w:after="0"/>
        <w:tabs>
          <w:tab w:leader="none" w:pos="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3"/>
          <w:szCs w:val="13"/>
          <w:color w:val="auto"/>
        </w:rPr>
        <w:t>Securities received in exchange for or distributed on or with respect to securities described above, or pursuant to the conversion of warrants or rights relating to such securities; and</w:t>
      </w:r>
    </w:p>
    <w:p>
      <w:pPr>
        <w:spacing w:after="0" w:line="92" w:lineRule="exact"/>
        <w:rPr>
          <w:rFonts w:ascii="Times New Roman" w:cs="Times New Roman" w:eastAsia="Times New Roman" w:hAnsi="Times New Roman"/>
          <w:sz w:val="16"/>
          <w:szCs w:val="16"/>
          <w:color w:val="auto"/>
        </w:rPr>
      </w:pPr>
    </w:p>
    <w:p>
      <w:pPr>
        <w:ind w:left="420" w:hanging="66"/>
        <w:spacing w:after="0"/>
        <w:tabs>
          <w:tab w:leader="none" w:pos="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3"/>
          <w:szCs w:val="13"/>
          <w:color w:val="auto"/>
        </w:rPr>
        <w:t>Cash, cash equivalents, U.S. government securities or high-quality debt securities maturing in one year or less from the time of investment.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Significant Managerial Assistance</w:t>
      </w:r>
    </w:p>
    <w:p>
      <w:pPr>
        <w:spacing w:after="0" w:line="105" w:lineRule="exact"/>
        <w:rPr>
          <w:sz w:val="20"/>
          <w:szCs w:val="20"/>
          <w:color w:val="auto"/>
        </w:rPr>
      </w:pPr>
    </w:p>
    <w:p>
      <w:pPr>
        <w:ind w:firstLine="348"/>
        <w:spacing w:after="0" w:line="257" w:lineRule="auto"/>
        <w:rPr>
          <w:sz w:val="20"/>
          <w:szCs w:val="20"/>
          <w:color w:val="auto"/>
        </w:rPr>
      </w:pPr>
      <w:r>
        <w:rPr>
          <w:rFonts w:ascii="Times New Roman" w:cs="Times New Roman" w:eastAsia="Times New Roman" w:hAnsi="Times New Roman"/>
          <w:sz w:val="13"/>
          <w:szCs w:val="13"/>
          <w:color w:val="auto"/>
        </w:rPr>
        <w:t>A BDC must be organized and have its principal place of business in the United States and must be operated for the purpose of making investments in the types of securities described above. In addition, BDCs must generally offer to make available to such issuer of the securities (other than small and solvent companies described above) significant managerial assistance; except that, where we purchase such securities in conjunction with one or more other persons acting together, one of the other persons is the group may make available such managerial assistance. Making available significant managerial assistance means, among other things, any arrangement whereby the BDC, through its directors, officers or employees, offers to provide, and, if accepted, does so provide, guidance and counsel concerning the management, operations or business objectives and policies of a portfolio company through monitoring of portfolio company operations, selective participation in board and management meetings, consulting with and advising a portfolio company’s officers or other organizational or financial guidance.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Temporary Investments</w:t>
      </w:r>
    </w:p>
    <w:p>
      <w:pPr>
        <w:spacing w:after="0" w:line="105" w:lineRule="exact"/>
        <w:rPr>
          <w:sz w:val="20"/>
          <w:szCs w:val="20"/>
          <w:color w:val="auto"/>
        </w:rPr>
      </w:pPr>
    </w:p>
    <w:p>
      <w:pPr>
        <w:ind w:right="20" w:firstLine="348"/>
        <w:spacing w:after="0" w:line="255" w:lineRule="auto"/>
        <w:rPr>
          <w:sz w:val="20"/>
          <w:szCs w:val="20"/>
          <w:color w:val="auto"/>
        </w:rPr>
      </w:pPr>
      <w:r>
        <w:rPr>
          <w:rFonts w:ascii="Times New Roman" w:cs="Times New Roman" w:eastAsia="Times New Roman" w:hAnsi="Times New Roman"/>
          <w:sz w:val="13"/>
          <w:szCs w:val="13"/>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at least 70% of our assets are “Qualifying Assets.” Typically, we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 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that are treated, under applicable tax rules, as being issued by a single counterparty, we would not meet the diversification tests imposed on us by the Code to qualify for tax treatment as a RIC for U.S. federal income tax purposes. Thus, we do not intend to enter into repurchase agreements treated as issued, under applicable tax rules, by a single counterparty in excess of this limit. We monitor the creditworthiness of the counterparties with which we enter into repurchase agreement transactions.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Indebtedness; Coverage Ratio</w:t>
      </w:r>
    </w:p>
    <w:p>
      <w:pPr>
        <w:spacing w:after="0" w:line="105" w:lineRule="exact"/>
        <w:rPr>
          <w:sz w:val="20"/>
          <w:szCs w:val="20"/>
          <w:color w:val="auto"/>
        </w:rPr>
      </w:pPr>
    </w:p>
    <w:p>
      <w:pPr>
        <w:ind w:right="60" w:firstLine="348"/>
        <w:spacing w:after="0" w:line="256" w:lineRule="auto"/>
        <w:rPr>
          <w:sz w:val="20"/>
          <w:szCs w:val="20"/>
          <w:color w:val="auto"/>
        </w:rPr>
      </w:pPr>
      <w:r>
        <w:rPr>
          <w:rFonts w:ascii="Times New Roman" w:cs="Times New Roman" w:eastAsia="Times New Roman" w:hAnsi="Times New Roman"/>
          <w:sz w:val="13"/>
          <w:szCs w:val="13"/>
          <w:color w:val="auto"/>
        </w:rPr>
        <w:t>We are permitted, under specified conditions, to issue multiple classes of indebtedness and one class of stock senior to our common stock if our asset coverage, as defined in the 1940 Act, is at least equal to 150% immediately after each such issuance. In addition, with respect to certain types of senior securities, we must make provisions to prohibit any dividend distribution to our stockholders or the repurchase of certain of our securities, unless we meet the applicable asset coverage ratios at the time of the dividend distribution or repurchase. On March 29, 2018, our Board, including a “required majority” (as such term is defined in Section 57(o) of the 1940 Act) of the Board, approved the modified asset coverage requirements set forth in Section 61(a)(2) of the 1940 Act, as amended by the SBCA. As a result, our asset coverage requirement for senior securities was changed from 200% to 150%, effective as of March 29, 2019. We may also borrow amounts up to 5% of the value of our total assets for temporary purposes. For a discussion of the risks associated with the resulting leverage, see “Item 1A. Risk Factors — Risks Associated With Our Use of Leverage — We borrow money, which magnifies the potential for gain or loss on amounts invested and may increase the risk of investing in us.”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Common Stock</w:t>
      </w:r>
    </w:p>
    <w:p>
      <w:pPr>
        <w:spacing w:after="0" w:line="105" w:lineRule="exact"/>
        <w:rPr>
          <w:sz w:val="20"/>
          <w:szCs w:val="20"/>
          <w:color w:val="auto"/>
        </w:rPr>
      </w:pPr>
    </w:p>
    <w:p>
      <w:pPr>
        <w:ind w:right="20" w:firstLine="348"/>
        <w:spacing w:after="0" w:line="259" w:lineRule="auto"/>
        <w:rPr>
          <w:sz w:val="20"/>
          <w:szCs w:val="20"/>
          <w:color w:val="auto"/>
        </w:rPr>
      </w:pPr>
      <w:r>
        <w:rPr>
          <w:rFonts w:ascii="Times New Roman" w:cs="Times New Roman" w:eastAsia="Times New Roman" w:hAnsi="Times New Roman"/>
          <w:sz w:val="13"/>
          <w:szCs w:val="13"/>
          <w:color w:val="auto"/>
        </w:rPr>
        <w:t>We are not generally able to issue and sell our common stock at a price below net asset value per share. We may, however, sell our common stock, at a price below the current net asset value of the common stock if our Board determines that such sale is in our best interests and that of our stockholders, and our stockholders approve such sale. In any such case, the price at which our common stock is to be issued and sold may not be less than a price which, in the determination of our Board, closely approximates the market value of such common stock (less any distributing commission or discount). We may also make rights offerings to our stockholders at prices per share less than the net asset value per share, subject to applicable requirements of the 1940 Act. See “Item 1A. Risk Factors — Risks Related to Our Business and Structure — Regulations governing our operation as a BDC affect our ability to, and the way in which we, raise additional capital.”</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Code of Ethics</w:t>
      </w:r>
    </w:p>
    <w:p>
      <w:pPr>
        <w:spacing w:after="0" w:line="105" w:lineRule="exact"/>
        <w:rPr>
          <w:sz w:val="20"/>
          <w:szCs w:val="20"/>
          <w:color w:val="auto"/>
        </w:rPr>
      </w:pPr>
    </w:p>
    <w:p>
      <w:pPr>
        <w:ind w:right="160" w:firstLine="348"/>
        <w:spacing w:after="0" w:line="268" w:lineRule="auto"/>
        <w:rPr>
          <w:sz w:val="20"/>
          <w:szCs w:val="20"/>
          <w:color w:val="auto"/>
        </w:rPr>
      </w:pPr>
      <w:r>
        <w:rPr>
          <w:rFonts w:ascii="Times New Roman" w:cs="Times New Roman" w:eastAsia="Times New Roman" w:hAnsi="Times New Roman"/>
          <w:sz w:val="13"/>
          <w:szCs w:val="13"/>
          <w:color w:val="auto"/>
        </w:rPr>
        <w:t>We adopted and maintain a code of ethics pursuant to Rule 17j-1 under the 1940 Act that establishes procedures for personal investments and restricts certain personal securities transactions. Personnel subject to the code may invest in securities for their personal investment accounts, including securities that may be purchased or held by us, so long as such investments are made in accordance with the code’s requirements. A copy of the code of ethics is available on the Corporate Governance</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1"/>
          <w:szCs w:val="1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10" w:right="700" w:bottom="1440" w:gutter="0" w:footer="0" w:header="0"/>
        </w:sectPr>
      </w:pPr>
    </w:p>
    <w:bookmarkStart w:id="14" w:name="page15"/>
    <w:bookmarkEnd w:id="14"/>
    <w:p>
      <w:pPr>
        <w:ind w:right="240"/>
        <w:spacing w:after="0" w:line="289" w:lineRule="auto"/>
        <w:rPr>
          <w:sz w:val="20"/>
          <w:szCs w:val="20"/>
          <w:color w:val="auto"/>
        </w:rPr>
      </w:pPr>
      <w:r>
        <w:rPr>
          <w:rFonts w:ascii="Times New Roman" w:cs="Times New Roman" w:eastAsia="Times New Roman" w:hAnsi="Times New Roman"/>
          <w:sz w:val="13"/>
          <w:szCs w:val="13"/>
          <w:color w:val="auto"/>
        </w:rPr>
        <w:t xml:space="preserve">section of the Company’s website at www.portmanridge.com. Our code of ethics is available on the EDGAR Database on the SEC’s Internet site at </w:t>
      </w:r>
      <w:r>
        <w:rPr>
          <w:rFonts w:ascii="Times New Roman" w:cs="Times New Roman" w:eastAsia="Times New Roman" w:hAnsi="Times New Roman"/>
          <w:sz w:val="13"/>
          <w:szCs w:val="13"/>
          <w:i w:val="1"/>
          <w:iCs w:val="1"/>
          <w:color w:val="auto"/>
        </w:rPr>
        <w:t>http://www.sec.gov</w:t>
      </w:r>
      <w:r>
        <w:rPr>
          <w:rFonts w:ascii="Times New Roman" w:cs="Times New Roman" w:eastAsia="Times New Roman" w:hAnsi="Times New Roman"/>
          <w:sz w:val="13"/>
          <w:szCs w:val="13"/>
          <w:color w:val="auto"/>
        </w:rPr>
        <w:t>. Copies may be obtained by electronic request to publicinfo@sec.gov</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Privacy Principles</w:t>
      </w:r>
    </w:p>
    <w:p>
      <w:pPr>
        <w:spacing w:after="0" w:line="105" w:lineRule="exact"/>
        <w:rPr>
          <w:sz w:val="20"/>
          <w:szCs w:val="20"/>
          <w:color w:val="auto"/>
        </w:rPr>
      </w:pPr>
    </w:p>
    <w:p>
      <w:pPr>
        <w:ind w:right="200" w:firstLine="348"/>
        <w:spacing w:after="0" w:line="286" w:lineRule="auto"/>
        <w:rPr>
          <w:sz w:val="20"/>
          <w:szCs w:val="20"/>
          <w:color w:val="auto"/>
        </w:rPr>
      </w:pPr>
      <w:r>
        <w:rPr>
          <w:rFonts w:ascii="Times New Roman" w:cs="Times New Roman" w:eastAsia="Times New Roman" w:hAnsi="Times New Roman"/>
          <w:sz w:val="13"/>
          <w:szCs w:val="13"/>
          <w:color w:val="auto"/>
        </w:rPr>
        <w:t>We are committed to maintaining the privacy of our stockholders and safeguarding their non- public personal information. The following information is provided to help you understand what personal information we collect, how we protect that information and why, in certain cases, we may share information with select other parties.</w:t>
      </w:r>
    </w:p>
    <w:p>
      <w:pPr>
        <w:spacing w:after="0" w:line="52" w:lineRule="exact"/>
        <w:rPr>
          <w:sz w:val="20"/>
          <w:szCs w:val="20"/>
          <w:color w:val="auto"/>
        </w:rPr>
      </w:pPr>
    </w:p>
    <w:p>
      <w:pPr>
        <w:jc w:val="both"/>
        <w:ind w:right="80" w:firstLine="348"/>
        <w:spacing w:after="0" w:line="268" w:lineRule="auto"/>
        <w:rPr>
          <w:sz w:val="20"/>
          <w:szCs w:val="20"/>
          <w:color w:val="auto"/>
        </w:rPr>
      </w:pPr>
      <w:r>
        <w:rPr>
          <w:rFonts w:ascii="Times New Roman" w:cs="Times New Roman" w:eastAsia="Times New Roman" w:hAnsi="Times New Roman"/>
          <w:sz w:val="13"/>
          <w:szCs w:val="13"/>
          <w:color w:val="auto"/>
        </w:rPr>
        <w:t>Generally, we do not receive any non -public personal information relating to our stockholders, although some non- public personal information of our stockholders may become available to us. We do not disclose any non-public personal information about our stockholders or former stockholders to anyone, except as is necessary to service stockholder accounts, such as to a transfer agent, or as otherwise permitted by law.</w:t>
      </w:r>
    </w:p>
    <w:p>
      <w:pPr>
        <w:spacing w:after="0" w:line="63" w:lineRule="exact"/>
        <w:rPr>
          <w:sz w:val="20"/>
          <w:szCs w:val="20"/>
          <w:color w:val="auto"/>
        </w:rPr>
      </w:pPr>
    </w:p>
    <w:p>
      <w:pPr>
        <w:ind w:right="120" w:firstLine="348"/>
        <w:spacing w:after="0" w:line="286" w:lineRule="auto"/>
        <w:rPr>
          <w:sz w:val="20"/>
          <w:szCs w:val="20"/>
          <w:color w:val="auto"/>
        </w:rPr>
      </w:pPr>
      <w:r>
        <w:rPr>
          <w:rFonts w:ascii="Times New Roman" w:cs="Times New Roman" w:eastAsia="Times New Roman" w:hAnsi="Times New Roman"/>
          <w:sz w:val="13"/>
          <w:szCs w:val="13"/>
          <w:color w:val="auto"/>
        </w:rPr>
        <w:t>We restrict access to non-public personal information about our stockholders to our employees with a legitimate business need for the information. We maintain safeguards designed to protect the non-public personal information of our stockholders.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Proxy Voting Policy and Procedures</w:t>
      </w:r>
    </w:p>
    <w:p>
      <w:pPr>
        <w:spacing w:after="0" w:line="105"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3"/>
          <w:szCs w:val="13"/>
          <w:color w:val="auto"/>
        </w:rPr>
        <w:t>Although the securities we hold are not typically voting securities, some of our investments could entitle us to voting rights. If this were to occur the Adviser would vote its portfolio securities in the best interest of our stockholders and the Adviser would review on a case- by-case basis each proposal submitted to a stockholder vote to determine its impact on the portfolio securities held by us. Although the Adviser would generally vote against proposals that it believes may have a negative impact on our portfolio securities, the Adviser may vote for such a proposal if it were to believe there exists a compelling long-term reason to do so.</w:t>
      </w:r>
    </w:p>
    <w:p>
      <w:pPr>
        <w:spacing w:after="0" w:line="67" w:lineRule="exact"/>
        <w:rPr>
          <w:sz w:val="20"/>
          <w:szCs w:val="20"/>
          <w:color w:val="auto"/>
        </w:rPr>
      </w:pPr>
    </w:p>
    <w:p>
      <w:pPr>
        <w:ind w:right="20" w:firstLine="348"/>
        <w:spacing w:after="0" w:line="262" w:lineRule="auto"/>
        <w:rPr>
          <w:sz w:val="20"/>
          <w:szCs w:val="20"/>
          <w:color w:val="auto"/>
        </w:rPr>
      </w:pPr>
      <w:r>
        <w:rPr>
          <w:rFonts w:ascii="Times New Roman" w:cs="Times New Roman" w:eastAsia="Times New Roman" w:hAnsi="Times New Roman"/>
          <w:sz w:val="13"/>
          <w:szCs w:val="13"/>
          <w:color w:val="auto"/>
        </w:rPr>
        <w:t>Our voting decisions would be made by the Adviser, subject to authority assigned under our Advisory Agreement. To ensure that the Adviser’s vote would not be the product of a conflict of interest, we would require that (1) anyone involved in the decision making process disclose to our Board any potential conflict that he or she is aware of and any contact that he or she has had with any interested party regarding a vote; and (2) employees involved in the decision making process or vote administration are prohibited from revealing how we intend to vote on a proposal to reduce any attempted influence from interested parties.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Exclusion from CFTC Regulation</w:t>
      </w:r>
    </w:p>
    <w:p>
      <w:pPr>
        <w:spacing w:after="0" w:line="105" w:lineRule="exact"/>
        <w:rPr>
          <w:sz w:val="20"/>
          <w:szCs w:val="20"/>
          <w:color w:val="auto"/>
        </w:rPr>
      </w:pPr>
    </w:p>
    <w:p>
      <w:pPr>
        <w:ind w:right="40" w:firstLine="348"/>
        <w:spacing w:after="0" w:line="254" w:lineRule="auto"/>
        <w:rPr>
          <w:sz w:val="20"/>
          <w:szCs w:val="20"/>
          <w:color w:val="auto"/>
        </w:rPr>
      </w:pPr>
      <w:r>
        <w:rPr>
          <w:rFonts w:ascii="Times New Roman" w:cs="Times New Roman" w:eastAsia="Times New Roman" w:hAnsi="Times New Roman"/>
          <w:sz w:val="13"/>
          <w:szCs w:val="13"/>
          <w:color w:val="auto"/>
        </w:rPr>
        <w:t>Rule 4.5 of the Commodity Futures Trading Commission (“CFTC”) permits investment advisers to BDCs to claim an exclusion from the definition of “commodity pool operator” under the Commodities Exchange Act (the “CEA”) with respect to a fund, provided certain requirements are met. In order to permit our Adviser to claim this exclusion with respect to us, we must limit our transactions in certain futures, options on futures and swaps deemed “commodity interests” under CFTC rules (excluding transactions entered into for “bona fide hedging purposes,” as defined under CFTC regulations) such that either: (i) the aggregate initial margin and premiums required to establish such futures, options on futures and swaps do not exceed 5% of the liquidation value of our portfolio, after taking into account unrealized profits and losses on such positions; or (ii) the aggregate net notional value of such futures, options on futures and swaps does not exceed 100% of the liquidation value of our portfolio, after taking into account unrealized profits and losses on such positions. In addition to meeting one of the foregoing trading limitations, we may not market our self as a commodity pool or otherwise as a vehicle for trading in the futures, options or swaps markets. Accordingly, we are not subject to regulation under the CEA or otherwise regulated by the CFTC. If the Adviser was unable to claim the exclusion with respect to us, the Adviser would become subject to registration and regulation as a commodity pool operator, which would subject the Adviser and us to additional registration and regulatory requirements and increased operating expenses.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Other</w:t>
      </w:r>
    </w:p>
    <w:p>
      <w:pPr>
        <w:spacing w:after="0" w:line="1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We are subject to examination by the SEC for compliance with the 1940 Act.</w:t>
      </w:r>
    </w:p>
    <w:p>
      <w:pPr>
        <w:spacing w:after="0" w:line="103" w:lineRule="exact"/>
        <w:rPr>
          <w:sz w:val="20"/>
          <w:szCs w:val="20"/>
          <w:color w:val="auto"/>
        </w:rPr>
      </w:pPr>
    </w:p>
    <w:p>
      <w:pPr>
        <w:ind w:right="280" w:firstLine="348"/>
        <w:spacing w:after="0" w:line="268" w:lineRule="auto"/>
        <w:rPr>
          <w:sz w:val="20"/>
          <w:szCs w:val="20"/>
          <w:color w:val="auto"/>
        </w:rPr>
      </w:pPr>
      <w:r>
        <w:rPr>
          <w:rFonts w:ascii="Times New Roman" w:cs="Times New Roman" w:eastAsia="Times New Roman" w:hAnsi="Times New Roman"/>
          <w:sz w:val="13"/>
          <w:szCs w:val="13"/>
          <w:color w:val="auto"/>
        </w:rPr>
        <w:t>We are required to provide and maintain a bond issued by a reputable fidelity insurance company to protect us against larceny and embezzlement. Furthermore, as a BDC, we are prohibited from indemnifying any director or officer against any liability to our stockholders arising from willful misfeasance, bad faith, gross negligence or reckless disregard of the duties involved in the conduct of such person’s office.</w:t>
      </w:r>
    </w:p>
    <w:p>
      <w:pPr>
        <w:spacing w:after="0" w:line="63" w:lineRule="exact"/>
        <w:rPr>
          <w:sz w:val="20"/>
          <w:szCs w:val="20"/>
          <w:color w:val="auto"/>
        </w:rPr>
      </w:pPr>
    </w:p>
    <w:p>
      <w:pPr>
        <w:ind w:right="360" w:firstLine="348"/>
        <w:spacing w:after="0" w:line="286" w:lineRule="auto"/>
        <w:rPr>
          <w:sz w:val="20"/>
          <w:szCs w:val="20"/>
          <w:color w:val="auto"/>
        </w:rPr>
      </w:pPr>
      <w:r>
        <w:rPr>
          <w:rFonts w:ascii="Times New Roman" w:cs="Times New Roman" w:eastAsia="Times New Roman" w:hAnsi="Times New Roman"/>
          <w:sz w:val="13"/>
          <w:szCs w:val="13"/>
          <w:color w:val="auto"/>
        </w:rPr>
        <w:t>We are required to adopt and implement written policies and procedures reasonably designed to prevent violation of the federal securities laws and to review these policies and procedures annually for their adequacy and the effectiveness of their implementation. We have a designated Chief Compliance Officer who is responsible for administering these policies and procedures.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TAXATION AS A REGULATED INVESTMENT COMPANY</w:t>
      </w:r>
    </w:p>
    <w:p>
      <w:pPr>
        <w:spacing w:after="0" w:line="105" w:lineRule="exact"/>
        <w:rPr>
          <w:sz w:val="20"/>
          <w:szCs w:val="20"/>
          <w:color w:val="auto"/>
        </w:rPr>
      </w:pPr>
    </w:p>
    <w:p>
      <w:pPr>
        <w:ind w:firstLine="348"/>
        <w:spacing w:after="0" w:line="259" w:lineRule="auto"/>
        <w:rPr>
          <w:sz w:val="20"/>
          <w:szCs w:val="20"/>
          <w:color w:val="auto"/>
        </w:rPr>
      </w:pPr>
      <w:r>
        <w:rPr>
          <w:rFonts w:ascii="Times New Roman" w:cs="Times New Roman" w:eastAsia="Times New Roman" w:hAnsi="Times New Roman"/>
          <w:sz w:val="13"/>
          <w:szCs w:val="13"/>
          <w:color w:val="auto"/>
        </w:rPr>
        <w:t>We have elected to be treated for U.S. federal income tax purposes as a RIC under the Code and intend to operate in a manner to maintain our RIC tax treatment. As a RIC, we generally will not have to pay corporate- level U.S. federal income taxes on any ordinary income or capital gains that we timely distribute to our stockholders as dividends. To qualify for tax treatment as a RIC, we must, among other things, meet certain source-of-income and asset diversification requirements (as described below). In addition, we must distribute to our stockholders, for each taxable year, at least 90% of our “investment company taxable income,” which is generally our net ordinary taxable income plus the excess of our realized net short-term capital gains over our realized net long-term capital losses (the “Annual Distribution Requirement”).</w:t>
      </w:r>
    </w:p>
    <w:p>
      <w:pPr>
        <w:spacing w:after="0" w:line="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b w:val="1"/>
          <w:bCs w:val="1"/>
          <w:i w:val="1"/>
          <w:iCs w:val="1"/>
          <w:color w:val="auto"/>
        </w:rPr>
        <w:t>Taxation as a RIC</w:t>
      </w:r>
    </w:p>
    <w:p>
      <w:pPr>
        <w:spacing w:after="0" w:line="107" w:lineRule="exact"/>
        <w:rPr>
          <w:sz w:val="20"/>
          <w:szCs w:val="20"/>
          <w:color w:val="auto"/>
        </w:rPr>
      </w:pPr>
    </w:p>
    <w:p>
      <w:pPr>
        <w:jc w:val="both"/>
        <w:ind w:right="80" w:firstLine="348"/>
        <w:spacing w:after="0" w:line="268" w:lineRule="auto"/>
        <w:rPr>
          <w:sz w:val="20"/>
          <w:szCs w:val="20"/>
          <w:color w:val="auto"/>
        </w:rPr>
      </w:pPr>
      <w:r>
        <w:rPr>
          <w:rFonts w:ascii="Times New Roman" w:cs="Times New Roman" w:eastAsia="Times New Roman" w:hAnsi="Times New Roman"/>
          <w:sz w:val="13"/>
          <w:szCs w:val="13"/>
          <w:color w:val="auto"/>
        </w:rPr>
        <w:t>For any taxable year in which we qualify as a RIC and satisfy the Annual Distribution Requirement, we generally will not be subject to U.S. federal income tax on the portion of our investment company taxable income and net capital gain, defined as net long-term capital gains in excess of net short-term capital losses, we distribute to stockholders. We will be subject to U.S. federal income tax at the regular corporate rates on any investment company taxable income or net capital gain not distributed (or deemed not distributed) to our stockholders.</w:t>
      </w:r>
    </w:p>
    <w:p>
      <w:pPr>
        <w:spacing w:after="0" w:line="63" w:lineRule="exact"/>
        <w:rPr>
          <w:sz w:val="20"/>
          <w:szCs w:val="20"/>
          <w:color w:val="auto"/>
        </w:rPr>
      </w:pPr>
    </w:p>
    <w:p>
      <w:pPr>
        <w:ind w:right="80" w:firstLine="348"/>
        <w:spacing w:after="0" w:line="257" w:lineRule="auto"/>
        <w:rPr>
          <w:sz w:val="20"/>
          <w:szCs w:val="20"/>
          <w:color w:val="auto"/>
        </w:rPr>
      </w:pPr>
      <w:r>
        <w:rPr>
          <w:rFonts w:ascii="Times New Roman" w:cs="Times New Roman" w:eastAsia="Times New Roman" w:hAnsi="Times New Roman"/>
          <w:sz w:val="13"/>
          <w:szCs w:val="13"/>
          <w:color w:val="auto"/>
        </w:rPr>
        <w:t>We will be subject to a 4% nondeductible U.S. federal excise tax on our undistributed income unless we distribute in a timely manner for each calendar year an amount at least equal to the sum of (a) 98% of our net ordinary income for that calendar year, (b) 98.2% of our capital gain net income for the one-year period ending October 31 in that calendar year and (c) 100% of any ordinary income and net capital gains recognized, but not distributed, in the preceding year and on which we paid no corporate-level U.S. federal income tax (the "Excise Tax Avoidance Requirement"). For this purpose, however, any net ordinary income or capital gain net income retained by us that is subject to corporate-level U.S. federal income tax for the tax year ending in that calendar year will be considered to have been distributed by year end (or earlier if estimated taxes are paid). Although we generally endeavor to make sufficient distributions each taxable year to satisfy the Excise Tax Avoidance Requirement, we may incur a U.S. federal excise tax. In that case, we will be liable for the tax only on the amount by which we do not meet the Excise Tax Avoidance Requirement.</w:t>
      </w:r>
    </w:p>
    <w:p>
      <w:pPr>
        <w:spacing w:after="0" w:line="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84" w:right="660" w:bottom="1440" w:gutter="0" w:footer="0" w:header="0"/>
        </w:sectPr>
      </w:pPr>
    </w:p>
    <w:bookmarkStart w:id="15" w:name="page16"/>
    <w:bookmarkEnd w:id="15"/>
    <w:p>
      <w:pPr>
        <w:ind w:left="360"/>
        <w:spacing w:after="0"/>
        <w:rPr>
          <w:sz w:val="20"/>
          <w:szCs w:val="20"/>
          <w:color w:val="auto"/>
        </w:rPr>
      </w:pPr>
      <w:r>
        <w:rPr>
          <w:rFonts w:ascii="Times New Roman" w:cs="Times New Roman" w:eastAsia="Times New Roman" w:hAnsi="Times New Roman"/>
          <w:sz w:val="13"/>
          <w:szCs w:val="13"/>
          <w:color w:val="auto"/>
        </w:rPr>
        <w:t>To qualify as a RIC for U.S. federal income tax purposes, we must, among other things:</w:t>
      </w:r>
    </w:p>
    <w:p>
      <w:pPr>
        <w:spacing w:after="0" w:line="10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3"/>
          <w:szCs w:val="13"/>
          <w:color w:val="auto"/>
        </w:rPr>
        <w:t>have an election in effect to be treated as a business development company under the 1940 Act at all times during each taxable year;</w:t>
      </w:r>
    </w:p>
    <w:p>
      <w:pPr>
        <w:spacing w:after="0" w:line="92" w:lineRule="exact"/>
        <w:rPr>
          <w:sz w:val="20"/>
          <w:szCs w:val="20"/>
          <w:color w:val="auto"/>
        </w:rPr>
      </w:pPr>
    </w:p>
    <w:p>
      <w:pPr>
        <w:ind w:left="360" w:right="40"/>
        <w:spacing w:after="0" w:line="23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3"/>
          <w:szCs w:val="13"/>
          <w:color w:val="auto"/>
        </w:rPr>
        <w:t>derive in each taxable year at least 90% of our gross income from dividends, interest, payments with respect to certain securities loans, gains from the sale of stock or other securities or foreign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3"/>
          <w:szCs w:val="13"/>
          <w:color w:val="auto"/>
        </w:rPr>
        <w:t>currencies, or other income derived with respect to our business of investing in such stock, securities or currencies, and net income derived from interests in “qualified publicly traded partnerships” (which generally are partnerships that are traded on an established securities market or readily tradable on a secondary market (or the substantial equivalent thereof), if less than 90% of their income is derived from interest, dividends and other permitted RIC income) (the “90% Income Test”); and</w:t>
      </w:r>
    </w:p>
    <w:p>
      <w:pPr>
        <w:spacing w:after="0" w:line="93" w:lineRule="exact"/>
        <w:rPr>
          <w:sz w:val="20"/>
          <w:szCs w:val="20"/>
          <w:color w:val="auto"/>
        </w:rPr>
      </w:pPr>
    </w:p>
    <w:p>
      <w:pPr>
        <w:ind w:left="420" w:hanging="66"/>
        <w:spacing w:after="0"/>
        <w:tabs>
          <w:tab w:leader="none" w:pos="4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3"/>
          <w:szCs w:val="13"/>
          <w:color w:val="auto"/>
        </w:rPr>
        <w:t>diversify our holdings so that at the end of each quarter of the taxable year:</w:t>
      </w:r>
    </w:p>
    <w:p>
      <w:pPr>
        <w:spacing w:after="0" w:line="80" w:lineRule="exact"/>
        <w:rPr>
          <w:sz w:val="20"/>
          <w:szCs w:val="20"/>
          <w:color w:val="auto"/>
        </w:rPr>
      </w:pPr>
    </w:p>
    <w:p>
      <w:pPr>
        <w:ind w:left="960" w:right="80"/>
        <w:spacing w:after="0" w:line="286" w:lineRule="auto"/>
        <w:rPr>
          <w:sz w:val="20"/>
          <w:szCs w:val="20"/>
          <w:color w:val="auto"/>
        </w:rPr>
      </w:pPr>
      <w:r>
        <w:rPr>
          <w:rFonts w:ascii="Times New Roman" w:cs="Times New Roman" w:eastAsia="Times New Roman" w:hAnsi="Times New Roman"/>
          <w:sz w:val="13"/>
          <w:szCs w:val="13"/>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w:t>
      </w:r>
    </w:p>
    <w:p>
      <w:pPr>
        <w:spacing w:after="0" w:line="52" w:lineRule="exact"/>
        <w:rPr>
          <w:sz w:val="20"/>
          <w:szCs w:val="20"/>
          <w:color w:val="auto"/>
        </w:rPr>
      </w:pPr>
    </w:p>
    <w:p>
      <w:pPr>
        <w:ind w:left="960"/>
        <w:spacing w:after="0" w:line="268" w:lineRule="auto"/>
        <w:rPr>
          <w:sz w:val="20"/>
          <w:szCs w:val="20"/>
          <w:color w:val="auto"/>
        </w:rPr>
      </w:pPr>
      <w:r>
        <w:rPr>
          <w:rFonts w:ascii="Times New Roman" w:cs="Times New Roman" w:eastAsia="Times New Roman" w:hAnsi="Times New Roman"/>
          <w:sz w:val="13"/>
          <w:szCs w:val="13"/>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the securities of one or more qualified publicly traded partnerships (the “Diversification Tests”).</w:t>
      </w:r>
    </w:p>
    <w:p>
      <w:pPr>
        <w:spacing w:after="0" w:line="63" w:lineRule="exact"/>
        <w:rPr>
          <w:sz w:val="20"/>
          <w:szCs w:val="20"/>
          <w:color w:val="auto"/>
        </w:rPr>
      </w:pPr>
    </w:p>
    <w:p>
      <w:pPr>
        <w:ind w:right="420" w:firstLine="348"/>
        <w:spacing w:after="0" w:line="286" w:lineRule="auto"/>
        <w:rPr>
          <w:sz w:val="20"/>
          <w:szCs w:val="20"/>
          <w:color w:val="auto"/>
        </w:rPr>
      </w:pPr>
      <w:r>
        <w:rPr>
          <w:rFonts w:ascii="Times New Roman" w:cs="Times New Roman" w:eastAsia="Times New Roman" w:hAnsi="Times New Roman"/>
          <w:sz w:val="13"/>
          <w:szCs w:val="13"/>
          <w:color w:val="auto"/>
        </w:rPr>
        <w:t>If we do not satisfy the requirements of the Diversification Tests as of the end of any quarter, we will not lose our status as a RIC provided that (i) we satisfied the requirements in a prior quarter and (ii) our failure to satisfy the requirements in the current quarter is not due in whole or in part to an acquisition of any security or other property.</w:t>
      </w:r>
    </w:p>
    <w:p>
      <w:pPr>
        <w:spacing w:after="0" w:line="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We may invest in partnerships, including qualified publicly traded partnerships, which may result in our being subject to state, local or foreign income, franchise or withholding liabilities.</w:t>
      </w:r>
    </w:p>
    <w:p>
      <w:pPr>
        <w:spacing w:after="0" w:line="103" w:lineRule="exact"/>
        <w:rPr>
          <w:sz w:val="20"/>
          <w:szCs w:val="20"/>
          <w:color w:val="auto"/>
        </w:rPr>
      </w:pPr>
    </w:p>
    <w:p>
      <w:pPr>
        <w:ind w:right="40" w:firstLine="348"/>
        <w:spacing w:after="0" w:line="257" w:lineRule="auto"/>
        <w:rPr>
          <w:sz w:val="20"/>
          <w:szCs w:val="20"/>
          <w:color w:val="auto"/>
        </w:rPr>
      </w:pPr>
      <w:r>
        <w:rPr>
          <w:rFonts w:ascii="Times New Roman" w:cs="Times New Roman" w:eastAsia="Times New Roman" w:hAnsi="Times New Roman"/>
          <w:sz w:val="13"/>
          <w:szCs w:val="13"/>
          <w:color w:val="auto"/>
        </w:rPr>
        <w:t>We may be required to recognize taxable income in circumstances in which we do not receive cash. For example, if we hold debt obligations that are treated under applicable tax rules as having original issue discount (such as debt instruments with payment-in- kind (“PIK”) interest or, in certain cases, with increasing interest rates or issued with warrants), we must include in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even though we will not have received any corresponding cash amount. If we are not able to obtain sufficient cash from other sources to satisfy the Annual Distribution Requirement, we may fail to qualify as a RIC and become subject to corporate-level U.S. federal income taxes on all of our taxable income without the benefit of the dividends-paid deduction.</w:t>
      </w:r>
    </w:p>
    <w:p>
      <w:pPr>
        <w:spacing w:after="0" w:line="72" w:lineRule="exact"/>
        <w:rPr>
          <w:sz w:val="20"/>
          <w:szCs w:val="20"/>
          <w:color w:val="auto"/>
        </w:rPr>
      </w:pPr>
    </w:p>
    <w:p>
      <w:pPr>
        <w:ind w:right="100" w:firstLine="348"/>
        <w:spacing w:after="0" w:line="257" w:lineRule="auto"/>
        <w:rPr>
          <w:sz w:val="20"/>
          <w:szCs w:val="20"/>
          <w:color w:val="auto"/>
        </w:rPr>
      </w:pPr>
      <w:r>
        <w:rPr>
          <w:rFonts w:ascii="Times New Roman" w:cs="Times New Roman" w:eastAsia="Times New Roman" w:hAnsi="Times New Roman"/>
          <w:sz w:val="13"/>
          <w:szCs w:val="13"/>
          <w:color w:val="auto"/>
        </w:rPr>
        <w:t>Although we do not presently expect to do so, we are authorized to borrow funds and to sell assets in order (i) to satisfy the Annual Distribution Requirement and to otherwise eliminate our liability for U.S. federal income and excise taxes and (ii) to satisfy the Diversification Tests. However, under the 1940 Act, we are not permitted to borrow additional funds or to make distributions to our stockholders while our debt obligations and other senior securities are outstanding unless a certain “asset coverage” test is met. See “Regulation — Indebtedness; Coverage Ratio.” Moreover, our ability to dispose of assets to meet the Annual Distribution Requirement, the Excise Tax Avoidance Requirement or the Diversification Tests may be limited by (a) the illiquid nature of our portfolio and/or (b) other requirements relating to our qualification as a RIC. If we dispose of assets in order to meet the Annual Distribution Requirement, the Excise Tax Avoidance Requirement, or the Diversification Tests, we may make such dispositions at times that, from an investment standpoint, are not advantageous.</w:t>
      </w:r>
    </w:p>
    <w:p>
      <w:pPr>
        <w:spacing w:after="0" w:line="72" w:lineRule="exact"/>
        <w:rPr>
          <w:sz w:val="20"/>
          <w:szCs w:val="20"/>
          <w:color w:val="auto"/>
        </w:rPr>
      </w:pPr>
    </w:p>
    <w:p>
      <w:pPr>
        <w:ind w:right="80" w:firstLine="348"/>
        <w:spacing w:after="0" w:line="256" w:lineRule="auto"/>
        <w:rPr>
          <w:sz w:val="20"/>
          <w:szCs w:val="20"/>
          <w:color w:val="auto"/>
        </w:rPr>
      </w:pPr>
      <w:r>
        <w:rPr>
          <w:rFonts w:ascii="Times New Roman" w:cs="Times New Roman" w:eastAsia="Times New Roman" w:hAnsi="Times New Roman"/>
          <w:sz w:val="13"/>
          <w:szCs w:val="13"/>
          <w:color w:val="auto"/>
        </w:rPr>
        <w:t>Certain of our investment practices may be subject to special and complex U.S. federal income tax provisions that may, among other things, (a) treat dividends that would otherwise constitute qualified dividend income as non-qualified dividend income, (b) treat dividends that would otherwise be eligible for the corporate dividends received deduction as ineligible for such treatment, (c) disallow, suspend or otherwise limit the allowance of certain losses or deductions, (d) convert lower-taxed long -term capital gain into higher-taxed short-term capital gain or ordinary income, (e) convert an ordinary loss or a deduction into a capital loss (the deductibility of which is more limited), (f) cause us to recognize income or gain without a corresponding receipt of cash, (g) adversely affect the time as to when a purchase or sale of stock or securities is deemed to occur, (h) adversely alter the characterization of certain complex financial transactions and (i) produce income that will not be qualifying income for purposes of the 90% Income Test. We intend to monitor our transactions and may make certain tax elections to mitigate the effect of these provisions and prevent our disqualification as a RIC.</w:t>
      </w:r>
    </w:p>
    <w:p>
      <w:pPr>
        <w:spacing w:after="0" w:line="72" w:lineRule="exact"/>
        <w:rPr>
          <w:sz w:val="20"/>
          <w:szCs w:val="20"/>
          <w:color w:val="auto"/>
        </w:rPr>
      </w:pPr>
    </w:p>
    <w:p>
      <w:pPr>
        <w:ind w:right="240" w:firstLine="348"/>
        <w:spacing w:after="0" w:line="286" w:lineRule="auto"/>
        <w:rPr>
          <w:sz w:val="20"/>
          <w:szCs w:val="20"/>
          <w:color w:val="auto"/>
        </w:rPr>
      </w:pPr>
      <w:r>
        <w:rPr>
          <w:rFonts w:ascii="Times New Roman" w:cs="Times New Roman" w:eastAsia="Times New Roman" w:hAnsi="Times New Roman"/>
          <w:sz w:val="13"/>
          <w:szCs w:val="13"/>
          <w:color w:val="auto"/>
        </w:rPr>
        <w:t>Gain or loss realized by us from warrants acquired by us as well as any loss attributable to the lapse of such warrants generally will be treated as capital gain or loss. Such capital gain or loss generally will be long- term or short-term, depending on how long we held a particular warrant.</w:t>
      </w:r>
    </w:p>
    <w:p>
      <w:pPr>
        <w:spacing w:after="0" w:line="52" w:lineRule="exact"/>
        <w:rPr>
          <w:sz w:val="20"/>
          <w:szCs w:val="20"/>
          <w:color w:val="auto"/>
        </w:rPr>
      </w:pPr>
    </w:p>
    <w:p>
      <w:pPr>
        <w:ind w:right="180" w:firstLine="348"/>
        <w:spacing w:after="0" w:line="262" w:lineRule="auto"/>
        <w:rPr>
          <w:sz w:val="20"/>
          <w:szCs w:val="20"/>
          <w:color w:val="auto"/>
        </w:rPr>
      </w:pPr>
      <w:r>
        <w:rPr>
          <w:rFonts w:ascii="Times New Roman" w:cs="Times New Roman" w:eastAsia="Times New Roman" w:hAnsi="Times New Roman"/>
          <w:sz w:val="13"/>
          <w:szCs w:val="13"/>
          <w:color w:val="auto"/>
        </w:rPr>
        <w:t>Some of the income and fees that we may recognize will not be qualifying income for purposes of the 90% Income Test. In order to ensure that such income and fees do not disqualify us as a RIC for a failure to satisfy the 90% Income Test, we may hold assets that generate such income and provide services that generate such fees indirectly through one or more entities treated as corporations for U.S. federal income tax purposes. Such corporations will be required to pay corporate-level U.S. federal income taxes on their earnings, which ultimately will reduce our return on such income and fees.</w:t>
      </w:r>
    </w:p>
    <w:p>
      <w:pPr>
        <w:spacing w:after="0" w:line="67" w:lineRule="exact"/>
        <w:rPr>
          <w:sz w:val="20"/>
          <w:szCs w:val="20"/>
          <w:color w:val="auto"/>
        </w:rPr>
      </w:pPr>
    </w:p>
    <w:p>
      <w:pPr>
        <w:ind w:right="160" w:firstLine="348"/>
        <w:spacing w:after="0" w:line="262" w:lineRule="auto"/>
        <w:rPr>
          <w:sz w:val="20"/>
          <w:szCs w:val="20"/>
          <w:color w:val="auto"/>
        </w:rPr>
      </w:pPr>
      <w:r>
        <w:rPr>
          <w:rFonts w:ascii="Times New Roman" w:cs="Times New Roman" w:eastAsia="Times New Roman" w:hAnsi="Times New Roman"/>
          <w:sz w:val="13"/>
          <w:szCs w:val="13"/>
          <w:color w:val="auto"/>
        </w:rPr>
        <w:t>A portfolio company in which we invest may face financial difficulties that require us to work-out, modify or otherwise restructure our investment in the portfolio company. Any such transaction could, depending upon the specific terms of the transaction, result in unusable capital losses and future non-cash income. Any such transaction could also result in us receiving assets that give rise to income that is not qualifying income for purposes of the 90% Income Test, and we may need to hold such assets in a taxable subsidiary and pay federal and state income tax on income related to such assets.</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b w:val="1"/>
          <w:bCs w:val="1"/>
          <w:i w:val="1"/>
          <w:iCs w:val="1"/>
          <w:color w:val="auto"/>
        </w:rPr>
        <w:t>Failure to Qualify as a RIC</w:t>
      </w:r>
    </w:p>
    <w:p>
      <w:pPr>
        <w:spacing w:after="0" w:line="107"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3"/>
          <w:szCs w:val="13"/>
          <w:color w:val="auto"/>
        </w:rPr>
        <w:t>If we were unable to qualify for treatment as a RIC, we would be subject to tax on all of our taxable income at regular corporate rates, regardless of whether we make any distributions to our stockholders. Distributions would not be required, and any distributions made out of our current or accumulated earnings and profits would be taxable to our stockholders as ordinary dividend income that, subject to certain limitations, may be eligible for the 20.0% maximum rate if paid to non-corporate stockholders. Subject to certain limitations under the Code, corporate distributees would be eligible for the dividends-received deduction with respect to such dividend. Distributions in excess of our current and accumulated earnings and profits would be treated first as a return of capital to the extent of the stockholder’s tax basis in our stock, and any remaining distributions would be treated as a capital gain provided the stockholder holds our stock as a capital asset. If we fail to qualify as a RIC for a period greater than two taxable years, to qualify as a RIC in a subsequent year we may be subject to regular corporate tax on any net built-in gains with respect to certain of our assets (i.e., the excess of the aggregate gains, including items of income, over aggregate losses that would have been realized with respect to such assets if we had been liquidated) that we elect to recognize on requalification or when recognized over the next five years.</w:t>
      </w:r>
    </w:p>
    <w:p>
      <w:pPr>
        <w:spacing w:after="0" w:line="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86" w:right="660" w:bottom="1440" w:gutter="0" w:footer="0" w:header="0"/>
        </w:sectPr>
      </w:pPr>
    </w:p>
    <w:bookmarkStart w:id="16" w:name="page17"/>
    <w:bookmarkEnd w:id="16"/>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DIVIDEND REINVESTMENT PLAN</w:t>
      </w:r>
    </w:p>
    <w:p>
      <w:pPr>
        <w:spacing w:after="0" w:line="105" w:lineRule="exact"/>
        <w:rPr>
          <w:sz w:val="20"/>
          <w:szCs w:val="20"/>
          <w:color w:val="auto"/>
        </w:rPr>
      </w:pPr>
    </w:p>
    <w:p>
      <w:pPr>
        <w:ind w:right="20" w:firstLine="348"/>
        <w:spacing w:after="0" w:line="268" w:lineRule="auto"/>
        <w:rPr>
          <w:sz w:val="20"/>
          <w:szCs w:val="20"/>
          <w:color w:val="auto"/>
        </w:rPr>
      </w:pPr>
      <w:r>
        <w:rPr>
          <w:rFonts w:ascii="Times New Roman" w:cs="Times New Roman" w:eastAsia="Times New Roman" w:hAnsi="Times New Roman"/>
          <w:sz w:val="13"/>
          <w:szCs w:val="13"/>
          <w:color w:val="auto"/>
        </w:rPr>
        <w:t>We have adopted a dividend reinvestment plan that provides for reinvestment of our distributions on behalf of our stockholders, unless a stockholder elects to receive cash as provided below. As a result, if our Board authorizes, and we declare, a cash distribution, then our stockholders who have not “opted out” of our dividend reinvestment plan will have their cash distributions automatically reinvested in additional shares of our common stock, rather than receiving the cash.</w:t>
      </w:r>
    </w:p>
    <w:p>
      <w:pPr>
        <w:spacing w:after="0" w:line="63" w:lineRule="exact"/>
        <w:rPr>
          <w:sz w:val="20"/>
          <w:szCs w:val="20"/>
          <w:color w:val="auto"/>
        </w:rPr>
      </w:pPr>
    </w:p>
    <w:p>
      <w:pPr>
        <w:ind w:right="60" w:firstLine="348"/>
        <w:spacing w:after="0" w:line="257" w:lineRule="auto"/>
        <w:rPr>
          <w:sz w:val="20"/>
          <w:szCs w:val="20"/>
          <w:color w:val="auto"/>
        </w:rPr>
      </w:pPr>
      <w:r>
        <w:rPr>
          <w:rFonts w:ascii="Times New Roman" w:cs="Times New Roman" w:eastAsia="Times New Roman" w:hAnsi="Times New Roman"/>
          <w:sz w:val="13"/>
          <w:szCs w:val="13"/>
          <w:color w:val="auto"/>
        </w:rPr>
        <w:t>No action is required on the part of a registered stockholder to have such shareholder’s cash distribution reinvested in shares of our common stock. A registered stockholder may elect to receive an entire distribution in cash by notifying Equiniti Trust Company, LLC,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distributions in cash and hold such shares in non-certificated form. Upon request by a stockholder participating in the plan, received in writing not less than ten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Those stockholders whose shares are held by a broker or other financial intermediary may receive distributions in cash by notifying their broker or other financial intermediary of their election.</w:t>
      </w:r>
    </w:p>
    <w:p>
      <w:pPr>
        <w:spacing w:after="0" w:line="103" w:lineRule="exact"/>
        <w:rPr>
          <w:sz w:val="20"/>
          <w:szCs w:val="20"/>
          <w:color w:val="auto"/>
        </w:rPr>
      </w:pPr>
    </w:p>
    <w:p>
      <w:pPr>
        <w:ind w:right="80" w:firstLine="348"/>
        <w:spacing w:after="0" w:line="257" w:lineRule="auto"/>
        <w:rPr>
          <w:sz w:val="20"/>
          <w:szCs w:val="20"/>
          <w:color w:val="auto"/>
        </w:rPr>
      </w:pPr>
      <w:r>
        <w:rPr>
          <w:rFonts w:ascii="Times New Roman" w:cs="Times New Roman" w:eastAsia="Times New Roman" w:hAnsi="Times New Roman"/>
          <w:sz w:val="13"/>
          <w:szCs w:val="13"/>
          <w:color w:val="auto"/>
        </w:rPr>
        <w:t>We intend to use primarily newly issued shares to implement the plan, whether our shares are trading at a premium or at a discount to net asset value. However, we reserve the right to purchase shares in the open market in connection with our implementation of the plan. The number of shares to be issued to a stockholder is determined by dividing the total dollar amount of the dividend payable to such stockholder by the market price per share of our common stock at the close of regular trading on The NASDAQ Global Select Market on the dividend payment date. Market price per share on that date will be the closing price for such shares on The NASDAQ Global Select Market or, if no sale is reported for such day, at the average of their reported bid and asked prices. Shares purchased in open market transactions by the plan administrator of the dividend reinvestment plan will be allocated to a stockholder based upon the average purchase price, excluding any brokerage charges or other charges, of all shares of common stock purchased with respect to the distribution.</w:t>
      </w:r>
    </w:p>
    <w:p>
      <w:pPr>
        <w:spacing w:after="0" w:line="72" w:lineRule="exact"/>
        <w:rPr>
          <w:sz w:val="20"/>
          <w:szCs w:val="20"/>
          <w:color w:val="auto"/>
        </w:rPr>
      </w:pPr>
    </w:p>
    <w:p>
      <w:pPr>
        <w:ind w:right="140" w:firstLine="348"/>
        <w:spacing w:after="0" w:line="268" w:lineRule="auto"/>
        <w:rPr>
          <w:sz w:val="20"/>
          <w:szCs w:val="20"/>
          <w:color w:val="auto"/>
        </w:rPr>
      </w:pPr>
      <w:r>
        <w:rPr>
          <w:rFonts w:ascii="Times New Roman" w:cs="Times New Roman" w:eastAsia="Times New Roman" w:hAnsi="Times New Roman"/>
          <w:sz w:val="13"/>
          <w:szCs w:val="13"/>
          <w:color w:val="auto"/>
        </w:rPr>
        <w:t>There are no brokerage charges or other charges to stockholders who participate in the plan. The plan administrator’s fees under the plan are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 from the proceeds.</w:t>
      </w:r>
    </w:p>
    <w:p>
      <w:pPr>
        <w:spacing w:after="0" w:line="63" w:lineRule="exact"/>
        <w:rPr>
          <w:sz w:val="20"/>
          <w:szCs w:val="20"/>
          <w:color w:val="auto"/>
        </w:rPr>
      </w:pPr>
    </w:p>
    <w:p>
      <w:pPr>
        <w:ind w:right="120" w:firstLine="348"/>
        <w:spacing w:after="0" w:line="286" w:lineRule="auto"/>
        <w:rPr>
          <w:sz w:val="20"/>
          <w:szCs w:val="20"/>
          <w:color w:val="auto"/>
        </w:rPr>
      </w:pPr>
      <w:r>
        <w:rPr>
          <w:rFonts w:ascii="Times New Roman" w:cs="Times New Roman" w:eastAsia="Times New Roman" w:hAnsi="Times New Roman"/>
          <w:sz w:val="13"/>
          <w:szCs w:val="13"/>
          <w:color w:val="auto"/>
        </w:rPr>
        <w:t>If your distributions are reinvested, you will be required to pay tax on the distributions in the same manner as if the distributions were received in cash. The taxation of distributions will not be affected by the form in which you receive them.</w:t>
      </w:r>
    </w:p>
    <w:p>
      <w:pPr>
        <w:spacing w:after="0" w:line="50" w:lineRule="exact"/>
        <w:rPr>
          <w:sz w:val="20"/>
          <w:szCs w:val="20"/>
          <w:color w:val="auto"/>
        </w:rPr>
      </w:pPr>
    </w:p>
    <w:p>
      <w:pPr>
        <w:ind w:right="100" w:firstLine="348"/>
        <w:spacing w:after="0" w:line="289" w:lineRule="auto"/>
        <w:rPr>
          <w:sz w:val="20"/>
          <w:szCs w:val="20"/>
          <w:color w:val="auto"/>
        </w:rPr>
      </w:pPr>
      <w:r>
        <w:rPr>
          <w:rFonts w:ascii="Times New Roman" w:cs="Times New Roman" w:eastAsia="Times New Roman" w:hAnsi="Times New Roman"/>
          <w:sz w:val="13"/>
          <w:szCs w:val="13"/>
          <w:color w:val="auto"/>
        </w:rPr>
        <w:t xml:space="preserve">Participants may terminate their accounts under the plan by notifying the plan administrator via its website at </w:t>
      </w:r>
      <w:r>
        <w:rPr>
          <w:rFonts w:ascii="Times New Roman" w:cs="Times New Roman" w:eastAsia="Times New Roman" w:hAnsi="Times New Roman"/>
          <w:sz w:val="13"/>
          <w:szCs w:val="13"/>
          <w:i w:val="1"/>
          <w:iCs w:val="1"/>
          <w:color w:val="auto"/>
        </w:rPr>
        <w:t>www.amstock.com</w:t>
      </w:r>
      <w:r>
        <w:rPr>
          <w:rFonts w:ascii="Times New Roman" w:cs="Times New Roman" w:eastAsia="Times New Roman" w:hAnsi="Times New Roman"/>
          <w:sz w:val="13"/>
          <w:szCs w:val="13"/>
          <w:color w:val="auto"/>
        </w:rPr>
        <w:t>, by filling out the transaction request form located at bottom of their statement and sending it to the plan administrator at the address set forth below or by calling the plan administrator at 1-866-668-8564.</w:t>
      </w:r>
    </w:p>
    <w:p>
      <w:pPr>
        <w:spacing w:after="0" w:line="50" w:lineRule="exact"/>
        <w:rPr>
          <w:sz w:val="20"/>
          <w:szCs w:val="20"/>
          <w:color w:val="auto"/>
        </w:rPr>
      </w:pPr>
    </w:p>
    <w:p>
      <w:pPr>
        <w:ind w:right="480" w:firstLine="348"/>
        <w:spacing w:after="0" w:line="268" w:lineRule="auto"/>
        <w:rPr>
          <w:sz w:val="20"/>
          <w:szCs w:val="20"/>
          <w:color w:val="auto"/>
        </w:rPr>
      </w:pPr>
      <w:r>
        <w:rPr>
          <w:rFonts w:ascii="Times New Roman" w:cs="Times New Roman" w:eastAsia="Times New Roman" w:hAnsi="Times New Roman"/>
          <w:sz w:val="13"/>
          <w:szCs w:val="13"/>
          <w:color w:val="auto"/>
        </w:rPr>
        <w:t>The plan may be terminated by us upon notice in writing mailed to each participant at least 30 days prior to any record date for the payment of any dividend by us. All correspondence concerning the plan should be directed to, and additional information about the plan may be obtained from, the plan administrator by mail at Equiniti Trust Company, LLC, Attn. EQ Dividend Reinvestment Department, P.O. Box 500, Newark, New Jersey 07101 or by telephone at 1-866-668-8564.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Item 1A. </w:t>
      </w:r>
      <w:r>
        <w:rPr>
          <w:rFonts w:ascii="Times New Roman" w:cs="Times New Roman" w:eastAsia="Times New Roman" w:hAnsi="Times New Roman"/>
          <w:sz w:val="13"/>
          <w:szCs w:val="13"/>
          <w:b w:val="1"/>
          <w:bCs w:val="1"/>
          <w:i w:val="1"/>
          <w:iCs w:val="1"/>
          <w:color w:val="auto"/>
        </w:rPr>
        <w:t>Risk Factors</w:t>
      </w:r>
    </w:p>
    <w:p>
      <w:pPr>
        <w:spacing w:after="0" w:line="105" w:lineRule="exact"/>
        <w:rPr>
          <w:sz w:val="20"/>
          <w:szCs w:val="20"/>
          <w:color w:val="auto"/>
        </w:rPr>
      </w:pPr>
    </w:p>
    <w:p>
      <w:pPr>
        <w:ind w:right="160" w:firstLine="348"/>
        <w:spacing w:after="0" w:line="263" w:lineRule="auto"/>
        <w:rPr>
          <w:sz w:val="20"/>
          <w:szCs w:val="20"/>
          <w:color w:val="auto"/>
        </w:rPr>
      </w:pPr>
      <w:r>
        <w:rPr>
          <w:rFonts w:ascii="Times New Roman" w:cs="Times New Roman" w:eastAsia="Times New Roman" w:hAnsi="Times New Roman"/>
          <w:sz w:val="13"/>
          <w:szCs w:val="13"/>
          <w:i w:val="1"/>
          <w:iCs w:val="1"/>
          <w:color w:val="auto"/>
        </w:rPr>
        <w:t>Investing in our securities involves a high degree of risk. In addition to the other information contained in this annual report on Form 10-K, the following information should be carefully considered before making an investment in our securities. The risks set out below are not the only risks we face. Additional risks and uncertainties not presently known to us or not presently deemed material by us might also impair our operations and performance. If any of the following events occur, our business, financial condition and results of operations could be materially and adversely affected. In such case, our net asset value and the trading price of our securities could decline, and an investor may lose part or all of an investment.</w:t>
      </w:r>
    </w:p>
    <w:p>
      <w:pPr>
        <w:spacing w:after="0" w:line="67" w:lineRule="exact"/>
        <w:rPr>
          <w:sz w:val="20"/>
          <w:szCs w:val="20"/>
          <w:color w:val="auto"/>
        </w:rPr>
      </w:pPr>
    </w:p>
    <w:p>
      <w:pPr>
        <w:ind w:right="40" w:firstLine="348"/>
        <w:spacing w:after="0" w:line="286" w:lineRule="auto"/>
        <w:rPr>
          <w:sz w:val="20"/>
          <w:szCs w:val="20"/>
          <w:color w:val="auto"/>
        </w:rPr>
      </w:pPr>
      <w:r>
        <w:rPr>
          <w:rFonts w:ascii="Times New Roman" w:cs="Times New Roman" w:eastAsia="Times New Roman" w:hAnsi="Times New Roman"/>
          <w:sz w:val="13"/>
          <w:szCs w:val="13"/>
          <w:color w:val="auto"/>
        </w:rPr>
        <w:t>The following is a summary of the principal risks that you should carefully consider before investing in our securities. Further details regarding each risk included in the below summary list can be found further below.</w:t>
      </w:r>
    </w:p>
    <w:p>
      <w:pPr>
        <w:spacing w:after="0" w:line="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•The Adviser relies on key personnel, the loss of any of whom could impair its ability to successfully manage us.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•We operate in a highly competitive market for investment opportunities.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•We may from time to time expand our business through acquisitions, which could disrupt our business and harm our financial condition.</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•Regulations governing our operation as a BDC affect our ability to, and the way in which we, raise additional capital.</w:t>
      </w:r>
    </w:p>
    <w:p>
      <w:pPr>
        <w:spacing w:after="0" w:line="103" w:lineRule="exact"/>
        <w:rPr>
          <w:sz w:val="20"/>
          <w:szCs w:val="20"/>
          <w:color w:val="auto"/>
        </w:rPr>
      </w:pPr>
    </w:p>
    <w:p>
      <w:pPr>
        <w:ind w:left="360" w:right="440"/>
        <w:spacing w:after="0" w:line="286" w:lineRule="auto"/>
        <w:rPr>
          <w:sz w:val="20"/>
          <w:szCs w:val="20"/>
          <w:color w:val="auto"/>
        </w:rPr>
      </w:pPr>
      <w:r>
        <w:rPr>
          <w:rFonts w:ascii="Times New Roman" w:cs="Times New Roman" w:eastAsia="Times New Roman" w:hAnsi="Times New Roman"/>
          <w:sz w:val="13"/>
          <w:szCs w:val="13"/>
          <w:color w:val="auto"/>
        </w:rPr>
        <w:t>•Our portfolio investments for which there is no readily available market, including our investment in our Joint Ventures and our investments in CLO Funds, are recorded at fair value as determined in good faith by our Board. As a result, there is uncertainty as to the value of these investments.</w:t>
      </w:r>
    </w:p>
    <w:p>
      <w:pPr>
        <w:spacing w:after="0" w:line="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•We borrow money, which magnifies the potential for gain or loss on amounts invested and may increase the risk of investing in us.</w:t>
      </w:r>
    </w:p>
    <w:p>
      <w:pPr>
        <w:spacing w:after="0" w:line="103" w:lineRule="exact"/>
        <w:rPr>
          <w:sz w:val="20"/>
          <w:szCs w:val="20"/>
          <w:color w:val="auto"/>
        </w:rPr>
      </w:pPr>
    </w:p>
    <w:p>
      <w:pPr>
        <w:ind w:left="360" w:right="660"/>
        <w:spacing w:after="0" w:line="286" w:lineRule="auto"/>
        <w:rPr>
          <w:sz w:val="20"/>
          <w:szCs w:val="20"/>
          <w:color w:val="auto"/>
        </w:rPr>
      </w:pPr>
      <w:r>
        <w:rPr>
          <w:rFonts w:ascii="Times New Roman" w:cs="Times New Roman" w:eastAsia="Times New Roman" w:hAnsi="Times New Roman"/>
          <w:sz w:val="13"/>
          <w:szCs w:val="13"/>
          <w:color w:val="auto"/>
        </w:rPr>
        <w:t>•We may default under the Revolving Credit Facility, the 4.875% Notes due 2026 or any future indebtedness or be unable to amend, repay or refinance any such facility or financing arrangement on commercially reasonable terms, or at all, which could have a material adverse effect on our business, financial condition, results of operations and cash flows.</w:t>
      </w:r>
    </w:p>
    <w:p>
      <w:pPr>
        <w:spacing w:after="0" w:line="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•Our investments may be risky, and you could lose all or part of your investment.</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•The lack of liquidity in our investments may adversely affect our business.</w:t>
      </w:r>
    </w:p>
    <w:p>
      <w:pPr>
        <w:spacing w:after="0" w:line="103" w:lineRule="exact"/>
        <w:rPr>
          <w:sz w:val="20"/>
          <w:szCs w:val="20"/>
          <w:color w:val="auto"/>
        </w:rPr>
      </w:pPr>
    </w:p>
    <w:p>
      <w:pPr>
        <w:ind w:left="360"/>
        <w:spacing w:after="0" w:line="286" w:lineRule="auto"/>
        <w:rPr>
          <w:sz w:val="20"/>
          <w:szCs w:val="20"/>
          <w:color w:val="auto"/>
        </w:rPr>
      </w:pPr>
      <w:r>
        <w:rPr>
          <w:rFonts w:ascii="Times New Roman" w:cs="Times New Roman" w:eastAsia="Times New Roman" w:hAnsi="Times New Roman"/>
          <w:sz w:val="13"/>
          <w:szCs w:val="13"/>
          <w:color w:val="auto"/>
        </w:rPr>
        <w:t>•Shares of closed- end investment companies, including BDCs, frequently trade at a discount to their net asset value, and we cannot assure you that the market price of our common stock will not decline below the net asset value of the stock.</w:t>
      </w:r>
    </w:p>
    <w:p>
      <w:pPr>
        <w:spacing w:after="0" w:line="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•We may be unable to realize the benefits anticipated by our prior strategic acquisitions, including estimated cost savings, or it may take longer than anticipated to realize such benefits.</w:t>
      </w:r>
    </w:p>
    <w:p>
      <w:pPr>
        <w:spacing w:after="0" w:line="103" w:lineRule="exact"/>
        <w:rPr>
          <w:sz w:val="20"/>
          <w:szCs w:val="20"/>
          <w:color w:val="auto"/>
        </w:rPr>
      </w:pPr>
    </w:p>
    <w:p>
      <w:pPr>
        <w:ind w:left="360" w:right="100"/>
        <w:spacing w:after="0" w:line="286" w:lineRule="auto"/>
        <w:rPr>
          <w:sz w:val="20"/>
          <w:szCs w:val="20"/>
          <w:color w:val="auto"/>
        </w:rPr>
      </w:pPr>
      <w:r>
        <w:rPr>
          <w:rFonts w:ascii="Times New Roman" w:cs="Times New Roman" w:eastAsia="Times New Roman" w:hAnsi="Times New Roman"/>
          <w:sz w:val="13"/>
          <w:szCs w:val="13"/>
          <w:color w:val="auto"/>
        </w:rPr>
        <w:t>•Capital markets may experience periods of disruption and instability and we cannot predict when these conditions will occur. Such market conditions may materially and adversely affect debt and equity capital markets in the United States and abroad, which may have a negative impact on our business, financial condition and results of operations.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7" w:name="page18"/>
    <w:bookmarkEnd w:id="17"/>
    <w:p>
      <w:pPr>
        <w:ind w:left="360"/>
        <w:spacing w:after="0"/>
        <w:rPr>
          <w:sz w:val="20"/>
          <w:szCs w:val="20"/>
          <w:color w:val="auto"/>
        </w:rPr>
      </w:pPr>
      <w:r>
        <w:rPr>
          <w:rFonts w:ascii="Times New Roman" w:cs="Times New Roman" w:eastAsia="Times New Roman" w:hAnsi="Times New Roman"/>
          <w:sz w:val="13"/>
          <w:szCs w:val="13"/>
          <w:color w:val="auto"/>
        </w:rPr>
        <w:t>•Major public health issues, such as the COVID-19 pandemic, could have an adverse impact on our financial condition and results of operations and other aspects of our business.</w:t>
      </w:r>
    </w:p>
    <w:p>
      <w:pPr>
        <w:spacing w:after="0" w:line="19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3"/>
          <w:szCs w:val="13"/>
          <w:b w:val="1"/>
          <w:bCs w:val="1"/>
          <w:color w:val="auto"/>
        </w:rPr>
        <w:t>Risks Related to Our Business and Structure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announcement and pendency of the merger with LRFC could adversely affect the Company’s businesses, financial results and operations.</w:t>
      </w:r>
    </w:p>
    <w:p>
      <w:pPr>
        <w:spacing w:after="0" w:line="107" w:lineRule="exact"/>
        <w:rPr>
          <w:sz w:val="20"/>
          <w:szCs w:val="20"/>
          <w:color w:val="auto"/>
        </w:rPr>
      </w:pPr>
    </w:p>
    <w:p>
      <w:pPr>
        <w:ind w:right="80" w:firstLine="348"/>
        <w:spacing w:after="0" w:line="259" w:lineRule="auto"/>
        <w:rPr>
          <w:sz w:val="20"/>
          <w:szCs w:val="20"/>
          <w:color w:val="auto"/>
        </w:rPr>
      </w:pPr>
      <w:r>
        <w:rPr>
          <w:rFonts w:ascii="Times New Roman" w:cs="Times New Roman" w:eastAsia="Times New Roman" w:hAnsi="Times New Roman"/>
          <w:sz w:val="13"/>
          <w:szCs w:val="13"/>
          <w:color w:val="auto"/>
        </w:rPr>
        <w:t>As described further below, on January 29, 2025, the Company entered into a Merger Agreement (as defined below). See “Item 7. Management’s Discussion and Analysis of Financial Condition and Results of Operations — Recent Developments.” The announcement and pendency of the Mergers (as defined below) could cause disruptions in, and create uncertainty surrounding, our businesses, including affecting relationships with existing and future borrowers, which could have a significant negative impact on future revenues and results of operations, regardless of whether the Mergers are completed. In addition, the Company has diverted, and will continue to divert, management resources towards the completion of the Mergers, which could have a negative impact on future revenues and results of operations.</w:t>
      </w:r>
    </w:p>
    <w:p>
      <w:pPr>
        <w:spacing w:after="0" w:line="70" w:lineRule="exact"/>
        <w:rPr>
          <w:sz w:val="20"/>
          <w:szCs w:val="20"/>
          <w:color w:val="auto"/>
        </w:rPr>
      </w:pPr>
    </w:p>
    <w:p>
      <w:pPr>
        <w:ind w:right="60" w:firstLine="348"/>
        <w:spacing w:after="0" w:line="260" w:lineRule="auto"/>
        <w:rPr>
          <w:sz w:val="20"/>
          <w:szCs w:val="20"/>
          <w:color w:val="auto"/>
        </w:rPr>
      </w:pPr>
      <w:r>
        <w:rPr>
          <w:rFonts w:ascii="Times New Roman" w:cs="Times New Roman" w:eastAsia="Times New Roman" w:hAnsi="Times New Roman"/>
          <w:sz w:val="13"/>
          <w:szCs w:val="13"/>
          <w:color w:val="auto"/>
        </w:rPr>
        <w:t>The Company is also subject to the restrictions on the conduct of its businesses prior to the completion of the Mergers set forth in the Merger Agreement. Generally, these restrictions will require the Company to conduct its businesses only in the ordinary course and subject to specific limitations, including, among other things, certain restrictions on their ability to make certain investments and acquisitions, sell, transfer or dispose of their assets, amend its organizational documents and enter into or modify certain material contracts. These restrictions could prevent us from pursuing otherwise attractive business opportunities, industry developments and future opportunities and may otherwise have a significant negative impact on our future investment income and results of operations.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Most stockholders will experience a reduction in percentage ownership and voting power in the combined company as a result of the Mergers.</w:t>
      </w:r>
    </w:p>
    <w:p>
      <w:pPr>
        <w:spacing w:after="0" w:line="107" w:lineRule="exact"/>
        <w:rPr>
          <w:sz w:val="20"/>
          <w:szCs w:val="20"/>
          <w:color w:val="auto"/>
        </w:rPr>
      </w:pPr>
    </w:p>
    <w:p>
      <w:pPr>
        <w:ind w:right="20" w:firstLine="348"/>
        <w:spacing w:after="0" w:line="262" w:lineRule="auto"/>
        <w:rPr>
          <w:sz w:val="20"/>
          <w:szCs w:val="20"/>
          <w:color w:val="auto"/>
        </w:rPr>
      </w:pPr>
      <w:r>
        <w:rPr>
          <w:rFonts w:ascii="Times New Roman" w:cs="Times New Roman" w:eastAsia="Times New Roman" w:hAnsi="Times New Roman"/>
          <w:sz w:val="13"/>
          <w:szCs w:val="13"/>
          <w:color w:val="auto"/>
        </w:rPr>
        <w:t>If the Mergers are consummated, the Company’s stockholders will experience a reduction in their percentage ownership interests and effective voting power in respect of the combined company relative to their percentage ownership interests in the Company prior to the Mergers unless they hold a comparable or greater percentage ownership in LRFC. Consequently, the Company’s stockholders should generally expect to exercise less influence over the management and policies of the combined company following the Mergers than they currently exercise over the management and policies of the Company.</w:t>
      </w:r>
    </w:p>
    <w:p>
      <w:pPr>
        <w:spacing w:after="0" w:line="67" w:lineRule="exact"/>
        <w:rPr>
          <w:sz w:val="20"/>
          <w:szCs w:val="20"/>
          <w:color w:val="auto"/>
        </w:rPr>
      </w:pPr>
    </w:p>
    <w:p>
      <w:pPr>
        <w:ind w:right="100" w:firstLine="348"/>
        <w:spacing w:after="0" w:line="268" w:lineRule="auto"/>
        <w:rPr>
          <w:sz w:val="20"/>
          <w:szCs w:val="20"/>
          <w:color w:val="auto"/>
        </w:rPr>
      </w:pPr>
      <w:r>
        <w:rPr>
          <w:rFonts w:ascii="Times New Roman" w:cs="Times New Roman" w:eastAsia="Times New Roman" w:hAnsi="Times New Roman"/>
          <w:sz w:val="13"/>
          <w:szCs w:val="13"/>
          <w:color w:val="auto"/>
        </w:rPr>
        <w:t>In addition, prior to completion of the Mergers, subject to certain restrictions in the Merger Agreement and certain restrictions under the 1940 Act for issuances at prices below the then-current NAV per share of LRFC common stock and the Company’s common stock, LRFC and the Company may issue additional shares of LRFC common stock and the Company’s common stock, respectively, which would further reduce the percentage ownership of the combined company to be held by current LRFC stockholders and the Company’s stockholders.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termination of the Merger Agreement could negatively impact the Company.</w:t>
      </w:r>
    </w:p>
    <w:p>
      <w:pPr>
        <w:spacing w:after="0" w:line="1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3"/>
          <w:szCs w:val="13"/>
          <w:color w:val="auto"/>
        </w:rPr>
        <w:t>If the Merger Agreement is terminated, there may be various consequences, including:</w:t>
      </w:r>
    </w:p>
    <w:p>
      <w:pPr>
        <w:spacing w:after="0" w:line="103" w:lineRule="exact"/>
        <w:rPr>
          <w:sz w:val="20"/>
          <w:szCs w:val="20"/>
          <w:color w:val="auto"/>
        </w:rPr>
      </w:pPr>
    </w:p>
    <w:p>
      <w:pPr>
        <w:ind w:left="360" w:right="60"/>
        <w:spacing w:after="0" w:line="286" w:lineRule="auto"/>
        <w:rPr>
          <w:sz w:val="20"/>
          <w:szCs w:val="20"/>
          <w:color w:val="auto"/>
        </w:rPr>
      </w:pPr>
      <w:r>
        <w:rPr>
          <w:rFonts w:ascii="Times New Roman" w:cs="Times New Roman" w:eastAsia="Times New Roman" w:hAnsi="Times New Roman"/>
          <w:sz w:val="13"/>
          <w:szCs w:val="13"/>
          <w:color w:val="auto"/>
        </w:rPr>
        <w:t>•the business of the Company may have been adversely impacted by the failure to pursue other beneficial opportunities due to the focus of management on the Mergers, without realizing any of the anticipated benefits of completing the Mergers; and</w:t>
      </w:r>
    </w:p>
    <w:p>
      <w:pPr>
        <w:spacing w:after="0" w:line="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•LRFC and the Company would not realize the anticipated benefits of the Mergers.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Merger Agreement limits the ability of the Company to pursue alternatives to the Mergers.</w:t>
      </w:r>
    </w:p>
    <w:p>
      <w:pPr>
        <w:spacing w:after="0" w:line="131" w:lineRule="exact"/>
        <w:rPr>
          <w:sz w:val="20"/>
          <w:szCs w:val="20"/>
          <w:color w:val="auto"/>
        </w:rPr>
      </w:pPr>
    </w:p>
    <w:p>
      <w:pPr>
        <w:ind w:right="220" w:firstLine="696"/>
        <w:spacing w:after="0" w:line="286" w:lineRule="auto"/>
        <w:rPr>
          <w:sz w:val="20"/>
          <w:szCs w:val="20"/>
          <w:color w:val="auto"/>
        </w:rPr>
      </w:pPr>
      <w:r>
        <w:rPr>
          <w:rFonts w:ascii="Times New Roman" w:cs="Times New Roman" w:eastAsia="Times New Roman" w:hAnsi="Times New Roman"/>
          <w:sz w:val="13"/>
          <w:szCs w:val="13"/>
          <w:color w:val="auto"/>
        </w:rPr>
        <w:t>The Merger Agreement includes restrictions on the ability of the Company to solicit proposals for alternative transactions or engage in discussions regarding such proposals, subject to exceptions and termination provisions, which could have the effect of discouraging such proposals from being made or pursued.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Company will be subject to operational uncertainties and contractual restrictions while the Mergers are pending.</w:t>
      </w:r>
    </w:p>
    <w:p>
      <w:pPr>
        <w:spacing w:after="0" w:line="131" w:lineRule="exact"/>
        <w:rPr>
          <w:sz w:val="20"/>
          <w:szCs w:val="20"/>
          <w:color w:val="auto"/>
        </w:rPr>
      </w:pPr>
    </w:p>
    <w:p>
      <w:pPr>
        <w:ind w:right="180" w:firstLine="696"/>
        <w:spacing w:after="0" w:line="268" w:lineRule="auto"/>
        <w:rPr>
          <w:sz w:val="20"/>
          <w:szCs w:val="20"/>
          <w:color w:val="auto"/>
        </w:rPr>
      </w:pPr>
      <w:r>
        <w:rPr>
          <w:rFonts w:ascii="Times New Roman" w:cs="Times New Roman" w:eastAsia="Times New Roman" w:hAnsi="Times New Roman"/>
          <w:sz w:val="13"/>
          <w:szCs w:val="13"/>
          <w:color w:val="auto"/>
        </w:rPr>
        <w:t>Uncertainty about the effect of the Mergers may have an adverse effect the Company and, consequently, on the combined company following completion of the Mergers. These uncertainties may cause those that deal with the Company to seek to change their existing business relationships. In addition, the Merger Agreement restricts the Company from taking actions that might otherwise be considered to be in its best interest. These restrictions may prevent the Company from pursuing certain business operations that may arise prior to the completion of the Mergers.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If the Mergers do not close, the Company will not benefit from the expenses it has incurred in pursuit of the Mergers.</w:t>
      </w:r>
    </w:p>
    <w:p>
      <w:pPr>
        <w:spacing w:after="0" w:line="107" w:lineRule="exact"/>
        <w:rPr>
          <w:sz w:val="20"/>
          <w:szCs w:val="20"/>
          <w:color w:val="auto"/>
        </w:rPr>
      </w:pPr>
    </w:p>
    <w:p>
      <w:pPr>
        <w:ind w:right="60" w:firstLine="348"/>
        <w:spacing w:after="0" w:line="262" w:lineRule="auto"/>
        <w:rPr>
          <w:sz w:val="20"/>
          <w:szCs w:val="20"/>
          <w:color w:val="auto"/>
        </w:rPr>
      </w:pPr>
      <w:r>
        <w:rPr>
          <w:rFonts w:ascii="Times New Roman" w:cs="Times New Roman" w:eastAsia="Times New Roman" w:hAnsi="Times New Roman"/>
          <w:sz w:val="13"/>
          <w:szCs w:val="13"/>
          <w:color w:val="auto"/>
        </w:rPr>
        <w:t>If the Mergers are not completed, the Company will have incurred substantial expenses for which no ultimate benefit will have been received. The Company has incurred out-of -pocket expenses in connection with the Mergers for investment banking, legal and accounting fees and financial printing and other related charges, much of which will be incurred even if the Mergers are not completed. It is anticipated that the Company will bear expenses of approximately $2.1 million ($0.23 per share based on the Company’s Common Stock outstanding as of December 31, 2024) in connection with the Mergers, both if consummated and not consummated.</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Litigation filed against LRFC or the Company in connection with the Mergers could result in substantial costs and could delay or prevent the Mergers from being completed.</w:t>
      </w:r>
    </w:p>
    <w:p>
      <w:pPr>
        <w:spacing w:after="0" w:line="131" w:lineRule="exact"/>
        <w:rPr>
          <w:sz w:val="20"/>
          <w:szCs w:val="20"/>
          <w:color w:val="auto"/>
        </w:rPr>
      </w:pPr>
    </w:p>
    <w:p>
      <w:pPr>
        <w:ind w:right="80" w:firstLine="696"/>
        <w:spacing w:after="0" w:line="262" w:lineRule="auto"/>
        <w:rPr>
          <w:sz w:val="20"/>
          <w:szCs w:val="20"/>
          <w:color w:val="auto"/>
        </w:rPr>
      </w:pPr>
      <w:r>
        <w:rPr>
          <w:rFonts w:ascii="Times New Roman" w:cs="Times New Roman" w:eastAsia="Times New Roman" w:hAnsi="Times New Roman"/>
          <w:sz w:val="13"/>
          <w:szCs w:val="13"/>
          <w:color w:val="auto"/>
        </w:rPr>
        <w:t>From time to time, LRFC and the Company may be subject to legal actions, including securities class action lawsuits and derivative lawsuits, as well as various regulatory, governmental and law enforcement inquiries, investigations and subpoenas in connection with the Mergers. These or any similar securities class action lawsuits and derivative lawsuits, regardless of their merits, may result in substantial costs and divert management time and resources. An adverse judgment in such cases could have a negative impact on the liquidity and financial condition of LRFC, the Company or the combined company following the Mergers or could prevent the Mergers from being completed.</w:t>
      </w:r>
    </w:p>
    <w:p>
      <w:pPr>
        <w:spacing w:after="0" w:line="63"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The Mergers are subject to closing conditions, including stockholder approvals, that, if not satisfied or (to the extent legally allowed) waived, will result in the Mergers not being completed, which may result in material adverse consequences to the business and operations of the Company.</w:t>
      </w:r>
    </w:p>
    <w:p>
      <w:pPr>
        <w:spacing w:after="0" w:line="48" w:lineRule="exact"/>
        <w:rPr>
          <w:sz w:val="20"/>
          <w:szCs w:val="20"/>
          <w:color w:val="auto"/>
        </w:rPr>
      </w:pPr>
    </w:p>
    <w:p>
      <w:pPr>
        <w:ind w:right="140" w:firstLine="348"/>
        <w:spacing w:after="0" w:line="268" w:lineRule="auto"/>
        <w:rPr>
          <w:sz w:val="20"/>
          <w:szCs w:val="20"/>
          <w:color w:val="auto"/>
        </w:rPr>
      </w:pPr>
      <w:r>
        <w:rPr>
          <w:rFonts w:ascii="Times New Roman" w:cs="Times New Roman" w:eastAsia="Times New Roman" w:hAnsi="Times New Roman"/>
          <w:sz w:val="13"/>
          <w:szCs w:val="13"/>
          <w:color w:val="auto"/>
        </w:rPr>
        <w:t>The Mergers are subject to closing conditions, including certain approvals of LRFC stockholders and the Company’s stockholders that, if not satisfied, will prevent the Mergers from being completed. In addition to the required approvals of LRFC stockholders and the Company’s stockholders, the Mergers are subject to a number of other conditions beyond the control of LRFC and the Company that may prevent, delay or otherwise materially adversely affect completion of the Mergers. The Company cannot predict whether and when these other conditions will be satisfied.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Ineffective internal controls could impact our business and operating results.</w:t>
      </w:r>
    </w:p>
    <w:p>
      <w:pPr>
        <w:spacing w:after="0" w:line="107" w:lineRule="exact"/>
        <w:rPr>
          <w:sz w:val="20"/>
          <w:szCs w:val="20"/>
          <w:color w:val="auto"/>
        </w:rPr>
      </w:pPr>
    </w:p>
    <w:p>
      <w:pPr>
        <w:ind w:firstLine="348"/>
        <w:spacing w:after="0" w:line="268" w:lineRule="auto"/>
        <w:rPr>
          <w:sz w:val="20"/>
          <w:szCs w:val="20"/>
          <w:color w:val="auto"/>
        </w:rPr>
      </w:pPr>
      <w:r>
        <w:rPr>
          <w:rFonts w:ascii="Times New Roman" w:cs="Times New Roman" w:eastAsia="Times New Roman" w:hAnsi="Times New Roman"/>
          <w:sz w:val="13"/>
          <w:szCs w:val="13"/>
          <w:color w:val="auto"/>
        </w:rPr>
        <w:t>Our internal control over financial reporting may not prevent or detect misstatements because of its inherent limitations, including the possibility of human error, the circumvention or overriding of controls, or fraud. Even effective internal controls can provide only reasonable assurance with respect to the preparation and fair presentation of financial statements. If we fail to maintain the adequacy of our internal controls, including any failure to implement required new or improved controls,</w:t>
      </w:r>
    </w:p>
    <w:p>
      <w:pPr>
        <w:spacing w:after="0" w:line="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86" w:right="660" w:bottom="1440" w:gutter="0" w:footer="0" w:header="0"/>
        </w:sectPr>
      </w:pPr>
    </w:p>
    <w:bookmarkStart w:id="18" w:name="page19"/>
    <w:bookmarkEnd w:id="18"/>
    <w:p>
      <w:pPr>
        <w:ind w:right="220"/>
        <w:spacing w:after="0" w:line="286" w:lineRule="auto"/>
        <w:rPr>
          <w:sz w:val="20"/>
          <w:szCs w:val="20"/>
          <w:color w:val="auto"/>
        </w:rPr>
      </w:pPr>
      <w:r>
        <w:rPr>
          <w:rFonts w:ascii="Times New Roman" w:cs="Times New Roman" w:eastAsia="Times New Roman" w:hAnsi="Times New Roman"/>
          <w:sz w:val="13"/>
          <w:szCs w:val="13"/>
          <w:color w:val="auto"/>
        </w:rPr>
        <w:t>or if we experience difficulties in their implementation, our business and operating results could be harmed and we could fail to meet our financial reporting obligations. Such failure or difficulties could also cause investors and lenders to lose confidence in our reported financial information, which could negatively impact the trading price of our common stock.</w:t>
      </w:r>
    </w:p>
    <w:p>
      <w:pPr>
        <w:spacing w:after="0" w:line="48" w:lineRule="exact"/>
        <w:rPr>
          <w:sz w:val="20"/>
          <w:szCs w:val="20"/>
          <w:color w:val="auto"/>
        </w:rPr>
      </w:pPr>
    </w:p>
    <w:p>
      <w:pPr>
        <w:ind w:right="22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The Adviser and its affiliates, including our officers and some of our directors, face conflicts of interest caused by compensation arrangements with us and our affiliates, which could result in actions that are not in the best interests of our stockholders.</w:t>
      </w:r>
    </w:p>
    <w:p>
      <w:pPr>
        <w:spacing w:after="0" w:line="48" w:lineRule="exact"/>
        <w:rPr>
          <w:sz w:val="20"/>
          <w:szCs w:val="20"/>
          <w:color w:val="auto"/>
        </w:rPr>
      </w:pPr>
    </w:p>
    <w:p>
      <w:pPr>
        <w:ind w:right="20" w:firstLine="348"/>
        <w:spacing w:after="0" w:line="262" w:lineRule="auto"/>
        <w:rPr>
          <w:sz w:val="20"/>
          <w:szCs w:val="20"/>
          <w:color w:val="auto"/>
        </w:rPr>
      </w:pPr>
      <w:r>
        <w:rPr>
          <w:rFonts w:ascii="Times New Roman" w:cs="Times New Roman" w:eastAsia="Times New Roman" w:hAnsi="Times New Roman"/>
          <w:sz w:val="13"/>
          <w:szCs w:val="13"/>
          <w:color w:val="auto"/>
        </w:rPr>
        <w:t>The Adviser and its affiliates will receive substantial fees from us in return for their services, including certain incentive fees based on the performance of our investments. These fees could influence the advice provided to us. Generally, the more equity we sell in private offerings and the greater the risk assumed by us with respect to our investments, the greater the potential for growth in our assets and profits, and, correlatively, the fees payable by us to the Adviser. These compensation arrangements could affect the Adviser or its affiliates’ judgment with respect to private offerings of equity and investments made by us, which allows the Adviser to earn increased asset management fees.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be obligated to pay the Adviser incentive compensation even if it incurs a net loss due to a decline in the value of our portfolio.</w:t>
      </w:r>
    </w:p>
    <w:p>
      <w:pPr>
        <w:spacing w:after="0" w:line="107" w:lineRule="exact"/>
        <w:rPr>
          <w:sz w:val="20"/>
          <w:szCs w:val="20"/>
          <w:color w:val="auto"/>
        </w:rPr>
      </w:pPr>
    </w:p>
    <w:p>
      <w:pPr>
        <w:ind w:right="400" w:firstLine="348"/>
        <w:spacing w:after="0" w:line="286" w:lineRule="auto"/>
        <w:rPr>
          <w:sz w:val="20"/>
          <w:szCs w:val="20"/>
          <w:color w:val="auto"/>
        </w:rPr>
      </w:pPr>
      <w:r>
        <w:rPr>
          <w:rFonts w:ascii="Times New Roman" w:cs="Times New Roman" w:eastAsia="Times New Roman" w:hAnsi="Times New Roman"/>
          <w:sz w:val="13"/>
          <w:szCs w:val="13"/>
          <w:color w:val="auto"/>
        </w:rPr>
        <w:t>Our Advisory Agreement entitles the Adviser to receive incentive compensation on income regardless of any capital losses. In such case, we may be required to pay the Adviser incentive compensation for a fiscal quarter even if there is a decline in the value of our portfolio or if we incur a net loss for that quarter.</w:t>
      </w:r>
    </w:p>
    <w:p>
      <w:pPr>
        <w:spacing w:after="0" w:line="52" w:lineRule="exact"/>
        <w:rPr>
          <w:sz w:val="20"/>
          <w:szCs w:val="20"/>
          <w:color w:val="auto"/>
        </w:rPr>
      </w:pPr>
    </w:p>
    <w:p>
      <w:pPr>
        <w:ind w:right="80" w:firstLine="348"/>
        <w:spacing w:after="0" w:line="257" w:lineRule="auto"/>
        <w:rPr>
          <w:sz w:val="20"/>
          <w:szCs w:val="20"/>
          <w:color w:val="auto"/>
        </w:rPr>
      </w:pPr>
      <w:r>
        <w:rPr>
          <w:rFonts w:ascii="Times New Roman" w:cs="Times New Roman" w:eastAsia="Times New Roman" w:hAnsi="Times New Roman"/>
          <w:sz w:val="13"/>
          <w:szCs w:val="13"/>
          <w:color w:val="auto"/>
        </w:rPr>
        <w:t>Any incentive fee payable by us that relates to our net investment income may be computed and paid on income that may include interest that has been accrued, but not yet received, including original issue discount, which may arise if we receive fees in connection with the origination of a loan or possibly in other circumstances, or contractual PIK interest, which represents contractual interest added to the loan balance and due at the end of the loan term. To the extent we do not distribute accrued PIK interest, the deferral of PIK interest has the simultaneous effects of increasing the assets under management and increasing the base management fee at a compounding rate, while generating investment income and increasing the incentive fee at a compounding rate. In addition, the deferral of PIK interest would also increase the loan-to-value ratio at a compounding rate if the issuer’s assets do not increase in value, and investments with a deferred interest feature, such as PIK interest, may represent a higher credit risk than loans on which interest must be paid in full in cash on a regular basis.</w:t>
      </w:r>
    </w:p>
    <w:p>
      <w:pPr>
        <w:spacing w:after="0" w:line="72" w:lineRule="exact"/>
        <w:rPr>
          <w:sz w:val="20"/>
          <w:szCs w:val="20"/>
          <w:color w:val="auto"/>
        </w:rPr>
      </w:pPr>
    </w:p>
    <w:p>
      <w:pPr>
        <w:jc w:val="both"/>
        <w:ind w:right="60" w:firstLine="348"/>
        <w:spacing w:after="0" w:line="268" w:lineRule="auto"/>
        <w:rPr>
          <w:sz w:val="20"/>
          <w:szCs w:val="20"/>
          <w:color w:val="auto"/>
        </w:rPr>
      </w:pPr>
      <w:r>
        <w:rPr>
          <w:rFonts w:ascii="Times New Roman" w:cs="Times New Roman" w:eastAsia="Times New Roman" w:hAnsi="Times New Roman"/>
          <w:sz w:val="13"/>
          <w:szCs w:val="13"/>
          <w:color w:val="auto"/>
        </w:rPr>
        <w:t>For example, if a portfolio company defaults on a loan that is structured to provide accrued interest, it is possible that accrued interest previously included in the calculation of the incentive fee will become uncollectible. The Adviser is not under any obligation to reimburse us for any part of the incentive fee it received that was based on accrued income that we never received as a result of a default by an entity on the obligation that resulted in the accrual of such income, and such circumstances would result in us paying an incentive fee on income that we never received.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There may be conflicts of interest related to obligations that the Adviser’s senior management and investment team has to other clients.</w:t>
      </w:r>
    </w:p>
    <w:p>
      <w:pPr>
        <w:spacing w:after="0" w:line="107"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3"/>
          <w:szCs w:val="13"/>
          <w:color w:val="auto"/>
        </w:rPr>
        <w:t>The members of the senior management and investment team of the Adviser serve or may serve as officers, directors or principals of entities that operate in the same or a related line of business as us, or of investment funds managed by the same personnel. In serving in these multiple capacities, they may have obligations to other clients or investors in those entities, the fulfillment of which may not be in our best interests or in the best interest of our stockholders. Our investment objective may overlap with the investment objectives of such investment funds, accounts or other investment vehicles. In particular, we rely on the Adviser to manage our day-to-day activities and to implement our investment strategy. The Adviser and certain of its affiliates are presently, and plan in the future to continue to be, involved with activities that are unrelated to us. As a result of these activities, the Adviser, its officers and employees and certain of its affiliates will have conflicts of interest in allocating their time between us and other activities in which they are or may become involved, including the management of its affiliated funds. The Adviser and its officers and employees will devote only as much of its or their time to our business as the Adviser and its officers and employees, in their judgment, determine is reasonably required, which may be substantially less than their full time.</w:t>
      </w:r>
    </w:p>
    <w:p>
      <w:pPr>
        <w:spacing w:after="0" w:line="233" w:lineRule="exact"/>
        <w:rPr>
          <w:sz w:val="20"/>
          <w:szCs w:val="20"/>
          <w:color w:val="auto"/>
        </w:rPr>
      </w:pPr>
    </w:p>
    <w:p>
      <w:pPr>
        <w:ind w:right="160" w:firstLine="348"/>
        <w:spacing w:after="0" w:line="259" w:lineRule="auto"/>
        <w:rPr>
          <w:sz w:val="20"/>
          <w:szCs w:val="20"/>
          <w:color w:val="auto"/>
        </w:rPr>
      </w:pPr>
      <w:r>
        <w:rPr>
          <w:rFonts w:ascii="Times New Roman" w:cs="Times New Roman" w:eastAsia="Times New Roman" w:hAnsi="Times New Roman"/>
          <w:sz w:val="13"/>
          <w:szCs w:val="13"/>
          <w:color w:val="auto"/>
        </w:rPr>
        <w:t>We rely, in part, on the Adviser to assist with identifying and executing upon investment opportunities and on our Board to review and approve the terms of our participation in co-investment transactions with the Adviser and its affiliates. The Adviser and its affiliates are not restricted from forming additional investment funds, entering into other investment advisory relationships or engaging in other business activities. These activities could be viewed as creating a conflict of interest in that the time and effort of the members of the Adviser, its affiliates and their officers and employees will not be devoted exclusively to our business, but will be allocated between us and such other business activities of the Adviser and its affiliates in a manner that the Adviser deems necessary and appropriate.</w:t>
      </w:r>
    </w:p>
    <w:p>
      <w:pPr>
        <w:spacing w:after="0" w:line="70" w:lineRule="exact"/>
        <w:rPr>
          <w:sz w:val="20"/>
          <w:szCs w:val="20"/>
          <w:color w:val="auto"/>
        </w:rPr>
      </w:pPr>
    </w:p>
    <w:p>
      <w:pPr>
        <w:ind w:right="80" w:firstLine="348"/>
        <w:spacing w:after="0" w:line="259" w:lineRule="auto"/>
        <w:rPr>
          <w:sz w:val="20"/>
          <w:szCs w:val="20"/>
          <w:color w:val="auto"/>
        </w:rPr>
      </w:pPr>
      <w:r>
        <w:rPr>
          <w:rFonts w:ascii="Times New Roman" w:cs="Times New Roman" w:eastAsia="Times New Roman" w:hAnsi="Times New Roman"/>
          <w:sz w:val="13"/>
          <w:szCs w:val="13"/>
          <w:color w:val="auto"/>
        </w:rPr>
        <w:t>An affiliate of the Adviser manages BC Partners Lending Corporation and Logan Ridge Finance Corporation, each of which is a BDC that invests primarily in debt and equity of privately-held middle-market companies, similar to our targets for investment. Therefore, there may be certain investment opportunities that satisfy the investment criteria for those BDCs and us. Each of BC Partners Lending Corporation and Logan Ridge Finance Corporation operates as a distinct and separate company and any investment in our common stock will not be an investment in either of those BDCs. In addition, certain of our executive officers serve in substantially similar capacities for BC Partners Lending Corporation and Logan Ridge Finance Corporation and four of our independent directors serve as independent directors of those BDCs.</w:t>
      </w:r>
    </w:p>
    <w:p>
      <w:pPr>
        <w:spacing w:after="0" w:line="66" w:lineRule="exact"/>
        <w:rPr>
          <w:sz w:val="20"/>
          <w:szCs w:val="20"/>
          <w:color w:val="auto"/>
        </w:rPr>
      </w:pPr>
    </w:p>
    <w:p>
      <w:pPr>
        <w:ind w:right="10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The time and resources that individuals employed by the Adviser devote to us may be diverted and we may face additional competition due to the fact that individuals employed by the Adviser are not prohibited from raising money for or managing other entities that make the same types of investments that we target.</w:t>
      </w:r>
    </w:p>
    <w:p>
      <w:pPr>
        <w:spacing w:after="0" w:line="48" w:lineRule="exact"/>
        <w:rPr>
          <w:sz w:val="20"/>
          <w:szCs w:val="20"/>
          <w:color w:val="auto"/>
        </w:rPr>
      </w:pPr>
    </w:p>
    <w:p>
      <w:pPr>
        <w:ind w:firstLine="348"/>
        <w:spacing w:after="0" w:line="257" w:lineRule="auto"/>
        <w:rPr>
          <w:sz w:val="20"/>
          <w:szCs w:val="20"/>
          <w:color w:val="auto"/>
        </w:rPr>
      </w:pPr>
      <w:r>
        <w:rPr>
          <w:rFonts w:ascii="Times New Roman" w:cs="Times New Roman" w:eastAsia="Times New Roman" w:hAnsi="Times New Roman"/>
          <w:sz w:val="13"/>
          <w:szCs w:val="13"/>
          <w:color w:val="auto"/>
        </w:rPr>
        <w:t>Neither the Adviser nor individuals employed by the Adviser are generally prohibited from raising capital for and managing other investment entities that make the same types of investments that we target. As a result, the time and resources that these individuals may devote to us may be diverted. In addition, we may compete with any such investment entity for the same investors and investment opportunities. We have received exemptive relief that allows BDCs managed by the Adviser, including us, to co-invest, subject to the satisfaction of certain conditions, in certain private placement transactions, with other funds managed by the Adviser or its affiliates, including BC Partners Lending Corporation, Logan Ridge Finance Corporation, BCP Special Opportunities Fund I LP and BCP Special Opportunities Fund II LP and any future funds that are advised by the Adviser or its affiliated investment advisers. Affiliates of the Adviser, whose primary business includes the origination of investments, engage in investment advisory business with accounts that compete with us.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base management and incentive fees may induce the Adviser to make speculative investments or to incur leverage.</w:t>
      </w:r>
    </w:p>
    <w:p>
      <w:pPr>
        <w:spacing w:after="0" w:line="107"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3"/>
          <w:szCs w:val="13"/>
          <w:color w:val="auto"/>
        </w:rPr>
        <w:t>The incentive fee payable by us to the Adviser may create an incentive for the Adviser to make investments on our behalf that are risky or more speculative than would be the case in the absence of such compensation arrangement. The way in which the incentive fee payable to the Adviser is determined may encourage the Adviser to use leverage to increase the leveraged return on our investment portfolio. The part of the management and incentive fees payable to the Adviser that relates to our net investment income is computed and paid on income that may include interest income that has been accrued but not yet received in cash, such as market discount, debt instruments with PIK interest, preferred stock with PIK dividends and zero coupon securities. This fee structure may be considered to involve a conflict of interest for the Adviser to the extent that it may encourage the Adviser to favor debt financings that provide for deferred interest, rather than current cash payments of interest.</w:t>
      </w:r>
    </w:p>
    <w:p>
      <w:pPr>
        <w:spacing w:after="0" w:line="229" w:lineRule="exact"/>
        <w:rPr>
          <w:sz w:val="20"/>
          <w:szCs w:val="20"/>
          <w:color w:val="auto"/>
        </w:rPr>
      </w:pPr>
    </w:p>
    <w:p>
      <w:pPr>
        <w:ind w:right="340" w:firstLine="348"/>
        <w:spacing w:after="0" w:line="286" w:lineRule="auto"/>
        <w:rPr>
          <w:sz w:val="20"/>
          <w:szCs w:val="20"/>
          <w:color w:val="auto"/>
        </w:rPr>
      </w:pPr>
      <w:r>
        <w:rPr>
          <w:rFonts w:ascii="Times New Roman" w:cs="Times New Roman" w:eastAsia="Times New Roman" w:hAnsi="Times New Roman"/>
          <w:sz w:val="13"/>
          <w:szCs w:val="13"/>
          <w:color w:val="auto"/>
        </w:rPr>
        <w:t>In addition, the fact that our base management fee is payable based upon our gross assets, which would include any borrowings for investment purposes, may encourage the Adviser to use leverage to make additional investments. Under certain circumstances, the use of leverage may increase the likelihood of defaulting on our</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86" w:right="660" w:bottom="1440" w:gutter="0" w:footer="0" w:header="0"/>
        </w:sectPr>
      </w:pPr>
    </w:p>
    <w:bookmarkStart w:id="19" w:name="page20"/>
    <w:bookmarkEnd w:id="19"/>
    <w:p>
      <w:pPr>
        <w:ind w:right="140"/>
        <w:spacing w:after="0" w:line="286" w:lineRule="auto"/>
        <w:rPr>
          <w:sz w:val="20"/>
          <w:szCs w:val="20"/>
          <w:color w:val="auto"/>
        </w:rPr>
      </w:pPr>
      <w:r>
        <w:rPr>
          <w:rFonts w:ascii="Times New Roman" w:cs="Times New Roman" w:eastAsia="Times New Roman" w:hAnsi="Times New Roman"/>
          <w:sz w:val="13"/>
          <w:szCs w:val="13"/>
          <w:color w:val="auto"/>
        </w:rPr>
        <w:t>borrowings, which would disfavor holders of our common stock. Such a practice could result in us investing in more speculative securities than would otherwise be in our best interests, which could result in higher investment losses, particularly during cyclical economic downturns.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Adviser relies on key personnel, the loss of any of whom could impair its ability to successfully manage us.</w:t>
      </w:r>
    </w:p>
    <w:p>
      <w:pPr>
        <w:spacing w:after="0" w:line="107" w:lineRule="exact"/>
        <w:rPr>
          <w:sz w:val="20"/>
          <w:szCs w:val="20"/>
          <w:color w:val="auto"/>
        </w:rPr>
      </w:pPr>
    </w:p>
    <w:p>
      <w:pPr>
        <w:ind w:right="80" w:firstLine="348"/>
        <w:spacing w:after="0" w:line="259" w:lineRule="auto"/>
        <w:rPr>
          <w:sz w:val="20"/>
          <w:szCs w:val="20"/>
          <w:color w:val="auto"/>
        </w:rPr>
      </w:pPr>
      <w:r>
        <w:rPr>
          <w:rFonts w:ascii="Times New Roman" w:cs="Times New Roman" w:eastAsia="Times New Roman" w:hAnsi="Times New Roman"/>
          <w:sz w:val="13"/>
          <w:szCs w:val="13"/>
          <w:color w:val="auto"/>
        </w:rPr>
        <w:t>Our future success depends, to a significant extent, on the continued services of the officers and employees of the Adviser or its affiliates. Our Adviser’s capabilities in structuring the investment process, providing competent, attentive and efficient services to us, and facilitating access to financing on acceptable terms depend on the employment of investment professionals in adequate number and of adequate sophistication to match the corresponding flow of transactions. The departure of key personnel or of a significant number of the investment professionals or partners of our Adviser could have a material adverse effect on our ability to achieve our investment objective. Our Adviser may need to hire, train, supervise and manage new investment professionals to participate in our investment selection and monitoring process and may not be able to find investment professionals in a timely manner or at all.</w:t>
      </w:r>
    </w:p>
    <w:p>
      <w:pPr>
        <w:spacing w:after="0" w:line="66" w:lineRule="exact"/>
        <w:rPr>
          <w:sz w:val="20"/>
          <w:szCs w:val="20"/>
          <w:color w:val="auto"/>
        </w:rPr>
      </w:pPr>
    </w:p>
    <w:p>
      <w:pPr>
        <w:ind w:right="32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The Adviser may retain additional consultants, advisors and/or operating partners to provide services to us, and such additional personnel will perform similar functions and duties for other organizations which may give rise to conflicts of interest.</w:t>
      </w:r>
    </w:p>
    <w:p>
      <w:pPr>
        <w:spacing w:after="0" w:line="48" w:lineRule="exact"/>
        <w:rPr>
          <w:sz w:val="20"/>
          <w:szCs w:val="20"/>
          <w:color w:val="auto"/>
        </w:rPr>
      </w:pPr>
    </w:p>
    <w:p>
      <w:pPr>
        <w:ind w:right="60" w:firstLine="348"/>
        <w:spacing w:after="0" w:line="255" w:lineRule="auto"/>
        <w:rPr>
          <w:sz w:val="20"/>
          <w:szCs w:val="20"/>
          <w:color w:val="auto"/>
        </w:rPr>
      </w:pPr>
      <w:r>
        <w:rPr>
          <w:rFonts w:ascii="Times New Roman" w:cs="Times New Roman" w:eastAsia="Times New Roman" w:hAnsi="Times New Roman"/>
          <w:sz w:val="13"/>
          <w:szCs w:val="13"/>
          <w:color w:val="auto"/>
        </w:rPr>
        <w:t>BC Partners may work with or alongside one or more consultants, advisors (including senior advisors and executive officers) and/or operating partners who are retained by BC Partners on a consultancy or retainer or other basis, to provide services to us and other entities sponsored by BC Partners including the sourcing of investments and other investment-related and support services. The functions undertaken by such persons with respect to us and any of our investments will not be exclusive and such persons may perform similar functions and duties for other organizations which may give rise to conflicts of interest. Such persons may also be appointed to the board of directors of companies and have other business interests which give rise to conflicts of interest with the interests of us or a portfolio entity of us. Stockholders should note that such persons may retain compensation that will not offset the base management fee payable to the Adviser, including that: (i) such persons are permitted to retain all directors’ fees, monitoring fees and other compensation received by them in respect of acting as a director or officer of, or providing other services to, a portfolio entity and such amounts shall not be credited against the base management fee; and (ii) certain of such persons may be paid a deal fee, a consultancy fee or other compensation where they are involved in a specific project relating to us, which fee will be paid either by us or, if applicable, the relevant portfolio entity.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Adviser’s influence on conducting our operations gives it the ability to increase its fees, which may reduce the amount of cash flow available for distribution to our stockholders.</w:t>
      </w:r>
    </w:p>
    <w:p>
      <w:pPr>
        <w:spacing w:after="0" w:line="107" w:lineRule="exact"/>
        <w:rPr>
          <w:sz w:val="20"/>
          <w:szCs w:val="20"/>
          <w:color w:val="auto"/>
        </w:rPr>
      </w:pPr>
    </w:p>
    <w:p>
      <w:pPr>
        <w:jc w:val="both"/>
        <w:ind w:right="140" w:firstLine="348"/>
        <w:spacing w:after="0" w:line="268" w:lineRule="auto"/>
        <w:rPr>
          <w:sz w:val="20"/>
          <w:szCs w:val="20"/>
          <w:color w:val="auto"/>
        </w:rPr>
      </w:pPr>
      <w:r>
        <w:rPr>
          <w:rFonts w:ascii="Times New Roman" w:cs="Times New Roman" w:eastAsia="Times New Roman" w:hAnsi="Times New Roman"/>
          <w:sz w:val="13"/>
          <w:szCs w:val="13"/>
          <w:color w:val="auto"/>
        </w:rPr>
        <w:t>The Adviser is paid a base management fee calculated as a percentage of our gross assets and unrelated to net income or any other performance base or measure. The Adviser may advise us to consummate transactions or conduct its operations in a manner that, in the Adviser’s reasonable discretion, is in the best interests of our stockholders. These transactions, however, may increase the amount of fees paid to the Adviser. The Adviser’s ability to influence the base management fee paid to it by us could reduce the amount of cash flow available for distribution to our stockholders.</w:t>
      </w:r>
    </w:p>
    <w:p>
      <w:pPr>
        <w:spacing w:after="0" w:line="59" w:lineRule="exact"/>
        <w:rPr>
          <w:sz w:val="20"/>
          <w:szCs w:val="20"/>
          <w:color w:val="auto"/>
        </w:rPr>
      </w:pPr>
    </w:p>
    <w:p>
      <w:pPr>
        <w:jc w:val="both"/>
        <w:ind w:right="12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The Adviser’s liability is limited under the Advisory Agreement, and we are required to indemnify the Adviser against certain liabilities, which may lead the Adviser to act in a riskier manner on our behalf than it would when acting for its own account.</w:t>
      </w:r>
    </w:p>
    <w:p>
      <w:pPr>
        <w:spacing w:after="0" w:line="48" w:lineRule="exact"/>
        <w:rPr>
          <w:sz w:val="20"/>
          <w:szCs w:val="20"/>
          <w:color w:val="auto"/>
        </w:rPr>
      </w:pPr>
    </w:p>
    <w:p>
      <w:pPr>
        <w:ind w:right="60" w:firstLine="348"/>
        <w:spacing w:after="0" w:line="255" w:lineRule="auto"/>
        <w:rPr>
          <w:sz w:val="20"/>
          <w:szCs w:val="20"/>
          <w:color w:val="auto"/>
        </w:rPr>
      </w:pPr>
      <w:r>
        <w:rPr>
          <w:rFonts w:ascii="Times New Roman" w:cs="Times New Roman" w:eastAsia="Times New Roman" w:hAnsi="Times New Roman"/>
          <w:sz w:val="13"/>
          <w:szCs w:val="13"/>
          <w:color w:val="auto"/>
        </w:rPr>
        <w:t>Under the Advisory Agreement, the Adviser will not assume any responsibility to us other than to render the services described in the Advisory Agreement, and it is not be responsible for any action of our Board in declining to follow the Adviser’s advice or recommendations. Pursuant to the Advisory Agreement, the Adviser and its officers, managers, partners, agents, employees, controlling persons, members and any other person or entity affiliated with the Adviser are not be liable to us for their acts under the Advisory Agreement, absent criminal conduct, willful misfeasance, bad faith or gross negligence in the performance of their duties or by reason of the reckless disregard of their duties and obligations. We have agreed to indemnify, defend and protect the Adviser and its officers, managers, partners, agents, employees, controlling persons, members and any other person or entity affiliated with the Adviser with respect to all damages, liabilities, costs and expenses arising out of or otherwise based upon the performance of any of the Adviser’s duties or obligations under the Advisory Agreement or otherwise as the Adviser for us, and not arising out of criminal conduct, willful misfeasance, bad faith or gross negligence in the performance of their duties or by reason of the reckless disregard of their duties and obligations under the Advisory Agreement. These protections may lead the Adviser to act in a riskier manner when acting on our behalf than it would when acting for its own account.</w:t>
      </w:r>
    </w:p>
    <w:p>
      <w:pPr>
        <w:spacing w:after="0" w:line="70" w:lineRule="exact"/>
        <w:rPr>
          <w:sz w:val="20"/>
          <w:szCs w:val="20"/>
          <w:color w:val="auto"/>
        </w:rPr>
      </w:pPr>
    </w:p>
    <w:p>
      <w:pPr>
        <w:ind w:right="12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The Adviser is able to resign upon 60 days’ written notice, and we may not be able to find a suitable replacement within that time, resulting in a disruption in our operations that could adversely affect our financial condition, business and results of operations.</w:t>
      </w:r>
    </w:p>
    <w:p>
      <w:pPr>
        <w:spacing w:after="0" w:line="48" w:lineRule="exact"/>
        <w:rPr>
          <w:sz w:val="20"/>
          <w:szCs w:val="20"/>
          <w:color w:val="auto"/>
        </w:rPr>
      </w:pPr>
    </w:p>
    <w:p>
      <w:pPr>
        <w:ind w:right="40" w:firstLine="348"/>
        <w:spacing w:after="0" w:line="256" w:lineRule="auto"/>
        <w:rPr>
          <w:sz w:val="20"/>
          <w:szCs w:val="20"/>
          <w:color w:val="auto"/>
        </w:rPr>
      </w:pPr>
      <w:r>
        <w:rPr>
          <w:rFonts w:ascii="Times New Roman" w:cs="Times New Roman" w:eastAsia="Times New Roman" w:hAnsi="Times New Roman"/>
          <w:sz w:val="13"/>
          <w:szCs w:val="13"/>
          <w:color w:val="auto"/>
        </w:rPr>
        <w:t>We are an externally managed BDC pursuant to the Advisory Agreement. Pursuant to the Advisory Agreement, the Adviser has the right to resign upon 60 days’ written notice, whether a replacement has been found or not. If the Adviser resigns, it may be difficult to find a replacement with similar expertise and ability to provide the same or equivalent services on acceptable terms within 60 days, or at all. If a replacement is not found quickly, our business, results of operations and financial condition as well as our ability to pay distributions are likely to be adversely affected and the value of our shares may decline. In addition, the coordination of our internal management and investment activities is likely to suffer if we are unable to identify and reach an agreement with a single institution or group of executives having the expertise possessed by the Adviser. Even if a comparable service provider or individuals performing such services are retained, whether internal or external, their integration into our business and lack of familiarity with our investment objective may result in additional costs and time delays that may materially adversely affect our business, results of operations and financial condition.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operate in a highly competitive market for investment opportunities.</w:t>
      </w:r>
    </w:p>
    <w:p>
      <w:pPr>
        <w:spacing w:after="0" w:line="107" w:lineRule="exact"/>
        <w:rPr>
          <w:sz w:val="20"/>
          <w:szCs w:val="20"/>
          <w:color w:val="auto"/>
        </w:rPr>
      </w:pPr>
    </w:p>
    <w:p>
      <w:pPr>
        <w:ind w:right="60" w:firstLine="348"/>
        <w:spacing w:after="0" w:line="254" w:lineRule="auto"/>
        <w:rPr>
          <w:sz w:val="20"/>
          <w:szCs w:val="20"/>
          <w:color w:val="auto"/>
        </w:rPr>
      </w:pPr>
      <w:r>
        <w:rPr>
          <w:rFonts w:ascii="Times New Roman" w:cs="Times New Roman" w:eastAsia="Times New Roman" w:hAnsi="Times New Roman"/>
          <w:sz w:val="13"/>
          <w:szCs w:val="13"/>
          <w:color w:val="auto"/>
        </w:rPr>
        <w:t>A large number of entities compete with us to make the types of investments that we make. We compete with other BDCs, as well as a number of investment funds, investment banks and other sources of financing, including traditional financial services companies, such as commercial banks and finance companies. Many of our competitors are substantially larger and have considerably greater financial, marketing and other resources than we do. For example, some competitors may have a lower cost of funds and access to funding sources that are not available to us. This may enable some of our competitors to make commercial loans with interest rates that are lower than the rates we typically offer. We may lose prospective portfolio investments if we do not match our competitors’ pricing, terms and structure. If we do match our competitors’ pricing, terms or structure, we may experience decreased net interest income. In addition, some of our competitors may have higher risk tolerances or different risk assessments, which could allow them to consider a wider variety of investments, establish more relationships and build their market shares. Furthermore, many of our potential competitors are not subject to the regulatory restrictions that the 1940 Act imposes on us as a BDC. As a result of this competition, there can be no assurance that we will be able to identify and take advantage of attractive investment opportunities or that we will be able to fully invest our available capital. If we are not able to compete effectively, our business and financial condition and results of operations will be adversely affected.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If the Adviser is unable to source investments effectively, we may be unable to achieve our investment objectives and provide returns to stockholders.</w:t>
      </w:r>
    </w:p>
    <w:p>
      <w:pPr>
        <w:spacing w:after="0" w:line="107" w:lineRule="exact"/>
        <w:rPr>
          <w:sz w:val="20"/>
          <w:szCs w:val="20"/>
          <w:color w:val="auto"/>
        </w:rPr>
      </w:pPr>
    </w:p>
    <w:p>
      <w:pPr>
        <w:ind w:firstLine="348"/>
        <w:spacing w:after="0" w:line="268" w:lineRule="auto"/>
        <w:rPr>
          <w:sz w:val="20"/>
          <w:szCs w:val="20"/>
          <w:color w:val="auto"/>
        </w:rPr>
      </w:pPr>
      <w:r>
        <w:rPr>
          <w:rFonts w:ascii="Times New Roman" w:cs="Times New Roman" w:eastAsia="Times New Roman" w:hAnsi="Times New Roman"/>
          <w:sz w:val="13"/>
          <w:szCs w:val="13"/>
          <w:color w:val="auto"/>
        </w:rPr>
        <w:t>Our ability to achieve our investment objective depends on the Adviser’s ability to identify, evaluate and invest in suitable companies that meet our investment criteria. Accomplishing this result on a cost-effective basis is largely a function of the Adviser’s marketing capabilities, its management of the investment process, its ability to provide efficient services and its access to financing sources on acceptable terms. Failure to source investments effectively could have a material adverse effect on our business, financial condition and results of operations.</w:t>
      </w:r>
    </w:p>
    <w:p>
      <w:pPr>
        <w:spacing w:after="0" w:line="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86" w:right="66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3"/>
          <w:szCs w:val="13"/>
          <w:b w:val="1"/>
          <w:bCs w:val="1"/>
          <w:i w:val="1"/>
          <w:iCs w:val="1"/>
          <w:color w:val="auto"/>
        </w:rPr>
        <w:t>We may have difficulty paying distributions required to maintain our RIC status if we recognize income before or without receiving cash equal to such income.</w:t>
      </w:r>
    </w:p>
    <w:p>
      <w:pPr>
        <w:spacing w:after="0" w:line="107" w:lineRule="exact"/>
        <w:rPr>
          <w:sz w:val="20"/>
          <w:szCs w:val="20"/>
          <w:color w:val="auto"/>
        </w:rPr>
      </w:pPr>
    </w:p>
    <w:p>
      <w:pPr>
        <w:ind w:right="120" w:firstLine="348"/>
        <w:spacing w:after="0" w:line="255" w:lineRule="auto"/>
        <w:rPr>
          <w:sz w:val="20"/>
          <w:szCs w:val="20"/>
          <w:color w:val="auto"/>
        </w:rPr>
      </w:pPr>
      <w:r>
        <w:rPr>
          <w:rFonts w:ascii="Times New Roman" w:cs="Times New Roman" w:eastAsia="Times New Roman" w:hAnsi="Times New Roman"/>
          <w:sz w:val="13"/>
          <w:szCs w:val="13"/>
          <w:color w:val="auto"/>
        </w:rPr>
        <w:t>In accordance with the Code, we include in income certain amounts that we have not yet received in cash, such as non-cash PIK interest, which represents contractual interest added to the loan balance and due at the end of the loan term. The increases in loan balances as a result of contracted non- cash PIK arrangements are included in income for the period in which such non -cash PIK interest was received, which is often in advance of receiving cash payment, and are separately identified on our statements of cash flows. We also may be required to include in income certain other amounts that we will not receive in cash. Any warrants that we receive in connection with our debt investments generally are valued as part of the negotiation process with the particular portfolio company. As a result, a portion of the aggregate purchase price for the debt investments and warrants is allocated to the warrants that we receive. This generally results in the associated debt investment having “original issue discount” for tax purposes, which we must recognize as ordinary income as it accrues. This increases the amounts we are required to distribute to maintain our qualification for tax treatment as a RIC. Because such original issue discount income might exceed the amount of cash received in a given year with respect to such investment, we might need to obtain cash from other sources to satisfy such distribution requirements. Other features of the debt instruments that we hold may also cause such instruments to generate original issue discount.</w:t>
      </w:r>
    </w:p>
    <w:p>
      <w:pPr>
        <w:spacing w:after="0" w:line="74" w:lineRule="exact"/>
        <w:rPr>
          <w:sz w:val="20"/>
          <w:szCs w:val="20"/>
          <w:color w:val="auto"/>
        </w:rPr>
      </w:pPr>
    </w:p>
    <w:p>
      <w:pPr>
        <w:ind w:right="100" w:firstLine="348"/>
        <w:spacing w:after="0" w:line="262" w:lineRule="auto"/>
        <w:rPr>
          <w:sz w:val="20"/>
          <w:szCs w:val="20"/>
          <w:color w:val="auto"/>
        </w:rPr>
      </w:pPr>
      <w:r>
        <w:rPr>
          <w:rFonts w:ascii="Times New Roman" w:cs="Times New Roman" w:eastAsia="Times New Roman" w:hAnsi="Times New Roman"/>
          <w:sz w:val="13"/>
          <w:szCs w:val="13"/>
          <w:color w:val="auto"/>
        </w:rPr>
        <w:t>Since, in certain cases, we may recognize income before or without receiving cash representing such income, we may have difficulty meeting the annual distribution requirement necessary to maintain RIC tax treatment under the Code. Accordingly, we may have to sell some of our investments at times and/or at prices we would not consider advantageous, raise additional debt or equity capital or forgo new investment opportunities for this purpose. If we are not able to obtain cash from other sources, we may fail to qualify for RIC tax treatment and thus become subject to corporate-level U.S. federal income tax. For additional discussion regarding the tax implications of a RIC, see “Business — Taxation as a Regulated Investment Company.”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Any unrealized losses we experience on our loan portfolio may be an indication of future realized losses, which could reduce our resources available to make distributions.</w:t>
      </w:r>
    </w:p>
    <w:p>
      <w:pPr>
        <w:spacing w:after="0" w:line="107" w:lineRule="exact"/>
        <w:rPr>
          <w:sz w:val="20"/>
          <w:szCs w:val="20"/>
          <w:color w:val="auto"/>
        </w:rPr>
      </w:pPr>
    </w:p>
    <w:p>
      <w:pPr>
        <w:ind w:right="140" w:firstLine="348"/>
        <w:spacing w:after="0" w:line="262" w:lineRule="auto"/>
        <w:rPr>
          <w:sz w:val="20"/>
          <w:szCs w:val="20"/>
          <w:color w:val="auto"/>
        </w:rPr>
      </w:pPr>
      <w:r>
        <w:rPr>
          <w:rFonts w:ascii="Times New Roman" w:cs="Times New Roman" w:eastAsia="Times New Roman" w:hAnsi="Times New Roman"/>
          <w:sz w:val="13"/>
          <w:szCs w:val="13"/>
          <w:color w:val="auto"/>
        </w:rPr>
        <w:t>As a BDC, we are required to carry our investments at market value or, if no market value is ascertainable, at the fair value as determined in accordance with our valuation procedures adopted pursuant to Rule 2a-5 under the 1940 Act. Decreases in the market values or fair values of our investments will be recorded as unrealized losses. An unrealized loss in our loan portfolio could be an indication of a portfolio company’s inability to meet its repayment obligations with respect to the affected loans. This could result in realized losses in the future and ultimately in reductions of our resources available to pay dividends or interest and principal on our securities and could cause you to lose all or part of your investment.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experience fluctuations in our quarterly and annual operating results and credit spreads.</w:t>
      </w:r>
    </w:p>
    <w:p>
      <w:pPr>
        <w:spacing w:after="0" w:line="107" w:lineRule="exact"/>
        <w:rPr>
          <w:sz w:val="20"/>
          <w:szCs w:val="20"/>
          <w:color w:val="auto"/>
        </w:rPr>
      </w:pPr>
    </w:p>
    <w:p>
      <w:pPr>
        <w:ind w:firstLine="348"/>
        <w:spacing w:after="0" w:line="259" w:lineRule="auto"/>
        <w:rPr>
          <w:sz w:val="20"/>
          <w:szCs w:val="20"/>
          <w:color w:val="auto"/>
        </w:rPr>
      </w:pPr>
      <w:r>
        <w:rPr>
          <w:rFonts w:ascii="Times New Roman" w:cs="Times New Roman" w:eastAsia="Times New Roman" w:hAnsi="Times New Roman"/>
          <w:sz w:val="13"/>
          <w:szCs w:val="13"/>
          <w:color w:val="auto"/>
        </w:rPr>
        <w:t>We could experience fluctuations in our quarterly and annual operating results due to a number of factors, some of which are beyond our control, including our ability to make investments in companies that meet our investment criteria, the interest rate payable on the debt securities we acquire (which could stem from the general level of interest rates, credit spreads, or both), the default rate on such securities, prepayment upon the triggering of covenants in our middle market loans as well as our CLO Funds, our level of expenses, variations in and timing of the recognition of realized and unrealized gains or losses, the degree to which we encounter competition in our markets and general economic conditions. As a result of these factors, results for any period should not be relied upon as being indicative of performance in future periods.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are exposed to risks associated with changes in interest rates and spreads.</w:t>
      </w:r>
    </w:p>
    <w:p>
      <w:pPr>
        <w:spacing w:after="0" w:line="107" w:lineRule="exact"/>
        <w:rPr>
          <w:sz w:val="20"/>
          <w:szCs w:val="20"/>
          <w:color w:val="auto"/>
        </w:rPr>
      </w:pPr>
    </w:p>
    <w:p>
      <w:pPr>
        <w:ind w:right="100" w:firstLine="348"/>
        <w:spacing w:after="0" w:line="262" w:lineRule="auto"/>
        <w:rPr>
          <w:sz w:val="20"/>
          <w:szCs w:val="20"/>
          <w:color w:val="auto"/>
        </w:rPr>
      </w:pPr>
      <w:r>
        <w:rPr>
          <w:rFonts w:ascii="Times New Roman" w:cs="Times New Roman" w:eastAsia="Times New Roman" w:hAnsi="Times New Roman"/>
          <w:sz w:val="13"/>
          <w:szCs w:val="13"/>
          <w:color w:val="auto"/>
        </w:rPr>
        <w:t>Changes in interest rates may have a substantial negative impact on our investments, the value of our securities and our rate of return on invested capital. A reduction in the interest spreads on new investments could also have an adverse impact on our net interest income. An increase in interest rates could decrease the value of any investments we hold which earn fixed interest rates, including mezzanine securities and high-yield bonds, and also could increase our interest expense, thereby decreasing our net income. An increase in interest rates due to an increase in credit spreads, regardless of general interest rate fluctuations, could also negatively impact the value of any investments we hold in our portfolio.</w:t>
      </w:r>
    </w:p>
    <w:p>
      <w:pPr>
        <w:spacing w:after="0" w:line="67" w:lineRule="exact"/>
        <w:rPr>
          <w:sz w:val="20"/>
          <w:szCs w:val="20"/>
          <w:color w:val="auto"/>
        </w:rPr>
      </w:pPr>
    </w:p>
    <w:p>
      <w:pPr>
        <w:ind w:right="120" w:firstLine="348"/>
        <w:spacing w:after="0" w:line="262" w:lineRule="auto"/>
        <w:rPr>
          <w:sz w:val="20"/>
          <w:szCs w:val="20"/>
          <w:color w:val="auto"/>
        </w:rPr>
      </w:pPr>
      <w:r>
        <w:rPr>
          <w:rFonts w:ascii="Times New Roman" w:cs="Times New Roman" w:eastAsia="Times New Roman" w:hAnsi="Times New Roman"/>
          <w:sz w:val="13"/>
          <w:szCs w:val="13"/>
          <w:color w:val="auto"/>
        </w:rPr>
        <w:t>In addition, an increase in interest rates available to investors could make an investment in our securities less attractive than alternative investments, a situation which could reduce the value of our securities. Conversely, a decrease in interest rates may have an adverse impact on our returns by requiring us to seek lower yields on our debt investments and by increasing the risk that our portfolio companies will prepay our debt investments, resulting in the need to redeploy capital at potentially lower rates. A decrease in market interest rates may also adversely impact our returns on idle funds, which would reduce our net investment income.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from time to time expand our business through acquisitions, which could disrupt our business and harm our financial condition.</w:t>
      </w:r>
    </w:p>
    <w:p>
      <w:pPr>
        <w:spacing w:after="0" w:line="107" w:lineRule="exact"/>
        <w:rPr>
          <w:sz w:val="20"/>
          <w:szCs w:val="20"/>
          <w:color w:val="auto"/>
        </w:rPr>
      </w:pPr>
    </w:p>
    <w:p>
      <w:pPr>
        <w:ind w:right="120" w:firstLine="348"/>
        <w:spacing w:after="0" w:line="286" w:lineRule="auto"/>
        <w:rPr>
          <w:sz w:val="20"/>
          <w:szCs w:val="20"/>
          <w:color w:val="auto"/>
        </w:rPr>
      </w:pPr>
      <w:r>
        <w:rPr>
          <w:rFonts w:ascii="Times New Roman" w:cs="Times New Roman" w:eastAsia="Times New Roman" w:hAnsi="Times New Roman"/>
          <w:sz w:val="13"/>
          <w:szCs w:val="13"/>
          <w:color w:val="auto"/>
        </w:rPr>
        <w:t>We may pursue potential acquisitions of, and investments in, businesses complementary to our business and from time to time engage in discussions regarding such possible acquisitions. Such acquisition and any other acquisitions we may undertake involve a number of risks, including:</w:t>
      </w:r>
    </w:p>
    <w:p>
      <w:pPr>
        <w:spacing w:after="0" w:line="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•failure of the acquired businesses to achieve the results we expect;</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•substantial cash expenditures;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•diversion of capital and management attention from operational matters;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•our inability to retain key personnel of the acquired businesses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•incurrence of debt and contingent liabilities and risks associated with unanticipated events or liabilities; and</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•the potential disruption and strain on our existing business and resources that could result from our planned growth and continuing integration of our acquisitions.</w:t>
      </w:r>
    </w:p>
    <w:p>
      <w:pPr>
        <w:spacing w:after="0" w:line="103" w:lineRule="exact"/>
        <w:rPr>
          <w:sz w:val="20"/>
          <w:szCs w:val="20"/>
          <w:color w:val="auto"/>
        </w:rPr>
      </w:pPr>
    </w:p>
    <w:p>
      <w:pPr>
        <w:ind w:right="100" w:firstLine="348"/>
        <w:spacing w:after="0" w:line="265" w:lineRule="auto"/>
        <w:rPr>
          <w:sz w:val="20"/>
          <w:szCs w:val="20"/>
          <w:color w:val="auto"/>
        </w:rPr>
      </w:pPr>
      <w:r>
        <w:rPr>
          <w:rFonts w:ascii="Times New Roman" w:cs="Times New Roman" w:eastAsia="Times New Roman" w:hAnsi="Times New Roman"/>
          <w:sz w:val="13"/>
          <w:szCs w:val="13"/>
          <w:color w:val="auto"/>
        </w:rPr>
        <w:t>If we fail to properly evaluate acquisitions or investments, we may not achieve the anticipated benefits of such acquisitions, we may incur costs in excess of what we anticipate, and management resources and attention may be diverted from other necessary or valuable activities. Any acquisition may not result in short-term or long-term benefits to us. If we are unable to integrate or successfully manage any business that we acquire, we may not realize anticipated cost savings, improved efficiencies or revenue growth, which may result in reduced profitability or operating losses.</w:t>
      </w:r>
    </w:p>
    <w:p>
      <w:pPr>
        <w:spacing w:after="0" w:line="221" w:lineRule="exact"/>
        <w:rPr>
          <w:sz w:val="20"/>
          <w:szCs w:val="20"/>
          <w:color w:val="auto"/>
        </w:rPr>
      </w:pPr>
    </w:p>
    <w:p>
      <w:pPr>
        <w:ind w:right="28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We may invest through joint ventures, partnerships or other special purpose vehicles and our investments through these vehicles may entail greater risks, or risks that we otherwise would not incur, if we otherwise made such investments directly.</w:t>
      </w:r>
    </w:p>
    <w:p>
      <w:pPr>
        <w:spacing w:after="0" w:line="48" w:lineRule="exact"/>
        <w:rPr>
          <w:sz w:val="20"/>
          <w:szCs w:val="20"/>
          <w:color w:val="auto"/>
        </w:rPr>
      </w:pPr>
    </w:p>
    <w:p>
      <w:pPr>
        <w:ind w:right="120" w:firstLine="348"/>
        <w:spacing w:after="0" w:line="257" w:lineRule="auto"/>
        <w:rPr>
          <w:sz w:val="20"/>
          <w:szCs w:val="20"/>
          <w:color w:val="auto"/>
        </w:rPr>
      </w:pPr>
      <w:r>
        <w:rPr>
          <w:rFonts w:ascii="Times New Roman" w:cs="Times New Roman" w:eastAsia="Times New Roman" w:hAnsi="Times New Roman"/>
          <w:sz w:val="13"/>
          <w:szCs w:val="13"/>
          <w:color w:val="auto"/>
        </w:rPr>
        <w:t>We may make indirect investments in portfolio companies through joint ventures, partnerships or other special purpose vehicles (“Investment Vehicles”). In general, the risks associated with indirect investments in portfolio companies through a joint venture, partnership or other special purpose vehicle are similar to those associated with a direct investment in a portfolio company. While we intend to analyze the credit and business of a potential portfolio company in determining whether or not to make an investment in an Investment Vehicle, we will nonetheless be exposed to the creditworthiness of the Investment Vehicle. In the event of a bankruptcy proceeding against the portfolio company, the assets of the portfolio company may be used to satisfy its obligations prior to the satisfaction of our investment in the Investment Vehicle (i.e., our investment in the Investment Vehicle could be structurally subordinated to the other obligations of the portfolio company). In addition, if</w:t>
      </w:r>
    </w:p>
    <w:p>
      <w:pPr>
        <w:spacing w:after="0" w:line="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82" w:right="660" w:bottom="1440" w:gutter="0" w:footer="0" w:header="0"/>
        </w:sectPr>
      </w:pPr>
    </w:p>
    <w:bookmarkStart w:id="21" w:name="page22"/>
    <w:bookmarkEnd w:id="21"/>
    <w:p>
      <w:pPr>
        <w:ind w:right="120"/>
        <w:spacing w:after="0" w:line="286" w:lineRule="auto"/>
        <w:rPr>
          <w:sz w:val="20"/>
          <w:szCs w:val="20"/>
          <w:color w:val="auto"/>
        </w:rPr>
      </w:pPr>
      <w:r>
        <w:rPr>
          <w:rFonts w:ascii="Times New Roman" w:cs="Times New Roman" w:eastAsia="Times New Roman" w:hAnsi="Times New Roman"/>
          <w:sz w:val="13"/>
          <w:szCs w:val="13"/>
          <w:color w:val="auto"/>
        </w:rPr>
        <w:t>we are to invest in an Investment Vehicle, we may be required to rely on our partners in the Investment Vehicle when making decisions regarding the Investment Vehicle’s investments, accordingly, the value of the investment could be adversely affected if our interests diverge from those of our partners in the Investment Vehicle.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Board may change our investment objective, operating policies and strategies without prior notice or stockholder approval.</w:t>
      </w:r>
    </w:p>
    <w:p>
      <w:pPr>
        <w:spacing w:after="0" w:line="107"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3"/>
          <w:szCs w:val="13"/>
          <w:color w:val="auto"/>
        </w:rPr>
        <w:t>Our Board has the authority to modify or waive certain of our operating policies and strategies without prior notice and without stockholder approval. However, absent stockholder approval, we may not change the nature of our business so as to cease to be, or withdraw our election as, a BDC. We cannot predict the effect any changes to our current operating policies and strategies would have on our business and operating results. Nevertheless, the effects may adversely affect our business and they could negatively impact our ability to pay you dividends and could cause you to lose all or part of your investment in our securities.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Regulations governing our operation as a BDC affect our ability to, and the way in which we, raise additional capital.</w:t>
      </w:r>
    </w:p>
    <w:p>
      <w:pPr>
        <w:spacing w:after="0" w:line="107" w:lineRule="exact"/>
        <w:rPr>
          <w:sz w:val="20"/>
          <w:szCs w:val="20"/>
          <w:color w:val="auto"/>
        </w:rPr>
      </w:pPr>
    </w:p>
    <w:p>
      <w:pPr>
        <w:ind w:right="40" w:firstLine="348"/>
        <w:spacing w:after="0" w:line="256" w:lineRule="auto"/>
        <w:rPr>
          <w:sz w:val="20"/>
          <w:szCs w:val="20"/>
          <w:color w:val="auto"/>
        </w:rPr>
      </w:pPr>
      <w:r>
        <w:rPr>
          <w:rFonts w:ascii="Times New Roman" w:cs="Times New Roman" w:eastAsia="Times New Roman" w:hAnsi="Times New Roman"/>
          <w:sz w:val="13"/>
          <w:szCs w:val="13"/>
          <w:color w:val="auto"/>
        </w:rPr>
        <w:t>Our business requires a substantial amount of additional capital. We may acquire additional capital from the issuance of senior securities or other indebtedness, the issuance of additional shares of our common stock or from securitization transactions.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 The 1940 Act permits us to issue senior securities or incur indebtedness only in amounts such that our asset coverage, as defined in the 1940 Act, equals at least 150% immediately after such issuance or incurrence. With respect to certain types of senior securities, we must make provisions to prohibit any dividend distribution to our stockholders or the repurchase of certain of our securities, unless we meet the applicable asset coverage ratios at the time of the dividend distribution or repurchase. If the value of our assets declines, we may be unable to satisfy the asset coverage test. Furthermore, any amounts that we use to service our indebtedness would not be available for distributions to our common stockholders.</w:t>
      </w:r>
    </w:p>
    <w:p>
      <w:pPr>
        <w:spacing w:after="0" w:line="72" w:lineRule="exact"/>
        <w:rPr>
          <w:sz w:val="20"/>
          <w:szCs w:val="20"/>
          <w:color w:val="auto"/>
        </w:rPr>
      </w:pPr>
    </w:p>
    <w:p>
      <w:pPr>
        <w:ind w:right="100" w:firstLine="348"/>
        <w:spacing w:after="0" w:line="259" w:lineRule="auto"/>
        <w:rPr>
          <w:sz w:val="20"/>
          <w:szCs w:val="20"/>
          <w:color w:val="auto"/>
        </w:rPr>
      </w:pPr>
      <w:r>
        <w:rPr>
          <w:rFonts w:ascii="Times New Roman" w:cs="Times New Roman" w:eastAsia="Times New Roman" w:hAnsi="Times New Roman"/>
          <w:sz w:val="13"/>
          <w:szCs w:val="13"/>
          <w:color w:val="auto"/>
        </w:rPr>
        <w:t>All of the costs of offering and servicing such debt or preferred stock (if issued by us in the future), including interest or preferential dividend payments thereon, will be borne by our common stockholders. The interests of the holders of any debt or preferred stock we may issue will not necessarily be aligned with the interests of our common stockholders. In particular, the rights of holders of our debt or preferred stock to receive interest, dividends or principal repayment will be senior to those of our common stockholders. Also, in the event we issue preferred stock, the holders of such preferred stock will have the ability to elect two members of our Board. In addition, we may grant a lender a security interest in a significant portion or all of our assets, even if the total amount we may borrow from such lender is less than the amount of such lender’s security interest in our assets.</w:t>
      </w:r>
    </w:p>
    <w:p>
      <w:pPr>
        <w:spacing w:after="0" w:line="70" w:lineRule="exact"/>
        <w:rPr>
          <w:sz w:val="20"/>
          <w:szCs w:val="20"/>
          <w:color w:val="auto"/>
        </w:rPr>
      </w:pPr>
    </w:p>
    <w:p>
      <w:pPr>
        <w:ind w:right="80" w:firstLine="348"/>
        <w:spacing w:after="0" w:line="254" w:lineRule="auto"/>
        <w:rPr>
          <w:sz w:val="20"/>
          <w:szCs w:val="20"/>
          <w:color w:val="auto"/>
        </w:rPr>
      </w:pPr>
      <w:r>
        <w:rPr>
          <w:rFonts w:ascii="Times New Roman" w:cs="Times New Roman" w:eastAsia="Times New Roman" w:hAnsi="Times New Roman"/>
          <w:sz w:val="13"/>
          <w:szCs w:val="13"/>
          <w:color w:val="auto"/>
        </w:rPr>
        <w:t>We are not generally able to issue and sell our common stock at a price below net asset value per share. We may, however, sell our common stock at a price below the then- current net asset value of our common stock if our Board determines that such sale is in the best interests of us and our stockholders, and our stockholders approve, giving us the authority to do so. Although we currently do not have such authorization, we previously sought and received such authorization from our stockholders in the past and may seek such authorization in the future. In any such case, the price at which our securities are to be issued and sold may not be less than a price which, in the determination of our Board, closely approximates the market value of such securities (less any distributing commission or discount). We are also generally prohibited under the 1940 Act from issuing securities convertible into voting securities without obtaining the approval of our existing stockholders. Sales of common stock at prices below net asset value per share dilute the interests of existing stockholders, have the effect of reducing our net asset value per share and may reduce our market price per share. In addition to issuing securities to raise capital as described above; we may securitize a portion of the loans to generate cash for funding new investments. If we are unable to successfully securitize our loan portfolio, our ability to grow our business and fully execute our business strategy and our earnings (if any) may be adversely affected. Moreover, even successful securitization of our loan portfolio might expose us to losses, as the residual loans in which we do not sell interests tend to be those that are riskier and more apt to generate losses.</w:t>
      </w:r>
    </w:p>
    <w:p>
      <w:pPr>
        <w:spacing w:after="0" w:line="73" w:lineRule="exact"/>
        <w:rPr>
          <w:sz w:val="20"/>
          <w:szCs w:val="20"/>
          <w:color w:val="auto"/>
        </w:rPr>
      </w:pPr>
    </w:p>
    <w:p>
      <w:pPr>
        <w:ind w:right="10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The application of the risk retention rules under Section 941 of the Dodd-Frank Act to CLOs may have broader effects on the CLO and loan markets in general, potentially resulting in fewer or less desirable investment opportunities for us.</w:t>
      </w:r>
    </w:p>
    <w:p>
      <w:pPr>
        <w:spacing w:after="0" w:line="48"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3"/>
          <w:szCs w:val="13"/>
          <w:color w:val="auto"/>
        </w:rPr>
        <w:t>On December 24, 2016, the final rules implementing the credit risk retention requirements of Section 941 of the Dodd-Frank Act (the “U.S. Risk Retention Rules”) became effective and generally require one of the “sponsors” of asset- backed securities or a “majority-owned affiliate” thereof to retain not less than 5% of the credit risk of the assets collateralizing the issuer's securities. On February 9, 2018, the U.S. Court of Appeals for the District of Columbia Circuit held that the federal agencies responsible for the U.S. Risk Retention Rules exceeded their statutory authority when designating the collateral manager of an “open-market CLO” (described in the DC Circuit Ruling as a CLO where assets are acquired from “arms- length negotiations and trading on an open market”) as the securitizer of the open-market CLO (such decision, the “DC Circuit Ruling”), and subsequently issued a mandate to the lower court (the “District Court”) requiring the District Court to implement the DC Circuit Ruling. As a result of this decision, CLO managers of “open market CLOs” will no longer be required to comply with the U.S. risk retention rules solely because of their roles as managers of “open market CLOs”, and there may be no “sponsor” of such securitization transactions and no party may be required to acquire and retain an economic interest in the credit risk of the securitized assets of such transactions.</w:t>
      </w:r>
    </w:p>
    <w:p>
      <w:pPr>
        <w:spacing w:after="0" w:line="74" w:lineRule="exact"/>
        <w:rPr>
          <w:sz w:val="20"/>
          <w:szCs w:val="20"/>
          <w:color w:val="auto"/>
        </w:rPr>
      </w:pPr>
    </w:p>
    <w:p>
      <w:pPr>
        <w:ind w:right="120" w:firstLine="348"/>
        <w:spacing w:after="0" w:line="262" w:lineRule="auto"/>
        <w:rPr>
          <w:sz w:val="20"/>
          <w:szCs w:val="20"/>
          <w:color w:val="auto"/>
        </w:rPr>
      </w:pPr>
      <w:r>
        <w:rPr>
          <w:rFonts w:ascii="Times New Roman" w:cs="Times New Roman" w:eastAsia="Times New Roman" w:hAnsi="Times New Roman"/>
          <w:sz w:val="13"/>
          <w:szCs w:val="13"/>
          <w:color w:val="auto"/>
        </w:rPr>
        <w:t>There can be no assurance or representation that any of the transactions, structures or arrangements currently under consideration by or currently used by CLO market participants will comply with the U.S. risk retention rules to the extent such rules are reinstated or otherwise become applicable to open market CLOs. The ultimate impact of the U.S. risk retention rules on the loan securitization market and the leveraged loan market generally remains uncertain, and any negative impact on secondary market liquidity for securities comprising a CLO may be experienced due to the effects of the U.S. risk retention rules on market expectations or uncertainty, the relative appeal of other investments not impacted by the U.S. risk retention rules and other factors.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ability to enter into transactions with our affiliates is restricted.</w:t>
      </w:r>
    </w:p>
    <w:p>
      <w:pPr>
        <w:spacing w:after="0" w:line="107" w:lineRule="exact"/>
        <w:rPr>
          <w:sz w:val="20"/>
          <w:szCs w:val="20"/>
          <w:color w:val="auto"/>
        </w:rPr>
      </w:pPr>
    </w:p>
    <w:p>
      <w:pPr>
        <w:ind w:right="20" w:firstLine="348"/>
        <w:spacing w:after="0" w:line="255" w:lineRule="auto"/>
        <w:rPr>
          <w:sz w:val="20"/>
          <w:szCs w:val="20"/>
          <w:color w:val="auto"/>
        </w:rPr>
      </w:pPr>
      <w:r>
        <w:rPr>
          <w:rFonts w:ascii="Times New Roman" w:cs="Times New Roman" w:eastAsia="Times New Roman" w:hAnsi="Times New Roman"/>
          <w:sz w:val="13"/>
          <w:szCs w:val="13"/>
          <w:color w:val="auto"/>
        </w:rPr>
        <w:t>We are prohibited under the 1940 Act from participating in certain transactions with certain of our affiliates without the prior approval of the members of our independent directors and, in some cases, the SEC. Any person that owns, directly or indirectly, 5% or more of our outstanding voting securities is our affiliate for purposes of the 1940 Act and we are generally prohibited from buying or selling any securities (other than our securities) from or to such affiliate, absent the prior approval of our independent directors. The 1940 Act also prohibits certain “joint” transactions with certain of our affiliates, which could include investments in the same portfolio company (whether at the same or different times), without prior approval of our independent directors and, in some cases, the SEC. We have received exemptive relief that allows BDCs managed by the Adviser, including us, to co-invest, subject to the satisfaction of certain conditions, in certain private placement transactions, with other funds managed by the Adviser or its affiliates. If a person acquires more than 25% of our voting securities, we will be prohibited from buying or selling any security (other than any security of which we are the issuer) from or to such person or certain of that person’s affiliates, or entering into prohibited joint transactions with such person, absent the prior approval of the SEC. Similar restrictions limit our ability to transact business with our officers or directors or their affiliates.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 failure on our part to maintain our status as a BDC or the application of additional regulatory burdens would significantly reduce our operating flexibility.</w:t>
      </w:r>
    </w:p>
    <w:p>
      <w:pPr>
        <w:spacing w:after="0" w:line="107" w:lineRule="exact"/>
        <w:rPr>
          <w:sz w:val="20"/>
          <w:szCs w:val="20"/>
          <w:color w:val="auto"/>
        </w:rPr>
      </w:pPr>
    </w:p>
    <w:p>
      <w:pPr>
        <w:ind w:right="20" w:firstLine="348"/>
        <w:spacing w:after="0" w:line="268" w:lineRule="auto"/>
        <w:rPr>
          <w:sz w:val="20"/>
          <w:szCs w:val="20"/>
          <w:color w:val="auto"/>
        </w:rPr>
      </w:pPr>
      <w:r>
        <w:rPr>
          <w:rFonts w:ascii="Times New Roman" w:cs="Times New Roman" w:eastAsia="Times New Roman" w:hAnsi="Times New Roman"/>
          <w:sz w:val="13"/>
          <w:szCs w:val="13"/>
          <w:color w:val="auto"/>
        </w:rPr>
        <w:t>If we fail to maintain our status as a BDC, we might be regulated as a closed-end investment company that is required to register under the 1940 Act, which would subject us to additional regulatory restrictions and significantly decrease our operating flexibility. In addition, any such failure could cause an event of default under our outstanding indebtedness, which could have a material adverse effect on our business, financial condition or results of operations.</w:t>
      </w:r>
    </w:p>
    <w:p>
      <w:pPr>
        <w:spacing w:after="0" w:line="63" w:lineRule="exact"/>
        <w:rPr>
          <w:sz w:val="20"/>
          <w:szCs w:val="20"/>
          <w:color w:val="auto"/>
        </w:rPr>
      </w:pPr>
    </w:p>
    <w:p>
      <w:pPr>
        <w:ind w:right="520" w:firstLine="348"/>
        <w:spacing w:after="0" w:line="286" w:lineRule="auto"/>
        <w:rPr>
          <w:sz w:val="20"/>
          <w:szCs w:val="20"/>
          <w:color w:val="auto"/>
        </w:rPr>
      </w:pPr>
      <w:r>
        <w:rPr>
          <w:rFonts w:ascii="Times New Roman" w:cs="Times New Roman" w:eastAsia="Times New Roman" w:hAnsi="Times New Roman"/>
          <w:sz w:val="13"/>
          <w:szCs w:val="13"/>
          <w:color w:val="auto"/>
        </w:rPr>
        <w:t>In December 2019, the CFTC amended certain rules to require BDCs that trade “commodity interests” (as defined under CFTC rules) to a de minimis extent file an electronic notice of exclusion to not be deemed a “commodity pool operator” pursuant to CFTC regulations. This exclusion allows BDCs that trade commodity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86" w:right="680" w:bottom="1440" w:gutter="0" w:footer="0" w:header="0"/>
        </w:sectPr>
      </w:pPr>
    </w:p>
    <w:bookmarkStart w:id="22" w:name="page23"/>
    <w:bookmarkEnd w:id="22"/>
    <w:p>
      <w:pPr>
        <w:ind w:right="60"/>
        <w:spacing w:after="0" w:line="268" w:lineRule="auto"/>
        <w:rPr>
          <w:sz w:val="20"/>
          <w:szCs w:val="20"/>
          <w:color w:val="auto"/>
        </w:rPr>
      </w:pPr>
      <w:r>
        <w:rPr>
          <w:rFonts w:ascii="Times New Roman" w:cs="Times New Roman" w:eastAsia="Times New Roman" w:hAnsi="Times New Roman"/>
          <w:sz w:val="13"/>
          <w:szCs w:val="13"/>
          <w:color w:val="auto"/>
        </w:rPr>
        <w:t>interests to forgo regulation under the CEA and the CFTC. If our Adviser is unable to claim this exclusion, or fails to do so in the future, with respect to us, the Adviser would become subject to registration and regulation as a commodity pool operator under the CEA. This additional regulation would subject our Adviser and us to additional registration and regulatory requirements, along with increasing operating expenses which could have a material adverse effect on our business, results of operations or financial condition.</w:t>
      </w:r>
    </w:p>
    <w:p>
      <w:pPr>
        <w:spacing w:after="0" w:line="59" w:lineRule="exact"/>
        <w:rPr>
          <w:sz w:val="20"/>
          <w:szCs w:val="20"/>
          <w:color w:val="auto"/>
        </w:rPr>
      </w:pPr>
    </w:p>
    <w:p>
      <w:pPr>
        <w:ind w:right="44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Our business and operations could be negatively affected if we become subject to any securities litigation or stockholder activism, which could cause us to incur significant expense, hinder execution of investment strategy and impact our stock price.</w:t>
      </w:r>
    </w:p>
    <w:p>
      <w:pPr>
        <w:spacing w:after="0" w:line="48" w:lineRule="exact"/>
        <w:rPr>
          <w:sz w:val="20"/>
          <w:szCs w:val="20"/>
          <w:color w:val="auto"/>
        </w:rPr>
      </w:pPr>
    </w:p>
    <w:p>
      <w:pPr>
        <w:ind w:right="80" w:firstLine="348"/>
        <w:spacing w:after="0" w:line="256" w:lineRule="auto"/>
        <w:rPr>
          <w:sz w:val="20"/>
          <w:szCs w:val="20"/>
          <w:color w:val="auto"/>
        </w:rPr>
      </w:pPr>
      <w:r>
        <w:rPr>
          <w:rFonts w:ascii="Times New Roman" w:cs="Times New Roman" w:eastAsia="Times New Roman" w:hAnsi="Times New Roman"/>
          <w:sz w:val="13"/>
          <w:szCs w:val="13"/>
          <w:color w:val="auto"/>
        </w:rPr>
        <w:t>Following periods of volatility in the market price of a company’s securities, securities class-action litigation has often been brought against such company. Stockholder activism, which could take many forms or arise in a variety of situations, has been increasing in the BDC space recently. While we are currently not subject to any securities litigation or stockholder activism, we have in the past and may in the future become the target of securities litigation or stockholder activism. Securities litigation and stockholder activism, including potential proxy contests, could result in substantial costs and divert management’s and our Boards’ attention and resources from our business. Additionally, such securities litigation and stockholder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stockholder matters. Further, our stock price could be subject to significant fluctuation or otherwise be adversely affected by the events, risks and uncertainties of any securities litigation and stockholder activism.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will be subject to corporate-level U.S. federal income taxes if we are unable to qualify as a RIC under Subchapter M of the Code.</w:t>
      </w:r>
    </w:p>
    <w:p>
      <w:pPr>
        <w:spacing w:after="0" w:line="1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To maintain RIC tax treatment under the Code, we must meet the following annual distribution, income source and asset diversification requirements:</w:t>
      </w:r>
    </w:p>
    <w:p>
      <w:pPr>
        <w:spacing w:after="0" w:line="103" w:lineRule="exact"/>
        <w:rPr>
          <w:sz w:val="20"/>
          <w:szCs w:val="20"/>
          <w:color w:val="auto"/>
        </w:rPr>
      </w:pPr>
    </w:p>
    <w:p>
      <w:pPr>
        <w:ind w:left="360" w:right="60"/>
        <w:spacing w:after="0" w:line="259" w:lineRule="auto"/>
        <w:rPr>
          <w:sz w:val="20"/>
          <w:szCs w:val="20"/>
          <w:color w:val="auto"/>
        </w:rPr>
      </w:pPr>
      <w:r>
        <w:rPr>
          <w:rFonts w:ascii="Times New Roman" w:cs="Times New Roman" w:eastAsia="Times New Roman" w:hAnsi="Times New Roman"/>
          <w:sz w:val="13"/>
          <w:szCs w:val="13"/>
          <w:color w:val="auto"/>
        </w:rPr>
        <w:t>•The annual distribution requirement for a RIC will be satisfied if we distribute to our stockholders on an annual basis at least 90% of our net ordinary income and realized net short- term capital gains in excess of realized net long-term capital losses, if any. Because we use debt financing, we are subject to certain asset coverage ratio requirements under the 1940 Act and are (and may in the future become) subject to certain financial covenants under loan, indenture and credit agreements that could, under certain circumstances, restrict us from making distributions necessary to satisfy the distribution requirement. If we are unable to obtain cash from other sources, we could fail to qualify for RIC tax treatment and thus become subject to corporate-level U.S. federal income taxes.</w:t>
      </w:r>
    </w:p>
    <w:p>
      <w:pPr>
        <w:spacing w:after="0" w:line="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•The source income requirement will be satisfied if we obtain at least 90% of our income for each year from dividends, interest, gains from the sale of stock or securities or similar sources.</w:t>
      </w:r>
    </w:p>
    <w:p>
      <w:pPr>
        <w:spacing w:after="0" w:line="103" w:lineRule="exact"/>
        <w:rPr>
          <w:sz w:val="20"/>
          <w:szCs w:val="20"/>
          <w:color w:val="auto"/>
        </w:rPr>
      </w:pPr>
    </w:p>
    <w:p>
      <w:pPr>
        <w:ind w:left="360" w:right="80"/>
        <w:spacing w:after="0" w:line="257" w:lineRule="auto"/>
        <w:rPr>
          <w:sz w:val="20"/>
          <w:szCs w:val="20"/>
          <w:color w:val="auto"/>
        </w:rPr>
      </w:pPr>
      <w:r>
        <w:rPr>
          <w:rFonts w:ascii="Times New Roman" w:cs="Times New Roman" w:eastAsia="Times New Roman" w:hAnsi="Times New Roman"/>
          <w:sz w:val="13"/>
          <w:szCs w:val="13"/>
          <w:color w:val="auto"/>
        </w:rPr>
        <w:t>•The asset diversification requirement will be satisfied if we meet certain asset diversification requirements at the end of each quarter of our taxable year. To satisfy this requirement, at least 50% of the value of our assets must consist of cash, cash equivalents, U.S. government securities, securities of other RICs, and other acceptable securities; and no more than 25% of the value of our assets can be invested in the securities, other than U.S. government securities or securities of other RICs, of one issuer, of two or more issuers that are controlled, as determined under applicable Code rules, by us and that are engaged in the same or similar or related trades or businesses or of certain “qualified publicly traded partnerships.” If we do not satisfy the diversification requirements as of the end of any quarter, we will not lose our status as a RIC provided that (i) we satisfied the requirements in a prior quarter and (ii) our failure to satisfy the requirements in the current quarter is not due in whole or in part to an acquisition of any security or other property.</w:t>
      </w:r>
    </w:p>
    <w:p>
      <w:pPr>
        <w:spacing w:after="0" w:line="72" w:lineRule="exact"/>
        <w:rPr>
          <w:sz w:val="20"/>
          <w:szCs w:val="20"/>
          <w:color w:val="auto"/>
        </w:rPr>
      </w:pPr>
    </w:p>
    <w:p>
      <w:pPr>
        <w:ind w:right="160" w:firstLine="348"/>
        <w:spacing w:after="0" w:line="262" w:lineRule="auto"/>
        <w:rPr>
          <w:sz w:val="20"/>
          <w:szCs w:val="20"/>
          <w:color w:val="auto"/>
        </w:rPr>
      </w:pPr>
      <w:r>
        <w:rPr>
          <w:rFonts w:ascii="Times New Roman" w:cs="Times New Roman" w:eastAsia="Times New Roman" w:hAnsi="Times New Roman"/>
          <w:sz w:val="13"/>
          <w:szCs w:val="13"/>
          <w:color w:val="auto"/>
        </w:rPr>
        <w:t>Failure to meet these requirements may result in our having to dispose of certain investments quickly in order to prevent the loss of RIC status. Because most of our investments will be in private companies, and therefore will be illiquid, any such dispositions could be made at disadvantageous prices and could result in substantial losses. Moreover, if we fail to maintain RIC tax treatment for any reason and are subject to corporate- level U.S. federal income taxes, the resulting taxes could substantially reduce our net assets, the amount of income available for distribution and the amount of our distributions. Such a failure would have a material adverse effect on us and on our stockholders.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Associated with Our Use of Leverage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borrow money, which magnifies the potential for gain or loss on amounts invested and may increase the risk of investing in us.</w:t>
      </w:r>
    </w:p>
    <w:p>
      <w:pPr>
        <w:spacing w:after="0" w:line="107"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3"/>
          <w:szCs w:val="13"/>
          <w:color w:val="auto"/>
        </w:rPr>
        <w:t>Borrowings, also known as leverage, magnify the potential for gain or loss on amounts invested and, therefore, increase the risks associated with investing in us. We have issued senior securities, and in the future may borrow from, or issue additional senior securities (such as preferred or convertible securities or debt securities) to, banks and other lenders and investors. Subject to prevailing market conditions, we intend to grow our portfolio of assets by raising additional capital, including through the prudent use of leverage available to us. Lenders and holders of such senior securities would have fixed dollar claims on our assets that are superior to the claims of our common stockholders. Leverage is generally considered a speculative investment technique. Any increase in our income in excess of interest payable on our outstanding indebtedness would cause our net income to increase more than it would have had we not incurred leverage, while any decrease in our income would cause net income to decline more sharply than it would have had we not incurred leverage. Such a decline could negatively affect our ability to make distributions to our stockholders and service our debt obligations. In addition, our common stockholders will bear the burden of any increase in our expenses as a result of leverage. There can be no assurance that our leveraging strategy will be successful.</w:t>
      </w:r>
    </w:p>
    <w:p>
      <w:pPr>
        <w:spacing w:after="0" w:line="233" w:lineRule="exact"/>
        <w:rPr>
          <w:sz w:val="20"/>
          <w:szCs w:val="20"/>
          <w:color w:val="auto"/>
        </w:rPr>
      </w:pPr>
    </w:p>
    <w:p>
      <w:pPr>
        <w:ind w:right="260" w:firstLine="348"/>
        <w:spacing w:after="0" w:line="262" w:lineRule="auto"/>
        <w:rPr>
          <w:sz w:val="20"/>
          <w:szCs w:val="20"/>
          <w:color w:val="auto"/>
        </w:rPr>
      </w:pPr>
      <w:r>
        <w:rPr>
          <w:rFonts w:ascii="Times New Roman" w:cs="Times New Roman" w:eastAsia="Times New Roman" w:hAnsi="Times New Roman"/>
          <w:sz w:val="13"/>
          <w:szCs w:val="13"/>
          <w:color w:val="auto"/>
        </w:rPr>
        <w:t>Our outstanding indebtedness imposes, and additional debt we may incur in the future will likely impose, financial and operating covenants that restrict our business activities, including limitations that could hinder our ability to finance additional loans and investments or to make the distributions required to maintain our status as a RIC. A failure to add new debt facilities or issue additional debt securities or other evidences of indebtedness in lieu of or in addition to existing indebtedness could have a material adverse effect on our business, financial condition or results of operations.</w:t>
      </w:r>
    </w:p>
    <w:p>
      <w:pPr>
        <w:spacing w:after="0" w:line="67" w:lineRule="exact"/>
        <w:rPr>
          <w:sz w:val="20"/>
          <w:szCs w:val="20"/>
          <w:color w:val="auto"/>
        </w:rPr>
      </w:pPr>
    </w:p>
    <w:p>
      <w:pPr>
        <w:ind w:right="460" w:firstLine="348"/>
        <w:spacing w:after="0" w:line="286" w:lineRule="auto"/>
        <w:rPr>
          <w:sz w:val="20"/>
          <w:szCs w:val="20"/>
          <w:color w:val="auto"/>
        </w:rPr>
      </w:pPr>
      <w:r>
        <w:rPr>
          <w:rFonts w:ascii="Times New Roman" w:cs="Times New Roman" w:eastAsia="Times New Roman" w:hAnsi="Times New Roman"/>
          <w:sz w:val="13"/>
          <w:szCs w:val="13"/>
          <w:color w:val="auto"/>
        </w:rPr>
        <w:t>The following table illustrates the effect of leverage on returns from an investment in our common stock as of December 31, 2024, assuming various annual returns, net of expenses. The calculations in the table below are hypothetical and actual returns may be higher or lower than those appearing in the table below.</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b w:val="1"/>
                <w:bCs w:val="1"/>
                <w:color w:val="auto"/>
              </w:rPr>
              <w:t>Assumed Return on Our Portfolio</w:t>
            </w:r>
            <w:r>
              <w:rPr>
                <w:rFonts w:ascii="Times New Roman" w:cs="Times New Roman" w:eastAsia="Times New Roman" w:hAnsi="Times New Roman"/>
                <w:sz w:val="16"/>
                <w:szCs w:val="16"/>
                <w:b w:val="1"/>
                <w:bCs w:val="1"/>
                <w:color w:val="auto"/>
                <w:vertAlign w:val="superscript"/>
              </w:rPr>
              <w:t>(1)</w:t>
            </w:r>
            <w:r>
              <w:rPr>
                <w:rFonts w:ascii="Times New Roman" w:cs="Times New Roman" w:eastAsia="Times New Roman" w:hAnsi="Times New Roman"/>
                <w:sz w:val="13"/>
                <w:szCs w:val="13"/>
                <w:b w:val="1"/>
                <w:bCs w:val="1"/>
                <w:color w:val="auto"/>
              </w:rPr>
              <w:t xml:space="preserve"> (net of expenses)</w:t>
            </w:r>
          </w:p>
        </w:tc>
        <w:tc>
          <w:tcPr>
            <w:tcW w:w="130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-10%</w:t>
            </w:r>
          </w:p>
        </w:tc>
        <w:tc>
          <w:tcPr>
            <w:tcW w:w="154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3"/>
                <w:szCs w:val="13"/>
                <w:b w:val="1"/>
                <w:bCs w:val="1"/>
                <w:color w:val="auto"/>
              </w:rPr>
              <w:t>-5%</w:t>
            </w:r>
          </w:p>
        </w:tc>
        <w:tc>
          <w:tcPr>
            <w:tcW w:w="150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0%</w:t>
            </w:r>
          </w:p>
        </w:tc>
        <w:tc>
          <w:tcPr>
            <w:tcW w:w="134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rPr>
              <w:t>5%</w:t>
            </w:r>
          </w:p>
        </w:tc>
        <w:tc>
          <w:tcPr>
            <w:tcW w:w="12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10%</w:t>
            </w:r>
          </w:p>
        </w:tc>
      </w:tr>
      <w:tr>
        <w:trPr>
          <w:trHeight w:val="172"/>
        </w:trPr>
        <w:tc>
          <w:tcPr>
            <w:tcW w:w="3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Corresponding return to common stockholder</w:t>
            </w:r>
          </w:p>
        </w:tc>
        <w:tc>
          <w:tcPr>
            <w:tcW w:w="1300" w:type="dxa"/>
            <w:vAlign w:val="bottom"/>
          </w:tcPr>
          <w:p>
            <w:pPr>
              <w:jc w:val="right"/>
              <w:ind w:right="434"/>
              <w:spacing w:after="0"/>
              <w:rPr>
                <w:sz w:val="20"/>
                <w:szCs w:val="20"/>
                <w:color w:val="auto"/>
              </w:rPr>
            </w:pPr>
            <w:r>
              <w:rPr>
                <w:rFonts w:ascii="Times New Roman" w:cs="Times New Roman" w:eastAsia="Times New Roman" w:hAnsi="Times New Roman"/>
                <w:sz w:val="13"/>
                <w:szCs w:val="13"/>
                <w:color w:val="auto"/>
              </w:rPr>
              <w:t>-34.7%</w:t>
            </w:r>
          </w:p>
        </w:tc>
        <w:tc>
          <w:tcPr>
            <w:tcW w:w="1540" w:type="dxa"/>
            <w:vAlign w:val="bottom"/>
          </w:tcPr>
          <w:p>
            <w:pPr>
              <w:jc w:val="right"/>
              <w:ind w:right="574"/>
              <w:spacing w:after="0"/>
              <w:rPr>
                <w:sz w:val="20"/>
                <w:szCs w:val="20"/>
                <w:color w:val="auto"/>
              </w:rPr>
            </w:pPr>
            <w:r>
              <w:rPr>
                <w:rFonts w:ascii="Times New Roman" w:cs="Times New Roman" w:eastAsia="Times New Roman" w:hAnsi="Times New Roman"/>
                <w:sz w:val="13"/>
                <w:szCs w:val="13"/>
                <w:color w:val="auto"/>
              </w:rPr>
              <w:t>-22.0%</w:t>
            </w:r>
          </w:p>
        </w:tc>
        <w:tc>
          <w:tcPr>
            <w:tcW w:w="1500" w:type="dxa"/>
            <w:vAlign w:val="bottom"/>
          </w:tcPr>
          <w:p>
            <w:pPr>
              <w:jc w:val="right"/>
              <w:ind w:right="474"/>
              <w:spacing w:after="0"/>
              <w:rPr>
                <w:sz w:val="20"/>
                <w:szCs w:val="20"/>
                <w:color w:val="auto"/>
              </w:rPr>
            </w:pPr>
            <w:r>
              <w:rPr>
                <w:rFonts w:ascii="Times New Roman" w:cs="Times New Roman" w:eastAsia="Times New Roman" w:hAnsi="Times New Roman"/>
                <w:sz w:val="13"/>
                <w:szCs w:val="13"/>
                <w:color w:val="auto"/>
              </w:rPr>
              <w:t>-9.3%</w:t>
            </w:r>
          </w:p>
        </w:tc>
        <w:tc>
          <w:tcPr>
            <w:tcW w:w="1340" w:type="dxa"/>
            <w:vAlign w:val="bottom"/>
          </w:tcPr>
          <w:p>
            <w:pPr>
              <w:jc w:val="right"/>
              <w:ind w:right="454"/>
              <w:spacing w:after="0"/>
              <w:rPr>
                <w:sz w:val="20"/>
                <w:szCs w:val="20"/>
                <w:color w:val="auto"/>
              </w:rPr>
            </w:pPr>
            <w:r>
              <w:rPr>
                <w:rFonts w:ascii="Times New Roman" w:cs="Times New Roman" w:eastAsia="Times New Roman" w:hAnsi="Times New Roman"/>
                <w:sz w:val="13"/>
                <w:szCs w:val="13"/>
                <w:color w:val="auto"/>
              </w:rPr>
              <w:t>3.4%</w:t>
            </w:r>
          </w:p>
        </w:tc>
        <w:tc>
          <w:tcPr>
            <w:tcW w:w="122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16.1%</w:t>
            </w: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(1)Assumes $453.6 million in total assets, $178.5 million in net assets, and $267.5 million in par value of outstanding borrowings with a weighted average interest rate of 6.2% as of December 31, 2024.</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indebtedness could adversely affect our financial health and our ability to respond to changes in our business.</w:t>
      </w:r>
    </w:p>
    <w:p>
      <w:pPr>
        <w:spacing w:after="0" w:line="107" w:lineRule="exact"/>
        <w:rPr>
          <w:sz w:val="20"/>
          <w:szCs w:val="20"/>
          <w:color w:val="auto"/>
        </w:rPr>
      </w:pPr>
    </w:p>
    <w:p>
      <w:pPr>
        <w:ind w:right="260" w:firstLine="348"/>
        <w:spacing w:after="0" w:line="268" w:lineRule="auto"/>
        <w:rPr>
          <w:sz w:val="20"/>
          <w:szCs w:val="20"/>
          <w:color w:val="auto"/>
        </w:rPr>
      </w:pPr>
      <w:r>
        <w:rPr>
          <w:rFonts w:ascii="Times New Roman" w:cs="Times New Roman" w:eastAsia="Times New Roman" w:hAnsi="Times New Roman"/>
          <w:sz w:val="13"/>
          <w:szCs w:val="13"/>
          <w:color w:val="auto"/>
        </w:rPr>
        <w:t>With certain limited exceptions, we are only allowed to borrow amounts or issue senior securities such that our asset coverage, as defined in the 1940 Act, is at least 150% immediately after such borrowing or issuance. The amount of leverage that we employ in the future will depend on our management’s and our Board’s assessment of market and other factors at the time of any proposed borrowing. There is no assurance that a leveraging strategy will be successful. As a result of the level of our leverage:</w:t>
      </w:r>
    </w:p>
    <w:p>
      <w:pPr>
        <w:spacing w:after="0" w:line="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386" w:right="640" w:bottom="1440" w:gutter="0" w:footer="0" w:header="0"/>
        </w:sectPr>
      </w:pPr>
    </w:p>
    <w:bookmarkStart w:id="23" w:name="page24"/>
    <w:bookmarkEnd w:id="23"/>
    <w:p>
      <w:pPr>
        <w:ind w:left="360" w:right="140"/>
        <w:spacing w:after="0" w:line="286" w:lineRule="auto"/>
        <w:rPr>
          <w:sz w:val="20"/>
          <w:szCs w:val="20"/>
          <w:color w:val="auto"/>
        </w:rPr>
      </w:pPr>
      <w:r>
        <w:rPr>
          <w:rFonts w:ascii="Times New Roman" w:cs="Times New Roman" w:eastAsia="Times New Roman" w:hAnsi="Times New Roman"/>
          <w:sz w:val="13"/>
          <w:szCs w:val="13"/>
          <w:color w:val="auto"/>
        </w:rPr>
        <w:t>•our exposure to risk of loss is greater if we incur debt or issue senior securities to finance investments because a decrease in the value of our investments has a greater negative impact on our equity returns and, therefore, the value of our business if we did not use leverage;</w:t>
      </w:r>
    </w:p>
    <w:p>
      <w:pPr>
        <w:spacing w:after="0" w:line="52" w:lineRule="exact"/>
        <w:rPr>
          <w:sz w:val="20"/>
          <w:szCs w:val="20"/>
          <w:color w:val="auto"/>
        </w:rPr>
      </w:pPr>
    </w:p>
    <w:p>
      <w:pPr>
        <w:ind w:left="360" w:right="340"/>
        <w:spacing w:after="0" w:line="268" w:lineRule="auto"/>
        <w:rPr>
          <w:sz w:val="20"/>
          <w:szCs w:val="20"/>
          <w:color w:val="auto"/>
        </w:rPr>
      </w:pPr>
      <w:r>
        <w:rPr>
          <w:rFonts w:ascii="Times New Roman" w:cs="Times New Roman" w:eastAsia="Times New Roman" w:hAnsi="Times New Roman"/>
          <w:sz w:val="13"/>
          <w:szCs w:val="13"/>
          <w:color w:val="auto"/>
        </w:rPr>
        <w:t>•the decrease in our asset coverage ratio resulting from increased leverage and the covenants contained in documents governing our indebtedness (which may impose asset coverage or investment portfolio composition requirements that are more stringent than those imposed by the 1940 Act) limit our flexibility in planning for, or reacting to, changes in our business and industry, as a result of which we could be required to liquidate investments at an inopportune time;</w:t>
      </w:r>
    </w:p>
    <w:p>
      <w:pPr>
        <w:spacing w:after="0" w:line="63" w:lineRule="exact"/>
        <w:rPr>
          <w:sz w:val="20"/>
          <w:szCs w:val="20"/>
          <w:color w:val="auto"/>
        </w:rPr>
      </w:pPr>
    </w:p>
    <w:p>
      <w:pPr>
        <w:ind w:left="360" w:right="2480"/>
        <w:spacing w:after="0" w:line="404" w:lineRule="auto"/>
        <w:rPr>
          <w:sz w:val="20"/>
          <w:szCs w:val="20"/>
          <w:color w:val="auto"/>
        </w:rPr>
      </w:pPr>
      <w:r>
        <w:rPr>
          <w:rFonts w:ascii="Times New Roman" w:cs="Times New Roman" w:eastAsia="Times New Roman" w:hAnsi="Times New Roman"/>
          <w:sz w:val="13"/>
          <w:szCs w:val="13"/>
          <w:color w:val="auto"/>
        </w:rPr>
        <w:t>•we are required to dedicate a portion of our cash flow to interest payments, limiting the availability of cash for dividends and other purposes; and •our ability to obtain additional financing in the future may be impaired.</w:t>
      </w:r>
    </w:p>
    <w:p>
      <w:pPr>
        <w:spacing w:after="0" w:line="1" w:lineRule="exact"/>
        <w:rPr>
          <w:sz w:val="20"/>
          <w:szCs w:val="20"/>
          <w:color w:val="auto"/>
        </w:rPr>
      </w:pPr>
    </w:p>
    <w:p>
      <w:pPr>
        <w:ind w:right="20" w:firstLine="348"/>
        <w:spacing w:after="0" w:line="286" w:lineRule="auto"/>
        <w:rPr>
          <w:sz w:val="20"/>
          <w:szCs w:val="20"/>
          <w:color w:val="auto"/>
        </w:rPr>
      </w:pPr>
      <w:r>
        <w:rPr>
          <w:rFonts w:ascii="Times New Roman" w:cs="Times New Roman" w:eastAsia="Times New Roman" w:hAnsi="Times New Roman"/>
          <w:sz w:val="13"/>
          <w:szCs w:val="13"/>
          <w:color w:val="auto"/>
        </w:rPr>
        <w:t>We cannot be sure that our leverage will not have a material adverse effect on us. In addition, we cannot be sure that additional financing will be available when required or, if available, will be on terms satisfactory to us. Further, even if we are able to obtain additional financing, we may be required to use some or all of the proceeds thereof to repay our outstanding indebtedness.</w:t>
      </w:r>
    </w:p>
    <w:p>
      <w:pPr>
        <w:spacing w:after="0" w:line="48"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We may default under the Revolving Credit Facility, the 4.875% Notes due 2026 or any future indebtedness or be unable to amend, repay or refinance any such facility or financing arrangement on commercially reasonable terms, or at all, which could have a material adverse effect on our business, financial condition, results of operations and cash flows.</w:t>
      </w:r>
    </w:p>
    <w:p>
      <w:pPr>
        <w:spacing w:after="0" w:line="48" w:lineRule="exact"/>
        <w:rPr>
          <w:sz w:val="20"/>
          <w:szCs w:val="20"/>
          <w:color w:val="auto"/>
        </w:rPr>
      </w:pPr>
    </w:p>
    <w:p>
      <w:pPr>
        <w:ind w:right="40" w:firstLine="348"/>
        <w:spacing w:after="0" w:line="262" w:lineRule="auto"/>
        <w:rPr>
          <w:sz w:val="20"/>
          <w:szCs w:val="20"/>
          <w:color w:val="auto"/>
        </w:rPr>
      </w:pPr>
      <w:r>
        <w:rPr>
          <w:rFonts w:ascii="Times New Roman" w:cs="Times New Roman" w:eastAsia="Times New Roman" w:hAnsi="Times New Roman"/>
          <w:sz w:val="13"/>
          <w:szCs w:val="13"/>
          <w:color w:val="auto"/>
        </w:rPr>
        <w:t>In the event we default under our revolving credit facility (the “Revolving Credit Facility”), the 4.875% Notes due 2026 or any future indebtedness, or are unable to amend, repay or refinance such indebtedness on commercially reasonable terms, or at all, our business could be adversely affected as we may be forced to sell a portion of our investments quickly and prematurely at prices that may be disadvantageous to us in order to meet our outstanding payment obligations and/or support working capital requirements under the Revolving Credit Facility, the 4.875% Notes due 2026 or any future indebtedness, any of which would have a material adverse effect on our business, financial condition, results of operations and cash flows.</w:t>
      </w:r>
    </w:p>
    <w:p>
      <w:pPr>
        <w:spacing w:after="0" w:line="67"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3"/>
          <w:szCs w:val="13"/>
          <w:color w:val="auto"/>
        </w:rPr>
        <w:t>Events of default under the Revolving Credit Facility include, among other things, (i) a payment default; (ii) bankruptcy; (iii) a covenant default; (iv) a change of control; (v) if we are required to register as an “investment company” as defined in the 1940 Act; and (vi) certain declines in our net asset value. Following any such default, the agent for the lenders under the Revolving Credit Facility could assume control of the disposition of any or all of our assets, including the selection of such assets to be disposed and the timing of such disposition, which would have a material adverse effect on our business, financial condition, results of operations and cash flows.</w:t>
      </w:r>
    </w:p>
    <w:p>
      <w:pPr>
        <w:spacing w:after="0" w:line="67"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3"/>
          <w:szCs w:val="13"/>
          <w:color w:val="auto"/>
        </w:rPr>
        <w:t>Events of default under the indenture governing the 4.875% Notes due 2026 include, among other things, (i) a payment default; (ii) a covenant default; (ii) a cross-default provision with respect to any instrument by which we have indebtedness for money borrowed in excess of $50 million in the aggregate; (iii) bankruptcy; and (iv) certain declines in the net asset value of the 4.875% Notes due 2026. If any such event of default has occurred and is continuing, the trustee or the holders of not less than 25% in principal amount of the 4.875% Notes due 2026 may declare the entire principal amount of all such notes to be due and immediately payable.</w:t>
      </w:r>
    </w:p>
    <w:p>
      <w:pPr>
        <w:spacing w:after="0" w:line="67" w:lineRule="exact"/>
        <w:rPr>
          <w:sz w:val="20"/>
          <w:szCs w:val="20"/>
          <w:color w:val="auto"/>
        </w:rPr>
      </w:pPr>
    </w:p>
    <w:p>
      <w:pPr>
        <w:ind w:right="80" w:firstLine="348"/>
        <w:spacing w:after="0" w:line="262" w:lineRule="auto"/>
        <w:rPr>
          <w:sz w:val="20"/>
          <w:szCs w:val="20"/>
          <w:color w:val="auto"/>
        </w:rPr>
      </w:pPr>
      <w:r>
        <w:rPr>
          <w:rFonts w:ascii="Times New Roman" w:cs="Times New Roman" w:eastAsia="Times New Roman" w:hAnsi="Times New Roman"/>
          <w:sz w:val="13"/>
          <w:szCs w:val="13"/>
          <w:color w:val="auto"/>
        </w:rPr>
        <w:t>Our continued compliance with the covenants under the Revolving Credit Facility and the indenture governing the 4.875% Notes due 2026 Notes depends on many factors, some of which are beyond our control, and there can be no assurance that we will continue to comply with such covenants. Our failure to satisfy the respective covenants could result in foreclosure by the lenders under the applicable credit facility or governing instrument or acceleration by the applicable lenders or noteholders, which would accelerate our repayment obligations under the relevant agreement and thereby have a material adverse effect on our business, liquidity, financial condition, results of operations and ability to pay distributions to our stockholders.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Provisions in the Revolving Credit Facility or any other future borrowing facility may limit our discretion in operating our business.</w:t>
      </w:r>
    </w:p>
    <w:p>
      <w:pPr>
        <w:spacing w:after="0" w:line="107"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3"/>
          <w:szCs w:val="13"/>
          <w:color w:val="auto"/>
        </w:rPr>
        <w:t>The Revolving Credit Facility is, and any future borrowing facility may be, backed by all or a portion of our loans and securities on which the lenders will or, in the case of a future facility, may have a security interest. We may pledge up to 100% of our assets and may grant a security interest in all of our assets under the terms of any debt instrument we enter into with lenders. We expect that any security interests we grant will be set forth in a pledge and security agreement and evidenced by the filing of financing statements by the agent for the lenders. In addition, we expect that the custodian for our securities serving as collateral for such loan would include in its electronic systems notices indicating the existence of such security interests and, following notice of occurrence of an event of default, if any, and during its continuance, will only accept transfer instructions with respect to any such securities from the lender or its designee. If we were to default under the terms of any debt instrument, the agent for the applicable lenders would be able to assume control of the timing of disposition of any or all of our assets securing such debt, which would have a material adverse effect on our business, financial condition, results of operations and cash flows.</w:t>
      </w:r>
    </w:p>
    <w:p>
      <w:pPr>
        <w:spacing w:after="0" w:line="72" w:lineRule="exact"/>
        <w:rPr>
          <w:sz w:val="20"/>
          <w:szCs w:val="20"/>
          <w:color w:val="auto"/>
        </w:rPr>
      </w:pPr>
    </w:p>
    <w:p>
      <w:pPr>
        <w:ind w:right="20" w:firstLine="348"/>
        <w:spacing w:after="0" w:line="259" w:lineRule="auto"/>
        <w:rPr>
          <w:sz w:val="20"/>
          <w:szCs w:val="20"/>
          <w:color w:val="auto"/>
        </w:rPr>
      </w:pPr>
      <w:r>
        <w:rPr>
          <w:rFonts w:ascii="Times New Roman" w:cs="Times New Roman" w:eastAsia="Times New Roman" w:hAnsi="Times New Roman"/>
          <w:sz w:val="13"/>
          <w:szCs w:val="13"/>
          <w:color w:val="auto"/>
        </w:rPr>
        <w:t>In addition, any security interests as well as negative covenants under the Revolving Credit Facility or any other borrowing facility may limit our ability to create liens on assets to secure additional debt and may make it difficult for us to restructure or refinance indebtedness at or prior to maturity or obtain additional debt or equity financing. In addition, if our borrowing base under the Revolving Credit Facility or any other borrowing facility were to decrease, we would be required to secure additional assets in an amount equal to any borrowing base deficiency. In the event that all of our assets are secured at the time of such a borrowing base deficiency, we could be required to repay advances under the Revolving Credit Facility or any other borrowing facility or make deposits to a collection account, either of which could have a material adverse impact on our ability to fund future investments and to make stockholder distributions.</w:t>
      </w:r>
    </w:p>
    <w:p>
      <w:pPr>
        <w:spacing w:after="0" w:line="70" w:lineRule="exact"/>
        <w:rPr>
          <w:sz w:val="20"/>
          <w:szCs w:val="20"/>
          <w:color w:val="auto"/>
        </w:rPr>
      </w:pPr>
    </w:p>
    <w:p>
      <w:pPr>
        <w:ind w:right="120" w:firstLine="348"/>
        <w:spacing w:after="0" w:line="256" w:lineRule="auto"/>
        <w:rPr>
          <w:sz w:val="20"/>
          <w:szCs w:val="20"/>
          <w:color w:val="auto"/>
        </w:rPr>
      </w:pPr>
      <w:r>
        <w:rPr>
          <w:rFonts w:ascii="Times New Roman" w:cs="Times New Roman" w:eastAsia="Times New Roman" w:hAnsi="Times New Roman"/>
          <w:sz w:val="13"/>
          <w:szCs w:val="13"/>
          <w:color w:val="auto"/>
        </w:rPr>
        <w:t>In addition, under the Revolving Credit Facility or any future borrowing facility we will be subject to limitations as to how borrowed funds may be used, which may include restrictions on geographic and industry concentrations, loan size, payment frequency and status, average life, collateral interests and investment ratings, as well as regulatory restrictions on leverage, which may affect the amount of funding that may be obtained. There may also be certain requirements relating to portfolio performance, including required minimum portfolio yield and limitations on delinquencies and charge-offs, a violation of which could limit further advances and, in some cases, result in an event of default. An event of default under the Revolving Credit Facility or any other borrowing facility could result in an accelerated maturity date for all amounts outstanding thereunder, which could have a material adverse effect on our business and financial condition. This could reduce our revenues and, by delaying any cash payment allowed to us under the Revolving Credit Facility or any other borrowing facility until the lenders have been paid in full, reduce our liquidity and cash flow and impair our ability to grow our business and maintain our qualification as a RIC.</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hold investments in a collateralized loan obligation vehicle, which investments are subject to a number of significant risks.</w:t>
      </w:r>
    </w:p>
    <w:p>
      <w:pPr>
        <w:spacing w:after="0" w:line="1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Investments in CLOs involve a number of significant risks, including:</w:t>
      </w:r>
    </w:p>
    <w:p>
      <w:pPr>
        <w:spacing w:after="0" w:line="1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•CLOs typically are comprised of a portfolio of senior secured loans; payments on CLO investments are and will be payable solely from the cash-flows from such senior secured loans;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•CLO investments are exposed to leveraged credit risk;</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•CLO Funds are highly leveraged;</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•there is the potential for interruption and deferral of cash-flow from CLO investments;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386" w:right="700" w:bottom="1440" w:gutter="0" w:footer="0" w:header="0"/>
        </w:sectPr>
      </w:pPr>
    </w:p>
    <w:bookmarkStart w:id="24" w:name="page25"/>
    <w:bookmarkEnd w:id="24"/>
    <w:p>
      <w:pPr>
        <w:ind w:left="360"/>
        <w:spacing w:after="0"/>
        <w:rPr>
          <w:sz w:val="20"/>
          <w:szCs w:val="20"/>
          <w:color w:val="auto"/>
        </w:rPr>
      </w:pPr>
      <w:r>
        <w:rPr>
          <w:rFonts w:ascii="Times New Roman" w:cs="Times New Roman" w:eastAsia="Times New Roman" w:hAnsi="Times New Roman"/>
          <w:sz w:val="13"/>
          <w:szCs w:val="13"/>
          <w:color w:val="auto"/>
        </w:rPr>
        <w:t>•interest rates paid by corporate borrowers are subject to volatility;</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•the inability of a CLO collateral manager to reinvest the proceeds of the prepayment of senior secured loans may adversely affect us;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•our CLO investments are subject to prepayments and calls, increasing re-investment risk;</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•we have limited control of the administration and amendment of senior secured loans owned by the CLOs in which we invest;</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•we have limited control of the administration and amendment of any CLO in which we invest;</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•senior secured loans of CLOs may be sold and replaced resulting in a loss to us;</w:t>
      </w:r>
    </w:p>
    <w:p>
      <w:pPr>
        <w:spacing w:after="0" w:line="103" w:lineRule="exact"/>
        <w:rPr>
          <w:sz w:val="20"/>
          <w:szCs w:val="20"/>
          <w:color w:val="auto"/>
        </w:rPr>
      </w:pPr>
    </w:p>
    <w:p>
      <w:pPr>
        <w:ind w:left="360" w:right="60"/>
        <w:spacing w:after="0" w:line="286" w:lineRule="auto"/>
        <w:rPr>
          <w:sz w:val="20"/>
          <w:szCs w:val="20"/>
          <w:color w:val="auto"/>
        </w:rPr>
      </w:pPr>
      <w:r>
        <w:rPr>
          <w:rFonts w:ascii="Times New Roman" w:cs="Times New Roman" w:eastAsia="Times New Roman" w:hAnsi="Times New Roman"/>
          <w:sz w:val="13"/>
          <w:szCs w:val="13"/>
          <w:color w:val="auto"/>
        </w:rPr>
        <w:t>•our financial results may be affected adversely if one or more of our significant equity or junior debt investments in a CLO vehicle defaults on its payment obligations or fails to perform as we expect; and</w:t>
      </w:r>
    </w:p>
    <w:p>
      <w:pPr>
        <w:spacing w:after="0" w:line="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•non-investment grade debt involves a greater risk of default and higher price volatility than investment grade debt.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Because we intend to continue to distribute substantially all of our income and net realized capital gains to our stockholders, we will need additional capital to finance our growth.</w:t>
      </w:r>
    </w:p>
    <w:p>
      <w:pPr>
        <w:spacing w:after="0" w:line="107" w:lineRule="exact"/>
        <w:rPr>
          <w:sz w:val="20"/>
          <w:szCs w:val="20"/>
          <w:color w:val="auto"/>
        </w:rPr>
      </w:pPr>
    </w:p>
    <w:p>
      <w:pPr>
        <w:ind w:right="40" w:firstLine="348"/>
        <w:spacing w:after="0" w:line="255" w:lineRule="auto"/>
        <w:rPr>
          <w:sz w:val="20"/>
          <w:szCs w:val="20"/>
          <w:color w:val="auto"/>
        </w:rPr>
      </w:pPr>
      <w:r>
        <w:rPr>
          <w:rFonts w:ascii="Times New Roman" w:cs="Times New Roman" w:eastAsia="Times New Roman" w:hAnsi="Times New Roman"/>
          <w:sz w:val="13"/>
          <w:szCs w:val="13"/>
          <w:color w:val="auto"/>
        </w:rPr>
        <w:t>In order to continue to qualify as a RIC, to avoid payment of excise taxes and to minimize or avoid payment of U.S. federal income taxes, we intend to continue to distribute to our stockholders substantially all of our net ordinary income and realized net capital gains (although we may retain certain net long-term capital gains, pay applicable U.S. federal income taxes with respect thereto and elect to treat the retained amount as deemed distributions to our stockholders). As a BDC, in order to incur new debt, we are generally required to meet a coverage ratio of total assets to total senior securities, which includes all of our borrowings and any preferred stock we may issue in the future, of at least 150%, as measured immediately after issuance of such security. This requirement limits the amount that we may borrow. Because we will continue to need capital to grow our loan and investment portfolio, this limitation may prevent us from incurring debt and require us to issue additional equity at a time when it may be disadvantageous to do so. We cannot assure you that debt and equity financing will be available to us on favorable terms, or at all, and debt financings may be restricted by the terms of such borrowings. Also, as a business development company, we generally are not permitted to issue equity securities priced below net asset value without stockholder approval. If additional funds are not available to us, we could be forced to curtail or cease new lending and investment activities.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Risks Associated with Our Information Technology Systems</w:t>
      </w:r>
    </w:p>
    <w:p>
      <w:pPr>
        <w:spacing w:after="0" w:line="105"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3"/>
          <w:szCs w:val="13"/>
          <w:color w:val="auto"/>
        </w:rPr>
        <w:t>We rely on various information technology systems to manage our operations. Information technology systems are subject to numerous risks including unanticipated operating problems, system failures, rapid technological change, failure of the systems that operate as anticipated, reliance on third party computer hardware, software and IT service providers, computer viruses, telecommunication failures, data breaches, denial of service attacks, spamming, phishing attacks, computer hackers and other similar disruptions, any of which could materially adversely impact our consolidated financial condition and results of operations. Additional risks include, but are not limited to, the following:</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Disruptions in current systems or difficulties in integrating new systems.</w:t>
      </w:r>
    </w:p>
    <w:p>
      <w:pPr>
        <w:spacing w:after="0" w:line="107" w:lineRule="exact"/>
        <w:rPr>
          <w:sz w:val="20"/>
          <w:szCs w:val="20"/>
          <w:color w:val="auto"/>
        </w:rPr>
      </w:pPr>
    </w:p>
    <w:p>
      <w:pPr>
        <w:ind w:right="360" w:firstLine="348"/>
        <w:spacing w:after="0" w:line="268" w:lineRule="auto"/>
        <w:rPr>
          <w:sz w:val="20"/>
          <w:szCs w:val="20"/>
          <w:color w:val="auto"/>
        </w:rPr>
      </w:pPr>
      <w:r>
        <w:rPr>
          <w:rFonts w:ascii="Times New Roman" w:cs="Times New Roman" w:eastAsia="Times New Roman" w:hAnsi="Times New Roman"/>
          <w:sz w:val="13"/>
          <w:szCs w:val="13"/>
          <w:color w:val="auto"/>
        </w:rPr>
        <w:t>We regularly maintain, upgrade, enhance or replace our information technology systems to support our business strategies and provide business continuity. Replacing legacy systems with successor systems, making changes to existing systems or acquiring new systems with new functionality have inherent risks including disruptions, delays, or difficulties that may impair the effectiveness of our information technology systems.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Internal and external cyber threats, as well as other disasters, could impair our ability to conduct business effectively.</w:t>
      </w:r>
    </w:p>
    <w:p>
      <w:pPr>
        <w:spacing w:after="0" w:line="107" w:lineRule="exact"/>
        <w:rPr>
          <w:sz w:val="20"/>
          <w:szCs w:val="20"/>
          <w:color w:val="auto"/>
        </w:rPr>
      </w:pPr>
    </w:p>
    <w:p>
      <w:pPr>
        <w:jc w:val="both"/>
        <w:ind w:right="80" w:firstLine="348"/>
        <w:spacing w:after="0" w:line="262" w:lineRule="auto"/>
        <w:rPr>
          <w:sz w:val="20"/>
          <w:szCs w:val="20"/>
          <w:color w:val="auto"/>
        </w:rPr>
      </w:pPr>
      <w:r>
        <w:rPr>
          <w:rFonts w:ascii="Times New Roman" w:cs="Times New Roman" w:eastAsia="Times New Roman" w:hAnsi="Times New Roman"/>
          <w:sz w:val="13"/>
          <w:szCs w:val="13"/>
          <w:color w:val="auto"/>
        </w:rPr>
        <w:t>The occurrence of a disaster, such as a cyber- attack against us or against a third-party that has access to our data or networks, a natural catastrophe, an industrial accident, failure of our disaster recovery systems, or consequential employee error, could have an adverse effect on our ability to communicate or conduct business, negatively impacting our operations and financial condition. This adverse effect can become particularly acute if those events affect our electronic data processing, transmission, storage, and retrieval systems, or impact the availability, integrity, or confidentiality of our data.</w:t>
      </w:r>
    </w:p>
    <w:p>
      <w:pPr>
        <w:spacing w:after="0" w:line="67" w:lineRule="exact"/>
        <w:rPr>
          <w:sz w:val="20"/>
          <w:szCs w:val="20"/>
          <w:color w:val="auto"/>
        </w:rPr>
      </w:pPr>
    </w:p>
    <w:p>
      <w:pPr>
        <w:ind w:right="20" w:firstLine="348"/>
        <w:spacing w:after="0" w:line="255" w:lineRule="auto"/>
        <w:rPr>
          <w:sz w:val="20"/>
          <w:szCs w:val="20"/>
          <w:color w:val="auto"/>
        </w:rPr>
      </w:pPr>
      <w:r>
        <w:rPr>
          <w:rFonts w:ascii="Times New Roman" w:cs="Times New Roman" w:eastAsia="Times New Roman" w:hAnsi="Times New Roman"/>
          <w:sz w:val="13"/>
          <w:szCs w:val="13"/>
          <w:color w:val="auto"/>
        </w:rPr>
        <w:t>We depend heavily upon computer systems to perform necessary business functions. Despite our implementation of a variety of security measures, our computer systems, networks, and data, like those of other companies, could be subject to cyber-attacks and unauthorized access, use, alteration, or destruction, such as from physical and electronic break -ins, unauthorized tampering employee impersonation, social engineering or “phishing” attempts. Like other companies, we may experience threats to our data and systems, including malware and computer virus attacks, unauthorized access, system failures and disruptions. If one or more of these events occurs, it could potentially jeopardize the confidential, proprietary, and other information processed, stored in, and transmitted through our computer systems and networks. Cyber-attacks may also be carried out in a manner that does not require gaining unauthorized access, such as causing denial-of-service attacks (i.e., efforts to make network services unavailable to intended users) on websites, servers or other online systems. Cyber security incidents and cyber-attacks have been occurring more frequently and will likely continue to increase. Such an attack could cause interruptions or malfunctions in our operations, which could result in financial losses, misstated or unreliable financial data, litigation, regulatory penalties, client dissatisfaction or loss, reputational damage, and increased costs associated with mitigation of damages and remediation.</w:t>
      </w:r>
    </w:p>
    <w:p>
      <w:pPr>
        <w:spacing w:after="0" w:line="74" w:lineRule="exact"/>
        <w:rPr>
          <w:sz w:val="20"/>
          <w:szCs w:val="20"/>
          <w:color w:val="auto"/>
        </w:rPr>
      </w:pPr>
    </w:p>
    <w:p>
      <w:pPr>
        <w:ind w:firstLine="348"/>
        <w:spacing w:after="0" w:line="268" w:lineRule="auto"/>
        <w:rPr>
          <w:sz w:val="20"/>
          <w:szCs w:val="20"/>
          <w:color w:val="auto"/>
        </w:rPr>
      </w:pPr>
      <w:r>
        <w:rPr>
          <w:rFonts w:ascii="Times New Roman" w:cs="Times New Roman" w:eastAsia="Times New Roman" w:hAnsi="Times New Roman"/>
          <w:sz w:val="13"/>
          <w:szCs w:val="13"/>
          <w:color w:val="auto"/>
        </w:rPr>
        <w:t>Third parties with which we do business may also be sources of cybersecurity or other technological risk. We outsource certain functions and these relationships allow for the storage and processing of our information, as well as client, counterparty, employee, and borrower information. While we engage in actions to reduce our exposure resulting from outsourcing, ongoing threats may result in unauthorized access, loss, exposure, destruction, or other cybersecurity incident that affects our data, resulting in increased costs and other consequences as described above.</w:t>
      </w:r>
    </w:p>
    <w:p>
      <w:pPr>
        <w:spacing w:after="0" w:line="63" w:lineRule="exact"/>
        <w:rPr>
          <w:sz w:val="20"/>
          <w:szCs w:val="20"/>
          <w:color w:val="auto"/>
        </w:rPr>
      </w:pPr>
    </w:p>
    <w:p>
      <w:pPr>
        <w:ind w:right="60" w:firstLine="348"/>
        <w:spacing w:after="0" w:line="259" w:lineRule="auto"/>
        <w:rPr>
          <w:sz w:val="20"/>
          <w:szCs w:val="20"/>
          <w:color w:val="auto"/>
        </w:rPr>
      </w:pPr>
      <w:r>
        <w:rPr>
          <w:rFonts w:ascii="Times New Roman" w:cs="Times New Roman" w:eastAsia="Times New Roman" w:hAnsi="Times New Roman"/>
          <w:sz w:val="13"/>
          <w:szCs w:val="13"/>
          <w:color w:val="auto"/>
        </w:rPr>
        <w:t>Substantial costs may be incurred in order to prevent any cyber incidents in the future. The costs related to cyber or other security threats or disruptions may not be fully insured or indemnified by other means. Privacy and information security laws and regulation changes, and compliance with those changes, may result in cost increases due to system changes and the development of new administrative processes. In addition, we may be required to expend significant additional resources to modify our protective measures and to investigate and remediate vulnerabilities or other exposures arising from operational and security risks. There is no assurance that any efforts to mitigate cybersecurity risks undertaken by us, our affiliates, or our or their respective third-party service providers will be effective.</w:t>
      </w:r>
    </w:p>
    <w:p>
      <w:pPr>
        <w:spacing w:after="0" w:line="16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3"/>
          <w:szCs w:val="13"/>
          <w:b w:val="1"/>
          <w:bCs w:val="1"/>
          <w:color w:val="auto"/>
        </w:rPr>
        <w:t>Risks Related to Our Investments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Inflation may adversely affect the business, results of operations and financial condition of our portfolio companies.</w:t>
      </w:r>
    </w:p>
    <w:p>
      <w:pPr>
        <w:spacing w:after="0" w:line="107" w:lineRule="exact"/>
        <w:rPr>
          <w:sz w:val="20"/>
          <w:szCs w:val="20"/>
          <w:color w:val="auto"/>
        </w:rPr>
      </w:pPr>
    </w:p>
    <w:p>
      <w:pPr>
        <w:ind w:right="200" w:firstLine="348"/>
        <w:spacing w:after="0" w:line="268" w:lineRule="auto"/>
        <w:rPr>
          <w:sz w:val="20"/>
          <w:szCs w:val="20"/>
          <w:color w:val="auto"/>
        </w:rPr>
      </w:pPr>
      <w:r>
        <w:rPr>
          <w:rFonts w:ascii="Times New Roman" w:cs="Times New Roman" w:eastAsia="Times New Roman" w:hAnsi="Times New Roman"/>
          <w:sz w:val="13"/>
          <w:szCs w:val="13"/>
          <w:color w:val="auto"/>
        </w:rPr>
        <w:t>Certain of our portfolio companies are in industries that may be impacted by inflation. If such portfolio companies are unable to pass any increases in their costs of operations along to their customers, it could adversely affect their operating results and impact their ability to pay interest and principal on our loans, particularly if interest rates rise in response to inflation. In addition, any projected future decreases in our portfolio companies’ operating results due to inflation could adversely</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86" w:right="680" w:bottom="1440" w:gutter="0" w:footer="0" w:header="0"/>
        </w:sectPr>
      </w:pPr>
    </w:p>
    <w:bookmarkStart w:id="25" w:name="page26"/>
    <w:bookmarkEnd w:id="25"/>
    <w:p>
      <w:pPr>
        <w:ind w:right="80"/>
        <w:spacing w:after="0" w:line="286" w:lineRule="auto"/>
        <w:rPr>
          <w:sz w:val="20"/>
          <w:szCs w:val="20"/>
          <w:color w:val="auto"/>
        </w:rPr>
      </w:pPr>
      <w:r>
        <w:rPr>
          <w:rFonts w:ascii="Times New Roman" w:cs="Times New Roman" w:eastAsia="Times New Roman" w:hAnsi="Times New Roman"/>
          <w:sz w:val="13"/>
          <w:szCs w:val="13"/>
          <w:color w:val="auto"/>
        </w:rPr>
        <w:t>impact the fair value of those investments. Any decreases in the fair value of our investments could result in future realized or unrealized losses and therefore reduce our net increase (decrease) in net assets resulting from operations.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investments may be risky, and you could lose all or part of your investment.</w:t>
      </w:r>
    </w:p>
    <w:p>
      <w:pPr>
        <w:spacing w:after="0" w:line="107" w:lineRule="exact"/>
        <w:rPr>
          <w:sz w:val="20"/>
          <w:szCs w:val="20"/>
          <w:color w:val="auto"/>
        </w:rPr>
      </w:pPr>
    </w:p>
    <w:p>
      <w:pPr>
        <w:ind w:right="380" w:firstLine="348"/>
        <w:spacing w:after="0" w:line="268" w:lineRule="auto"/>
        <w:rPr>
          <w:sz w:val="20"/>
          <w:szCs w:val="20"/>
          <w:color w:val="auto"/>
        </w:rPr>
      </w:pPr>
      <w:r>
        <w:rPr>
          <w:rFonts w:ascii="Times New Roman" w:cs="Times New Roman" w:eastAsia="Times New Roman" w:hAnsi="Times New Roman"/>
          <w:sz w:val="13"/>
          <w:szCs w:val="13"/>
          <w:color w:val="auto"/>
        </w:rPr>
        <w:t>We invest primarily in senior secured term loans, mezzanine debt and selected equity investments issued by middle market companies, CLO Funds, Joint Ventures and derivatives. The investments in our Debt Securities Portfolio are all or predominantly below investment grade, may be highly leveraged, and therefore have speculative characteristics with respect to the issuer’s capacity to pay interest and repay principal. Defaults by portfolio companies may harm our operating results.</w:t>
      </w:r>
    </w:p>
    <w:p>
      <w:pPr>
        <w:spacing w:after="0" w:line="61" w:lineRule="exact"/>
        <w:rPr>
          <w:sz w:val="20"/>
          <w:szCs w:val="20"/>
          <w:color w:val="auto"/>
        </w:rPr>
      </w:pPr>
    </w:p>
    <w:p>
      <w:pPr>
        <w:ind w:right="20" w:firstLine="348"/>
        <w:spacing w:after="0" w:line="256" w:lineRule="auto"/>
        <w:rPr>
          <w:sz w:val="20"/>
          <w:szCs w:val="20"/>
          <w:color w:val="auto"/>
        </w:rPr>
      </w:pPr>
      <w:r>
        <w:rPr>
          <w:rFonts w:ascii="Times New Roman" w:cs="Times New Roman" w:eastAsia="Times New Roman" w:hAnsi="Times New Roman"/>
          <w:sz w:val="13"/>
          <w:szCs w:val="13"/>
          <w:i w:val="1"/>
          <w:iCs w:val="1"/>
          <w:color w:val="auto"/>
        </w:rPr>
        <w:t>Secured Loans</w:t>
      </w:r>
      <w:r>
        <w:rPr>
          <w:rFonts w:ascii="Times New Roman" w:cs="Times New Roman" w:eastAsia="Times New Roman" w:hAnsi="Times New Roman"/>
          <w:sz w:val="13"/>
          <w:szCs w:val="13"/>
          <w:color w:val="auto"/>
        </w:rPr>
        <w:t>. When we extend secured term loans, we generally take a security interest (either as a first lien position or as a second lien position) in the available assets of these portfolio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companies, including the equity interests of their subsidiaries, which we expect to assist in mitigating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and,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exercise our remedies.</w:t>
      </w:r>
    </w:p>
    <w:p>
      <w:pPr>
        <w:spacing w:after="0" w:line="72" w:lineRule="exact"/>
        <w:rPr>
          <w:sz w:val="20"/>
          <w:szCs w:val="20"/>
          <w:color w:val="auto"/>
        </w:rPr>
      </w:pPr>
    </w:p>
    <w:p>
      <w:pPr>
        <w:ind w:right="180" w:firstLine="348"/>
        <w:spacing w:after="0" w:line="289" w:lineRule="auto"/>
        <w:rPr>
          <w:sz w:val="20"/>
          <w:szCs w:val="20"/>
          <w:color w:val="auto"/>
        </w:rPr>
      </w:pPr>
      <w:r>
        <w:rPr>
          <w:rFonts w:ascii="Times New Roman" w:cs="Times New Roman" w:eastAsia="Times New Roman" w:hAnsi="Times New Roman"/>
          <w:sz w:val="13"/>
          <w:szCs w:val="13"/>
          <w:i w:val="1"/>
          <w:iCs w:val="1"/>
          <w:color w:val="auto"/>
        </w:rPr>
        <w:t>Mezzanine Debt</w:t>
      </w:r>
      <w:r>
        <w:rPr>
          <w:rFonts w:ascii="Times New Roman" w:cs="Times New Roman" w:eastAsia="Times New Roman" w:hAnsi="Times New Roman"/>
          <w:sz w:val="13"/>
          <w:szCs w:val="13"/>
          <w:color w:val="auto"/>
        </w:rPr>
        <w:t>. Our mezzanine debt investments generally are subordinated to senior loans and generally are unsecured. This may result in an above average amount of risk and volatility 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loss of principal.</w:t>
      </w:r>
    </w:p>
    <w:p>
      <w:pPr>
        <w:spacing w:after="0" w:line="50" w:lineRule="exact"/>
        <w:rPr>
          <w:sz w:val="20"/>
          <w:szCs w:val="20"/>
          <w:color w:val="auto"/>
        </w:rPr>
      </w:pPr>
    </w:p>
    <w:p>
      <w:pPr>
        <w:ind w:right="160" w:firstLine="348"/>
        <w:spacing w:after="0" w:line="268" w:lineRule="auto"/>
        <w:rPr>
          <w:sz w:val="20"/>
          <w:szCs w:val="20"/>
          <w:color w:val="auto"/>
        </w:rPr>
      </w:pPr>
      <w:r>
        <w:rPr>
          <w:rFonts w:ascii="Times New Roman" w:cs="Times New Roman" w:eastAsia="Times New Roman" w:hAnsi="Times New Roman"/>
          <w:sz w:val="13"/>
          <w:szCs w:val="13"/>
          <w:color w:val="auto"/>
        </w:rPr>
        <w:t>These investments may entail additional risks that could adversely affect our investment returns. To the extent interest payments associated with such debt are deferred, such debt is subject to greater fluctuations in value based on changes in interest rates and such debt could subject us to phantom income. Since we generally do not receive any cash prior to maturity of the debt, the investment is of greater risk.</w:t>
      </w:r>
    </w:p>
    <w:p>
      <w:pPr>
        <w:spacing w:after="0" w:line="61" w:lineRule="exact"/>
        <w:rPr>
          <w:sz w:val="20"/>
          <w:szCs w:val="20"/>
          <w:color w:val="auto"/>
        </w:rPr>
      </w:pPr>
    </w:p>
    <w:p>
      <w:pPr>
        <w:jc w:val="both"/>
        <w:ind w:firstLine="348"/>
        <w:spacing w:after="0" w:line="263" w:lineRule="auto"/>
        <w:rPr>
          <w:sz w:val="20"/>
          <w:szCs w:val="20"/>
          <w:color w:val="auto"/>
        </w:rPr>
      </w:pPr>
      <w:r>
        <w:rPr>
          <w:rFonts w:ascii="Times New Roman" w:cs="Times New Roman" w:eastAsia="Times New Roman" w:hAnsi="Times New Roman"/>
          <w:sz w:val="13"/>
          <w:szCs w:val="13"/>
          <w:i w:val="1"/>
          <w:iCs w:val="1"/>
          <w:color w:val="auto"/>
        </w:rPr>
        <w:t>Equity Investments</w:t>
      </w:r>
      <w:r>
        <w:rPr>
          <w:rFonts w:ascii="Times New Roman" w:cs="Times New Roman" w:eastAsia="Times New Roman" w:hAnsi="Times New Roman"/>
          <w:sz w:val="13"/>
          <w:szCs w:val="13"/>
          <w:color w:val="auto"/>
        </w:rPr>
        <w:t>. We have made and expect to make selected equity investments in middle market companies. In addition, when we invest in senior secured loans or mezzanine debt, we may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acquire warrants in the equity of the portfolio company. Our goal is ultimately to dispose of such equity interests and realize gains upon our disposition of such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i w:val="1"/>
          <w:iCs w:val="1"/>
          <w:color w:val="auto"/>
        </w:rPr>
        <w:t>Middle Market Companies</w:t>
      </w:r>
      <w:r>
        <w:rPr>
          <w:rFonts w:ascii="Times New Roman" w:cs="Times New Roman" w:eastAsia="Times New Roman" w:hAnsi="Times New Roman"/>
          <w:sz w:val="13"/>
          <w:szCs w:val="13"/>
          <w:color w:val="auto"/>
        </w:rPr>
        <w:t>. Investments in middle market companies also involve a number of significant risks, including:</w:t>
      </w:r>
    </w:p>
    <w:p>
      <w:pPr>
        <w:spacing w:after="0" w:line="105" w:lineRule="exact"/>
        <w:rPr>
          <w:sz w:val="20"/>
          <w:szCs w:val="20"/>
          <w:color w:val="auto"/>
        </w:rPr>
      </w:pPr>
    </w:p>
    <w:p>
      <w:pPr>
        <w:ind w:left="360" w:right="120"/>
        <w:spacing w:after="0" w:line="286" w:lineRule="auto"/>
        <w:rPr>
          <w:sz w:val="20"/>
          <w:szCs w:val="20"/>
          <w:color w:val="auto"/>
        </w:rPr>
      </w:pPr>
      <w:r>
        <w:rPr>
          <w:rFonts w:ascii="Times New Roman" w:cs="Times New Roman" w:eastAsia="Times New Roman" w:hAnsi="Times New Roman"/>
          <w:sz w:val="13"/>
          <w:szCs w:val="13"/>
          <w:color w:val="auto"/>
        </w:rPr>
        <w:t>•limited financial resources and inability to meet their obligations, which may be accompanied by a deterioration in the value of any collateral and a reduction in the likelihood of our realizing the value of any guarantees we may have obtained in connection with our investment;</w:t>
      </w:r>
    </w:p>
    <w:p>
      <w:pPr>
        <w:spacing w:after="0" w:line="52" w:lineRule="exact"/>
        <w:rPr>
          <w:sz w:val="20"/>
          <w:szCs w:val="20"/>
          <w:color w:val="auto"/>
        </w:rPr>
      </w:pPr>
    </w:p>
    <w:p>
      <w:pPr>
        <w:ind w:left="360" w:right="100"/>
        <w:spacing w:after="0" w:line="286" w:lineRule="auto"/>
        <w:rPr>
          <w:sz w:val="20"/>
          <w:szCs w:val="20"/>
          <w:color w:val="auto"/>
        </w:rPr>
      </w:pPr>
      <w:r>
        <w:rPr>
          <w:rFonts w:ascii="Times New Roman" w:cs="Times New Roman" w:eastAsia="Times New Roman" w:hAnsi="Times New Roman"/>
          <w:sz w:val="13"/>
          <w:szCs w:val="13"/>
          <w:color w:val="auto"/>
        </w:rPr>
        <w:t>•shorter operating histories, narrower product lines and smaller market shares than larger businesses, which tend to render them more vulnerable to competitors’ actions and market conditions, as well as general economic downturns;</w:t>
      </w:r>
    </w:p>
    <w:p>
      <w:pPr>
        <w:spacing w:after="0" w:line="52" w:lineRule="exact"/>
        <w:rPr>
          <w:sz w:val="20"/>
          <w:szCs w:val="20"/>
          <w:color w:val="auto"/>
        </w:rPr>
      </w:pPr>
    </w:p>
    <w:p>
      <w:pPr>
        <w:ind w:left="360" w:right="260"/>
        <w:spacing w:after="0" w:line="286" w:lineRule="auto"/>
        <w:rPr>
          <w:sz w:val="20"/>
          <w:szCs w:val="20"/>
          <w:color w:val="auto"/>
        </w:rPr>
      </w:pPr>
      <w:r>
        <w:rPr>
          <w:rFonts w:ascii="Times New Roman" w:cs="Times New Roman" w:eastAsia="Times New Roman" w:hAnsi="Times New Roman"/>
          <w:sz w:val="13"/>
          <w:szCs w:val="13"/>
          <w:color w:val="auto"/>
        </w:rPr>
        <w:t>•dependence on management talents and efforts of a small group of persons; therefore, the death, disability, resignation or termination of one or more of these persons could have a material adverse impact on our portfolio company and, in turn, on us;</w:t>
      </w:r>
    </w:p>
    <w:p>
      <w:pPr>
        <w:spacing w:after="0" w:line="52" w:lineRule="exact"/>
        <w:rPr>
          <w:sz w:val="20"/>
          <w:szCs w:val="20"/>
          <w:color w:val="auto"/>
        </w:rPr>
      </w:pPr>
    </w:p>
    <w:p>
      <w:pPr>
        <w:ind w:left="360" w:right="60"/>
        <w:spacing w:after="0" w:line="286" w:lineRule="auto"/>
        <w:rPr>
          <w:sz w:val="20"/>
          <w:szCs w:val="20"/>
          <w:color w:val="auto"/>
        </w:rPr>
      </w:pPr>
      <w:r>
        <w:rPr>
          <w:rFonts w:ascii="Times New Roman" w:cs="Times New Roman" w:eastAsia="Times New Roman" w:hAnsi="Times New Roman"/>
          <w:sz w:val="13"/>
          <w:szCs w:val="13"/>
          <w:color w:val="auto"/>
        </w:rPr>
        <w:t>•less predictable operating results, being parties to litigation from time to time, engaging in rapidly changing businesses with products subject to a substantial risk of obsolescence and requiring substantial additional capital expenditures to support their operations, finance expansion or maintain their competitive position;</w:t>
      </w:r>
    </w:p>
    <w:p>
      <w:pPr>
        <w:spacing w:after="0" w:line="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•difficulty accessing the capital markets to meet future capital needs; and</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•generally less publicly available information about their businesses, operations and financial condition.</w:t>
      </w:r>
    </w:p>
    <w:p>
      <w:pPr>
        <w:spacing w:after="0" w:line="10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i w:val="1"/>
          <w:iCs w:val="1"/>
          <w:color w:val="auto"/>
        </w:rPr>
        <w:t xml:space="preserve">CLO Fund Investments. </w:t>
      </w:r>
      <w:r>
        <w:rPr>
          <w:rFonts w:ascii="Times New Roman" w:cs="Times New Roman" w:eastAsia="Times New Roman" w:hAnsi="Times New Roman"/>
          <w:sz w:val="13"/>
          <w:szCs w:val="13"/>
          <w:color w:val="auto"/>
        </w:rPr>
        <w:t>Investments in CLO Funds also involve a number of significant risks, including:</w:t>
      </w:r>
    </w:p>
    <w:p>
      <w:pPr>
        <w:spacing w:after="0" w:line="1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•CLOs typically are comprised of a portfolio of senior secured loans; payments on CLO investments are and will be payable solely from the cash-flows from such senior secured loans;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•CLO investments are exposed to leveraged credit risk;</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•CLO Funds are highly leveraged;</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•there is the potential for interruption and deferral of cash-flow from CLO investments;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•interest rates paid by corporate borrowers are subject to volatility;</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•the inability of a CLO collateral manager to reinvest the proceeds of the prepayment of senior secured loans may adversely affect us;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•our CLO investments are subject to prepayments and calls, increasing re-investment risk;</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•we have limited control of the administration and amendment of any CLO in which we invest;</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•senior secured loans of CLOs may be sold and replaced resulting in a loss to us;</w:t>
      </w:r>
    </w:p>
    <w:p>
      <w:pPr>
        <w:spacing w:after="0" w:line="103" w:lineRule="exact"/>
        <w:rPr>
          <w:sz w:val="20"/>
          <w:szCs w:val="20"/>
          <w:color w:val="auto"/>
        </w:rPr>
      </w:pPr>
    </w:p>
    <w:p>
      <w:pPr>
        <w:ind w:left="360" w:right="60"/>
        <w:spacing w:after="0" w:line="286" w:lineRule="auto"/>
        <w:rPr>
          <w:sz w:val="20"/>
          <w:szCs w:val="20"/>
          <w:color w:val="auto"/>
        </w:rPr>
      </w:pPr>
      <w:r>
        <w:rPr>
          <w:rFonts w:ascii="Times New Roman" w:cs="Times New Roman" w:eastAsia="Times New Roman" w:hAnsi="Times New Roman"/>
          <w:sz w:val="13"/>
          <w:szCs w:val="13"/>
          <w:color w:val="auto"/>
        </w:rPr>
        <w:t>•our financial results may be affected adversely if one or more of our significant equity or junior debt investments in a CLO vehicle defaults on its payment obligations or fails to perform as we expect; and</w:t>
      </w:r>
    </w:p>
    <w:p>
      <w:pPr>
        <w:spacing w:after="0" w:line="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•non-investment grade debt involves a greater risk of default and higher price volatility than investment grade debt.</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86" w:right="680" w:bottom="1440" w:gutter="0" w:footer="0" w:header="0"/>
        </w:sectPr>
      </w:pPr>
    </w:p>
    <w:bookmarkStart w:id="26" w:name="page27"/>
    <w:bookmarkEnd w:id="26"/>
    <w:p>
      <w:pPr>
        <w:ind w:right="80" w:firstLine="348"/>
        <w:spacing w:after="0" w:line="263" w:lineRule="auto"/>
        <w:rPr>
          <w:sz w:val="20"/>
          <w:szCs w:val="20"/>
          <w:color w:val="auto"/>
        </w:rPr>
      </w:pPr>
      <w:r>
        <w:rPr>
          <w:rFonts w:ascii="Times New Roman" w:cs="Times New Roman" w:eastAsia="Times New Roman" w:hAnsi="Times New Roman"/>
          <w:sz w:val="13"/>
          <w:szCs w:val="13"/>
          <w:i w:val="1"/>
          <w:iCs w:val="1"/>
          <w:color w:val="auto"/>
        </w:rPr>
        <w:t xml:space="preserve">Unitranche Loans. </w:t>
      </w:r>
      <w:r>
        <w:rPr>
          <w:rFonts w:ascii="Times New Roman" w:cs="Times New Roman" w:eastAsia="Times New Roman" w:hAnsi="Times New Roman"/>
          <w:sz w:val="13"/>
          <w:szCs w:val="13"/>
          <w:color w:val="auto"/>
        </w:rPr>
        <w:t>We may invest in unitranche loans, which are loans that combine both senior and subordinated debt, generally in a first-lien position. Because unitranche loans combine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characteristics of senior and subordinated debt, they have risks similar to the risks associated with the secured debt and subordinated debt according to the combination of loan characteristics of the unitranche loan. Unitranche loans generally allow the borrower to make a large lump sum payment of principal at the end of the loan term and there is heightened risk of loss if the borrower is unable to pay the lump sum or refinance the amount owed at maturity.</w:t>
      </w:r>
    </w:p>
    <w:p>
      <w:pPr>
        <w:spacing w:after="0" w:line="63" w:lineRule="exact"/>
        <w:rPr>
          <w:sz w:val="20"/>
          <w:szCs w:val="20"/>
          <w:color w:val="auto"/>
        </w:rPr>
      </w:pPr>
    </w:p>
    <w:p>
      <w:pPr>
        <w:ind w:right="32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Our portfolio investments for which there is no readily available market, including our investment in our Joint Ventures and our investments in CLO Funds, are recorded at fair value. As a result, there is uncertainty as to the value of these investments.</w:t>
      </w:r>
    </w:p>
    <w:p>
      <w:pPr>
        <w:spacing w:after="0" w:line="48" w:lineRule="exact"/>
        <w:rPr>
          <w:sz w:val="20"/>
          <w:szCs w:val="20"/>
          <w:color w:val="auto"/>
        </w:rPr>
      </w:pPr>
    </w:p>
    <w:p>
      <w:pPr>
        <w:jc w:val="both"/>
        <w:ind w:right="180" w:firstLine="348"/>
        <w:spacing w:after="0" w:line="268" w:lineRule="auto"/>
        <w:rPr>
          <w:sz w:val="20"/>
          <w:szCs w:val="20"/>
          <w:color w:val="auto"/>
        </w:rPr>
      </w:pPr>
      <w:r>
        <w:rPr>
          <w:rFonts w:ascii="Times New Roman" w:cs="Times New Roman" w:eastAsia="Times New Roman" w:hAnsi="Times New Roman"/>
          <w:sz w:val="13"/>
          <w:szCs w:val="13"/>
          <w:color w:val="auto"/>
        </w:rPr>
        <w:t>Our investments consist primarily of securities issued by privately-held companies, the fair value of which is not readily determinable. In addition, we are not permitted to maintain a general reserve for anticipated loan losses. Instead, we are required by the 1940 Act to specifically value each investment and record an unrealized gain or loss for any asset that we believe has increased or decreased in value. These securities are valued at fair value pursuant to a valuation policy approved by our Board.</w:t>
      </w:r>
    </w:p>
    <w:p>
      <w:pPr>
        <w:spacing w:after="0" w:line="63"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3"/>
          <w:szCs w:val="13"/>
          <w:color w:val="auto"/>
        </w:rPr>
        <w:t>We have engaged independent valuation firms to provide third party valuation consulting services to our Adviser and our Board. Each quarter, the independent valuation firms perform third party valuations on our material investments in illiquid securities, such that they are reviewed at least once during a trailing 12 month period. These third-party valuation estimates are one of the relevant data points in the determination of fair value. We and our Adviser intend to continue to engage independent valuation firms in the future to provide certain valuation services, including the review of certain portfolio assets, as part of the quarterly and annual year-end valuation process. In addition to such third-party input, the types of factors that may be considered in valuing our investments include the nature and realizable value of any collateral, the portfolio company’s ability to make payments and its earnings, the markets in which the portfolio company does business, comparison to publicly-traded companies, discounted cash flow and other relevant factors. In addition, our investment in our Joint Venture is carried at fair value, which is determined based on the fair value of the investments held by the Joint Venture. Because such valuations, and particularly valuations of private investments and private companies, are inherently uncertain and may be based on estimates, our Adviser's determinations of fair value may differ materially from the values that would be assessed if a ready market for these securities existed. Our net asset value could be adversely affected if our Adviser's determinations regarding the fair value of our illiquid investments were materially higher than the values that we ultimately realize upon the disposal of such securities.</w:t>
      </w:r>
    </w:p>
    <w:p>
      <w:pPr>
        <w:spacing w:after="0" w:line="73" w:lineRule="exact"/>
        <w:rPr>
          <w:sz w:val="20"/>
          <w:szCs w:val="20"/>
          <w:color w:val="auto"/>
        </w:rPr>
      </w:pPr>
    </w:p>
    <w:p>
      <w:pPr>
        <w:ind w:right="18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We are a non -diversified investment company within the meaning of the 1940 Act, and therefore we may invest a significant portion of our assets in a relatively small number of issuers, which subjects us to a risk of significant loss if any of these issuers defaults on its obligations under any of its debt instruments or as a result of a downturn in the particular industry.</w:t>
      </w:r>
    </w:p>
    <w:p>
      <w:pPr>
        <w:spacing w:after="0" w:line="48" w:lineRule="exact"/>
        <w:rPr>
          <w:sz w:val="20"/>
          <w:szCs w:val="20"/>
          <w:color w:val="auto"/>
        </w:rPr>
      </w:pPr>
    </w:p>
    <w:p>
      <w:pPr>
        <w:ind w:right="40" w:firstLine="348"/>
        <w:spacing w:after="0" w:line="258" w:lineRule="auto"/>
        <w:rPr>
          <w:sz w:val="20"/>
          <w:szCs w:val="20"/>
          <w:color w:val="auto"/>
        </w:rPr>
      </w:pPr>
      <w:r>
        <w:rPr>
          <w:rFonts w:ascii="Times New Roman" w:cs="Times New Roman" w:eastAsia="Times New Roman" w:hAnsi="Times New Roman"/>
          <w:sz w:val="13"/>
          <w:szCs w:val="13"/>
          <w:color w:val="auto"/>
        </w:rPr>
        <w:t>We are classified as a non-diversified investment company within the meaning of the 1940 Act, and therefore we may invest a significant portion of our assets in a relatively small number of issuers in a limited number of industries. Beyond the asset diversification requirements associated with our qualification as a RIC, we do not have fixed guidelines for diversification, and while we are not targeting any specific industries, relatively few industries may become significantly represented among our investments.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changes in fair value over time or a downturn in any particular industry. We may also be more susceptible to any single economic or regulatory occurrence than a diversified investment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Defaults by our portfolio companies could harm our operating results.</w:t>
      </w:r>
    </w:p>
    <w:p>
      <w:pPr>
        <w:spacing w:after="0" w:line="107" w:lineRule="exact"/>
        <w:rPr>
          <w:sz w:val="20"/>
          <w:szCs w:val="20"/>
          <w:color w:val="auto"/>
        </w:rPr>
      </w:pPr>
    </w:p>
    <w:p>
      <w:pPr>
        <w:ind w:right="100" w:firstLine="348"/>
        <w:spacing w:after="0" w:line="255" w:lineRule="auto"/>
        <w:rPr>
          <w:sz w:val="20"/>
          <w:szCs w:val="20"/>
          <w:color w:val="auto"/>
        </w:rPr>
      </w:pPr>
      <w:r>
        <w:rPr>
          <w:rFonts w:ascii="Times New Roman" w:cs="Times New Roman" w:eastAsia="Times New Roman" w:hAnsi="Times New Roman"/>
          <w:sz w:val="13"/>
          <w:szCs w:val="13"/>
          <w:color w:val="auto"/>
        </w:rPr>
        <w:t>A portfolio company’s failure to satisfy financial or operating covenants imposed by us or other debt holders could lead to defaults and, potentially, acceleration of the time when the loans are due and foreclosure on its secured assets. Such events could trigger cross-defaults under other agreements and jeopardize a portfolio company’s ability to meet its obligations under the debt that we hold and the value of any equity securities we own. We may incur expenses to the extent necessary to seek recovery upon default or to negotiate new terms with a defaulting portfolio company. In addition, some of the loans in which we may invest may be "covenant-lite" loans. We use the term "covenant-lite" loans to refer generally to loans that do not have a complete set of financial maintenance covenants. Generally, "covenant-lite" loans provide borrower companies more freedom to negatively impact lenders because their covenants are incurrence- based, which means they are only tested and can only be breached following an affirmative action of the borrower, rather than by a deterioration in the borrower's financial condition. Accordingly, to the extent we invest in "covenant-lite" loans, we may have fewer rights against a borrower and may have a greater risk of loss on such investments as compared to investments in or exposure to loans with financial maintenance covenants.</w:t>
      </w:r>
    </w:p>
    <w:p>
      <w:pPr>
        <w:spacing w:after="0" w:line="74" w:lineRule="exact"/>
        <w:rPr>
          <w:sz w:val="20"/>
          <w:szCs w:val="20"/>
          <w:color w:val="auto"/>
        </w:rPr>
      </w:pPr>
    </w:p>
    <w:p>
      <w:pPr>
        <w:ind w:right="20" w:firstLine="348"/>
        <w:spacing w:after="0" w:line="262" w:lineRule="auto"/>
        <w:rPr>
          <w:sz w:val="20"/>
          <w:szCs w:val="20"/>
          <w:color w:val="auto"/>
        </w:rPr>
      </w:pPr>
      <w:r>
        <w:rPr>
          <w:rFonts w:ascii="Times New Roman" w:cs="Times New Roman" w:eastAsia="Times New Roman" w:hAnsi="Times New Roman"/>
          <w:sz w:val="13"/>
          <w:szCs w:val="13"/>
          <w:color w:val="auto"/>
        </w:rPr>
        <w:t>As part of our lending activities, we may in certain opportunistic circumstances originate loans to companies that are experiencing significant financial or business difficulties, including companies involved in bankruptcy or other reorganization and liquidation proceedings. Any such investment would involve a substantial degree of risk. In any reorganization or liquidation proceeding relating to a company that we fund, we may lose all or part of the amounts advanced to the borrower or may be required to accept collateral with a value less than the amount of the loan advanced by us to the borrower.</w:t>
      </w:r>
    </w:p>
    <w:p>
      <w:pPr>
        <w:spacing w:after="0" w:line="63" w:lineRule="exact"/>
        <w:rPr>
          <w:sz w:val="20"/>
          <w:szCs w:val="20"/>
          <w:color w:val="auto"/>
        </w:rPr>
      </w:pPr>
    </w:p>
    <w:p>
      <w:pPr>
        <w:ind w:right="6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When we are a debt or minority equity investor in a portfolio company, which generally is the case, we may not be in a position to control the entity, and its management may make decisions that could decrease the value of our investment.</w:t>
      </w:r>
    </w:p>
    <w:p>
      <w:pPr>
        <w:spacing w:after="0" w:line="48" w:lineRule="exact"/>
        <w:rPr>
          <w:sz w:val="20"/>
          <w:szCs w:val="20"/>
          <w:color w:val="auto"/>
        </w:rPr>
      </w:pPr>
    </w:p>
    <w:p>
      <w:pPr>
        <w:ind w:right="160" w:firstLine="348"/>
        <w:spacing w:after="0" w:line="268" w:lineRule="auto"/>
        <w:rPr>
          <w:sz w:val="20"/>
          <w:szCs w:val="20"/>
          <w:color w:val="auto"/>
        </w:rPr>
      </w:pPr>
      <w:r>
        <w:rPr>
          <w:rFonts w:ascii="Times New Roman" w:cs="Times New Roman" w:eastAsia="Times New Roman" w:hAnsi="Times New Roman"/>
          <w:sz w:val="13"/>
          <w:szCs w:val="13"/>
          <w:color w:val="auto"/>
        </w:rPr>
        <w:t>Most of our investments are either debt or minority equity investments in our portfolio companies. Therefore, we are subject to the risk that a portfolio company may make business decisions with which we disagree, and the stockholders and management of such company may take risks or otherwise act in ways that do not serve our interests. As a result, a portfolio company may make decisions that could decrease the value of our portfolio holdings. In addition, we generally are not in a position to control any portfolio company by investing in its debt securities.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have limited access to information about privately held companies in which we invest.</w:t>
      </w:r>
    </w:p>
    <w:p>
      <w:pPr>
        <w:spacing w:after="0" w:line="107"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3"/>
          <w:szCs w:val="13"/>
          <w:color w:val="auto"/>
        </w:rPr>
        <w:t>We invest primarily in privately-held companies. Generally, little public information exists about these companies, and we are required to rely on the ability of our investment professionals to obtain adequate information to evaluate the potential returns from investing in these companies. These companies and their financial information are not subject to the Sarbanes-Oxley Act of 2002 and other rules that govern public companies. If we are unable to uncover all material information about these companies, we may not make a fully informed investment decision, and we may lose money on our investment.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Prepayments of our debt investments by our portfolio companies could negatively impact our operating results.</w:t>
      </w:r>
    </w:p>
    <w:p>
      <w:pPr>
        <w:spacing w:after="0" w:line="107" w:lineRule="exact"/>
        <w:rPr>
          <w:sz w:val="20"/>
          <w:szCs w:val="20"/>
          <w:color w:val="auto"/>
        </w:rPr>
      </w:pPr>
    </w:p>
    <w:p>
      <w:pPr>
        <w:ind w:right="120" w:firstLine="348"/>
        <w:spacing w:after="0" w:line="259" w:lineRule="auto"/>
        <w:rPr>
          <w:sz w:val="20"/>
          <w:szCs w:val="20"/>
          <w:color w:val="auto"/>
        </w:rPr>
      </w:pPr>
      <w:r>
        <w:rPr>
          <w:rFonts w:ascii="Times New Roman" w:cs="Times New Roman" w:eastAsia="Times New Roman" w:hAnsi="Times New Roman"/>
          <w:sz w:val="13"/>
          <w:szCs w:val="13"/>
          <w:color w:val="auto"/>
        </w:rPr>
        <w:t>We are subject to the risk that the investments we make in our portfolio companies may be repaid prior to maturity. When this occurs, we generally reinvest these proceeds in temporary investments, pending their future investment in new portfolio companies. These temporary investments typically have substantially lower yields than the debt being prepaid and we could experience significant delays in reinvesting these amounts. Any future investment in a new portfolio company may also be at lower yields than the debt that was repaid. Consequently, our results of operations could be materially adversely affected if one or more of our portfolio companies elects to prepay amounts owed to us. Additionally, prepayments could negatively impact our return on equity, which could result in a decline in the market price of our common stock.</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portfolio companies may incur debt that ranks equal with, or senior to, our investments in such companies.</w:t>
      </w:r>
    </w:p>
    <w:p>
      <w:pPr>
        <w:spacing w:after="0" w:line="107" w:lineRule="exact"/>
        <w:rPr>
          <w:sz w:val="20"/>
          <w:szCs w:val="20"/>
          <w:color w:val="auto"/>
        </w:rPr>
      </w:pPr>
    </w:p>
    <w:p>
      <w:pPr>
        <w:ind w:right="500" w:firstLine="348"/>
        <w:spacing w:after="0" w:line="286" w:lineRule="auto"/>
        <w:rPr>
          <w:sz w:val="20"/>
          <w:szCs w:val="20"/>
          <w:color w:val="auto"/>
        </w:rPr>
      </w:pPr>
      <w:r>
        <w:rPr>
          <w:rFonts w:ascii="Times New Roman" w:cs="Times New Roman" w:eastAsia="Times New Roman" w:hAnsi="Times New Roman"/>
          <w:sz w:val="13"/>
          <w:szCs w:val="13"/>
          <w:color w:val="auto"/>
        </w:rPr>
        <w:t>We invest primarily in debt securities issued by our portfolio companies. In some cases portfolio companies are permitted to have other debt that ranks equal with, or senior to, the debt securities in which we invest. By their terms, such debt instruments may provide that the holders thereof are entitled to receive payment of interest</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84" w:right="680" w:bottom="1440" w:gutter="0" w:footer="0" w:header="0"/>
        </w:sectPr>
      </w:pPr>
    </w:p>
    <w:bookmarkStart w:id="27" w:name="page28"/>
    <w:bookmarkEnd w:id="27"/>
    <w:p>
      <w:pPr>
        <w:ind w:right="40"/>
        <w:spacing w:after="0" w:line="259" w:lineRule="auto"/>
        <w:rPr>
          <w:sz w:val="20"/>
          <w:szCs w:val="20"/>
          <w:color w:val="auto"/>
        </w:rPr>
      </w:pPr>
      <w:r>
        <w:rPr>
          <w:rFonts w:ascii="Times New Roman" w:cs="Times New Roman" w:eastAsia="Times New Roman" w:hAnsi="Times New Roman"/>
          <w:sz w:val="13"/>
          <w:szCs w:val="13"/>
          <w:color w:val="auto"/>
        </w:rPr>
        <w:t>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such portfolio company may not have any remaining assets to use for repaying its obligation to us. In the case of debt ranking equal with debt securities in which we invest, we would have to share on an equal basis any distributions with other creditors holding such debt in the event of an insolvency, liquidation, dissolution, reorganization or bankruptcy of a portfolio company.</w:t>
      </w:r>
    </w:p>
    <w:p>
      <w:pPr>
        <w:spacing w:after="0" w:line="66"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Second priority liens on collateral securing loans that we make to our portfolio companies may be subject to control by senior creditors with first priority liens. If there is a default, the value of the collateral may not be sufficient to repay in full both the first priority creditors and us.</w:t>
      </w:r>
    </w:p>
    <w:p>
      <w:pPr>
        <w:spacing w:after="0" w:line="48" w:lineRule="exact"/>
        <w:rPr>
          <w:sz w:val="20"/>
          <w:szCs w:val="20"/>
          <w:color w:val="auto"/>
        </w:rPr>
      </w:pPr>
    </w:p>
    <w:p>
      <w:pPr>
        <w:ind w:right="80" w:firstLine="348"/>
        <w:spacing w:after="0" w:line="255" w:lineRule="auto"/>
        <w:rPr>
          <w:sz w:val="20"/>
          <w:szCs w:val="20"/>
          <w:color w:val="auto"/>
        </w:rPr>
      </w:pPr>
      <w:r>
        <w:rPr>
          <w:rFonts w:ascii="Times New Roman" w:cs="Times New Roman" w:eastAsia="Times New Roman" w:hAnsi="Times New Roman"/>
          <w:sz w:val="13"/>
          <w:szCs w:val="13"/>
          <w:color w:val="auto"/>
        </w:rPr>
        <w:t>Certain loans that we make are secured by a second priority security interest in the same collateral pledged by a portfolio company to secure senior debt owed by the portfolio company to other traditional lenders. Often the senior lender has procured covenants from the portfolio company prohibiting the incurrence of additional secured debt, without the senior lender’s consent. Prior to, and as a condition of, permitting the portfolio company to borrow money from us secured by the same collateral pledged to the senior lender, the senior lender will require assurances that it will control the disposition of any collateral in the event of bankruptcy or other default. In many such cases, the senior lender will require us to enter into an “intercreditor agreement” prior to permitting the portfolio company to borrow from us. Typically, the intercreditor agreements we are requested to execute expressly subordinate our debt instruments to those held by the senior lender and further provide that the senior lender shall control: (1) the commencement of foreclosure or other proceedings to liquidate and collect on the collateral; (2) the nature, timing and conduct of foreclosure or other collection proceedings; (3) the amendment of any collateral document; (4) the release of the security interests in respect of any collateral; and (5) the waiver of defaults under any security agreement. Because of the control we may cede to senior lenders under intercreditor agreements we may enter, we may be unable to realize the proceeds of any collateral securing some of our loans.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There may be circumstances where our debt investments could be subordinated to claims of other creditors or we could be subject to lender liability claims.</w:t>
      </w:r>
    </w:p>
    <w:p>
      <w:pPr>
        <w:spacing w:after="0" w:line="107" w:lineRule="exact"/>
        <w:rPr>
          <w:sz w:val="20"/>
          <w:szCs w:val="20"/>
          <w:color w:val="auto"/>
        </w:rPr>
      </w:pPr>
    </w:p>
    <w:p>
      <w:pPr>
        <w:jc w:val="both"/>
        <w:ind w:right="100" w:firstLine="348"/>
        <w:spacing w:after="0" w:line="262" w:lineRule="auto"/>
        <w:rPr>
          <w:sz w:val="20"/>
          <w:szCs w:val="20"/>
          <w:color w:val="auto"/>
        </w:rPr>
      </w:pPr>
      <w:r>
        <w:rPr>
          <w:rFonts w:ascii="Times New Roman" w:cs="Times New Roman" w:eastAsia="Times New Roman" w:hAnsi="Times New Roman"/>
          <w:sz w:val="13"/>
          <w:szCs w:val="13"/>
          <w:color w:val="auto"/>
        </w:rPr>
        <w:t>Even though we may have structured certain of our investments as senior loans, if one of our portfolio companies were to go bankrupt, depending on the facts and circumstances, including the size of our investment and the extent to which we actually provided managerial assistance to that portfolio company, a bankruptcy court might recharacterize our debt investment and subordinate all or a portion of our claim to that of other creditors. In addition, lenders can be subject to lender liability claims for actions taken by them where they become too involved in the borrower’s business or exercise control over the borrower. It is possible that we could become subject to a lender’s liability claim, including as a result of actions taken in rendering significant managerial assistance.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investments in equity securities involve a substantial degree of risk.</w:t>
      </w:r>
    </w:p>
    <w:p>
      <w:pPr>
        <w:spacing w:after="0" w:line="107" w:lineRule="exact"/>
        <w:rPr>
          <w:sz w:val="20"/>
          <w:szCs w:val="20"/>
          <w:color w:val="auto"/>
        </w:rPr>
      </w:pPr>
    </w:p>
    <w:p>
      <w:pPr>
        <w:ind w:right="80" w:firstLine="348"/>
        <w:spacing w:after="0" w:line="259" w:lineRule="auto"/>
        <w:rPr>
          <w:sz w:val="20"/>
          <w:szCs w:val="20"/>
          <w:color w:val="auto"/>
        </w:rPr>
      </w:pPr>
      <w:r>
        <w:rPr>
          <w:rFonts w:ascii="Times New Roman" w:cs="Times New Roman" w:eastAsia="Times New Roman" w:hAnsi="Times New Roman"/>
          <w:sz w:val="13"/>
          <w:szCs w:val="13"/>
          <w:color w:val="auto"/>
        </w:rPr>
        <w:t>We purchase common stock and other equity securities, including warrants. Although equity securities have historically generated higher average total returns than fixed-income securities over the long term, equity securities have also experienced significantly more volatility in those returns. The equity securities we acquire may fail to appreciate and may decline in value or become worthless, and our ability to recover our investment depends on our portfolio company’s success. Investments in equity securities involve a number of significant risks, including the risk of further dilution as a result of additional issuances, inability to access additional capital and failure to pay current distributions. Investments in preferred securities involve special risks, such as the risk of deferred distributions, credit risk, illiquidity and limited voting rights.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lack of liquidity in our investments may adversely affect our business.</w:t>
      </w:r>
    </w:p>
    <w:p>
      <w:pPr>
        <w:spacing w:after="0" w:line="107" w:lineRule="exact"/>
        <w:rPr>
          <w:sz w:val="20"/>
          <w:szCs w:val="20"/>
          <w:color w:val="auto"/>
        </w:rPr>
      </w:pPr>
    </w:p>
    <w:p>
      <w:pPr>
        <w:ind w:right="120" w:firstLine="348"/>
        <w:spacing w:after="0" w:line="259" w:lineRule="auto"/>
        <w:rPr>
          <w:sz w:val="20"/>
          <w:szCs w:val="20"/>
          <w:color w:val="auto"/>
        </w:rPr>
      </w:pPr>
      <w:r>
        <w:rPr>
          <w:rFonts w:ascii="Times New Roman" w:cs="Times New Roman" w:eastAsia="Times New Roman" w:hAnsi="Times New Roman"/>
          <w:sz w:val="13"/>
          <w:szCs w:val="13"/>
          <w:color w:val="auto"/>
        </w:rPr>
        <w:t>We may invest in securities issued by private companies. These securities may be subject to legal and other restrictions on resale or otherwise be less liquid than publicly-traded securities. The illiquidity of these investments may make it difficult for us to sell these investments when desired. In addition, if we are required to liquidate all or a portion of our portfolio quickly, we may realize significantly less than the value at which we had previously recorded these investments. Our investments are usually subject to contractual or legal restrictions on resale or are otherwise illiquid because there is usually no established trading market for such investments. The illiquidity of most of our investments may make it difficult for us to dispose of them at a favorable price, and, as a result, we may suffer losses.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investments in foreign securities may involve significant risks in addition to the risks inherent in U.S. investments.</w:t>
      </w:r>
    </w:p>
    <w:p>
      <w:pPr>
        <w:spacing w:after="0" w:line="107" w:lineRule="exact"/>
        <w:rPr>
          <w:sz w:val="20"/>
          <w:szCs w:val="20"/>
          <w:color w:val="auto"/>
        </w:rPr>
      </w:pPr>
    </w:p>
    <w:p>
      <w:pPr>
        <w:jc w:val="both"/>
        <w:ind w:right="60" w:firstLine="348"/>
        <w:spacing w:after="0" w:line="262" w:lineRule="auto"/>
        <w:rPr>
          <w:sz w:val="20"/>
          <w:szCs w:val="20"/>
          <w:color w:val="auto"/>
        </w:rPr>
      </w:pPr>
      <w:r>
        <w:rPr>
          <w:rFonts w:ascii="Times New Roman" w:cs="Times New Roman" w:eastAsia="Times New Roman" w:hAnsi="Times New Roman"/>
          <w:sz w:val="13"/>
          <w:szCs w:val="13"/>
          <w:color w:val="auto"/>
        </w:rPr>
        <w:t>Our investment strategy contemplates that a portion of our investments may be in securities of foreign companies. Investing in foreign companies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67" w:lineRule="exact"/>
        <w:rPr>
          <w:sz w:val="20"/>
          <w:szCs w:val="20"/>
          <w:color w:val="auto"/>
        </w:rPr>
      </w:pPr>
    </w:p>
    <w:p>
      <w:pPr>
        <w:jc w:val="both"/>
        <w:ind w:right="20" w:firstLine="348"/>
        <w:spacing w:after="0" w:line="268" w:lineRule="auto"/>
        <w:rPr>
          <w:sz w:val="20"/>
          <w:szCs w:val="20"/>
          <w:color w:val="auto"/>
        </w:rPr>
      </w:pPr>
      <w:r>
        <w:rPr>
          <w:rFonts w:ascii="Times New Roman" w:cs="Times New Roman" w:eastAsia="Times New Roman" w:hAnsi="Times New Roman"/>
          <w:sz w:val="13"/>
          <w:szCs w:val="13"/>
          <w:color w:val="auto"/>
        </w:rPr>
        <w:t>Although it is anticipated that most of our investments will be denominated in U.S. dollars, our investments that are denominated in a foreign currency will be subject to the risk that the value of a particular currency may change in relation to the U.S. dollar. Among the factors that may affect currency values are trade balances, the level of short-term interest rates, differences in relative values of similar assets in different currencies, long-term opportunities for investment and capital appreciation and political developments.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disposition of our investments may result in contingent liabilities.</w:t>
      </w:r>
    </w:p>
    <w:p>
      <w:pPr>
        <w:spacing w:after="0" w:line="107" w:lineRule="exact"/>
        <w:rPr>
          <w:sz w:val="20"/>
          <w:szCs w:val="20"/>
          <w:color w:val="auto"/>
        </w:rPr>
      </w:pPr>
    </w:p>
    <w:p>
      <w:pPr>
        <w:ind w:right="100" w:firstLine="348"/>
        <w:spacing w:after="0" w:line="262" w:lineRule="auto"/>
        <w:rPr>
          <w:sz w:val="20"/>
          <w:szCs w:val="20"/>
          <w:color w:val="auto"/>
        </w:rPr>
      </w:pPr>
      <w:r>
        <w:rPr>
          <w:rFonts w:ascii="Times New Roman" w:cs="Times New Roman" w:eastAsia="Times New Roman" w:hAnsi="Times New Roman"/>
          <w:sz w:val="13"/>
          <w:szCs w:val="13"/>
          <w:color w:val="auto"/>
        </w:rPr>
        <w:t>We currently expect that a significant portion of our investments will involve lending directly to private companies. In connection with the disposition of an investment in private securities, we may be required to make representations about the business and financial affairs of the portfolio company typical of those made in connection with the sale of a business. We may also be required to indemnify the purchasers of such investment to the extent that any such representations turn out to be inaccurate or with respect to certain potential liabilities. These arrangements may result in contingent liabilities that ultimately yield funding obligations that must be satisfied through our return of certain distributions previously made to us.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not receive any return on our investment in the CLO Funds in which we have invested.</w:t>
      </w:r>
    </w:p>
    <w:p>
      <w:pPr>
        <w:spacing w:after="0" w:line="107" w:lineRule="exact"/>
        <w:rPr>
          <w:sz w:val="20"/>
          <w:szCs w:val="20"/>
          <w:color w:val="auto"/>
        </w:rPr>
      </w:pPr>
    </w:p>
    <w:p>
      <w:pPr>
        <w:ind w:right="40" w:firstLine="348"/>
        <w:spacing w:after="0" w:line="258" w:lineRule="auto"/>
        <w:rPr>
          <w:sz w:val="20"/>
          <w:szCs w:val="20"/>
          <w:color w:val="auto"/>
        </w:rPr>
      </w:pPr>
      <w:r>
        <w:rPr>
          <w:rFonts w:ascii="Times New Roman" w:cs="Times New Roman" w:eastAsia="Times New Roman" w:hAnsi="Times New Roman"/>
          <w:sz w:val="13"/>
          <w:szCs w:val="13"/>
          <w:color w:val="auto"/>
        </w:rPr>
        <w:t>As of December 31, 2024, we had $5.2 million at fair value invested in the subordinated securities, preferred shares, or other securities issued by the CLO Funds. Subordinated securities are the most junior class of securities issued by the CLO Funds and are subordinated in priority of payment to every other class of securities issued by these CLO Funds. Therefore, they only receive cash distributions if the CLO Funds have made all cash interest payments to all other debt securities issued by the CLO Fund. The subordinated securities are also unsecured and rank behind all of the secured creditors, known or unknown, of the CLO Fund, including the holders of the senior securities issued by the CLO Fund. Consequently, to the extent that the value of a CLO Fund’s loan investments has been reduced as a result of conditions in the credit markets, or as a result of defaulted loans or individual fund assets, the value of the subordinated securities at their redemption could be reduced.</w:t>
      </w: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86" w:right="660" w:bottom="1440" w:gutter="0" w:footer="0" w:header="0"/>
        </w:sectPr>
      </w:pPr>
    </w:p>
    <w:bookmarkStart w:id="28" w:name="page29"/>
    <w:bookmarkEnd w:id="28"/>
    <w:p>
      <w:pPr>
        <w:spacing w:after="0" w:line="4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3"/>
          <w:szCs w:val="13"/>
          <w:b w:val="1"/>
          <w:bCs w:val="1"/>
          <w:color w:val="auto"/>
        </w:rPr>
        <w:t>Risks Related to Our Common Stock</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not be able to pay distributions to our stockholders, our distributions may not grow over time, and a portion of distributions paid to our stockholders may be a return of capital.</w:t>
      </w:r>
    </w:p>
    <w:p>
      <w:pPr>
        <w:spacing w:after="0" w:line="107" w:lineRule="exact"/>
        <w:rPr>
          <w:sz w:val="20"/>
          <w:szCs w:val="20"/>
          <w:color w:val="auto"/>
        </w:rPr>
      </w:pPr>
    </w:p>
    <w:p>
      <w:pPr>
        <w:ind w:right="60" w:firstLine="348"/>
        <w:spacing w:after="0" w:line="254" w:lineRule="auto"/>
        <w:rPr>
          <w:sz w:val="20"/>
          <w:szCs w:val="20"/>
          <w:color w:val="auto"/>
        </w:rPr>
      </w:pPr>
      <w:r>
        <w:rPr>
          <w:rFonts w:ascii="Times New Roman" w:cs="Times New Roman" w:eastAsia="Times New Roman" w:hAnsi="Times New Roman"/>
          <w:sz w:val="13"/>
          <w:szCs w:val="13"/>
          <w:color w:val="auto"/>
        </w:rPr>
        <w:t>We intend to continue to make distributions on a quarterly basis to our stockholders out of assets legally available for distribution. We may not be able to achieve investment results that will allow us to make a specified level of cash distributions or year-to-year increases in cash distributions. Our ability to pay distributions might be adversely affected by, among other things, the impact of one or more of the risk factors described herein. In addition, the inability to satisfy the asset coverage test applicable to us as a BDC could limit our ability to pay distributions. In addition, due to the asset coverage test applicable to us as a BDC and covenants that we agreed to in connection with the issuance of the 4.875% Notes Due 2026 we are limited in our ability to make distributions in certain circumstances. In this regard, we agreed in connection with our issuance of 4.875% Notes Due 2026 that for the period of time during which the 4.875% Notes Due 2026 are outstanding, we will not violate (regardless of whether we are subject to) Section 18(a)(1)(B) as modified by Section 61(a)(1) of the 1940 Act. These provisions generally prohibit us from declaring any cash dividend or distribution upon our common stock, or purchasing any such common stock if our asset coverage, as defined in the 1940 Act, is below 150% at the time of the declaration of the dividend or distribution or the purchase and after deducting the amount of such dividend, distribution or purchase. Further, if we invest a greater amount of assets in equity securities that do not pay current dividends, it could reduce the amount available for distribution.</w:t>
      </w:r>
    </w:p>
    <w:p>
      <w:pPr>
        <w:spacing w:after="0" w:line="77" w:lineRule="exact"/>
        <w:rPr>
          <w:sz w:val="20"/>
          <w:szCs w:val="20"/>
          <w:color w:val="auto"/>
        </w:rPr>
      </w:pPr>
    </w:p>
    <w:p>
      <w:pPr>
        <w:ind w:right="20" w:firstLine="348"/>
        <w:spacing w:after="0" w:line="286" w:lineRule="auto"/>
        <w:rPr>
          <w:sz w:val="20"/>
          <w:szCs w:val="20"/>
          <w:color w:val="auto"/>
        </w:rPr>
      </w:pPr>
      <w:r>
        <w:rPr>
          <w:rFonts w:ascii="Times New Roman" w:cs="Times New Roman" w:eastAsia="Times New Roman" w:hAnsi="Times New Roman"/>
          <w:sz w:val="13"/>
          <w:szCs w:val="13"/>
          <w:color w:val="auto"/>
        </w:rPr>
        <w:t>All distributions will be paid at the discretion of our Board and will depend on our earnings, our financial condition, maintenance of our RIC status, compliance with applicable BDC regulations and such other factors as our Board may deem relevant from time to time. We cannot assure you that we will pay distributions to our stockholders in the future.</w:t>
      </w:r>
    </w:p>
    <w:p>
      <w:pPr>
        <w:spacing w:after="0" w:line="52" w:lineRule="exact"/>
        <w:rPr>
          <w:sz w:val="20"/>
          <w:szCs w:val="20"/>
          <w:color w:val="auto"/>
        </w:rPr>
      </w:pPr>
    </w:p>
    <w:p>
      <w:pPr>
        <w:ind w:right="20" w:firstLine="348"/>
        <w:spacing w:after="0" w:line="259" w:lineRule="auto"/>
        <w:rPr>
          <w:sz w:val="20"/>
          <w:szCs w:val="20"/>
          <w:color w:val="auto"/>
        </w:rPr>
      </w:pPr>
      <w:r>
        <w:rPr>
          <w:rFonts w:ascii="Times New Roman" w:cs="Times New Roman" w:eastAsia="Times New Roman" w:hAnsi="Times New Roman"/>
          <w:sz w:val="13"/>
          <w:szCs w:val="13"/>
          <w:color w:val="auto"/>
        </w:rPr>
        <w:t>When we make quarterly distributions, we will be required to determine the extent to which such distributions are paid out of current or accumulated earnings, from recognized capital gains or from capital. To the extent there is a return of capital, investors will be required to reduce their basis in our stock for U.S. federal income tax purposes, which may result in higher tax liability when the shares are sold, even if they have not increased in value or have lost value. Our distributions have over the last several years included a significant return of capital component. For more information about our distributions over the last several years that have included a return of capital component, see Note 7 — “Taxable Income” to our consolidated financial statements included elsewhere in this Annual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Investing in shares of our common stock may involve an above average degree of risk.</w:t>
      </w:r>
    </w:p>
    <w:p>
      <w:pPr>
        <w:spacing w:after="0" w:line="107" w:lineRule="exact"/>
        <w:rPr>
          <w:sz w:val="20"/>
          <w:szCs w:val="20"/>
          <w:color w:val="auto"/>
        </w:rPr>
      </w:pPr>
    </w:p>
    <w:p>
      <w:pPr>
        <w:ind w:right="120" w:firstLine="348"/>
        <w:spacing w:after="0" w:line="286" w:lineRule="auto"/>
        <w:rPr>
          <w:sz w:val="20"/>
          <w:szCs w:val="20"/>
          <w:color w:val="auto"/>
        </w:rPr>
      </w:pPr>
      <w:r>
        <w:rPr>
          <w:rFonts w:ascii="Times New Roman" w:cs="Times New Roman" w:eastAsia="Times New Roman" w:hAnsi="Times New Roman"/>
          <w:sz w:val="13"/>
          <w:szCs w:val="13"/>
          <w:color w:val="auto"/>
        </w:rPr>
        <w:t>The investments we make in accordance with our investment objective may result in a higher amount of risk, volatility or loss of principal than alternative investment options. Our investments in portfolio companies may be highly speculative, and therefore, an investment in our common stock may not be suitable for investors with lower risk tolerance.</w:t>
      </w:r>
    </w:p>
    <w:p>
      <w:pPr>
        <w:spacing w:after="0" w:line="48" w:lineRule="exact"/>
        <w:rPr>
          <w:sz w:val="20"/>
          <w:szCs w:val="20"/>
          <w:color w:val="auto"/>
        </w:rPr>
      </w:pPr>
    </w:p>
    <w:p>
      <w:pPr>
        <w:ind w:right="10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Shares of closed-end investment companies, including BDCs, frequently trade at a discount to their net asset value, and we cannot assure you that the market price of our common stock will not decline below the net asset value of the stock.</w:t>
      </w:r>
    </w:p>
    <w:p>
      <w:pPr>
        <w:spacing w:after="0" w:line="48" w:lineRule="exact"/>
        <w:rPr>
          <w:sz w:val="20"/>
          <w:szCs w:val="20"/>
          <w:color w:val="auto"/>
        </w:rPr>
      </w:pPr>
    </w:p>
    <w:p>
      <w:pPr>
        <w:ind w:right="40" w:firstLine="348"/>
        <w:spacing w:after="0" w:line="259" w:lineRule="auto"/>
        <w:rPr>
          <w:sz w:val="20"/>
          <w:szCs w:val="20"/>
          <w:color w:val="auto"/>
        </w:rPr>
      </w:pPr>
      <w:r>
        <w:rPr>
          <w:rFonts w:ascii="Times New Roman" w:cs="Times New Roman" w:eastAsia="Times New Roman" w:hAnsi="Times New Roman"/>
          <w:sz w:val="13"/>
          <w:szCs w:val="13"/>
          <w:color w:val="auto"/>
        </w:rPr>
        <w:t>We cannot predict the price at which our common stock will trade. Shares of closed-end investment companies frequently trade at a discount to their net asset value and our stock may also be discounted in the market. This characteristic of closed- end investment companies is separate and distinct from the risk that our net asset value per share may decline. We cannot predict whether shares of our common stock will trade above, at or below our net asset value. The risk of loss associated with this characteristic of closed-end investment companies may be greater for investors expecting to sell shares of common stock soon after the purchase of such shares of common stock. In addition, if our common stock trades below its net asset value, we will generally not be able to issue additional shares of our common stock at its market price without first obtaining the approval of our stockholders and our independent directors.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share price may be volatile and may fluctuate substantially.</w:t>
      </w:r>
    </w:p>
    <w:p>
      <w:pPr>
        <w:spacing w:after="0" w:line="107" w:lineRule="exact"/>
        <w:rPr>
          <w:sz w:val="20"/>
          <w:szCs w:val="20"/>
          <w:color w:val="auto"/>
        </w:rPr>
      </w:pPr>
    </w:p>
    <w:p>
      <w:pPr>
        <w:ind w:right="140" w:firstLine="348"/>
        <w:spacing w:after="0" w:line="286" w:lineRule="auto"/>
        <w:rPr>
          <w:sz w:val="20"/>
          <w:szCs w:val="20"/>
          <w:color w:val="auto"/>
        </w:rPr>
      </w:pPr>
      <w:r>
        <w:rPr>
          <w:rFonts w:ascii="Times New Roman" w:cs="Times New Roman" w:eastAsia="Times New Roman" w:hAnsi="Times New Roman"/>
          <w:sz w:val="13"/>
          <w:szCs w:val="13"/>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•price and volume fluctuations in the overall stock market from time to time;</w:t>
      </w:r>
    </w:p>
    <w:p>
      <w:pPr>
        <w:spacing w:after="0" w:line="103" w:lineRule="exact"/>
        <w:rPr>
          <w:sz w:val="20"/>
          <w:szCs w:val="20"/>
          <w:color w:val="auto"/>
        </w:rPr>
      </w:pPr>
    </w:p>
    <w:p>
      <w:pPr>
        <w:ind w:left="360" w:right="320"/>
        <w:spacing w:after="0" w:line="286" w:lineRule="auto"/>
        <w:rPr>
          <w:sz w:val="20"/>
          <w:szCs w:val="20"/>
          <w:color w:val="auto"/>
        </w:rPr>
      </w:pPr>
      <w:r>
        <w:rPr>
          <w:rFonts w:ascii="Times New Roman" w:cs="Times New Roman" w:eastAsia="Times New Roman" w:hAnsi="Times New Roman"/>
          <w:sz w:val="13"/>
          <w:szCs w:val="13"/>
          <w:color w:val="auto"/>
        </w:rPr>
        <w:t>•significant volatility in the market price and trading volume of securities of BDCs or other companies in our sector, which are not necessarily related to the operating performance of these companies or to us;</w:t>
      </w:r>
    </w:p>
    <w:p>
      <w:pPr>
        <w:spacing w:after="0" w:line="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•our inability to deploy or invest our capital;</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•fluctuations in interest rates;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•any shortfall in revenue or net income or any increase in losses from levels expected by investors or securities analysts;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•operating performance of companies comparable to us;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•changes in regulatory policies or tax rules, particularly with respect to RICs or BDCs;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•inability to maintain our qualification as a RIC for U.S. federal income tax purposes;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•changes in earnings or variations in operating results;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•changes in the value of our portfolio;</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•general economic conditions and trends; and</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•departure of key personnel.</w:t>
      </w:r>
    </w:p>
    <w:p>
      <w:pPr>
        <w:spacing w:after="0" w:line="99" w:lineRule="exact"/>
        <w:rPr>
          <w:sz w:val="20"/>
          <w:szCs w:val="20"/>
          <w:color w:val="auto"/>
        </w:rPr>
      </w:pPr>
    </w:p>
    <w:p>
      <w:pPr>
        <w:ind w:right="44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Certain provisions of the Delaware General Corporation Law and our certificate of incorporation and bylaws could deter takeover attempts and have an adverse impact on the price of our common stock.</w:t>
      </w:r>
    </w:p>
    <w:p>
      <w:pPr>
        <w:spacing w:after="0" w:line="48"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3"/>
          <w:szCs w:val="13"/>
          <w:color w:val="auto"/>
        </w:rPr>
        <w:t>The Delaware General Corporation Law, our certificate of incorporation and our bylaws contain provisions that may have the effect of discouraging a third party from making an acquisition proposal for us. Our Board is divided into three classes of directors serving staggered three- year terms, which could prevent stockholders from removing a majority of directors in any given election. Our Board may, without stockholder action, authorize the issuance of shares in one or more classes or series, including shares of preferred stock. These anti-takeover provisions may inhibit a change in control in circumstances that could give the holders of our common stock the opportunity to realize a premium over the market price of our common stock.</w:t>
      </w:r>
    </w:p>
    <w:p>
      <w:pPr>
        <w:spacing w:after="0" w:line="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9" w:name="page30"/>
    <w:bookmarkEnd w:id="29"/>
    <w:p>
      <w:pPr>
        <w:spacing w:after="0" w:line="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b w:val="1"/>
          <w:bCs w:val="1"/>
          <w:color w:val="auto"/>
        </w:rPr>
        <w:t>Risks Related to Our Notes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4.875% Notes due 2026 are unsecured and therefore are effectively subordinated to any secured indebtedness we may incur.</w:t>
      </w:r>
    </w:p>
    <w:p>
      <w:pPr>
        <w:spacing w:after="0" w:line="107" w:lineRule="exact"/>
        <w:rPr>
          <w:sz w:val="20"/>
          <w:szCs w:val="20"/>
          <w:color w:val="auto"/>
        </w:rPr>
      </w:pPr>
    </w:p>
    <w:p>
      <w:pPr>
        <w:ind w:right="200" w:firstLine="384"/>
        <w:spacing w:after="0" w:line="259" w:lineRule="auto"/>
        <w:rPr>
          <w:sz w:val="20"/>
          <w:szCs w:val="20"/>
          <w:color w:val="auto"/>
        </w:rPr>
      </w:pPr>
      <w:r>
        <w:rPr>
          <w:rFonts w:ascii="Times New Roman" w:cs="Times New Roman" w:eastAsia="Times New Roman" w:hAnsi="Times New Roman"/>
          <w:sz w:val="13"/>
          <w:szCs w:val="13"/>
          <w:color w:val="auto"/>
        </w:rPr>
        <w:t>The 4.875% Notes due 2026 are not secured by any of our assets or any of the assets of our subsidiaries. As a result, the 4.875% Notes due 2026 are effectively subordinated to any secured indebtedness we or our subsidiaries have currently incurred or that we or our subsidiaries may incur in the future (or any indebtedness that is initially unsecured in respect of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4.875% Notes due 2026.</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4.875% Notes due 2026 are subordinated structurally to the indebtedness and other liabilities of our subsidiaries.</w:t>
      </w:r>
    </w:p>
    <w:p>
      <w:pPr>
        <w:spacing w:after="0" w:line="131"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3"/>
          <w:szCs w:val="13"/>
          <w:color w:val="auto"/>
        </w:rPr>
        <w:t>The 4.875% Notes due 2026 are obligations exclusively of Portman Ridge Finance Corporation and not of any of our subsidiaries. None of our subsidiaries is a guarantor of the 4.875% Notes due 2026, and the 4.875% Notes due 2026 are not required to be guaranteed by any subsidiaries we may acquire or create in the future. Except to the extent we are a creditor with recognized claims against our subsidiaries, all claims of creditors, including trade creditors, and holders of our preferred stock, if any, of our subsidiaries will have priority over our claims (and therefore the claims of our creditors, including holders of the 4.875% Notes due 2026) with respect to the assets of such subsidiaries. Even if we were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w:t>
      </w:r>
    </w:p>
    <w:p>
      <w:pPr>
        <w:ind w:right="140"/>
        <w:spacing w:after="0" w:line="257" w:lineRule="auto"/>
        <w:rPr>
          <w:sz w:val="20"/>
          <w:szCs w:val="20"/>
          <w:color w:val="auto"/>
        </w:rPr>
      </w:pPr>
      <w:r>
        <w:rPr>
          <w:rFonts w:ascii="Times New Roman" w:cs="Times New Roman" w:eastAsia="Times New Roman" w:hAnsi="Times New Roman"/>
          <w:sz w:val="13"/>
          <w:szCs w:val="13"/>
          <w:color w:val="auto"/>
        </w:rPr>
        <w:t>4.875% Notes due 2026 are subordinated structurally to all indebtedness and other liabilities of any of our subsidiaries and any subsidiaries that we may in the future acquire or establish as financing vehicles or otherwise. All of the existing indebtedness of our subsidiaries is structurally senior to the 4.875% Notes due 2026. In addition, our subsidiaries may incur substantial additional indebtedness in the future, all of which would be structurally senior to the 4.875% Notes due 2026.</w:t>
      </w:r>
    </w:p>
    <w:p>
      <w:pPr>
        <w:spacing w:after="0" w:line="90" w:lineRule="exact"/>
        <w:rPr>
          <w:sz w:val="20"/>
          <w:szCs w:val="20"/>
          <w:color w:val="auto"/>
        </w:rPr>
      </w:pPr>
    </w:p>
    <w:p>
      <w:pPr>
        <w:ind w:right="6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There is currently no public market for the 4.875% Notes due 2026. If an active trading market for the 4.875% Notes due 2026 does not develop or is not maintained, holders of the 4.875% Notes due 2026 may not be able to sell them.</w:t>
      </w:r>
    </w:p>
    <w:p>
      <w:pPr>
        <w:spacing w:after="0" w:line="72" w:lineRule="exact"/>
        <w:rPr>
          <w:sz w:val="20"/>
          <w:szCs w:val="20"/>
          <w:color w:val="auto"/>
        </w:rPr>
      </w:pPr>
    </w:p>
    <w:p>
      <w:pPr>
        <w:ind w:right="60" w:firstLine="348"/>
        <w:spacing w:after="0" w:line="254" w:lineRule="auto"/>
        <w:rPr>
          <w:sz w:val="20"/>
          <w:szCs w:val="20"/>
          <w:color w:val="auto"/>
        </w:rPr>
      </w:pPr>
      <w:r>
        <w:rPr>
          <w:rFonts w:ascii="Times New Roman" w:cs="Times New Roman" w:eastAsia="Times New Roman" w:hAnsi="Times New Roman"/>
          <w:sz w:val="13"/>
          <w:szCs w:val="13"/>
          <w:color w:val="auto"/>
        </w:rPr>
        <w:t>There is currently no trading market for the 4.875% Notes due 2026 and we do not currently intend to apply for listing of the 4.875% Notes due 2026 on any securities exchange or for quotation of the 4.875% Notes due 2026 on any automated dealer quotation system. If no active trading market develops, you may not be able to resell your 4.875% Notes due 2026 at their fair market value or at all. If the 4.875% Notes due 2026 are traded after their initial issuance, they may trade at a discount from their initial offering price depending on prevailing interest rates, the market for similar securities, our credit ratings, general economic conditions, our financial condition, performance and prospects and other factors. Certain of the initial purchasers in the private offerings of the outstanding 4.875% Notes due 2026 have advised us that they intend to make a market in the 4.875% Notes due 2026 as permitted by applicable laws and regulations; however, the initial purchasers are not obligated to make a market in any of the 4.875% Notes due 2026, and they may discontinue their market-making activities at any time without notice. Accordingly, we cannot assure you that an active and liquid trading market will develop or continue for the 4.875% Notes due 2026, that you will be able to sell your 4.875% Notes due 2026 at a particular time or that the price you receive when you sell will be favorable. To the extent an active trading market does not develop, the liquidity and trading price for the 4.875% Notes due 2026 may be harmed. Accordingly, you may be required to bear the financial risk of an investment in the 4.875% Notes due 2026 for an indefinite period of time.</w:t>
      </w:r>
    </w:p>
    <w:p>
      <w:pPr>
        <w:spacing w:after="0" w:line="73" w:lineRule="exact"/>
        <w:rPr>
          <w:sz w:val="20"/>
          <w:szCs w:val="20"/>
          <w:color w:val="auto"/>
        </w:rPr>
      </w:pPr>
    </w:p>
    <w:p>
      <w:pPr>
        <w:ind w:right="8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A downgrade, suspension or withdrawal of the credit rating assigned by a rating agency to us or the 4.875% Notes due 2026, if any, could cause the liquidity or market value of the 4.875% Notes due 2026 to decline significantly.</w:t>
      </w:r>
    </w:p>
    <w:p>
      <w:pPr>
        <w:spacing w:after="0" w:line="48" w:lineRule="exact"/>
        <w:rPr>
          <w:sz w:val="20"/>
          <w:szCs w:val="20"/>
          <w:color w:val="auto"/>
        </w:rPr>
      </w:pPr>
    </w:p>
    <w:p>
      <w:pPr>
        <w:ind w:right="120" w:firstLine="384"/>
        <w:spacing w:after="0" w:line="262" w:lineRule="auto"/>
        <w:rPr>
          <w:sz w:val="20"/>
          <w:szCs w:val="20"/>
          <w:color w:val="auto"/>
        </w:rPr>
      </w:pPr>
      <w:r>
        <w:rPr>
          <w:rFonts w:ascii="Times New Roman" w:cs="Times New Roman" w:eastAsia="Times New Roman" w:hAnsi="Times New Roman"/>
          <w:sz w:val="13"/>
          <w:szCs w:val="13"/>
          <w:color w:val="auto"/>
        </w:rPr>
        <w:t>Our credit ratings are an assessment by rating agencies of our ability to pay our debts when due. Consequently, real or anticipated changes in our credit ratings will generally affect the market value of the 4.875% Notes due 2026. These credit ratings may not reflect the potential impact of risks relating to the structure or marketing of the 4.875% Notes due 2026. Credit ratings are not a recommendation to buy, sell or hold any security, and may be revised or withdrawn at any time by the issuing organization in its sole discretion. Neither we nor any initial purchaser of the 4.875% Notes due 2026 undertakes any obligation to maintain our credit ratings or to advise holders of the 4.875% Notes due 2026 of any changes in our credit ratings.</w:t>
      </w:r>
    </w:p>
    <w:p>
      <w:pPr>
        <w:spacing w:after="0" w:line="67" w:lineRule="exact"/>
        <w:rPr>
          <w:sz w:val="20"/>
          <w:szCs w:val="20"/>
          <w:color w:val="auto"/>
        </w:rPr>
      </w:pPr>
    </w:p>
    <w:p>
      <w:pPr>
        <w:ind w:right="20" w:firstLine="381"/>
        <w:spacing w:after="0" w:line="262" w:lineRule="auto"/>
        <w:rPr>
          <w:sz w:val="20"/>
          <w:szCs w:val="20"/>
          <w:color w:val="auto"/>
        </w:rPr>
      </w:pPr>
      <w:r>
        <w:rPr>
          <w:rFonts w:ascii="Times New Roman" w:cs="Times New Roman" w:eastAsia="Times New Roman" w:hAnsi="Times New Roman"/>
          <w:sz w:val="13"/>
          <w:szCs w:val="13"/>
          <w:color w:val="auto"/>
        </w:rPr>
        <w:t>The 4.875% Notes due 2026 are subject to periodic review by independent credit rating agencies. Such ratings are limited in scope and do not address all material risks relating to an investment in the 4.875% Notes due 2026, but rather reflect only the view of each rating agency at the time the rating is issued. An explanation of the significance of such rating may be obtained from such rating agency. There can be no assurance that their respective credit ratings will remain for any given period of time or that such credit ratings will not be lowered or withdrawn entirely by the applicable ratings agency if in its judgment future circumstances relating to the basis of the credit rating, such as adverse changes in our business, financial condition and results of operations, so warrant.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An increase in market interest rates could result in a decrease in the market value of the 4.875% Notes due 2026.</w:t>
      </w:r>
    </w:p>
    <w:p>
      <w:pPr>
        <w:spacing w:after="0" w:line="107" w:lineRule="exact"/>
        <w:rPr>
          <w:sz w:val="20"/>
          <w:szCs w:val="20"/>
          <w:color w:val="auto"/>
        </w:rPr>
      </w:pPr>
    </w:p>
    <w:p>
      <w:pPr>
        <w:ind w:right="20" w:firstLine="381"/>
        <w:spacing w:after="0" w:line="268" w:lineRule="auto"/>
        <w:rPr>
          <w:sz w:val="20"/>
          <w:szCs w:val="20"/>
          <w:color w:val="auto"/>
        </w:rPr>
      </w:pPr>
      <w:r>
        <w:rPr>
          <w:rFonts w:ascii="Times New Roman" w:cs="Times New Roman" w:eastAsia="Times New Roman" w:hAnsi="Times New Roman"/>
          <w:sz w:val="13"/>
          <w:szCs w:val="13"/>
          <w:color w:val="auto"/>
        </w:rPr>
        <w:t>The condition of the financial markets and fluctuations in prevailing interest rates could have an adverse effect on the market prices of the 4.875% Notes due 2026. In general, as market interest rates rise, debt securities bearing interest at fixed rates of interest decline in value. Consequently, if you purchase 4.875% Notes due 2026 bearing interest at fixed rates and market interest rates increase, the market values of those 4.875% Notes due 2026 may decline. We cannot predict the future level of market interest rates.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indenture governing the 4.875% Notes due 2026 contains limited protection for holders of the 4.875% Notes due 2026.</w:t>
      </w:r>
    </w:p>
    <w:p>
      <w:pPr>
        <w:spacing w:after="0" w:line="107" w:lineRule="exact"/>
        <w:rPr>
          <w:sz w:val="20"/>
          <w:szCs w:val="20"/>
          <w:color w:val="auto"/>
        </w:rPr>
      </w:pPr>
    </w:p>
    <w:p>
      <w:pPr>
        <w:ind w:right="60" w:firstLine="381"/>
        <w:spacing w:after="0" w:line="268" w:lineRule="auto"/>
        <w:rPr>
          <w:sz w:val="20"/>
          <w:szCs w:val="20"/>
          <w:color w:val="auto"/>
        </w:rPr>
      </w:pPr>
      <w:r>
        <w:rPr>
          <w:rFonts w:ascii="Times New Roman" w:cs="Times New Roman" w:eastAsia="Times New Roman" w:hAnsi="Times New Roman"/>
          <w:sz w:val="13"/>
          <w:szCs w:val="13"/>
          <w:color w:val="auto"/>
        </w:rPr>
        <w:t>The indenture governing the 4.875% Notes due 2026 offers limited protection to holders of the 4.875% Notes due 2026. The terms of the indenture and the 4.875% Notes due 2026 do not restrict our or any of our subsidiaries’ ability to engage in, or otherwise be a party to, a variety of corporate transactions, circumstances or events that could have an adverse impact on your investment in the 4.875% Notes due 2026. In particular, the terms of the indenture and the 4.875% Notes due 2026 do not place any restrictions on our or our subsidiaries’ ability to:</w:t>
      </w:r>
    </w:p>
    <w:p>
      <w:pPr>
        <w:spacing w:after="0" w:line="63" w:lineRule="exact"/>
        <w:rPr>
          <w:sz w:val="20"/>
          <w:szCs w:val="20"/>
          <w:color w:val="auto"/>
        </w:rPr>
      </w:pPr>
    </w:p>
    <w:p>
      <w:pPr>
        <w:ind w:left="360" w:right="60"/>
        <w:spacing w:after="0" w:line="257" w:lineRule="auto"/>
        <w:rPr>
          <w:sz w:val="20"/>
          <w:szCs w:val="20"/>
          <w:color w:val="auto"/>
        </w:rPr>
      </w:pPr>
      <w:r>
        <w:rPr>
          <w:rFonts w:ascii="Times New Roman" w:cs="Times New Roman" w:eastAsia="Times New Roman" w:hAnsi="Times New Roman"/>
          <w:sz w:val="13"/>
          <w:szCs w:val="13"/>
          <w:color w:val="auto"/>
        </w:rPr>
        <w:t>•issue securities or otherwise incur additional indebtedness or other obligations, including (1) any indebtedness or other obligations that would be equal in right of payment to the 4.875% Notes due 2026, (2) any indebtedness or other obligations that would be secured and therefore rank effectively senior in right of payment to the 4.875% Notes due 2026 to the extent of the values of the assets securing such debt, (3) indebtedness of ours that is guaranteed by one or more of our subsidiaries and which therefore is structurally senior to the 4.875% Notes due 2026 and (4) securities, indebtedness or obligations issued or incurred by our subsidiaries that would be senior to our equity interests in our subsidiaries and therefore rank structurally senior to the 4.875% Notes due 2026 with respect to the assets of our subsidiaries, in each case other than an incurrence of indebtedness that would cause a violation of Section 18(a)(1)(A) of the 1940 Act as modified by Section 61(a)(2) of the 1940 Act;</w:t>
      </w:r>
    </w:p>
    <w:p>
      <w:pPr>
        <w:spacing w:after="0" w:line="72" w:lineRule="exact"/>
        <w:rPr>
          <w:sz w:val="20"/>
          <w:szCs w:val="20"/>
          <w:color w:val="auto"/>
        </w:rPr>
      </w:pPr>
    </w:p>
    <w:p>
      <w:pPr>
        <w:ind w:left="360" w:right="80"/>
        <w:spacing w:after="0" w:line="262" w:lineRule="auto"/>
        <w:rPr>
          <w:sz w:val="20"/>
          <w:szCs w:val="20"/>
          <w:color w:val="auto"/>
        </w:rPr>
      </w:pPr>
      <w:r>
        <w:rPr>
          <w:rFonts w:ascii="Times New Roman" w:cs="Times New Roman" w:eastAsia="Times New Roman" w:hAnsi="Times New Roman"/>
          <w:sz w:val="13"/>
          <w:szCs w:val="13"/>
          <w:color w:val="auto"/>
        </w:rPr>
        <w:t>•pay dividends on, or purchase or redeem or make any payments in respect of, capital stock or other securities ranking junior in right of payment to the 4.875% Notes due 2026, including preferred stock or subordinated indebtedness, in each case other than dividends, purchases, redemptions or payments that would cause a violation of Section 18(a)(1)(B) as modified by Section 61(a)(2) of the 1940 Act or any successor provisions, giving effect to any no-action relief granted by the SEC to another BDC and upon which we may reasonably rely (or to us if we determine to seek such similar SEC no-action or other</w:t>
      </w:r>
    </w:p>
    <w:p>
      <w:pPr>
        <w:spacing w:after="0" w:line="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0" w:name="page31"/>
    <w:bookmarkEnd w:id="30"/>
    <w:p>
      <w:pPr>
        <w:ind w:left="360" w:right="20"/>
        <w:spacing w:after="0" w:line="286" w:lineRule="auto"/>
        <w:rPr>
          <w:sz w:val="20"/>
          <w:szCs w:val="20"/>
          <w:color w:val="auto"/>
        </w:rPr>
      </w:pPr>
      <w:r>
        <w:rPr>
          <w:rFonts w:ascii="Times New Roman" w:cs="Times New Roman" w:eastAsia="Times New Roman" w:hAnsi="Times New Roman"/>
          <w:sz w:val="13"/>
          <w:szCs w:val="13"/>
          <w:color w:val="auto"/>
        </w:rPr>
        <w:t>relief) permitting the BDC to declare any cash dividend or distribution notwithstanding the prohibition contained in Section 18(a)(1)(B) as modified by Section 61(a)(2) of the 1940 Act in order to maintain the BDC’s status as a RIC under Subchapter M of the Code;</w:t>
      </w:r>
    </w:p>
    <w:p>
      <w:pPr>
        <w:spacing w:after="0" w:line="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•sell assets (other than certain limited restrictions on our ability to consolidate, merge or sell all or substantially all of our assets);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•enter into transactions with affiliates;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•create liens (including liens on the shares of our subsidiaries) or enter into sale and leaseback transactions;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•make investments; or</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•create restrictions on the payment of dividends or other amounts to us from our subsidiaries.</w:t>
      </w:r>
    </w:p>
    <w:p>
      <w:pPr>
        <w:spacing w:after="0" w:line="103" w:lineRule="exact"/>
        <w:rPr>
          <w:sz w:val="20"/>
          <w:szCs w:val="20"/>
          <w:color w:val="auto"/>
        </w:rPr>
      </w:pPr>
    </w:p>
    <w:p>
      <w:pPr>
        <w:ind w:right="260" w:firstLine="348"/>
        <w:spacing w:after="0" w:line="268" w:lineRule="auto"/>
        <w:rPr>
          <w:sz w:val="20"/>
          <w:szCs w:val="20"/>
          <w:color w:val="auto"/>
        </w:rPr>
      </w:pPr>
      <w:r>
        <w:rPr>
          <w:rFonts w:ascii="Times New Roman" w:cs="Times New Roman" w:eastAsia="Times New Roman" w:hAnsi="Times New Roman"/>
          <w:sz w:val="13"/>
          <w:szCs w:val="13"/>
          <w:color w:val="auto"/>
        </w:rPr>
        <w:t>In addition, the terms of the indenture and the 4.875% Notes due 2026 do not protect holders of the 4.875% Notes due 2026 in the event that we experience changes (including significant adverse changes) in our financial condition, results of operations or credit ratings, as they will not require that we or our subsidiaries adhere to any financial tests or ratios or specified levels of net worth, revenues, income, cash flow or liquidity other than as described above.</w:t>
      </w:r>
    </w:p>
    <w:p>
      <w:pPr>
        <w:spacing w:after="0" w:line="63" w:lineRule="exact"/>
        <w:rPr>
          <w:sz w:val="20"/>
          <w:szCs w:val="20"/>
          <w:color w:val="auto"/>
        </w:rPr>
      </w:pPr>
    </w:p>
    <w:p>
      <w:pPr>
        <w:ind w:right="60" w:firstLine="381"/>
        <w:spacing w:after="0" w:line="268" w:lineRule="auto"/>
        <w:rPr>
          <w:sz w:val="20"/>
          <w:szCs w:val="20"/>
          <w:color w:val="auto"/>
        </w:rPr>
      </w:pPr>
      <w:r>
        <w:rPr>
          <w:rFonts w:ascii="Times New Roman" w:cs="Times New Roman" w:eastAsia="Times New Roman" w:hAnsi="Times New Roman"/>
          <w:sz w:val="13"/>
          <w:szCs w:val="13"/>
          <w:color w:val="auto"/>
        </w:rPr>
        <w:t>Our ability to recapitalize, incur additional debt and take a number of other actions are not limited by the terms of the 4.875% Notes due 2026 and may have important consequences for you as a holder of the 4.875% Notes due 2026, including making it more difficult for us to satisfy our obligations with respect to the 4.875% Notes due 2026 or negatively affecting the trading value of the 4.875% Notes due 2026.</w:t>
      </w:r>
    </w:p>
    <w:p>
      <w:pPr>
        <w:spacing w:after="0" w:line="63" w:lineRule="exact"/>
        <w:rPr>
          <w:sz w:val="20"/>
          <w:szCs w:val="20"/>
          <w:color w:val="auto"/>
        </w:rPr>
      </w:pPr>
    </w:p>
    <w:p>
      <w:pPr>
        <w:ind w:right="440" w:firstLine="381"/>
        <w:spacing w:after="0" w:line="286" w:lineRule="auto"/>
        <w:rPr>
          <w:sz w:val="20"/>
          <w:szCs w:val="20"/>
          <w:color w:val="auto"/>
        </w:rPr>
      </w:pPr>
      <w:r>
        <w:rPr>
          <w:rFonts w:ascii="Times New Roman" w:cs="Times New Roman" w:eastAsia="Times New Roman" w:hAnsi="Times New Roman"/>
          <w:sz w:val="13"/>
          <w:szCs w:val="13"/>
          <w:color w:val="auto"/>
        </w:rPr>
        <w:t>Other debt we issue or incur in the future could contain more protections for its holders than the indenture and the 4.875% Notes due 2026, including additional covenants and events of default. The issuance or incurrence of any such debt with incremental protections could affect the market for and trading levels and prices of the 4.875% Notes due 2026.</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optional redemption provision may materially adversely affect your return on the Exchange Notes.</w:t>
      </w:r>
    </w:p>
    <w:p>
      <w:pPr>
        <w:spacing w:after="0" w:line="107" w:lineRule="exact"/>
        <w:rPr>
          <w:sz w:val="20"/>
          <w:szCs w:val="20"/>
          <w:color w:val="auto"/>
        </w:rPr>
      </w:pPr>
    </w:p>
    <w:p>
      <w:pPr>
        <w:jc w:val="both"/>
        <w:ind w:right="40" w:firstLine="381"/>
        <w:spacing w:after="0" w:line="268" w:lineRule="auto"/>
        <w:rPr>
          <w:sz w:val="20"/>
          <w:szCs w:val="20"/>
          <w:color w:val="auto"/>
        </w:rPr>
      </w:pPr>
      <w:r>
        <w:rPr>
          <w:rFonts w:ascii="Times New Roman" w:cs="Times New Roman" w:eastAsia="Times New Roman" w:hAnsi="Times New Roman"/>
          <w:sz w:val="13"/>
          <w:szCs w:val="13"/>
          <w:color w:val="auto"/>
        </w:rPr>
        <w:t>The 4.875% Notes due 2026 are redeemable in whole or in part upon certain conditions at any time or from time to time at our option. We may choose to redeem the 4.875% Notes due 2026 at times when prevailing interest rates are lower than the interest rate paid on the 4.875% Notes due 2026. In this circumstance, you may not be able to reinvest the redemption proceeds in a comparable security at an effective interest rate as high as the 4.875% Notes due 2026 being redeemed.</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not be able to repurchase the 4.875% Notes due 2026 upon a Change of Control Repurchase Event.</w:t>
      </w:r>
    </w:p>
    <w:p>
      <w:pPr>
        <w:spacing w:after="0" w:line="107" w:lineRule="exact"/>
        <w:rPr>
          <w:sz w:val="20"/>
          <w:szCs w:val="20"/>
          <w:color w:val="auto"/>
        </w:rPr>
      </w:pPr>
    </w:p>
    <w:p>
      <w:pPr>
        <w:ind w:right="20" w:firstLine="381"/>
        <w:spacing w:after="0" w:line="256" w:lineRule="auto"/>
        <w:rPr>
          <w:sz w:val="20"/>
          <w:szCs w:val="20"/>
          <w:color w:val="auto"/>
        </w:rPr>
      </w:pPr>
      <w:r>
        <w:rPr>
          <w:rFonts w:ascii="Times New Roman" w:cs="Times New Roman" w:eastAsia="Times New Roman" w:hAnsi="Times New Roman"/>
          <w:sz w:val="13"/>
          <w:szCs w:val="13"/>
          <w:color w:val="auto"/>
        </w:rPr>
        <w:t>We may not be able to repurchase the 4.875% Notes due 2026 upon a Change of Control Repurchase Event (as defined in the indenture governing the 4.875% Notes due 2026) if we do not have sufficient funds. Upon a Change of Control Repurchase Event, holders of the 4.875% Notes due 2026 may require us to repurchase for cash some or all of the 4.875% Notes due 2026 at a repurchase price equal to 100% of the aggregate principal amount of the 4.875% Notes due 2026 being repurchased, plus accrued and unpaid interest to, but not including, the repurchase date. Our failure to purchase such tendered 4.875% Notes due 2026 upon the occurrence of such Change of Control Repurchase Event would cause an event of default under the indenture governing the 4.875% Notes due 2026 and may cause a cross- default under the agreements governing certain of our other indebtedness, which may result in the acceleration of such indebtedness requiring us to repay that indebtedness immediately. If a Change of Control Repurchase Event were to occur, we may not have sufficient funds to repay any such accelerated indebtedness and/or to make the required repurchase of the 4.875% Notes due 2026.</w:t>
      </w:r>
    </w:p>
    <w:p>
      <w:pPr>
        <w:spacing w:after="0" w:line="16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3"/>
          <w:szCs w:val="13"/>
          <w:b w:val="1"/>
          <w:bCs w:val="1"/>
          <w:color w:val="auto"/>
        </w:rPr>
        <w:t>Risks Relating to Acquisitions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If we sell investments acquired as a result of our prior strategic acquisitions, it may result in capital gains and increase the incentive fees payable to the Adviser.</w:t>
      </w:r>
    </w:p>
    <w:p>
      <w:pPr>
        <w:spacing w:after="0" w:line="105" w:lineRule="exact"/>
        <w:rPr>
          <w:sz w:val="20"/>
          <w:szCs w:val="20"/>
          <w:color w:val="auto"/>
        </w:rPr>
      </w:pPr>
    </w:p>
    <w:p>
      <w:pPr>
        <w:ind w:right="60" w:firstLine="348"/>
        <w:spacing w:after="0" w:line="260" w:lineRule="auto"/>
        <w:rPr>
          <w:sz w:val="20"/>
          <w:szCs w:val="20"/>
          <w:color w:val="auto"/>
        </w:rPr>
      </w:pPr>
      <w:r>
        <w:rPr>
          <w:rFonts w:ascii="Times New Roman" w:cs="Times New Roman" w:eastAsia="Times New Roman" w:hAnsi="Times New Roman"/>
          <w:sz w:val="13"/>
          <w:szCs w:val="13"/>
          <w:color w:val="auto"/>
        </w:rPr>
        <w:t xml:space="preserve">Investments that we acquired as a result of our prior strategic acquisitions, including the GARS Acquisition and the HCAP Acquisition, are booked at a discount under ASC 805-50, </w:t>
      </w:r>
      <w:r>
        <w:rPr>
          <w:rFonts w:ascii="Times New Roman" w:cs="Times New Roman" w:eastAsia="Times New Roman" w:hAnsi="Times New Roman"/>
          <w:sz w:val="13"/>
          <w:szCs w:val="13"/>
          <w:i w:val="1"/>
          <w:iCs w:val="1"/>
          <w:color w:val="auto"/>
        </w:rPr>
        <w:t>Business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Combinations–Related Issues</w:t>
      </w:r>
      <w:r>
        <w:rPr>
          <w:rFonts w:ascii="Times New Roman" w:cs="Times New Roman" w:eastAsia="Times New Roman" w:hAnsi="Times New Roman"/>
          <w:sz w:val="13"/>
          <w:szCs w:val="13"/>
          <w:color w:val="auto"/>
        </w:rPr>
        <w:t>. To the extent we sell one of these acquired investments at a price that is higher than its then-amortized cost, such sale would result in realized capital gain that would be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factored into the amount of the incentive fee on capital gains, if any, that is paid by us to the Adviser. If we sell a significant portion of the investments acquired as a result of our prior strategic acquisitions, including the GARS Acquisition and the HCAP Acquisition, it may materially increase the incentive fee on capital gains paid to the Adviser. The effect on the incentive fee on capital gains would be greater for acquired investments sold closer to the closing date of the applicable acquisition.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be unable to realize the benefits anticipated by our prior strategic acquisitions, including estimated cost savings, or it may take longer than anticipated to realize such benefits.</w:t>
      </w:r>
    </w:p>
    <w:p>
      <w:pPr>
        <w:spacing w:after="0" w:line="107" w:lineRule="exact"/>
        <w:rPr>
          <w:sz w:val="20"/>
          <w:szCs w:val="20"/>
          <w:color w:val="auto"/>
        </w:rPr>
      </w:pPr>
    </w:p>
    <w:p>
      <w:pPr>
        <w:ind w:right="60" w:firstLine="348"/>
        <w:spacing w:after="0" w:line="257" w:lineRule="auto"/>
        <w:rPr>
          <w:sz w:val="20"/>
          <w:szCs w:val="20"/>
          <w:color w:val="auto"/>
        </w:rPr>
      </w:pPr>
      <w:r>
        <w:rPr>
          <w:rFonts w:ascii="Times New Roman" w:cs="Times New Roman" w:eastAsia="Times New Roman" w:hAnsi="Times New Roman"/>
          <w:sz w:val="13"/>
          <w:szCs w:val="13"/>
          <w:color w:val="auto"/>
        </w:rPr>
        <w:t>The realization of certain benefits anticipated as a result of our prior strategic acquisitions, including the GARS Acquisition and the HCAP Acquisition, will depend in part on the integration of such companies’ investment portfolio with ours and the integration of their business. There can be no assurance that the investment portfolio or business of any such companies can be operated profitably or integrated successfully into our operations in a timely fashion or at all. The dedication of management resources to such integration may divert attention from the day- to- day business of the combined company and there can be no assurance that there will not be substantial costs associated with the transition process or there will not be other material adverse effects as a result of these integration efforts. Such effects, including incurring unexpected costs or delays in connection with such integration and failure of such companies' investment portfolio to perform as expected, could have a material adverse effect on our results of operations.</w:t>
      </w:r>
    </w:p>
    <w:p>
      <w:pPr>
        <w:spacing w:after="0" w:line="72" w:lineRule="exact"/>
        <w:rPr>
          <w:sz w:val="20"/>
          <w:szCs w:val="20"/>
          <w:color w:val="auto"/>
        </w:rPr>
      </w:pPr>
    </w:p>
    <w:p>
      <w:pPr>
        <w:ind w:right="100" w:firstLine="348"/>
        <w:spacing w:after="0" w:line="262" w:lineRule="auto"/>
        <w:rPr>
          <w:sz w:val="20"/>
          <w:szCs w:val="20"/>
          <w:color w:val="auto"/>
        </w:rPr>
      </w:pPr>
      <w:r>
        <w:rPr>
          <w:rFonts w:ascii="Times New Roman" w:cs="Times New Roman" w:eastAsia="Times New Roman" w:hAnsi="Times New Roman"/>
          <w:sz w:val="13"/>
          <w:szCs w:val="13"/>
          <w:color w:val="auto"/>
        </w:rPr>
        <w:t>We also expect to achieve certain cost savings from our prior strategic acquisitions, including the GARS Acquisition and the HCAP Acquisition, when the two companies have fully integrated their portfolios. It is possible that the estimates of the potential cost savings could ultimately be incorrect. The cost savings estimates also assume we will be able to combine the operations of us and such companies in a manner that permits those cost savings to be fully realized. If the estimates turn out to be incorrect or if we are not able to successfully combine the investment portfolio or business of any such companies with our operations, the anticipated cost savings may not be fully realized, or realized at all, or may take longer to realize than expected.</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General Risk Factors</w:t>
      </w:r>
    </w:p>
    <w:p>
      <w:pPr>
        <w:spacing w:after="0" w:line="161"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13"/>
          <w:szCs w:val="13"/>
          <w:b w:val="1"/>
          <w:bCs w:val="1"/>
          <w:i w:val="1"/>
          <w:iCs w:val="1"/>
          <w:color w:val="auto"/>
        </w:rPr>
        <w:t>We, our Adviser, and our portfolio companies may maintain cash balances at financial institutions that exceed federally insured limits and may otherwise be materially affected by adverse developments affecting the financial services industry, such as actual events or concerns involving liquidity, defaults or non-performance by financial institutions or transactional counterparties</w:t>
      </w:r>
      <w:r>
        <w:rPr>
          <w:rFonts w:ascii="Times New Roman" w:cs="Times New Roman" w:eastAsia="Times New Roman" w:hAnsi="Times New Roman"/>
          <w:sz w:val="13"/>
          <w:szCs w:val="13"/>
          <w:color w:val="auto"/>
        </w:rPr>
        <w:t>.</w:t>
      </w:r>
    </w:p>
    <w:p>
      <w:pPr>
        <w:spacing w:after="0" w:line="62" w:lineRule="exact"/>
        <w:rPr>
          <w:sz w:val="20"/>
          <w:szCs w:val="20"/>
          <w:color w:val="auto"/>
        </w:rPr>
      </w:pPr>
    </w:p>
    <w:p>
      <w:pPr>
        <w:ind w:firstLine="381"/>
        <w:spacing w:after="0" w:line="262" w:lineRule="auto"/>
        <w:rPr>
          <w:sz w:val="20"/>
          <w:szCs w:val="20"/>
          <w:color w:val="auto"/>
        </w:rPr>
      </w:pPr>
      <w:r>
        <w:rPr>
          <w:rFonts w:ascii="Times New Roman" w:cs="Times New Roman" w:eastAsia="Times New Roman" w:hAnsi="Times New Roman"/>
          <w:sz w:val="13"/>
          <w:szCs w:val="13"/>
          <w:color w:val="auto"/>
        </w:rPr>
        <w:t>Our cash and our Adviser’s cash is held in accounts at U.S. banking institutions that we believe are of high quality. Cash held by us, our Adviser and by our portfolio companies in non- interest-bearing and interest- bearing operating accounts may exceed the Federal Deposit Insurance Corporation (“FDIC”) insurance limits. If such banking institutions were to fail, we, our Adviser, or our portfolio companies could lose all or a portion of those amounts held in excess of such insurance limitations. In addition, actual events involving limited liquidity, defaults, non-performance or other adverse developments that affect financial institutions,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86" w:right="680" w:bottom="1440" w:gutter="0" w:footer="0" w:header="0"/>
        </w:sectPr>
      </w:pPr>
    </w:p>
    <w:bookmarkStart w:id="31" w:name="page32"/>
    <w:bookmarkEnd w:id="31"/>
    <w:p>
      <w:pPr>
        <w:ind w:right="60"/>
        <w:spacing w:after="0" w:line="268" w:lineRule="auto"/>
        <w:rPr>
          <w:sz w:val="20"/>
          <w:szCs w:val="20"/>
          <w:color w:val="auto"/>
        </w:rPr>
      </w:pPr>
      <w:r>
        <w:rPr>
          <w:rFonts w:ascii="Times New Roman" w:cs="Times New Roman" w:eastAsia="Times New Roman" w:hAnsi="Times New Roman"/>
          <w:sz w:val="13"/>
          <w:szCs w:val="13"/>
          <w:color w:val="auto"/>
        </w:rPr>
        <w:t>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which could adversely affect our, our Adviser’s and our portfolio companies’ business, financial condition, results of operations or prospects.</w:t>
      </w:r>
    </w:p>
    <w:p>
      <w:pPr>
        <w:spacing w:after="0" w:line="63" w:lineRule="exact"/>
        <w:rPr>
          <w:sz w:val="20"/>
          <w:szCs w:val="20"/>
          <w:color w:val="auto"/>
        </w:rPr>
      </w:pPr>
    </w:p>
    <w:p>
      <w:pPr>
        <w:ind w:right="40" w:firstLine="348"/>
        <w:spacing w:after="0" w:line="256" w:lineRule="auto"/>
        <w:rPr>
          <w:sz w:val="20"/>
          <w:szCs w:val="20"/>
          <w:color w:val="auto"/>
        </w:rPr>
      </w:pPr>
      <w:r>
        <w:rPr>
          <w:rFonts w:ascii="Times New Roman" w:cs="Times New Roman" w:eastAsia="Times New Roman" w:hAnsi="Times New Roman"/>
          <w:sz w:val="13"/>
          <w:szCs w:val="13"/>
          <w:color w:val="auto"/>
        </w:rPr>
        <w:t>Although we and our Adviser assess our and our portfolio companies’ banking relationships as we believe necessary or appropriate, our and our portfolio companies’ access to funding sources and other credit arrangements in amounts adequate to finance or capitalize our respective current and projected future business operations could be significantly impaired by factors that affect us, our Adviser or our portfolio companies, the financial institutions with which we, our Adviser or our portfolio companies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our Adviser or our portfolio companies have financial or business relationships, but could also include factors involving financial markets or the financial services industry generally.</w:t>
      </w:r>
    </w:p>
    <w:p>
      <w:pPr>
        <w:spacing w:after="0" w:line="72" w:lineRule="exact"/>
        <w:rPr>
          <w:sz w:val="20"/>
          <w:szCs w:val="20"/>
          <w:color w:val="auto"/>
        </w:rPr>
      </w:pPr>
    </w:p>
    <w:p>
      <w:pPr>
        <w:ind w:right="20" w:firstLine="348"/>
        <w:spacing w:after="0" w:line="268" w:lineRule="auto"/>
        <w:rPr>
          <w:sz w:val="20"/>
          <w:szCs w:val="20"/>
          <w:color w:val="auto"/>
        </w:rPr>
      </w:pPr>
      <w:r>
        <w:rPr>
          <w:rFonts w:ascii="Times New Roman" w:cs="Times New Roman" w:eastAsia="Times New Roman" w:hAnsi="Times New Roman"/>
          <w:sz w:val="13"/>
          <w:szCs w:val="13"/>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our Adviser, or our portfolio companies to acquire financing on acceptable terms or at all.</w:t>
      </w:r>
    </w:p>
    <w:p>
      <w:pPr>
        <w:spacing w:after="0" w:line="119" w:lineRule="exact"/>
        <w:rPr>
          <w:sz w:val="20"/>
          <w:szCs w:val="20"/>
          <w:color w:val="auto"/>
        </w:rPr>
      </w:pPr>
    </w:p>
    <w:p>
      <w:pPr>
        <w:ind w:right="12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Economic recessions or downturns could have a material adverse effect on our business, financial condition and results of operations, and could impair the ability of our portfolio companies to repay loans.</w:t>
      </w:r>
    </w:p>
    <w:p>
      <w:pPr>
        <w:spacing w:after="0" w:line="48" w:lineRule="exact"/>
        <w:rPr>
          <w:sz w:val="20"/>
          <w:szCs w:val="20"/>
          <w:color w:val="auto"/>
        </w:rPr>
      </w:pPr>
    </w:p>
    <w:p>
      <w:pPr>
        <w:ind w:right="260" w:firstLine="348"/>
        <w:spacing w:after="0" w:line="268" w:lineRule="auto"/>
        <w:rPr>
          <w:sz w:val="20"/>
          <w:szCs w:val="20"/>
          <w:color w:val="auto"/>
        </w:rPr>
      </w:pPr>
      <w:r>
        <w:rPr>
          <w:rFonts w:ascii="Times New Roman" w:cs="Times New Roman" w:eastAsia="Times New Roman" w:hAnsi="Times New Roman"/>
          <w:sz w:val="13"/>
          <w:szCs w:val="13"/>
          <w:color w:val="auto"/>
        </w:rPr>
        <w:t>Economic recessions or downturns could result in a prolonged period of market illiquidity which could have a material adverse effect on our business, financial condition and results of operations. Unfavorable economic conditions also could increase our funding costs, limit our access to the capital markets or result in a decision by lenders not to extend credit to us. These events could limit our investment originations, limit our ability to grow and negatively impact our operating results.</w:t>
      </w:r>
    </w:p>
    <w:p>
      <w:pPr>
        <w:spacing w:after="0" w:line="63"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3"/>
          <w:szCs w:val="13"/>
          <w:color w:val="auto"/>
        </w:rPr>
        <w:t>In the event of economic recessions and downturns, the financial results of middle-market companies, like those in which we invest, will likely experience deterioration, which could ultimately lead to difficulty in meeting debt service requirements and an increase in defaults. Additionally, the end markets for certain of our portfolio companies’ products and services would likely experience negative financial trends. The performances of certain of our portfolio companies have been, and may continue to be, negatively impacted by these economic or other conditions, which may ultimately result in our receipt of a reduced level of interest income from our portfolio companies and/or losses or charge offs related to our investments, and, in turn, may adversely affect distributable income. Further, adverse economic conditions may decrease the value of collateral securing some of our loans and the value of our equity investments. As a result, we may need to modify the payment terms of our investments, including changes in payment-in-kind interest provisions and/or cash interest rates. These factors may result in our receipt of a reduced level of interest income from our portfolio companies and/or losses or charge offs related to our investments, and, in turn, may adversely affect distributable income and have a material adverse effect on our results of operations.</w:t>
      </w:r>
    </w:p>
    <w:p>
      <w:pPr>
        <w:spacing w:after="0" w:line="68" w:lineRule="exact"/>
        <w:rPr>
          <w:sz w:val="20"/>
          <w:szCs w:val="20"/>
          <w:color w:val="auto"/>
        </w:rPr>
      </w:pPr>
    </w:p>
    <w:p>
      <w:pPr>
        <w:ind w:right="24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Capital markets may experience periods of disruption and instability and we cannot predict when these conditions will occur. Such market conditions may materially and adversely affect debt and equity capital markets in the United States and abroad, which may have a negative impact on our business, financial condition and results of operations.</w:t>
      </w:r>
    </w:p>
    <w:p>
      <w:pPr>
        <w:spacing w:after="0" w:line="48" w:lineRule="exact"/>
        <w:rPr>
          <w:sz w:val="20"/>
          <w:szCs w:val="20"/>
          <w:color w:val="auto"/>
        </w:rPr>
      </w:pPr>
    </w:p>
    <w:p>
      <w:pPr>
        <w:ind w:right="20" w:firstLine="348"/>
        <w:spacing w:after="0" w:line="257" w:lineRule="auto"/>
        <w:rPr>
          <w:sz w:val="20"/>
          <w:szCs w:val="20"/>
          <w:color w:val="auto"/>
        </w:rPr>
      </w:pPr>
      <w:r>
        <w:rPr>
          <w:rFonts w:ascii="Times New Roman" w:cs="Times New Roman" w:eastAsia="Times New Roman" w:hAnsi="Times New Roman"/>
          <w:sz w:val="13"/>
          <w:szCs w:val="13"/>
          <w:color w:val="auto"/>
        </w:rPr>
        <w:t>The United States and global capital markets may, from time to time, experience periods of disruption characterized by the freezing of available credit, a lack of liquidity in the debt capital markets, significant losses in the principal value of investments, the re-pricing of credit risk in the broadly syndicated credit market, the failure of major financial institutions or general volatility in the financial markets. For example, over the past few years, general economic conditions deteriorated with material and adverse consequences for the broader financial and credit markets, and the availability of debt and equity capital for the market as a whole, and financial services firms in particular, was reduced significantly. In addition, uncertainty between the United States and other countries with respect to trade policies, treaties and tariffs, among other factors, have caused disruptions in the global markets, including markets in which we participate, and we cannot assure you that these market conditions will not continue or worsen in the future.</w:t>
      </w:r>
    </w:p>
    <w:p>
      <w:pPr>
        <w:spacing w:after="0" w:line="72" w:lineRule="exact"/>
        <w:rPr>
          <w:sz w:val="20"/>
          <w:szCs w:val="20"/>
          <w:color w:val="auto"/>
        </w:rPr>
      </w:pPr>
    </w:p>
    <w:p>
      <w:pPr>
        <w:ind w:right="140" w:firstLine="348"/>
        <w:spacing w:after="0" w:line="268" w:lineRule="auto"/>
        <w:rPr>
          <w:sz w:val="20"/>
          <w:szCs w:val="20"/>
          <w:color w:val="auto"/>
        </w:rPr>
      </w:pPr>
      <w:r>
        <w:rPr>
          <w:rFonts w:ascii="Times New Roman" w:cs="Times New Roman" w:eastAsia="Times New Roman" w:hAnsi="Times New Roman"/>
          <w:sz w:val="13"/>
          <w:szCs w:val="13"/>
          <w:color w:val="auto"/>
        </w:rPr>
        <w:t>We may in the future have difficulty accessing debt and equity capital markets, and a severe disruption in the global financial markets, deterioration in credit and financing conditions or uncertainty regarding U.S. government spending and deficit levels or other global economic and political conditions, including future recessions, political instability, geopolitical turmoil and foreign hostilities, and disease, pandemics and other serious health events, could have a material adverse effect on our business, financial condition, results of operations and cash flows.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Events outside of our control, including public health crises, could negatively affect our portfolio companies, our investment adviser and the results of our operations.</w:t>
      </w:r>
    </w:p>
    <w:p>
      <w:pPr>
        <w:spacing w:after="0" w:line="107"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3"/>
          <w:szCs w:val="13"/>
          <w:color w:val="auto"/>
        </w:rPr>
        <w:t>Periods of market volatility could continue to occur in response to pandemics or other events outside of our control. We, the Adviser, and the portfolio companies in which we invest in could be affected by force majeure events (i.e., events beyond the control of the party claiming that the event has occurred, such as acts of God, fire, flood, earthquakes, outbreaks of an infectious disease, pandemic or any other serious public health concern, acts of war, terrorism, labor strikes, major plant breakdowns, pipeline or electricity line ruptures, failure of technology, defective design and construction, accidents, demographic changes, government macroeconomic policies, social instability, etc.). Some force majeure events could adversely affect the ability of a party (including us, the Adviser, a portfolio company or a counterparty to us, the Adviser, or a portfolio company) to perform its obligations until it is able to remedy the force majeure event or could lead to the unavailability of essential equipment and technologies. These risks could, among other effects, adversely impact the cash flows available from a portfolio company, cause personal injury or loss of life, damage property, or instigate disruptions of service. Certain events causing catastrophic loss could be either uninsurable, or insurable at such high rates as to adversely impact us, the Adviser, or portfolio companies, as applicable, and insurance proceeds received, if any, could be inadequate to completely or even partially cover any loss of revenues or investments, any increases in operating and maintenance expenses, or any replacements or rehabilitation of property. Force majeure events that are incapable of or are too costly to cure could have permanent adverse effects.</w:t>
      </w:r>
    </w:p>
    <w:p>
      <w:pPr>
        <w:spacing w:after="0" w:line="77" w:lineRule="exact"/>
        <w:rPr>
          <w:sz w:val="20"/>
          <w:szCs w:val="20"/>
          <w:color w:val="auto"/>
        </w:rPr>
      </w:pPr>
    </w:p>
    <w:p>
      <w:pPr>
        <w:ind w:right="60" w:firstLine="348"/>
        <w:spacing w:after="0" w:line="255" w:lineRule="auto"/>
        <w:rPr>
          <w:sz w:val="20"/>
          <w:szCs w:val="20"/>
          <w:color w:val="auto"/>
        </w:rPr>
      </w:pPr>
      <w:r>
        <w:rPr>
          <w:rFonts w:ascii="Times New Roman" w:cs="Times New Roman" w:eastAsia="Times New Roman" w:hAnsi="Times New Roman"/>
          <w:sz w:val="13"/>
          <w:szCs w:val="13"/>
          <w:color w:val="auto"/>
        </w:rPr>
        <w:t>In addition, certain force majeure events (such as events of war or an outbreak of an infectious disease) could have a broader negative impact on the world economy and international business activity generally, or in any of the countries in which we invest or our portfolio companies operate specifically. Such force majeure events could result in or coincide with: increased volatility in the global securities, derivatives and currency markets; a decrease in the reliability of market prices and difficulty in valuing assets; greater fluctuations in currency exchange rates; increased risk of default (by both government and private issuers); further social, economic, and political instability; nationalization of private enterprise; greater governmental involvement in the economy or in social factors that impact the economy; less governmental regulation and supervision of the securities markets and market participants and decreased monitoring of the markets by governments or self-regulatory organizations and reduced enforcement of regulations; limited, or limitations on, the activities of investors in such markets; controls or restrictions on foreign investment, capital controls and limitations on repatriation of invested capital; inability to purchase and sell investments or otherwise settle security or derivative transactions (i.e., a market freeze); unavailability of currency hedging techniques; substantial, and in some periods extremely high, rates of inflation, which can last</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86" w:right="680" w:bottom="1440" w:gutter="0" w:footer="0" w:header="0"/>
        </w:sectPr>
      </w:pPr>
    </w:p>
    <w:bookmarkStart w:id="32" w:name="page33"/>
    <w:bookmarkEnd w:id="32"/>
    <w:p>
      <w:pPr>
        <w:ind w:left="80"/>
        <w:spacing w:after="0"/>
        <w:rPr>
          <w:sz w:val="20"/>
          <w:szCs w:val="20"/>
          <w:color w:val="auto"/>
        </w:rPr>
      </w:pPr>
      <w:r>
        <w:rPr>
          <w:rFonts w:ascii="Times New Roman" w:cs="Times New Roman" w:eastAsia="Times New Roman" w:hAnsi="Times New Roman"/>
          <w:sz w:val="13"/>
          <w:szCs w:val="13"/>
          <w:color w:val="auto"/>
        </w:rPr>
        <w:t>many years and have substantial negative effects on credit and securities markets as well as the economy as a whole; recessions; and difficulties in obtaining and/or enforcing legal judgments.</w:t>
      </w:r>
    </w:p>
    <w:p>
      <w:pPr>
        <w:spacing w:after="0" w:line="103" w:lineRule="exact"/>
        <w:rPr>
          <w:sz w:val="20"/>
          <w:szCs w:val="20"/>
          <w:color w:val="auto"/>
        </w:rPr>
      </w:pPr>
    </w:p>
    <w:p>
      <w:pPr>
        <w:ind w:left="80" w:right="140" w:firstLine="348"/>
        <w:spacing w:after="0" w:line="268" w:lineRule="auto"/>
        <w:rPr>
          <w:sz w:val="20"/>
          <w:szCs w:val="20"/>
          <w:color w:val="auto"/>
        </w:rPr>
      </w:pPr>
      <w:r>
        <w:rPr>
          <w:rFonts w:ascii="Times New Roman" w:cs="Times New Roman" w:eastAsia="Times New Roman" w:hAnsi="Times New Roman"/>
          <w:sz w:val="13"/>
          <w:szCs w:val="13"/>
          <w:color w:val="auto"/>
        </w:rPr>
        <w:t>Additionally, a major governmental intervention into industry, including the nationalization of an industry or the assertion of control over one or more portfolio companies or its assets, could result in a loss to us, including if the investment in such portfolio companies is canceled, unwound or acquired (which could result in inadequate compensation). Any of the foregoing could therefore adversely affect the performance of us and our investments.</w:t>
      </w:r>
    </w:p>
    <w:p>
      <w:pPr>
        <w:spacing w:after="0" w:line="5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i w:val="1"/>
          <w:iCs w:val="1"/>
          <w:color w:val="auto"/>
        </w:rPr>
        <w:t>Global economic, political and market conditions, including downgrades of the U.S. credit rating, may adversely affect our business, results of operations and financial condition.</w:t>
      </w:r>
    </w:p>
    <w:p>
      <w:pPr>
        <w:spacing w:after="0" w:line="107" w:lineRule="exact"/>
        <w:rPr>
          <w:sz w:val="20"/>
          <w:szCs w:val="20"/>
          <w:color w:val="auto"/>
        </w:rPr>
      </w:pPr>
    </w:p>
    <w:p>
      <w:pPr>
        <w:ind w:left="80" w:right="20" w:firstLine="348"/>
        <w:spacing w:after="0" w:line="255" w:lineRule="auto"/>
        <w:rPr>
          <w:sz w:val="20"/>
          <w:szCs w:val="20"/>
          <w:color w:val="auto"/>
        </w:rPr>
      </w:pPr>
      <w:r>
        <w:rPr>
          <w:rFonts w:ascii="Times New Roman" w:cs="Times New Roman" w:eastAsia="Times New Roman" w:hAnsi="Times New Roman"/>
          <w:sz w:val="13"/>
          <w:szCs w:val="13"/>
          <w:color w:val="auto"/>
        </w:rPr>
        <w:t>The current global financial market situation, as well as various social and political tensions in the United States and around the world (including the deterioration in the bilateral relationship between the United States and China, the conflict between Russia and Ukraine, and the conflict between Hamas and Israel), may contribute to increased market volatility, may have long-term effects on the United States and worldwide financial markets and may cause economic uncertainties or deterioration in the United States and worldwide. The impact of downgrades by rating agencies to the U.S. government’s sovereign credit rating or its perceived creditworthiness as well as potential government shutdowns and uncertainty surrounding transfers of power could adversely affect the United States and global financial markets and economic conditions. In addition, there will likely continue to be considerable uncertainty as to the United Kingdom’s post-transition and post-withdrawal framework following its withdrawal from the European Union (“Brexit”), in particular as to the arrangements which will apply to its relationships with the European Union and with other countries. The new Trade and Cooperation Agreement reached between the European Union and the United Kingdom in late 2020 may lead to ongoing political and economic uncertainty and periods of exacerbated volatility in both the United Kingdom and in wider European and global markets for some time.</w:t>
      </w:r>
    </w:p>
    <w:p>
      <w:pPr>
        <w:spacing w:after="0" w:line="74" w:lineRule="exact"/>
        <w:rPr>
          <w:sz w:val="20"/>
          <w:szCs w:val="20"/>
          <w:color w:val="auto"/>
        </w:rPr>
      </w:pPr>
    </w:p>
    <w:p>
      <w:pPr>
        <w:jc w:val="both"/>
        <w:ind w:left="80" w:right="80" w:firstLine="348"/>
        <w:spacing w:after="0" w:line="262" w:lineRule="auto"/>
        <w:rPr>
          <w:sz w:val="20"/>
          <w:szCs w:val="20"/>
          <w:color w:val="auto"/>
        </w:rPr>
      </w:pPr>
      <w:r>
        <w:rPr>
          <w:rFonts w:ascii="Times New Roman" w:cs="Times New Roman" w:eastAsia="Times New Roman" w:hAnsi="Times New Roman"/>
          <w:sz w:val="13"/>
          <w:szCs w:val="13"/>
          <w:color w:val="auto"/>
        </w:rPr>
        <w:t>Additionally, the U.S. political environment and uncertainties regarding actual and potential shifts in U.S. foreign investment, trade, taxation, economic, environmental and other policies under the current presidential administration, could lead to disruption, instability and volatility in the global markets. Trade wars and volatility in the U.S. repo market, the U.S. high yield bond markets, the Chinese stock markets and global markets for commodities may affect other financial markets worldwide. We monitor developments in economic, political and market conditions and seek to manage our investments in a manner consistent with achieving our investment objective, but there can be no assurance that we will be successful in doing so.</w:t>
      </w:r>
    </w:p>
    <w:p>
      <w:pPr>
        <w:spacing w:after="0" w:line="63" w:lineRule="exact"/>
        <w:rPr>
          <w:sz w:val="20"/>
          <w:szCs w:val="20"/>
          <w:color w:val="auto"/>
        </w:rPr>
      </w:pPr>
    </w:p>
    <w:p>
      <w:pPr>
        <w:ind w:left="80" w:right="30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The ongoing Russian invasion of Ukraine and related sanctions have increased global political and economic uncertainty, which may have a material adverse impact on us and our portfolio companies.</w:t>
      </w:r>
    </w:p>
    <w:p>
      <w:pPr>
        <w:spacing w:after="0" w:line="48" w:lineRule="exact"/>
        <w:rPr>
          <w:sz w:val="20"/>
          <w:szCs w:val="20"/>
          <w:color w:val="auto"/>
        </w:rPr>
      </w:pPr>
    </w:p>
    <w:p>
      <w:pPr>
        <w:ind w:left="80" w:right="100" w:firstLine="348"/>
        <w:spacing w:after="0" w:line="257" w:lineRule="auto"/>
        <w:rPr>
          <w:sz w:val="20"/>
          <w:szCs w:val="20"/>
          <w:color w:val="auto"/>
        </w:rPr>
      </w:pPr>
      <w:r>
        <w:rPr>
          <w:rFonts w:ascii="Times New Roman" w:cs="Times New Roman" w:eastAsia="Times New Roman" w:hAnsi="Times New Roman"/>
          <w:sz w:val="13"/>
          <w:szCs w:val="13"/>
          <w:color w:val="auto"/>
        </w:rPr>
        <w:t>The ongoing Russian invasion of Ukraine which began in February 2022 has resulted in significant volatility in certain equity, debt and currency markets, material increases in certain commodity prices and increased global political and economic uncertainty. The conflict may escalate and its resolution is unclear. The U.S. government and other governments have imposed severe sanctions against Russia and Russian interests and threatened additional sanctions and controls. Sanctions and export control laws and regulations are complex, frequently changing, and increasing in number, and they may impose additional legal compliance costs or business risks associated with our operations. There is also the risk of retaliatory actions by Russia against countries which have enacted sanctions, including cyberattacks against financial and governmental institutions, which could result in business disruptions and further economic turbulence. Additionally, to the extent that third parties, investors, or related customer bases have material operations or assets in Russia or Ukraine, they may experience adverse consequences related to the ongoing conflict.</w:t>
      </w:r>
    </w:p>
    <w:p>
      <w:pPr>
        <w:spacing w:after="0" w:line="6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i w:val="1"/>
          <w:iCs w:val="1"/>
          <w:color w:val="auto"/>
        </w:rPr>
        <w:t>Our businesses may be adversely affected by litigation and regulatory proceedings.</w:t>
      </w:r>
    </w:p>
    <w:p>
      <w:pPr>
        <w:spacing w:after="0" w:line="107" w:lineRule="exact"/>
        <w:rPr>
          <w:sz w:val="20"/>
          <w:szCs w:val="20"/>
          <w:color w:val="auto"/>
        </w:rPr>
      </w:pPr>
    </w:p>
    <w:p>
      <w:pPr>
        <w:ind w:left="80" w:right="160" w:firstLine="348"/>
        <w:spacing w:after="0" w:line="256" w:lineRule="auto"/>
        <w:rPr>
          <w:sz w:val="20"/>
          <w:szCs w:val="20"/>
          <w:color w:val="auto"/>
        </w:rPr>
      </w:pPr>
      <w:r>
        <w:rPr>
          <w:rFonts w:ascii="Times New Roman" w:cs="Times New Roman" w:eastAsia="Times New Roman" w:hAnsi="Times New Roman"/>
          <w:sz w:val="13"/>
          <w:szCs w:val="13"/>
          <w:color w:val="auto"/>
        </w:rPr>
        <w:t>From time to time, we may be subject to legal actions as well as various regulatory, governmental and law enforcement inquiries, investigations and subpoenas. In any such claims or actions, demands for substantial monetary damages may be asserted against us and may result in financial liability or an adverse effect on our reputation among investors. In connection with acquisitions of, and investments in, businesses complementary to our business, we have been and may be in the future subject to securities litigation or shareholder activism in connection with such acquisitions or investments. Securities litigation and shareholder activism, including potential proxy contests, could result in substantial costs and divert management’s and our board of directors’ attention and resources from our business. We may be unable to accurately estimate our exposure to litigation risk when we record balance sheet reserves for probable loss contingencies. As a result, any reserves we establish to cover any settlements or judgments may not be sufficient to cover our actual financial exposure, which may have a material impact on our results of operations or financial condition. In regulatory enforcement matters, claims for disgorgement, the imposition of penalties and the imposition of other remedial sanctions are possible.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Item 1B. </w:t>
      </w:r>
      <w:r>
        <w:rPr>
          <w:rFonts w:ascii="Times New Roman" w:cs="Times New Roman" w:eastAsia="Times New Roman" w:hAnsi="Times New Roman"/>
          <w:sz w:val="13"/>
          <w:szCs w:val="13"/>
          <w:b w:val="1"/>
          <w:bCs w:val="1"/>
          <w:i w:val="1"/>
          <w:iCs w:val="1"/>
          <w:color w:val="auto"/>
        </w:rPr>
        <w:t>Unresolved Staff Comments</w:t>
      </w:r>
    </w:p>
    <w:p>
      <w:pPr>
        <w:spacing w:after="0" w:line="1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None.</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Item 1C. </w:t>
      </w:r>
      <w:r>
        <w:rPr>
          <w:rFonts w:ascii="Times New Roman" w:cs="Times New Roman" w:eastAsia="Times New Roman" w:hAnsi="Times New Roman"/>
          <w:sz w:val="13"/>
          <w:szCs w:val="13"/>
          <w:b w:val="1"/>
          <w:bCs w:val="1"/>
          <w:i w:val="1"/>
          <w:iCs w:val="1"/>
          <w:color w:val="auto"/>
        </w:rPr>
        <w:t>Cybersecurity</w:t>
      </w:r>
    </w:p>
    <w:p>
      <w:pPr>
        <w:spacing w:after="0" w:line="107" w:lineRule="exact"/>
        <w:rPr>
          <w:sz w:val="20"/>
          <w:szCs w:val="20"/>
          <w:color w:val="auto"/>
        </w:rPr>
      </w:pPr>
    </w:p>
    <w:p>
      <w:pPr>
        <w:ind w:left="80" w:right="120" w:firstLine="348"/>
        <w:spacing w:after="0" w:line="268" w:lineRule="auto"/>
        <w:rPr>
          <w:sz w:val="20"/>
          <w:szCs w:val="20"/>
          <w:color w:val="auto"/>
        </w:rPr>
      </w:pPr>
      <w:r>
        <w:rPr>
          <w:rFonts w:ascii="Times New Roman" w:cs="Times New Roman" w:eastAsia="Times New Roman" w:hAnsi="Times New Roman"/>
          <w:sz w:val="13"/>
          <w:szCs w:val="13"/>
          <w:color w:val="auto"/>
        </w:rPr>
        <w:t>We have processes in place to assess, identify, and manage material risks from cybersecurity threats. The Company’s business is dependent on the communications and information systems of the Adviser and other third-party service providers. The Adviser manages the Company’s day-to-day operations and has implemented a cybersecurity program that applies to the Company and its operations.</w:t>
      </w:r>
    </w:p>
    <w:p>
      <w:pPr>
        <w:spacing w:after="0" w:line="15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Cybersecurity Program Overview</w:t>
      </w:r>
    </w:p>
    <w:p>
      <w:pPr>
        <w:spacing w:after="0" w:line="105" w:lineRule="exact"/>
        <w:rPr>
          <w:sz w:val="20"/>
          <w:szCs w:val="20"/>
          <w:color w:val="auto"/>
        </w:rPr>
      </w:pPr>
    </w:p>
    <w:p>
      <w:pPr>
        <w:ind w:left="80" w:right="340" w:firstLine="348"/>
        <w:spacing w:after="0" w:line="262" w:lineRule="auto"/>
        <w:rPr>
          <w:sz w:val="20"/>
          <w:szCs w:val="20"/>
          <w:color w:val="auto"/>
        </w:rPr>
      </w:pPr>
      <w:r>
        <w:rPr>
          <w:rFonts w:ascii="Times New Roman" w:cs="Times New Roman" w:eastAsia="Times New Roman" w:hAnsi="Times New Roman"/>
          <w:sz w:val="13"/>
          <w:szCs w:val="13"/>
          <w:color w:val="auto"/>
        </w:rPr>
        <w:t>The Adviser has instituted a cybersecurity program, overseen by the Adviser’s Global Head of Infrastructure &amp; Cybersecurity (“GHIC”), which is designed to assess, identify, and manage material cyber risks applicable to the Company. The cyber risk management program involves risk assessments, implementation of security measures, and ongoing monitoring of systems and networks, including networks on which the Company relies. The Adviser actively monitors the current threat landscape in an effort to identify material risks arising from new and evolving cybersecurity threats, including material risks faced by the Company.</w:t>
      </w:r>
    </w:p>
    <w:p>
      <w:pPr>
        <w:spacing w:after="0" w:line="67" w:lineRule="exact"/>
        <w:rPr>
          <w:sz w:val="20"/>
          <w:szCs w:val="20"/>
          <w:color w:val="auto"/>
        </w:rPr>
      </w:pPr>
    </w:p>
    <w:p>
      <w:pPr>
        <w:ind w:left="80" w:right="160" w:firstLine="384"/>
        <w:spacing w:after="0" w:line="286" w:lineRule="auto"/>
        <w:rPr>
          <w:sz w:val="20"/>
          <w:szCs w:val="20"/>
          <w:color w:val="auto"/>
        </w:rPr>
      </w:pPr>
      <w:r>
        <w:rPr>
          <w:rFonts w:ascii="Times New Roman" w:cs="Times New Roman" w:eastAsia="Times New Roman" w:hAnsi="Times New Roman"/>
          <w:sz w:val="13"/>
          <w:szCs w:val="13"/>
          <w:color w:val="auto"/>
        </w:rPr>
        <w:t>The Company relies on the Adviser to engage external experts, including cybersecurity assessors, consultants, and other specialists as appropriate to evaluate cybersecurity measures and risk management processes, including those applicable to the Company.</w:t>
      </w:r>
    </w:p>
    <w:p>
      <w:pPr>
        <w:spacing w:after="0" w:line="52" w:lineRule="exact"/>
        <w:rPr>
          <w:sz w:val="20"/>
          <w:szCs w:val="20"/>
          <w:color w:val="auto"/>
        </w:rPr>
      </w:pPr>
    </w:p>
    <w:p>
      <w:pPr>
        <w:ind w:left="80" w:firstLine="348"/>
        <w:spacing w:after="0" w:line="268" w:lineRule="auto"/>
        <w:rPr>
          <w:sz w:val="20"/>
          <w:szCs w:val="20"/>
          <w:color w:val="auto"/>
        </w:rPr>
      </w:pPr>
      <w:r>
        <w:rPr>
          <w:rFonts w:ascii="Times New Roman" w:cs="Times New Roman" w:eastAsia="Times New Roman" w:hAnsi="Times New Roman"/>
          <w:sz w:val="13"/>
          <w:szCs w:val="13"/>
          <w:color w:val="auto"/>
        </w:rPr>
        <w:t>The Company relies on the Adviser’s risk management program and processes, which include cyber risk assessments. The Company depends on and engages various third parties, including suppliers, vendors, and service providers, to operate its business. The Company takes steps to identify and oversee risks from cybersecurity threats associated with our use of such entities and the Chief Compliance Officer (“CCO”) of the Company reviews cybersecurity-related reports provided by key service providers.</w:t>
      </w:r>
    </w:p>
    <w:p>
      <w:pPr>
        <w:spacing w:after="0" w:line="19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Board Oversight of Cybersecurity Risks</w:t>
      </w:r>
    </w:p>
    <w:p>
      <w:pPr>
        <w:spacing w:after="0" w:line="1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1"/>
          <w:szCs w:val="1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417830</wp:posOffset>
            </wp:positionV>
            <wp:extent cx="673290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60"/>
          </w:cols>
          <w:pgMar w:left="580" w:top="1386" w:right="660" w:bottom="1440" w:gutter="0" w:footer="0" w:header="0"/>
        </w:sectPr>
      </w:pPr>
    </w:p>
    <w:bookmarkStart w:id="33" w:name="page34"/>
    <w:bookmarkEnd w:id="33"/>
    <w:p>
      <w:pPr>
        <w:ind w:left="80" w:right="40" w:firstLine="348"/>
        <w:spacing w:after="0" w:line="286" w:lineRule="auto"/>
        <w:rPr>
          <w:sz w:val="20"/>
          <w:szCs w:val="20"/>
          <w:color w:val="auto"/>
        </w:rPr>
      </w:pPr>
      <w:r>
        <w:rPr>
          <w:rFonts w:ascii="Times New Roman" w:cs="Times New Roman" w:eastAsia="Times New Roman" w:hAnsi="Times New Roman"/>
          <w:sz w:val="13"/>
          <w:szCs w:val="13"/>
          <w:color w:val="auto"/>
        </w:rPr>
        <w:t>The Board would be made aware of any material risks associated with cybersecurity threats. The Board currently receives periodic updates from the Company’s CCO regarding the overall state of the Adviser’s cybersecurity program, information on the current threat landscape, and risks from cybersecurity threats and cybersecurity incidents impacting the Company.</w:t>
      </w:r>
    </w:p>
    <w:p>
      <w:pPr>
        <w:spacing w:after="0" w:line="14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Management’s Role in Cybersecurity Risk Management</w:t>
      </w:r>
    </w:p>
    <w:p>
      <w:pPr>
        <w:spacing w:after="0" w:line="105" w:lineRule="exact"/>
        <w:rPr>
          <w:sz w:val="20"/>
          <w:szCs w:val="20"/>
          <w:color w:val="auto"/>
        </w:rPr>
      </w:pPr>
    </w:p>
    <w:p>
      <w:pPr>
        <w:ind w:left="80" w:firstLine="348"/>
        <w:spacing w:after="0" w:line="262" w:lineRule="auto"/>
        <w:rPr>
          <w:sz w:val="20"/>
          <w:szCs w:val="20"/>
          <w:color w:val="auto"/>
        </w:rPr>
      </w:pPr>
      <w:r>
        <w:rPr>
          <w:rFonts w:ascii="Times New Roman" w:cs="Times New Roman" w:eastAsia="Times New Roman" w:hAnsi="Times New Roman"/>
          <w:sz w:val="13"/>
          <w:szCs w:val="13"/>
          <w:color w:val="auto"/>
        </w:rPr>
        <w:t>The Company’s management, including the Company’s CCO, is responsible for assessing and managing material risks from cybersecurity threats. The CCO, in managing such risks relating to cybersecurity threats, relies on the assistance provided by the Adviser’s GHIC. The Adviser’s GHIC has extensive experience in managing cybersecurity and information security programs for financial services companies with complex information systems. The CCO has been responsible for this oversight function as CCO to the Company since 2021 and has worked in the financial services industry for more than 15 years, during which the CCO has gained expertise in assessing and managing such risks applicable to the Company.</w:t>
      </w:r>
    </w:p>
    <w:p>
      <w:pPr>
        <w:spacing w:after="0" w:line="67" w:lineRule="exact"/>
        <w:rPr>
          <w:sz w:val="20"/>
          <w:szCs w:val="20"/>
          <w:color w:val="auto"/>
        </w:rPr>
      </w:pPr>
    </w:p>
    <w:p>
      <w:pPr>
        <w:ind w:left="80" w:right="320" w:firstLine="384"/>
        <w:spacing w:after="0" w:line="286" w:lineRule="auto"/>
        <w:rPr>
          <w:sz w:val="20"/>
          <w:szCs w:val="20"/>
          <w:color w:val="auto"/>
        </w:rPr>
      </w:pPr>
      <w:r>
        <w:rPr>
          <w:rFonts w:ascii="Times New Roman" w:cs="Times New Roman" w:eastAsia="Times New Roman" w:hAnsi="Times New Roman"/>
          <w:sz w:val="13"/>
          <w:szCs w:val="13"/>
          <w:color w:val="auto"/>
        </w:rPr>
        <w:t>Management of the Company is informed about and monitors the prevention, detection, mitigation, and remediation of material cybersecurity incidents impacting the Company, including through the receipt of notifications from service providers and reliance on communications with legal, information technology, and/or compliance personnel of the Adviser.</w:t>
      </w:r>
    </w:p>
    <w:p>
      <w:pPr>
        <w:spacing w:after="0" w:line="14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Assessment of Cybersecurity Risk</w:t>
      </w:r>
    </w:p>
    <w:p>
      <w:pPr>
        <w:spacing w:after="0" w:line="105" w:lineRule="exact"/>
        <w:rPr>
          <w:sz w:val="20"/>
          <w:szCs w:val="20"/>
          <w:color w:val="auto"/>
        </w:rPr>
      </w:pPr>
    </w:p>
    <w:p>
      <w:pPr>
        <w:ind w:left="80" w:firstLine="381"/>
        <w:spacing w:after="0" w:line="262" w:lineRule="auto"/>
        <w:rPr>
          <w:sz w:val="20"/>
          <w:szCs w:val="20"/>
          <w:color w:val="auto"/>
        </w:rPr>
      </w:pPr>
      <w:r>
        <w:rPr>
          <w:rFonts w:ascii="Times New Roman" w:cs="Times New Roman" w:eastAsia="Times New Roman" w:hAnsi="Times New Roman"/>
          <w:sz w:val="13"/>
          <w:szCs w:val="13"/>
          <w:color w:val="auto"/>
        </w:rPr>
        <w:t>The potential impact of risks from cybersecurity threats on the Company are assessed on an ongoing basis, and how such risks could materially affect the Company’s business strategy, results of operation, and financial condition are regularly evaluated. During the reporting period, the Company has not identified any material risks from cybersecurity threats, including as a result of previous cybersecurity incidents, that the Company believes have materially affected, or are reasonably likely to materially affect, the Company, including its business strategy, results of operation, and financial condition.</w:t>
      </w:r>
    </w:p>
    <w:p>
      <w:pPr>
        <w:spacing w:after="0" w:line="15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 xml:space="preserve">Item 2. </w:t>
      </w:r>
      <w:r>
        <w:rPr>
          <w:rFonts w:ascii="Times New Roman" w:cs="Times New Roman" w:eastAsia="Times New Roman" w:hAnsi="Times New Roman"/>
          <w:sz w:val="13"/>
          <w:szCs w:val="13"/>
          <w:b w:val="1"/>
          <w:bCs w:val="1"/>
          <w:i w:val="1"/>
          <w:iCs w:val="1"/>
          <w:color w:val="auto"/>
        </w:rPr>
        <w:t>Properties</w:t>
      </w:r>
    </w:p>
    <w:p>
      <w:pPr>
        <w:spacing w:after="0" w:line="1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We do not own any real estate or other real property.</w:t>
      </w:r>
    </w:p>
    <w:p>
      <w:pPr>
        <w:spacing w:after="0" w:line="19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 xml:space="preserve">Item 3. </w:t>
      </w:r>
      <w:r>
        <w:rPr>
          <w:rFonts w:ascii="Times New Roman" w:cs="Times New Roman" w:eastAsia="Times New Roman" w:hAnsi="Times New Roman"/>
          <w:sz w:val="13"/>
          <w:szCs w:val="13"/>
          <w:b w:val="1"/>
          <w:bCs w:val="1"/>
          <w:i w:val="1"/>
          <w:iCs w:val="1"/>
          <w:color w:val="auto"/>
        </w:rPr>
        <w:t>Legal Proceedings</w:t>
      </w:r>
    </w:p>
    <w:p>
      <w:pPr>
        <w:spacing w:after="0" w:line="1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The Company is not currently a party to any material legal proceedings.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Item 4. </w:t>
      </w:r>
      <w:r>
        <w:rPr>
          <w:rFonts w:ascii="Times New Roman" w:cs="Times New Roman" w:eastAsia="Times New Roman" w:hAnsi="Times New Roman"/>
          <w:sz w:val="13"/>
          <w:szCs w:val="13"/>
          <w:b w:val="1"/>
          <w:bCs w:val="1"/>
          <w:i w:val="1"/>
          <w:iCs w:val="1"/>
          <w:color w:val="auto"/>
        </w:rPr>
        <w:t>Mine Safety Disclosures</w:t>
      </w:r>
    </w:p>
    <w:p>
      <w:pPr>
        <w:spacing w:after="0" w:line="1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Not applicable.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Item 5. </w:t>
      </w:r>
      <w:r>
        <w:rPr>
          <w:rFonts w:ascii="Times New Roman" w:cs="Times New Roman" w:eastAsia="Times New Roman" w:hAnsi="Times New Roman"/>
          <w:sz w:val="13"/>
          <w:szCs w:val="13"/>
          <w:b w:val="1"/>
          <w:bCs w:val="1"/>
          <w:i w:val="1"/>
          <w:iCs w:val="1"/>
          <w:color w:val="auto"/>
        </w:rPr>
        <w:t>Market for Registrant’s Common Equity, Related Stockholder Matters and Issuer Purchases of Equity Securities</w:t>
      </w:r>
    </w:p>
    <w:p>
      <w:pPr>
        <w:spacing w:after="0" w:line="20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COMMON STOCK AND HOLDERS</w:t>
      </w:r>
    </w:p>
    <w:p>
      <w:pPr>
        <w:spacing w:after="0" w:line="105" w:lineRule="exact"/>
        <w:rPr>
          <w:sz w:val="20"/>
          <w:szCs w:val="20"/>
          <w:color w:val="auto"/>
        </w:rPr>
      </w:pPr>
    </w:p>
    <w:p>
      <w:pPr>
        <w:ind w:left="80" w:right="160" w:firstLine="348"/>
        <w:spacing w:after="0" w:line="286" w:lineRule="auto"/>
        <w:rPr>
          <w:sz w:val="20"/>
          <w:szCs w:val="20"/>
          <w:color w:val="auto"/>
        </w:rPr>
      </w:pPr>
      <w:r>
        <w:rPr>
          <w:rFonts w:ascii="Times New Roman" w:cs="Times New Roman" w:eastAsia="Times New Roman" w:hAnsi="Times New Roman"/>
          <w:sz w:val="13"/>
          <w:szCs w:val="13"/>
          <w:color w:val="auto"/>
        </w:rPr>
        <w:t>Our common stock is quoted on the NASDAQ Global Select Market under the symbol "PTMN." As of March 10, 2025, there were approximately 48 holders of record of our common stock. This number does not include shareholders for whom shares are held in “nominee” or “street name.”</w:t>
      </w:r>
    </w:p>
    <w:p>
      <w:pPr>
        <w:spacing w:after="0" w:line="14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PRICE RANGE OF COMMON STOCK</w:t>
      </w:r>
    </w:p>
    <w:p>
      <w:pPr>
        <w:spacing w:after="0" w:line="105" w:lineRule="exact"/>
        <w:rPr>
          <w:sz w:val="20"/>
          <w:szCs w:val="20"/>
          <w:color w:val="auto"/>
        </w:rPr>
      </w:pPr>
    </w:p>
    <w:p>
      <w:pPr>
        <w:ind w:left="80" w:right="40" w:firstLine="348"/>
        <w:spacing w:after="0" w:line="268" w:lineRule="auto"/>
        <w:rPr>
          <w:sz w:val="20"/>
          <w:szCs w:val="20"/>
          <w:color w:val="auto"/>
        </w:rPr>
      </w:pPr>
      <w:r>
        <w:rPr>
          <w:rFonts w:ascii="Times New Roman" w:cs="Times New Roman" w:eastAsia="Times New Roman" w:hAnsi="Times New Roman"/>
          <w:sz w:val="13"/>
          <w:szCs w:val="13"/>
          <w:color w:val="auto"/>
        </w:rPr>
        <w:t>The following table sets forth, for each fiscal quarter during the last two fiscal years and the current fiscal year to date, the net asset value, or NAV, per share of our common stock, the high and low closing sales prices for our common stock and such sales prices as a percentage of NAV per share.</w:t>
      </w:r>
    </w:p>
    <w:tbl>
      <w:tblPr>
        <w:tblLayout w:type="fixed"/>
        <w:tblInd w:w="80" w:type="dxa"/>
        <w:tblCellMar>
          <w:top w:w="0" w:type="dxa"/>
          <w:left w:w="0" w:type="dxa"/>
          <w:bottom w:w="0" w:type="dxa"/>
          <w:right w:w="0" w:type="dxa"/>
        </w:tblCellMar>
      </w:tblPr>
      <w:tr>
        <w:trPr>
          <w:trHeight w:val="156"/>
        </w:trPr>
        <w:tc>
          <w:tcPr>
            <w:tcW w:w="3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520" w:type="dxa"/>
            <w:vAlign w:val="bottom"/>
          </w:tcPr>
          <w:p>
            <w:pPr>
              <w:jc w:val="center"/>
              <w:ind w:right="234"/>
              <w:spacing w:after="0"/>
              <w:rPr>
                <w:sz w:val="20"/>
                <w:szCs w:val="20"/>
                <w:color w:val="auto"/>
              </w:rPr>
            </w:pPr>
            <w:r>
              <w:rPr>
                <w:rFonts w:ascii="Times New Roman" w:cs="Times New Roman" w:eastAsia="Times New Roman" w:hAnsi="Times New Roman"/>
                <w:sz w:val="13"/>
                <w:szCs w:val="13"/>
                <w:b w:val="1"/>
                <w:bCs w:val="1"/>
                <w:color w:val="auto"/>
                <w:w w:val="98"/>
              </w:rPr>
              <w:t>Premium /</w:t>
            </w:r>
          </w:p>
        </w:tc>
        <w:tc>
          <w:tcPr>
            <w:tcW w:w="1340" w:type="dxa"/>
            <w:vAlign w:val="bottom"/>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rPr>
              <w:t>Premium /</w:t>
            </w:r>
          </w:p>
        </w:tc>
        <w:tc>
          <w:tcPr>
            <w:tcW w:w="0" w:type="dxa"/>
            <w:vAlign w:val="bottom"/>
          </w:tcPr>
          <w:p>
            <w:pPr>
              <w:spacing w:after="0"/>
              <w:rPr>
                <w:sz w:val="1"/>
                <w:szCs w:val="1"/>
                <w:color w:val="auto"/>
              </w:rPr>
            </w:pPr>
          </w:p>
        </w:tc>
      </w:tr>
      <w:tr>
        <w:trPr>
          <w:trHeight w:val="156"/>
        </w:trPr>
        <w:tc>
          <w:tcPr>
            <w:tcW w:w="3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0" w:type="dxa"/>
            <w:vAlign w:val="bottom"/>
            <w:gridSpan w:val="3"/>
            <w:vMerge w:val="restart"/>
          </w:tcPr>
          <w:p>
            <w:pPr>
              <w:jc w:val="right"/>
              <w:ind w:right="654"/>
              <w:spacing w:after="0"/>
              <w:rPr>
                <w:sz w:val="20"/>
                <w:szCs w:val="20"/>
                <w:color w:val="auto"/>
              </w:rPr>
            </w:pPr>
            <w:r>
              <w:rPr>
                <w:rFonts w:ascii="Times New Roman" w:cs="Times New Roman" w:eastAsia="Times New Roman" w:hAnsi="Times New Roman"/>
                <w:sz w:val="13"/>
                <w:szCs w:val="13"/>
                <w:b w:val="1"/>
                <w:bCs w:val="1"/>
                <w:color w:val="auto"/>
              </w:rPr>
              <w:t>Closing Sale Prices</w:t>
            </w:r>
            <w:r>
              <w:rPr>
                <w:rFonts w:ascii="Times New Roman" w:cs="Times New Roman" w:eastAsia="Times New Roman" w:hAnsi="Times New Roman"/>
                <w:sz w:val="16"/>
                <w:szCs w:val="16"/>
                <w:b w:val="1"/>
                <w:bCs w:val="1"/>
                <w:color w:val="auto"/>
                <w:vertAlign w:val="superscript"/>
              </w:rPr>
              <w:t>(2)</w:t>
            </w:r>
          </w:p>
        </w:tc>
        <w:tc>
          <w:tcPr>
            <w:tcW w:w="1520" w:type="dxa"/>
            <w:vAlign w:val="bottom"/>
          </w:tcPr>
          <w:p>
            <w:pPr>
              <w:jc w:val="center"/>
              <w:ind w:right="234"/>
              <w:spacing w:after="0"/>
              <w:rPr>
                <w:sz w:val="20"/>
                <w:szCs w:val="20"/>
                <w:color w:val="auto"/>
              </w:rPr>
            </w:pPr>
            <w:r>
              <w:rPr>
                <w:rFonts w:ascii="Times New Roman" w:cs="Times New Roman" w:eastAsia="Times New Roman" w:hAnsi="Times New Roman"/>
                <w:sz w:val="13"/>
                <w:szCs w:val="13"/>
                <w:b w:val="1"/>
                <w:bCs w:val="1"/>
                <w:color w:val="auto"/>
              </w:rPr>
              <w:t>(Discount)</w:t>
            </w:r>
          </w:p>
        </w:tc>
        <w:tc>
          <w:tcPr>
            <w:tcW w:w="1340" w:type="dxa"/>
            <w:vAlign w:val="bottom"/>
          </w:tcPr>
          <w:p>
            <w:pPr>
              <w:jc w:val="center"/>
              <w:ind w:right="134"/>
              <w:spacing w:after="0"/>
              <w:rPr>
                <w:sz w:val="20"/>
                <w:szCs w:val="20"/>
                <w:color w:val="auto"/>
              </w:rPr>
            </w:pPr>
            <w:r>
              <w:rPr>
                <w:rFonts w:ascii="Times New Roman" w:cs="Times New Roman" w:eastAsia="Times New Roman" w:hAnsi="Times New Roman"/>
                <w:sz w:val="13"/>
                <w:szCs w:val="13"/>
                <w:b w:val="1"/>
                <w:bCs w:val="1"/>
                <w:color w:val="auto"/>
              </w:rPr>
              <w:t>(Discount)</w:t>
            </w:r>
          </w:p>
        </w:tc>
        <w:tc>
          <w:tcPr>
            <w:tcW w:w="0" w:type="dxa"/>
            <w:vAlign w:val="bottom"/>
          </w:tcPr>
          <w:p>
            <w:pPr>
              <w:spacing w:after="0"/>
              <w:rPr>
                <w:sz w:val="1"/>
                <w:szCs w:val="1"/>
                <w:color w:val="auto"/>
              </w:rPr>
            </w:pPr>
          </w:p>
        </w:tc>
      </w:tr>
      <w:tr>
        <w:trPr>
          <w:trHeight w:val="145"/>
        </w:trPr>
        <w:tc>
          <w:tcPr>
            <w:tcW w:w="3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0" w:type="dxa"/>
            <w:vAlign w:val="bottom"/>
            <w:gridSpan w:val="3"/>
            <w:vMerge w:val="continue"/>
          </w:tcPr>
          <w:p>
            <w:pPr>
              <w:spacing w:after="0"/>
              <w:rPr>
                <w:sz w:val="12"/>
                <w:szCs w:val="12"/>
                <w:color w:val="auto"/>
              </w:rPr>
            </w:pPr>
          </w:p>
        </w:tc>
        <w:tc>
          <w:tcPr>
            <w:tcW w:w="1520" w:type="dxa"/>
            <w:vAlign w:val="bottom"/>
          </w:tcPr>
          <w:p>
            <w:pPr>
              <w:jc w:val="center"/>
              <w:ind w:right="214"/>
              <w:spacing w:after="0" w:line="145" w:lineRule="exact"/>
              <w:rPr>
                <w:sz w:val="20"/>
                <w:szCs w:val="20"/>
                <w:color w:val="auto"/>
              </w:rPr>
            </w:pPr>
            <w:r>
              <w:rPr>
                <w:rFonts w:ascii="Times New Roman" w:cs="Times New Roman" w:eastAsia="Times New Roman" w:hAnsi="Times New Roman"/>
                <w:sz w:val="13"/>
                <w:szCs w:val="13"/>
                <w:b w:val="1"/>
                <w:bCs w:val="1"/>
                <w:color w:val="auto"/>
              </w:rPr>
              <w:t>of High Sale</w:t>
            </w:r>
          </w:p>
        </w:tc>
        <w:tc>
          <w:tcPr>
            <w:tcW w:w="1340" w:type="dxa"/>
            <w:vAlign w:val="bottom"/>
          </w:tcPr>
          <w:p>
            <w:pPr>
              <w:jc w:val="center"/>
              <w:ind w:right="134"/>
              <w:spacing w:after="0" w:line="145" w:lineRule="exact"/>
              <w:rPr>
                <w:sz w:val="20"/>
                <w:szCs w:val="20"/>
                <w:color w:val="auto"/>
              </w:rPr>
            </w:pPr>
            <w:r>
              <w:rPr>
                <w:rFonts w:ascii="Times New Roman" w:cs="Times New Roman" w:eastAsia="Times New Roman" w:hAnsi="Times New Roman"/>
                <w:sz w:val="13"/>
                <w:szCs w:val="13"/>
                <w:b w:val="1"/>
                <w:bCs w:val="1"/>
                <w:color w:val="auto"/>
              </w:rPr>
              <w:t>of Low Sale</w:t>
            </w:r>
          </w:p>
        </w:tc>
        <w:tc>
          <w:tcPr>
            <w:tcW w:w="0" w:type="dxa"/>
            <w:vAlign w:val="bottom"/>
          </w:tcPr>
          <w:p>
            <w:pPr>
              <w:spacing w:after="0"/>
              <w:rPr>
                <w:sz w:val="1"/>
                <w:szCs w:val="1"/>
                <w:color w:val="auto"/>
              </w:rPr>
            </w:pPr>
          </w:p>
        </w:tc>
      </w:tr>
      <w:tr>
        <w:trPr>
          <w:trHeight w:val="181"/>
        </w:trPr>
        <w:tc>
          <w:tcPr>
            <w:tcW w:w="3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1060" w:type="dxa"/>
            <w:vAlign w:val="bottom"/>
          </w:tcPr>
          <w:p>
            <w:pPr>
              <w:spacing w:after="0"/>
              <w:rPr>
                <w:sz w:val="15"/>
                <w:szCs w:val="15"/>
                <w:color w:val="auto"/>
              </w:rPr>
            </w:pPr>
          </w:p>
        </w:tc>
        <w:tc>
          <w:tcPr>
            <w:tcW w:w="880" w:type="dxa"/>
            <w:vAlign w:val="bottom"/>
          </w:tcPr>
          <w:p>
            <w:pPr>
              <w:jc w:val="right"/>
              <w:ind w:right="334"/>
              <w:spacing w:after="0" w:line="181" w:lineRule="exact"/>
              <w:rPr>
                <w:sz w:val="20"/>
                <w:szCs w:val="20"/>
                <w:color w:val="auto"/>
              </w:rPr>
            </w:pPr>
            <w:r>
              <w:rPr>
                <w:rFonts w:ascii="Times New Roman" w:cs="Times New Roman" w:eastAsia="Times New Roman" w:hAnsi="Times New Roman"/>
                <w:sz w:val="13"/>
                <w:szCs w:val="13"/>
                <w:b w:val="1"/>
                <w:bCs w:val="1"/>
                <w:color w:val="auto"/>
              </w:rPr>
              <w:t>NAV</w:t>
            </w:r>
            <w:r>
              <w:rPr>
                <w:rFonts w:ascii="Times New Roman" w:cs="Times New Roman" w:eastAsia="Times New Roman" w:hAnsi="Times New Roman"/>
                <w:sz w:val="16"/>
                <w:szCs w:val="16"/>
                <w:b w:val="1"/>
                <w:bCs w:val="1"/>
                <w:color w:val="auto"/>
                <w:vertAlign w:val="superscript"/>
              </w:rPr>
              <w:t>(1)</w:t>
            </w:r>
          </w:p>
        </w:tc>
        <w:tc>
          <w:tcPr>
            <w:tcW w:w="320" w:type="dxa"/>
            <w:vAlign w:val="bottom"/>
          </w:tcPr>
          <w:p>
            <w:pPr>
              <w:spacing w:after="0"/>
              <w:rPr>
                <w:sz w:val="15"/>
                <w:szCs w:val="15"/>
                <w:color w:val="auto"/>
              </w:rPr>
            </w:pPr>
          </w:p>
        </w:tc>
        <w:tc>
          <w:tcPr>
            <w:tcW w:w="90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High</w:t>
            </w:r>
          </w:p>
        </w:tc>
        <w:tc>
          <w:tcPr>
            <w:tcW w:w="340" w:type="dxa"/>
            <w:vAlign w:val="bottom"/>
          </w:tcPr>
          <w:p>
            <w:pPr>
              <w:spacing w:after="0"/>
              <w:rPr>
                <w:sz w:val="15"/>
                <w:szCs w:val="15"/>
                <w:color w:val="auto"/>
              </w:rPr>
            </w:pPr>
          </w:p>
        </w:tc>
        <w:tc>
          <w:tcPr>
            <w:tcW w:w="960" w:type="dxa"/>
            <w:vAlign w:val="bottom"/>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rPr>
              <w:t>Low</w:t>
            </w:r>
          </w:p>
        </w:tc>
        <w:tc>
          <w:tcPr>
            <w:tcW w:w="1520" w:type="dxa"/>
            <w:vAlign w:val="bottom"/>
          </w:tcPr>
          <w:p>
            <w:pPr>
              <w:jc w:val="center"/>
              <w:ind w:right="234"/>
              <w:spacing w:after="0" w:line="181" w:lineRule="exact"/>
              <w:rPr>
                <w:sz w:val="20"/>
                <w:szCs w:val="20"/>
                <w:color w:val="auto"/>
              </w:rPr>
            </w:pPr>
            <w:r>
              <w:rPr>
                <w:rFonts w:ascii="Times New Roman" w:cs="Times New Roman" w:eastAsia="Times New Roman" w:hAnsi="Times New Roman"/>
                <w:sz w:val="13"/>
                <w:szCs w:val="13"/>
                <w:b w:val="1"/>
                <w:bCs w:val="1"/>
                <w:color w:val="auto"/>
                <w:w w:val="99"/>
              </w:rPr>
              <w:t>Price to NAV</w:t>
            </w:r>
            <w:r>
              <w:rPr>
                <w:rFonts w:ascii="Times New Roman" w:cs="Times New Roman" w:eastAsia="Times New Roman" w:hAnsi="Times New Roman"/>
                <w:sz w:val="16"/>
                <w:szCs w:val="16"/>
                <w:b w:val="1"/>
                <w:bCs w:val="1"/>
                <w:color w:val="auto"/>
                <w:w w:val="99"/>
                <w:vertAlign w:val="superscript"/>
              </w:rPr>
              <w:t>(3)</w:t>
            </w:r>
          </w:p>
        </w:tc>
        <w:tc>
          <w:tcPr>
            <w:tcW w:w="1340" w:type="dxa"/>
            <w:vAlign w:val="bottom"/>
          </w:tcPr>
          <w:p>
            <w:pPr>
              <w:jc w:val="center"/>
              <w:ind w:right="134"/>
              <w:spacing w:after="0" w:line="181" w:lineRule="exact"/>
              <w:rPr>
                <w:sz w:val="20"/>
                <w:szCs w:val="20"/>
                <w:color w:val="auto"/>
              </w:rPr>
            </w:pPr>
            <w:r>
              <w:rPr>
                <w:rFonts w:ascii="Times New Roman" w:cs="Times New Roman" w:eastAsia="Times New Roman" w:hAnsi="Times New Roman"/>
                <w:sz w:val="13"/>
                <w:szCs w:val="13"/>
                <w:b w:val="1"/>
                <w:bCs w:val="1"/>
                <w:color w:val="auto"/>
                <w:w w:val="99"/>
              </w:rPr>
              <w:t>Price to NAV</w:t>
            </w:r>
            <w:r>
              <w:rPr>
                <w:rFonts w:ascii="Times New Roman" w:cs="Times New Roman" w:eastAsia="Times New Roman" w:hAnsi="Times New Roman"/>
                <w:sz w:val="16"/>
                <w:szCs w:val="16"/>
                <w:b w:val="1"/>
                <w:bCs w:val="1"/>
                <w:color w:val="auto"/>
                <w:w w:val="99"/>
                <w:vertAlign w:val="superscript"/>
              </w:rPr>
              <w:t>(3)</w:t>
            </w:r>
          </w:p>
        </w:tc>
        <w:tc>
          <w:tcPr>
            <w:tcW w:w="0" w:type="dxa"/>
            <w:vAlign w:val="bottom"/>
          </w:tcPr>
          <w:p>
            <w:pPr>
              <w:spacing w:after="0"/>
              <w:rPr>
                <w:sz w:val="1"/>
                <w:szCs w:val="1"/>
                <w:color w:val="auto"/>
              </w:rPr>
            </w:pPr>
          </w:p>
        </w:tc>
      </w:tr>
      <w:tr>
        <w:trPr>
          <w:trHeight w:val="156"/>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First quarter of 2025 (as of March 10, 2025)</w:t>
            </w:r>
          </w:p>
        </w:tc>
        <w:tc>
          <w:tcPr>
            <w:tcW w:w="1060" w:type="dxa"/>
            <w:vAlign w:val="bottom"/>
            <w:shd w:val="clear" w:color="auto" w:fill="CCECFF"/>
          </w:tcPr>
          <w:p>
            <w:pPr>
              <w:spacing w:after="0"/>
              <w:rPr>
                <w:sz w:val="13"/>
                <w:szCs w:val="13"/>
                <w:color w:val="auto"/>
              </w:rPr>
            </w:pPr>
          </w:p>
        </w:tc>
        <w:tc>
          <w:tcPr>
            <w:tcW w:w="880" w:type="dxa"/>
            <w:vAlign w:val="bottom"/>
            <w:shd w:val="clear" w:color="auto" w:fill="CCECFF"/>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17.45</w:t>
            </w:r>
          </w:p>
        </w:tc>
        <w:tc>
          <w:tcPr>
            <w:tcW w:w="34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16.10</w:t>
            </w:r>
          </w:p>
        </w:tc>
        <w:tc>
          <w:tcPr>
            <w:tcW w:w="1520" w:type="dxa"/>
            <w:vAlign w:val="bottom"/>
            <w:shd w:val="clear" w:color="auto" w:fill="CCECFF"/>
          </w:tcPr>
          <w:p>
            <w:pPr>
              <w:jc w:val="center"/>
              <w:ind w:right="23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40" w:type="dxa"/>
            <w:vAlign w:val="bottom"/>
            <w:shd w:val="clear" w:color="auto" w:fill="CCECFF"/>
          </w:tcPr>
          <w:p>
            <w:pPr>
              <w:jc w:val="center"/>
              <w:ind w:right="13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0" w:type="dxa"/>
            <w:vAlign w:val="bottom"/>
          </w:tcPr>
          <w:p>
            <w:pPr>
              <w:spacing w:after="0"/>
              <w:rPr>
                <w:sz w:val="1"/>
                <w:szCs w:val="1"/>
                <w:color w:val="auto"/>
              </w:rPr>
            </w:pPr>
          </w:p>
        </w:tc>
      </w:tr>
      <w:tr>
        <w:trPr>
          <w:trHeight w:val="156"/>
        </w:trPr>
        <w:tc>
          <w:tcPr>
            <w:tcW w:w="3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Fourth quarter of 2024</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19.41</w:t>
            </w:r>
          </w:p>
        </w:tc>
        <w:tc>
          <w:tcPr>
            <w:tcW w:w="3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18.70</w:t>
            </w:r>
          </w:p>
        </w:tc>
        <w:tc>
          <w:tcPr>
            <w:tcW w:w="3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16.28</w:t>
            </w:r>
          </w:p>
        </w:tc>
        <w:tc>
          <w:tcPr>
            <w:tcW w:w="15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(3.66)%</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(16.13)%</w:t>
            </w:r>
          </w:p>
        </w:tc>
        <w:tc>
          <w:tcPr>
            <w:tcW w:w="0" w:type="dxa"/>
            <w:vAlign w:val="bottom"/>
          </w:tcPr>
          <w:p>
            <w:pPr>
              <w:spacing w:after="0"/>
              <w:rPr>
                <w:sz w:val="1"/>
                <w:szCs w:val="1"/>
                <w:color w:val="auto"/>
              </w:rPr>
            </w:pPr>
          </w:p>
        </w:tc>
      </w:tr>
      <w:tr>
        <w:trPr>
          <w:trHeight w:val="156"/>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Third quarter of 2024</w:t>
            </w:r>
          </w:p>
        </w:tc>
        <w:tc>
          <w:tcPr>
            <w:tcW w:w="106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20.36</w:t>
            </w:r>
          </w:p>
        </w:tc>
        <w:tc>
          <w:tcPr>
            <w:tcW w:w="3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19.86</w:t>
            </w:r>
          </w:p>
        </w:tc>
        <w:tc>
          <w:tcPr>
            <w:tcW w:w="34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18.15</w:t>
            </w:r>
          </w:p>
        </w:tc>
        <w:tc>
          <w:tcPr>
            <w:tcW w:w="15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(2.47)%</w:t>
            </w: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(10.87)%</w:t>
            </w:r>
          </w:p>
        </w:tc>
        <w:tc>
          <w:tcPr>
            <w:tcW w:w="0" w:type="dxa"/>
            <w:vAlign w:val="bottom"/>
          </w:tcPr>
          <w:p>
            <w:pPr>
              <w:spacing w:after="0"/>
              <w:rPr>
                <w:sz w:val="1"/>
                <w:szCs w:val="1"/>
                <w:color w:val="auto"/>
              </w:rPr>
            </w:pPr>
          </w:p>
        </w:tc>
      </w:tr>
      <w:tr>
        <w:trPr>
          <w:trHeight w:val="156"/>
        </w:trPr>
        <w:tc>
          <w:tcPr>
            <w:tcW w:w="3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Second quarter of 2024</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21.21</w:t>
            </w:r>
          </w:p>
        </w:tc>
        <w:tc>
          <w:tcPr>
            <w:tcW w:w="3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20.49</w:t>
            </w:r>
          </w:p>
        </w:tc>
        <w:tc>
          <w:tcPr>
            <w:tcW w:w="3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18.97</w:t>
            </w:r>
          </w:p>
        </w:tc>
        <w:tc>
          <w:tcPr>
            <w:tcW w:w="15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(3.40)%</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(10.57)%</w:t>
            </w:r>
          </w:p>
        </w:tc>
        <w:tc>
          <w:tcPr>
            <w:tcW w:w="0" w:type="dxa"/>
            <w:vAlign w:val="bottom"/>
          </w:tcPr>
          <w:p>
            <w:pPr>
              <w:spacing w:after="0"/>
              <w:rPr>
                <w:sz w:val="1"/>
                <w:szCs w:val="1"/>
                <w:color w:val="auto"/>
              </w:rPr>
            </w:pPr>
          </w:p>
        </w:tc>
      </w:tr>
      <w:tr>
        <w:trPr>
          <w:trHeight w:val="156"/>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First quarter of 2024</w:t>
            </w:r>
          </w:p>
        </w:tc>
        <w:tc>
          <w:tcPr>
            <w:tcW w:w="106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22.57</w:t>
            </w:r>
          </w:p>
        </w:tc>
        <w:tc>
          <w:tcPr>
            <w:tcW w:w="3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19.50</w:t>
            </w:r>
          </w:p>
        </w:tc>
        <w:tc>
          <w:tcPr>
            <w:tcW w:w="34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18.20</w:t>
            </w:r>
          </w:p>
        </w:tc>
        <w:tc>
          <w:tcPr>
            <w:tcW w:w="15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(13.59)%</w:t>
            </w: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(19.35)%</w:t>
            </w:r>
          </w:p>
        </w:tc>
        <w:tc>
          <w:tcPr>
            <w:tcW w:w="0" w:type="dxa"/>
            <w:vAlign w:val="bottom"/>
          </w:tcPr>
          <w:p>
            <w:pPr>
              <w:spacing w:after="0"/>
              <w:rPr>
                <w:sz w:val="1"/>
                <w:szCs w:val="1"/>
                <w:color w:val="auto"/>
              </w:rPr>
            </w:pPr>
          </w:p>
        </w:tc>
      </w:tr>
      <w:tr>
        <w:trPr>
          <w:trHeight w:val="156"/>
        </w:trPr>
        <w:tc>
          <w:tcPr>
            <w:tcW w:w="3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Fourth quarter of 2023</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22.76</w:t>
            </w:r>
          </w:p>
        </w:tc>
        <w:tc>
          <w:tcPr>
            <w:tcW w:w="3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19.30</w:t>
            </w:r>
          </w:p>
        </w:tc>
        <w:tc>
          <w:tcPr>
            <w:tcW w:w="3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16.55</w:t>
            </w:r>
          </w:p>
        </w:tc>
        <w:tc>
          <w:tcPr>
            <w:tcW w:w="15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(15.20)%</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(27.28)%</w:t>
            </w:r>
          </w:p>
        </w:tc>
        <w:tc>
          <w:tcPr>
            <w:tcW w:w="0" w:type="dxa"/>
            <w:vAlign w:val="bottom"/>
          </w:tcPr>
          <w:p>
            <w:pPr>
              <w:spacing w:after="0"/>
              <w:rPr>
                <w:sz w:val="1"/>
                <w:szCs w:val="1"/>
                <w:color w:val="auto"/>
              </w:rPr>
            </w:pPr>
          </w:p>
        </w:tc>
      </w:tr>
      <w:tr>
        <w:trPr>
          <w:trHeight w:val="156"/>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Third quarter of 2023</w:t>
            </w:r>
          </w:p>
        </w:tc>
        <w:tc>
          <w:tcPr>
            <w:tcW w:w="106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22.65</w:t>
            </w:r>
          </w:p>
        </w:tc>
        <w:tc>
          <w:tcPr>
            <w:tcW w:w="3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20.81</w:t>
            </w:r>
          </w:p>
        </w:tc>
        <w:tc>
          <w:tcPr>
            <w:tcW w:w="34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18.88</w:t>
            </w:r>
          </w:p>
        </w:tc>
        <w:tc>
          <w:tcPr>
            <w:tcW w:w="15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(8.12)%</w:t>
            </w: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(16.64)%</w:t>
            </w:r>
          </w:p>
        </w:tc>
        <w:tc>
          <w:tcPr>
            <w:tcW w:w="0" w:type="dxa"/>
            <w:vAlign w:val="bottom"/>
          </w:tcPr>
          <w:p>
            <w:pPr>
              <w:spacing w:after="0"/>
              <w:rPr>
                <w:sz w:val="1"/>
                <w:szCs w:val="1"/>
                <w:color w:val="auto"/>
              </w:rPr>
            </w:pPr>
          </w:p>
        </w:tc>
      </w:tr>
      <w:tr>
        <w:trPr>
          <w:trHeight w:val="156"/>
        </w:trPr>
        <w:tc>
          <w:tcPr>
            <w:tcW w:w="3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Second quarter of 2023</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22.54</w:t>
            </w:r>
          </w:p>
        </w:tc>
        <w:tc>
          <w:tcPr>
            <w:tcW w:w="3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21.10</w:t>
            </w:r>
          </w:p>
        </w:tc>
        <w:tc>
          <w:tcPr>
            <w:tcW w:w="3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18.86</w:t>
            </w:r>
          </w:p>
        </w:tc>
        <w:tc>
          <w:tcPr>
            <w:tcW w:w="15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(6.39)%</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(16.33)%</w:t>
            </w:r>
          </w:p>
        </w:tc>
        <w:tc>
          <w:tcPr>
            <w:tcW w:w="0" w:type="dxa"/>
            <w:vAlign w:val="bottom"/>
          </w:tcPr>
          <w:p>
            <w:pPr>
              <w:spacing w:after="0"/>
              <w:rPr>
                <w:sz w:val="1"/>
                <w:szCs w:val="1"/>
                <w:color w:val="auto"/>
              </w:rPr>
            </w:pPr>
          </w:p>
        </w:tc>
      </w:tr>
      <w:tr>
        <w:trPr>
          <w:trHeight w:val="156"/>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First quarter of 2023</w:t>
            </w:r>
          </w:p>
        </w:tc>
        <w:tc>
          <w:tcPr>
            <w:tcW w:w="106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23.56</w:t>
            </w:r>
          </w:p>
        </w:tc>
        <w:tc>
          <w:tcPr>
            <w:tcW w:w="3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23.39</w:t>
            </w:r>
          </w:p>
        </w:tc>
        <w:tc>
          <w:tcPr>
            <w:tcW w:w="34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20.28</w:t>
            </w:r>
          </w:p>
        </w:tc>
        <w:tc>
          <w:tcPr>
            <w:tcW w:w="15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(0.70)%</w:t>
            </w: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(13.91)%</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0"/>
          <w:szCs w:val="10"/>
          <w:color w:val="auto"/>
        </w:rPr>
        <w:t>(1)NAV per share is determined as of the last day in the relevant quarter and therefore may not reflect the NAV per share on the date of the high and low sales prices. The NAVs shown are based on outstanding shares at the end of each period.</w:t>
      </w:r>
    </w:p>
    <w:p>
      <w:pPr>
        <w:spacing w:after="0" w:line="11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(2)Closing sales price as provided by the NASDAQ Global Select Market.</w:t>
      </w:r>
    </w:p>
    <w:p>
      <w:pPr>
        <w:spacing w:after="0" w:line="10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(3)Calculated as of the respective high or low closing sales price divided by the quarter end NAV.</w:t>
      </w:r>
    </w:p>
    <w:p>
      <w:pPr>
        <w:spacing w:after="0" w:line="30" w:lineRule="exact"/>
        <w:rPr>
          <w:sz w:val="20"/>
          <w:szCs w:val="20"/>
          <w:color w:val="auto"/>
        </w:rPr>
      </w:pPr>
    </w:p>
    <w:p>
      <w:pPr>
        <w:ind w:left="360" w:hanging="247"/>
        <w:spacing w:after="0"/>
        <w:tabs>
          <w:tab w:leader="none" w:pos="36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Not determinable at the time of filing.</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On March 10, 2025, the reported closing sales price of our common stock was $16.93 per share.</w:t>
      </w:r>
    </w:p>
    <w:p>
      <w:pPr>
        <w:spacing w:after="0" w:line="103" w:lineRule="exact"/>
        <w:rPr>
          <w:sz w:val="20"/>
          <w:szCs w:val="20"/>
          <w:color w:val="auto"/>
        </w:rPr>
      </w:pPr>
    </w:p>
    <w:p>
      <w:pPr>
        <w:ind w:left="80" w:right="60" w:firstLine="348"/>
        <w:spacing w:after="0" w:line="262" w:lineRule="auto"/>
        <w:rPr>
          <w:sz w:val="20"/>
          <w:szCs w:val="20"/>
          <w:color w:val="auto"/>
        </w:rPr>
      </w:pPr>
      <w:r>
        <w:rPr>
          <w:rFonts w:ascii="Times New Roman" w:cs="Times New Roman" w:eastAsia="Times New Roman" w:hAnsi="Times New Roman"/>
          <w:sz w:val="13"/>
          <w:szCs w:val="13"/>
          <w:color w:val="auto"/>
        </w:rPr>
        <w:t>Shares of BDCs may trade at a market price that is less than the value of the net assets attributable to those shares. The possibility that our shares of common stock will trade at a discount from net asset value per share or at premiums that are unsustainable over the long term are separate and distinct from the risk that our net asset value per share will decrease. It is not possible to predict whether our common stock will trade at, above, or below net asset value per share. Since our initial public offering in December 2006, our shares of common stock have traded at prices both less than and exceeding our net asset value per share.</w:t>
      </w:r>
    </w:p>
    <w:p>
      <w:pPr>
        <w:spacing w:after="0" w:line="16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DIVIDEND POLICY</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1"/>
          <w:szCs w:val="1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417830</wp:posOffset>
            </wp:positionV>
            <wp:extent cx="673290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580" w:top="1386" w:right="680" w:bottom="1440" w:gutter="0" w:footer="0" w:header="0"/>
        </w:sectPr>
      </w:pPr>
    </w:p>
    <w:bookmarkStart w:id="34" w:name="page35"/>
    <w:bookmarkEnd w:id="34"/>
    <w:p>
      <w:pPr>
        <w:ind w:firstLine="348"/>
        <w:spacing w:after="0" w:line="255" w:lineRule="auto"/>
        <w:rPr>
          <w:sz w:val="20"/>
          <w:szCs w:val="20"/>
          <w:color w:val="auto"/>
        </w:rPr>
      </w:pPr>
      <w:r>
        <w:rPr>
          <w:rFonts w:ascii="Times New Roman" w:cs="Times New Roman" w:eastAsia="Times New Roman" w:hAnsi="Times New Roman"/>
          <w:sz w:val="13"/>
          <w:szCs w:val="13"/>
          <w:color w:val="auto"/>
        </w:rPr>
        <w:t>We intend to continue to make quarterly distributions to our stockholders. Our quarterly distributions, if any, will be determined by our Board. To maintain our RIC status, we must timely distribute an amount equal to at least 90% of our ordinary income and realized net short-term capital gains in excess of realized net long- term capital losses, if any, reduced by deductible expenses, out of the assets legally available for distribution, for each year. To avoid certain excise taxes imposed on RICs, we are generally required to distribute during each calendar year an amount at least equal to the sum of (1) 98% of our ordinary income for the calendar year, (2) 98.2% of our capital gains in excess of capital losses for the one-year period ending on October 31 of the calendar year and (3) 100% of any ordinary income and net capital gains for preceding years that were not distributed during such years and on which we paid no corporate tax. If this requirement is not met, we will be required to pay a nondeductible excise tax equal to 4% of the amount by which the required distribution amount exceeds the actual distribution for the year. The taxable income on which an excise tax is paid is generally carried forward and distributed to stockholders in the next tax year. Depending on the level of taxable income earned in a tax year, we may choose to carry forward taxable income in excess of current year distributions into the next tax year and pay a 4% excise tax on such income, to the extent required.</w:t>
      </w:r>
    </w:p>
    <w:p>
      <w:pPr>
        <w:spacing w:after="0" w:line="74" w:lineRule="exact"/>
        <w:rPr>
          <w:sz w:val="20"/>
          <w:szCs w:val="20"/>
          <w:color w:val="auto"/>
        </w:rPr>
      </w:pPr>
    </w:p>
    <w:p>
      <w:pPr>
        <w:ind w:right="220" w:firstLine="348"/>
        <w:spacing w:after="0" w:line="268" w:lineRule="auto"/>
        <w:rPr>
          <w:sz w:val="20"/>
          <w:szCs w:val="20"/>
          <w:color w:val="auto"/>
        </w:rPr>
      </w:pPr>
      <w:r>
        <w:rPr>
          <w:rFonts w:ascii="Times New Roman" w:cs="Times New Roman" w:eastAsia="Times New Roman" w:hAnsi="Times New Roman"/>
          <w:sz w:val="13"/>
          <w:szCs w:val="13"/>
          <w:color w:val="auto"/>
        </w:rPr>
        <w:t>We cannot assure you that we will achieve results that will permit the payment of any cash distributions and, because we issued public senior securities, we are prohibited from making distributions if doing so causes us to fail to maintain the asset coverage ratio stipulated by the 1940 Act. Similarly, we may be prohibited from making distributions by the terms of any of our other borrowings.</w:t>
      </w:r>
    </w:p>
    <w:p>
      <w:pPr>
        <w:spacing w:after="0" w:line="63" w:lineRule="exact"/>
        <w:rPr>
          <w:sz w:val="20"/>
          <w:szCs w:val="20"/>
          <w:color w:val="auto"/>
        </w:rPr>
      </w:pPr>
    </w:p>
    <w:p>
      <w:pPr>
        <w:ind w:firstLine="348"/>
        <w:spacing w:after="0" w:line="286" w:lineRule="auto"/>
        <w:rPr>
          <w:sz w:val="20"/>
          <w:szCs w:val="20"/>
          <w:color w:val="auto"/>
        </w:rPr>
      </w:pPr>
      <w:r>
        <w:rPr>
          <w:rFonts w:ascii="Times New Roman" w:cs="Times New Roman" w:eastAsia="Times New Roman" w:hAnsi="Times New Roman"/>
          <w:sz w:val="13"/>
          <w:szCs w:val="13"/>
          <w:color w:val="auto"/>
        </w:rPr>
        <w:t>We maintain an “opt out” dividend reinvestment plan for our common stockholders. As a result, if we declare distributions, then stockholders’ cash distributions will be automatically reinvested in additional shares of our common stock, unless they specifically “opt out” of the dividend reinvestment plan so as to receive cash.</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Performance Graph</w:t>
      </w:r>
    </w:p>
    <w:p>
      <w:pPr>
        <w:spacing w:after="0" w:line="105" w:lineRule="exact"/>
        <w:rPr>
          <w:sz w:val="20"/>
          <w:szCs w:val="20"/>
          <w:color w:val="auto"/>
        </w:rPr>
      </w:pPr>
    </w:p>
    <w:p>
      <w:pPr>
        <w:ind w:right="20" w:firstLine="348"/>
        <w:spacing w:after="0" w:line="268" w:lineRule="auto"/>
        <w:rPr>
          <w:sz w:val="20"/>
          <w:szCs w:val="20"/>
          <w:color w:val="auto"/>
        </w:rPr>
      </w:pPr>
      <w:r>
        <w:rPr>
          <w:rFonts w:ascii="Times New Roman" w:cs="Times New Roman" w:eastAsia="Times New Roman" w:hAnsi="Times New Roman"/>
          <w:sz w:val="13"/>
          <w:szCs w:val="13"/>
          <w:color w:val="auto"/>
        </w:rPr>
        <w:t>The following graph compares the return on our common stock with that of the Russell 2000 Index and the Nasdaq Financial 100 Index (IXF), for the period December 11, 2006 (the date of our initial public offering) to December 31, 2024. The graph assumes that, on December 11, 2006, a person invested $100 in each of our common stock, the Russell 2000 Index, and the IFX. The graph measures total shareholder return, which takes into account both changes in stock price and dividends. It assumes that dividends are reinvested.</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Shareholder Return Performance Graph Cumulative</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Total Return Since Initial Public Offering</w:t>
      </w:r>
      <w:r>
        <w:rPr>
          <w:rFonts w:ascii="Times New Roman" w:cs="Times New Roman" w:eastAsia="Times New Roman" w:hAnsi="Times New Roman"/>
          <w:sz w:val="16"/>
          <w:szCs w:val="16"/>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621030</wp:posOffset>
            </wp:positionH>
            <wp:positionV relativeFrom="paragraph">
              <wp:posOffset>71120</wp:posOffset>
            </wp:positionV>
            <wp:extent cx="5472430" cy="22866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72430" cy="2286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11"/>
          <w:szCs w:val="11"/>
          <w:color w:val="auto"/>
        </w:rPr>
        <w:t>(1)Total return includes reinvestment of distributions through December 31, 2024. The IXF is an index of diversified financial sector stocks and, as such, the Company believes that it is representative of our industry. The Russell 2000 is a broad-based equity market index that tracks companies with a market capitalization that the Company believes are comparable to it.</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86" w:right="680" w:bottom="1440" w:gutter="0" w:footer="0" w:header="0"/>
        </w:sectPr>
      </w:pPr>
    </w:p>
    <w:bookmarkStart w:id="35" w:name="page36"/>
    <w:bookmarkEnd w:id="35"/>
    <w:p>
      <w:pPr>
        <w:spacing w:after="0" w:line="4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ISSUER PURCHASES OF EQUITY SECURITIES</w:t>
      </w:r>
    </w:p>
    <w:p>
      <w:pPr>
        <w:spacing w:after="0" w:line="105"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8940" w:type="dxa"/>
            <w:vAlign w:val="bottom"/>
            <w:gridSpan w:val="5"/>
          </w:tcPr>
          <w:p>
            <w:pPr>
              <w:ind w:left="360"/>
              <w:spacing w:after="0"/>
              <w:rPr>
                <w:sz w:val="20"/>
                <w:szCs w:val="20"/>
                <w:color w:val="auto"/>
              </w:rPr>
            </w:pPr>
            <w:r>
              <w:rPr>
                <w:rFonts w:ascii="Times New Roman" w:cs="Times New Roman" w:eastAsia="Times New Roman" w:hAnsi="Times New Roman"/>
                <w:sz w:val="13"/>
                <w:szCs w:val="13"/>
                <w:color w:val="auto"/>
              </w:rPr>
              <w:t>The following table sets forth information regarding repurchases of shares of our common stock during the year ended December 31, 2024:</w:t>
            </w: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415"/>
        </w:trPr>
        <w:tc>
          <w:tcPr>
            <w:tcW w:w="33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center"/>
              <w:ind w:right="134"/>
              <w:spacing w:after="0"/>
              <w:rPr>
                <w:sz w:val="20"/>
                <w:szCs w:val="20"/>
                <w:color w:val="auto"/>
              </w:rPr>
            </w:pPr>
            <w:r>
              <w:rPr>
                <w:rFonts w:ascii="Times New Roman" w:cs="Times New Roman" w:eastAsia="Times New Roman" w:hAnsi="Times New Roman"/>
                <w:sz w:val="13"/>
                <w:szCs w:val="13"/>
                <w:b w:val="1"/>
                <w:bCs w:val="1"/>
                <w:color w:val="auto"/>
              </w:rPr>
              <w:t>Approximate Dollar</w:t>
            </w:r>
          </w:p>
        </w:tc>
      </w:tr>
      <w:tr>
        <w:trPr>
          <w:trHeight w:val="156"/>
        </w:trPr>
        <w:tc>
          <w:tcPr>
            <w:tcW w:w="33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8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Total Number of Shares</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Value of Shares that May</w:t>
            </w:r>
          </w:p>
        </w:tc>
      </w:tr>
      <w:tr>
        <w:trPr>
          <w:trHeight w:val="156"/>
        </w:trPr>
        <w:tc>
          <w:tcPr>
            <w:tcW w:w="33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8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Purchased as Part of Publicly</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Yet Be Purchased Under</w:t>
            </w:r>
          </w:p>
        </w:tc>
      </w:tr>
      <w:tr>
        <w:trPr>
          <w:trHeight w:val="145"/>
        </w:trPr>
        <w:tc>
          <w:tcPr>
            <w:tcW w:w="3340" w:type="dxa"/>
            <w:vAlign w:val="bottom"/>
          </w:tcPr>
          <w:p>
            <w:pPr>
              <w:spacing w:after="0"/>
              <w:rPr>
                <w:sz w:val="12"/>
                <w:szCs w:val="12"/>
                <w:color w:val="auto"/>
              </w:rPr>
            </w:pPr>
          </w:p>
        </w:tc>
        <w:tc>
          <w:tcPr>
            <w:tcW w:w="2320" w:type="dxa"/>
            <w:vAlign w:val="bottom"/>
          </w:tcPr>
          <w:p>
            <w:pPr>
              <w:jc w:val="right"/>
              <w:ind w:right="94"/>
              <w:spacing w:after="0" w:line="145" w:lineRule="exact"/>
              <w:rPr>
                <w:sz w:val="20"/>
                <w:szCs w:val="20"/>
                <w:color w:val="auto"/>
              </w:rPr>
            </w:pPr>
            <w:r>
              <w:rPr>
                <w:rFonts w:ascii="Times New Roman" w:cs="Times New Roman" w:eastAsia="Times New Roman" w:hAnsi="Times New Roman"/>
                <w:sz w:val="13"/>
                <w:szCs w:val="13"/>
                <w:b w:val="1"/>
                <w:bCs w:val="1"/>
                <w:color w:val="auto"/>
              </w:rPr>
              <w:t>Total Number of Shares</w:t>
            </w:r>
          </w:p>
        </w:tc>
        <w:tc>
          <w:tcPr>
            <w:tcW w:w="200" w:type="dxa"/>
            <w:vAlign w:val="bottom"/>
          </w:tcPr>
          <w:p>
            <w:pPr>
              <w:spacing w:after="0"/>
              <w:rPr>
                <w:sz w:val="12"/>
                <w:szCs w:val="12"/>
                <w:color w:val="auto"/>
              </w:rPr>
            </w:pPr>
          </w:p>
        </w:tc>
        <w:tc>
          <w:tcPr>
            <w:tcW w:w="1200" w:type="dxa"/>
            <w:vAlign w:val="bottom"/>
          </w:tcPr>
          <w:p>
            <w:pPr>
              <w:jc w:val="right"/>
              <w:ind w:right="254"/>
              <w:spacing w:after="0" w:line="145" w:lineRule="exact"/>
              <w:rPr>
                <w:sz w:val="20"/>
                <w:szCs w:val="20"/>
                <w:color w:val="auto"/>
              </w:rPr>
            </w:pPr>
            <w:r>
              <w:rPr>
                <w:rFonts w:ascii="Times New Roman" w:cs="Times New Roman" w:eastAsia="Times New Roman" w:hAnsi="Times New Roman"/>
                <w:sz w:val="13"/>
                <w:szCs w:val="13"/>
                <w:b w:val="1"/>
                <w:bCs w:val="1"/>
                <w:color w:val="auto"/>
              </w:rPr>
              <w:t>Average Price</w:t>
            </w:r>
          </w:p>
        </w:tc>
        <w:tc>
          <w:tcPr>
            <w:tcW w:w="1880" w:type="dxa"/>
            <w:vAlign w:val="bottom"/>
          </w:tcPr>
          <w:p>
            <w:pPr>
              <w:jc w:val="center"/>
              <w:ind w:right="14"/>
              <w:spacing w:after="0" w:line="145" w:lineRule="exact"/>
              <w:rPr>
                <w:sz w:val="20"/>
                <w:szCs w:val="20"/>
                <w:color w:val="auto"/>
              </w:rPr>
            </w:pPr>
            <w:r>
              <w:rPr>
                <w:rFonts w:ascii="Times New Roman" w:cs="Times New Roman" w:eastAsia="Times New Roman" w:hAnsi="Times New Roman"/>
                <w:sz w:val="13"/>
                <w:szCs w:val="13"/>
                <w:b w:val="1"/>
                <w:bCs w:val="1"/>
                <w:color w:val="auto"/>
              </w:rPr>
              <w:t>Announced Plans or</w:t>
            </w:r>
          </w:p>
        </w:tc>
        <w:tc>
          <w:tcPr>
            <w:tcW w:w="162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the Program (Dollars in</w:t>
            </w:r>
          </w:p>
        </w:tc>
      </w:tr>
      <w:tr>
        <w:trPr>
          <w:trHeight w:val="181"/>
        </w:trPr>
        <w:tc>
          <w:tcPr>
            <w:tcW w:w="3340" w:type="dxa"/>
            <w:vAlign w:val="bottom"/>
          </w:tcPr>
          <w:p>
            <w:pPr>
              <w:spacing w:after="0"/>
              <w:rPr>
                <w:sz w:val="15"/>
                <w:szCs w:val="15"/>
                <w:color w:val="auto"/>
              </w:rPr>
            </w:pPr>
          </w:p>
        </w:tc>
        <w:tc>
          <w:tcPr>
            <w:tcW w:w="2320" w:type="dxa"/>
            <w:vAlign w:val="bottom"/>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Purchased</w:t>
            </w:r>
          </w:p>
        </w:tc>
        <w:tc>
          <w:tcPr>
            <w:tcW w:w="200" w:type="dxa"/>
            <w:vAlign w:val="bottom"/>
          </w:tcPr>
          <w:p>
            <w:pPr>
              <w:spacing w:after="0"/>
              <w:rPr>
                <w:sz w:val="15"/>
                <w:szCs w:val="15"/>
                <w:color w:val="auto"/>
              </w:rPr>
            </w:pPr>
          </w:p>
        </w:tc>
        <w:tc>
          <w:tcPr>
            <w:tcW w:w="120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1880" w:type="dxa"/>
            <w:vAlign w:val="bottom"/>
          </w:tcPr>
          <w:p>
            <w:pPr>
              <w:jc w:val="center"/>
              <w:ind w:right="14"/>
              <w:spacing w:after="0" w:line="181" w:lineRule="exact"/>
              <w:rPr>
                <w:sz w:val="20"/>
                <w:szCs w:val="20"/>
                <w:color w:val="auto"/>
              </w:rPr>
            </w:pPr>
            <w:r>
              <w:rPr>
                <w:rFonts w:ascii="Times New Roman" w:cs="Times New Roman" w:eastAsia="Times New Roman" w:hAnsi="Times New Roman"/>
                <w:sz w:val="13"/>
                <w:szCs w:val="13"/>
                <w:b w:val="1"/>
                <w:bCs w:val="1"/>
                <w:color w:val="auto"/>
                <w:w w:val="95"/>
              </w:rPr>
              <w:t>Programs</w:t>
            </w:r>
            <w:r>
              <w:rPr>
                <w:rFonts w:ascii="Times New Roman" w:cs="Times New Roman" w:eastAsia="Times New Roman" w:hAnsi="Times New Roman"/>
                <w:sz w:val="16"/>
                <w:szCs w:val="16"/>
                <w:b w:val="1"/>
                <w:bCs w:val="1"/>
                <w:color w:val="auto"/>
                <w:w w:val="95"/>
                <w:vertAlign w:val="superscript"/>
              </w:rPr>
              <w:t>(1)</w:t>
            </w:r>
          </w:p>
        </w:tc>
        <w:tc>
          <w:tcPr>
            <w:tcW w:w="200" w:type="dxa"/>
            <w:vAlign w:val="bottom"/>
          </w:tcPr>
          <w:p>
            <w:pPr>
              <w:spacing w:after="0"/>
              <w:rPr>
                <w:sz w:val="15"/>
                <w:szCs w:val="15"/>
                <w:color w:val="auto"/>
              </w:rPr>
            </w:pPr>
          </w:p>
        </w:tc>
        <w:tc>
          <w:tcPr>
            <w:tcW w:w="1420" w:type="dxa"/>
            <w:vAlign w:val="bottom"/>
          </w:tcPr>
          <w:p>
            <w:pPr>
              <w:jc w:val="center"/>
              <w:ind w:right="154"/>
              <w:spacing w:after="0" w:line="181" w:lineRule="exact"/>
              <w:rPr>
                <w:sz w:val="20"/>
                <w:szCs w:val="20"/>
                <w:color w:val="auto"/>
              </w:rPr>
            </w:pPr>
            <w:r>
              <w:rPr>
                <w:rFonts w:ascii="Times New Roman" w:cs="Times New Roman" w:eastAsia="Times New Roman" w:hAnsi="Times New Roman"/>
                <w:sz w:val="13"/>
                <w:szCs w:val="13"/>
                <w:b w:val="1"/>
                <w:bCs w:val="1"/>
                <w:color w:val="auto"/>
                <w:w w:val="98"/>
              </w:rPr>
              <w:t>Thousands)</w:t>
            </w:r>
            <w:r>
              <w:rPr>
                <w:rFonts w:ascii="Times New Roman" w:cs="Times New Roman" w:eastAsia="Times New Roman" w:hAnsi="Times New Roman"/>
                <w:sz w:val="16"/>
                <w:szCs w:val="16"/>
                <w:b w:val="1"/>
                <w:bCs w:val="1"/>
                <w:color w:val="auto"/>
                <w:w w:val="98"/>
                <w:vertAlign w:val="superscript"/>
              </w:rPr>
              <w:t>(1)</w:t>
            </w:r>
          </w:p>
        </w:tc>
      </w:tr>
      <w:tr>
        <w:trPr>
          <w:trHeight w:val="156"/>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January 1, 2024 through January 31, 2024</w:t>
            </w: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38,735</w:t>
            </w:r>
          </w:p>
        </w:tc>
        <w:tc>
          <w:tcPr>
            <w:tcW w:w="2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18.58</w:t>
            </w:r>
          </w:p>
        </w:tc>
        <w:tc>
          <w:tcPr>
            <w:tcW w:w="18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38,735</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5,600</w:t>
            </w:r>
          </w:p>
        </w:tc>
      </w:tr>
      <w:tr>
        <w:trPr>
          <w:trHeight w:val="156"/>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February 1, 2024 through February 29, 2024</w:t>
            </w: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5,657</w:t>
            </w:r>
          </w:p>
        </w:tc>
        <w:tc>
          <w:tcPr>
            <w:tcW w:w="200" w:type="dxa"/>
            <w:vAlign w:val="bottom"/>
          </w:tcPr>
          <w:p>
            <w:pPr>
              <w:spacing w:after="0"/>
              <w:rPr>
                <w:sz w:val="13"/>
                <w:szCs w:val="13"/>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19.01</w:t>
            </w:r>
          </w:p>
        </w:tc>
        <w:tc>
          <w:tcPr>
            <w:tcW w:w="18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5,657</w:t>
            </w:r>
          </w:p>
        </w:tc>
        <w:tc>
          <w:tcPr>
            <w:tcW w:w="200" w:type="dxa"/>
            <w:vAlign w:val="bottom"/>
          </w:tcPr>
          <w:p>
            <w:pPr>
              <w:spacing w:after="0"/>
              <w:rPr>
                <w:sz w:val="13"/>
                <w:szCs w:val="13"/>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5,493</w:t>
            </w:r>
          </w:p>
        </w:tc>
      </w:tr>
      <w:tr>
        <w:trPr>
          <w:trHeight w:val="156"/>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March 1, 2024 through March 31, 2024</w:t>
            </w: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6,623</w:t>
            </w: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18.90</w:t>
            </w:r>
          </w:p>
        </w:tc>
        <w:tc>
          <w:tcPr>
            <w:tcW w:w="18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6,623</w:t>
            </w:r>
          </w:p>
        </w:tc>
        <w:tc>
          <w:tcPr>
            <w:tcW w:w="200" w:type="dxa"/>
            <w:vAlign w:val="bottom"/>
            <w:shd w:val="clear" w:color="auto" w:fill="CFF0FC"/>
          </w:tcPr>
          <w:p>
            <w:pPr>
              <w:spacing w:after="0"/>
              <w:rPr>
                <w:sz w:val="13"/>
                <w:szCs w:val="13"/>
                <w:color w:val="auto"/>
              </w:rPr>
            </w:pPr>
          </w:p>
        </w:tc>
        <w:tc>
          <w:tcPr>
            <w:tcW w:w="14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9,875</w:t>
            </w:r>
          </w:p>
        </w:tc>
      </w:tr>
      <w:tr>
        <w:trPr>
          <w:trHeight w:val="156"/>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April 1, 2024 through April 30, 2024</w:t>
            </w: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27,609</w:t>
            </w:r>
          </w:p>
        </w:tc>
        <w:tc>
          <w:tcPr>
            <w:tcW w:w="200" w:type="dxa"/>
            <w:vAlign w:val="bottom"/>
          </w:tcPr>
          <w:p>
            <w:pPr>
              <w:spacing w:after="0"/>
              <w:rPr>
                <w:sz w:val="13"/>
                <w:szCs w:val="13"/>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19.23</w:t>
            </w:r>
          </w:p>
        </w:tc>
        <w:tc>
          <w:tcPr>
            <w:tcW w:w="1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27,609</w:t>
            </w:r>
          </w:p>
        </w:tc>
        <w:tc>
          <w:tcPr>
            <w:tcW w:w="200" w:type="dxa"/>
            <w:vAlign w:val="bottom"/>
          </w:tcPr>
          <w:p>
            <w:pPr>
              <w:spacing w:after="0"/>
              <w:rPr>
                <w:sz w:val="13"/>
                <w:szCs w:val="13"/>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9,344</w:t>
            </w:r>
          </w:p>
        </w:tc>
      </w:tr>
      <w:tr>
        <w:trPr>
          <w:trHeight w:val="156"/>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May 1, 2024 through May 31, 2024</w:t>
            </w: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27,799</w:t>
            </w: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19.76</w:t>
            </w:r>
          </w:p>
        </w:tc>
        <w:tc>
          <w:tcPr>
            <w:tcW w:w="18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27,799</w:t>
            </w:r>
          </w:p>
        </w:tc>
        <w:tc>
          <w:tcPr>
            <w:tcW w:w="200" w:type="dxa"/>
            <w:vAlign w:val="bottom"/>
            <w:shd w:val="clear" w:color="auto" w:fill="CFF0FC"/>
          </w:tcPr>
          <w:p>
            <w:pPr>
              <w:spacing w:after="0"/>
              <w:rPr>
                <w:sz w:val="13"/>
                <w:szCs w:val="13"/>
                <w:color w:val="auto"/>
              </w:rPr>
            </w:pPr>
          </w:p>
        </w:tc>
        <w:tc>
          <w:tcPr>
            <w:tcW w:w="14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8,795</w:t>
            </w:r>
          </w:p>
        </w:tc>
      </w:tr>
      <w:tr>
        <w:trPr>
          <w:trHeight w:val="156"/>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June 1, 2024 through June 30, 2024</w:t>
            </w: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24,314</w:t>
            </w:r>
          </w:p>
        </w:tc>
        <w:tc>
          <w:tcPr>
            <w:tcW w:w="200" w:type="dxa"/>
            <w:vAlign w:val="bottom"/>
          </w:tcPr>
          <w:p>
            <w:pPr>
              <w:spacing w:after="0"/>
              <w:rPr>
                <w:sz w:val="13"/>
                <w:szCs w:val="13"/>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19.48</w:t>
            </w:r>
          </w:p>
        </w:tc>
        <w:tc>
          <w:tcPr>
            <w:tcW w:w="1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24,314</w:t>
            </w:r>
          </w:p>
        </w:tc>
        <w:tc>
          <w:tcPr>
            <w:tcW w:w="200" w:type="dxa"/>
            <w:vAlign w:val="bottom"/>
          </w:tcPr>
          <w:p>
            <w:pPr>
              <w:spacing w:after="0"/>
              <w:rPr>
                <w:sz w:val="13"/>
                <w:szCs w:val="13"/>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8,321</w:t>
            </w:r>
          </w:p>
        </w:tc>
      </w:tr>
      <w:tr>
        <w:trPr>
          <w:trHeight w:val="156"/>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July 1, 2024 through July 31, 2024</w:t>
            </w: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16,471</w:t>
            </w: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19.67</w:t>
            </w:r>
          </w:p>
        </w:tc>
        <w:tc>
          <w:tcPr>
            <w:tcW w:w="18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16,471</w:t>
            </w:r>
          </w:p>
        </w:tc>
        <w:tc>
          <w:tcPr>
            <w:tcW w:w="200" w:type="dxa"/>
            <w:vAlign w:val="bottom"/>
            <w:shd w:val="clear" w:color="auto" w:fill="CFF0FC"/>
          </w:tcPr>
          <w:p>
            <w:pPr>
              <w:spacing w:after="0"/>
              <w:rPr>
                <w:sz w:val="13"/>
                <w:szCs w:val="13"/>
                <w:color w:val="auto"/>
              </w:rPr>
            </w:pPr>
          </w:p>
        </w:tc>
        <w:tc>
          <w:tcPr>
            <w:tcW w:w="14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7,997</w:t>
            </w:r>
          </w:p>
        </w:tc>
      </w:tr>
      <w:tr>
        <w:trPr>
          <w:trHeight w:val="156"/>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August 1, 2024 through August 31, 2024</w:t>
            </w: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807</w:t>
            </w:r>
          </w:p>
        </w:tc>
        <w:tc>
          <w:tcPr>
            <w:tcW w:w="200" w:type="dxa"/>
            <w:vAlign w:val="bottom"/>
          </w:tcPr>
          <w:p>
            <w:pPr>
              <w:spacing w:after="0"/>
              <w:rPr>
                <w:sz w:val="13"/>
                <w:szCs w:val="13"/>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18.61</w:t>
            </w:r>
          </w:p>
        </w:tc>
        <w:tc>
          <w:tcPr>
            <w:tcW w:w="18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807</w:t>
            </w:r>
          </w:p>
        </w:tc>
        <w:tc>
          <w:tcPr>
            <w:tcW w:w="200" w:type="dxa"/>
            <w:vAlign w:val="bottom"/>
          </w:tcPr>
          <w:p>
            <w:pPr>
              <w:spacing w:after="0"/>
              <w:rPr>
                <w:sz w:val="13"/>
                <w:szCs w:val="13"/>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7,982</w:t>
            </w:r>
          </w:p>
        </w:tc>
      </w:tr>
      <w:tr>
        <w:trPr>
          <w:trHeight w:val="156"/>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September 1, 2024 through September 30, 2024</w:t>
            </w: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16,151</w:t>
            </w: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18.47</w:t>
            </w:r>
          </w:p>
        </w:tc>
        <w:tc>
          <w:tcPr>
            <w:tcW w:w="18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16,151</w:t>
            </w:r>
          </w:p>
        </w:tc>
        <w:tc>
          <w:tcPr>
            <w:tcW w:w="200" w:type="dxa"/>
            <w:vAlign w:val="bottom"/>
            <w:shd w:val="clear" w:color="auto" w:fill="CFF0FC"/>
          </w:tcPr>
          <w:p>
            <w:pPr>
              <w:spacing w:after="0"/>
              <w:rPr>
                <w:sz w:val="13"/>
                <w:szCs w:val="13"/>
                <w:color w:val="auto"/>
              </w:rPr>
            </w:pPr>
          </w:p>
        </w:tc>
        <w:tc>
          <w:tcPr>
            <w:tcW w:w="14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7,684</w:t>
            </w:r>
          </w:p>
        </w:tc>
      </w:tr>
      <w:tr>
        <w:trPr>
          <w:trHeight w:val="156"/>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October 1, 2024 through October 31, 2024</w:t>
            </w: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17,665</w:t>
            </w:r>
          </w:p>
        </w:tc>
        <w:tc>
          <w:tcPr>
            <w:tcW w:w="200" w:type="dxa"/>
            <w:vAlign w:val="bottom"/>
          </w:tcPr>
          <w:p>
            <w:pPr>
              <w:spacing w:after="0"/>
              <w:rPr>
                <w:sz w:val="13"/>
                <w:szCs w:val="13"/>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18.41</w:t>
            </w:r>
          </w:p>
        </w:tc>
        <w:tc>
          <w:tcPr>
            <w:tcW w:w="1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17,665</w:t>
            </w:r>
          </w:p>
        </w:tc>
        <w:tc>
          <w:tcPr>
            <w:tcW w:w="200" w:type="dxa"/>
            <w:vAlign w:val="bottom"/>
          </w:tcPr>
          <w:p>
            <w:pPr>
              <w:spacing w:after="0"/>
              <w:rPr>
                <w:sz w:val="13"/>
                <w:szCs w:val="13"/>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7,358</w:t>
            </w:r>
          </w:p>
        </w:tc>
      </w:tr>
      <w:tr>
        <w:trPr>
          <w:trHeight w:val="156"/>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November 1, 2024 through November 30, 2024</w:t>
            </w: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16,737</w:t>
            </w: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17.87</w:t>
            </w:r>
          </w:p>
        </w:tc>
        <w:tc>
          <w:tcPr>
            <w:tcW w:w="18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16,737</w:t>
            </w:r>
          </w:p>
        </w:tc>
        <w:tc>
          <w:tcPr>
            <w:tcW w:w="200" w:type="dxa"/>
            <w:vAlign w:val="bottom"/>
            <w:shd w:val="clear" w:color="auto" w:fill="CFF0FC"/>
          </w:tcPr>
          <w:p>
            <w:pPr>
              <w:spacing w:after="0"/>
              <w:rPr>
                <w:sz w:val="13"/>
                <w:szCs w:val="13"/>
                <w:color w:val="auto"/>
              </w:rPr>
            </w:pPr>
          </w:p>
        </w:tc>
        <w:tc>
          <w:tcPr>
            <w:tcW w:w="14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7,059</w:t>
            </w:r>
          </w:p>
        </w:tc>
      </w:tr>
      <w:tr>
        <w:trPr>
          <w:trHeight w:val="156"/>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December 1, 2024 through December 31, 2024</w:t>
            </w: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3,789</w:t>
            </w:r>
          </w:p>
        </w:tc>
        <w:tc>
          <w:tcPr>
            <w:tcW w:w="200" w:type="dxa"/>
            <w:vAlign w:val="bottom"/>
          </w:tcPr>
          <w:p>
            <w:pPr>
              <w:spacing w:after="0"/>
              <w:rPr>
                <w:sz w:val="13"/>
                <w:szCs w:val="13"/>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16.90</w:t>
            </w:r>
          </w:p>
        </w:tc>
        <w:tc>
          <w:tcPr>
            <w:tcW w:w="18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3,789</w:t>
            </w:r>
          </w:p>
        </w:tc>
        <w:tc>
          <w:tcPr>
            <w:tcW w:w="200" w:type="dxa"/>
            <w:vAlign w:val="bottom"/>
          </w:tcPr>
          <w:p>
            <w:pPr>
              <w:spacing w:after="0"/>
              <w:rPr>
                <w:sz w:val="13"/>
                <w:szCs w:val="13"/>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6,995</w:t>
            </w:r>
          </w:p>
        </w:tc>
      </w:tr>
      <w:tr>
        <w:trPr>
          <w:trHeight w:val="156"/>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202,357</w:t>
            </w: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8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202,357</w:t>
            </w:r>
          </w:p>
        </w:tc>
        <w:tc>
          <w:tcPr>
            <w:tcW w:w="20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r>
    </w:tbl>
    <w:p>
      <w:pPr>
        <w:spacing w:after="0" w:line="96" w:lineRule="exact"/>
        <w:rPr>
          <w:sz w:val="20"/>
          <w:szCs w:val="20"/>
          <w:color w:val="auto"/>
        </w:rPr>
      </w:pPr>
    </w:p>
    <w:p>
      <w:pPr>
        <w:ind w:left="80" w:right="100"/>
        <w:spacing w:after="0" w:line="253" w:lineRule="auto"/>
        <w:rPr>
          <w:sz w:val="20"/>
          <w:szCs w:val="20"/>
          <w:color w:val="auto"/>
        </w:rPr>
      </w:pPr>
      <w:r>
        <w:rPr>
          <w:rFonts w:ascii="Times New Roman" w:cs="Times New Roman" w:eastAsia="Times New Roman" w:hAnsi="Times New Roman"/>
          <w:sz w:val="11"/>
          <w:szCs w:val="11"/>
          <w:color w:val="auto"/>
        </w:rPr>
        <w:t>(1)On March 6, 2023, the Board of Directors of the Company approved a $10 million stock repurchase program (the “Stock Repurchase Program”) for an approximately one-year period, effective March 6, 2023 and terminating on March 31, 2024. Under this repurchase program, shares may be repurchased from time to time in open market transactions, in privately negotiated transactions or otherwise subject to any law or agreement to which we are party including any restrictions under the 1940 Act and in the indenture for our 4.875% Notes due 2026. The timing and actual number of shares repurchased will depend on a variety of factors, including legal requirements, price, and economic and market conditions. This Stock Repurchase Program may be suspended or discontinued at any time. On March 11, 2024, the Board of Directors of the Company authorized a renewed stock repurchase program of up to $10 million (the “Renewed Stock Repurchase Program”) for an approximately one-year period, effective March 11, 2024 and terminating on March 31, 2025. The terms and conditions of the Renewed Stock Repurchase Program are substantially similar to the prior Stock Repurchase Program. The Renewed Stock Repurchase Program may be suspended or discontinued at any time. Subject to these restrictions, we will selectively pursue opportunities to repurchase shares which are accretive to net asset value per share. On March 12, 2025, the Board of Directors of the Company authorized once more a renewed stock repurchase program of up to $10 million (the “2025 Stock Repurchase Program”) for an approximately one-year period, effective March 12, 2025 and terminating on March 31, 2026. The terms and conditions of the 2025 Stock Repurchase Program are substantially similar to the prior Renewed Stock Repurchase Program. The 2025 Stock Repurchase Program may be suspended or discontinued at any time. Subject to these restrictions, we will selectively pursue opportunities to repurchase shares which are accretive to net asset value per share.</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b w:val="1"/>
          <w:bCs w:val="1"/>
          <w:color w:val="auto"/>
        </w:rPr>
        <w:t>SALES OF UNREGISTERED SECURITIES</w:t>
      </w:r>
    </w:p>
    <w:p>
      <w:pPr>
        <w:spacing w:after="0" w:line="105" w:lineRule="exact"/>
        <w:rPr>
          <w:sz w:val="20"/>
          <w:szCs w:val="20"/>
          <w:color w:val="auto"/>
        </w:rPr>
      </w:pPr>
    </w:p>
    <w:p>
      <w:pPr>
        <w:ind w:left="80" w:right="580" w:firstLine="348"/>
        <w:spacing w:after="0" w:line="286" w:lineRule="auto"/>
        <w:rPr>
          <w:sz w:val="20"/>
          <w:szCs w:val="20"/>
          <w:color w:val="auto"/>
        </w:rPr>
      </w:pPr>
      <w:r>
        <w:rPr>
          <w:rFonts w:ascii="Times New Roman" w:cs="Times New Roman" w:eastAsia="Times New Roman" w:hAnsi="Times New Roman"/>
          <w:sz w:val="13"/>
          <w:szCs w:val="13"/>
          <w:color w:val="auto"/>
        </w:rPr>
        <w:t>During the fiscal year ended December 31, 2024, we issued 17,400 shares of common stock pursuant to a dividend reinvestment plan. This issuance was not subject to the registration requirements of the Securities Act. See Note 9 “Stockholders’ Equity,” of our Notes to the Consolidated Financial Statements included herein.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1"/>
          <w:szCs w:val="1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417830</wp:posOffset>
            </wp:positionV>
            <wp:extent cx="673290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580" w:top="1440" w:right="68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3"/>
          <w:szCs w:val="13"/>
          <w:b w:val="1"/>
          <w:bCs w:val="1"/>
          <w:color w:val="auto"/>
        </w:rPr>
        <w:t xml:space="preserve">Item 7. </w:t>
      </w:r>
      <w:r>
        <w:rPr>
          <w:rFonts w:ascii="Times New Roman" w:cs="Times New Roman" w:eastAsia="Times New Roman" w:hAnsi="Times New Roman"/>
          <w:sz w:val="13"/>
          <w:szCs w:val="13"/>
          <w:b w:val="1"/>
          <w:bCs w:val="1"/>
          <w:i w:val="1"/>
          <w:iCs w:val="1"/>
          <w:color w:val="auto"/>
        </w:rPr>
        <w:t>Management’s Discussion and Analysis of Financial Condition and Results of Operations</w:t>
      </w:r>
    </w:p>
    <w:p>
      <w:pPr>
        <w:spacing w:after="0" w:line="105" w:lineRule="exact"/>
        <w:rPr>
          <w:sz w:val="20"/>
          <w:szCs w:val="20"/>
          <w:color w:val="auto"/>
        </w:rPr>
      </w:pPr>
    </w:p>
    <w:p>
      <w:pPr>
        <w:ind w:left="80" w:right="100" w:firstLine="348"/>
        <w:spacing w:after="0" w:line="263" w:lineRule="auto"/>
        <w:rPr>
          <w:sz w:val="20"/>
          <w:szCs w:val="20"/>
          <w:color w:val="auto"/>
        </w:rPr>
      </w:pPr>
      <w:r>
        <w:rPr>
          <w:rFonts w:ascii="Times New Roman" w:cs="Times New Roman" w:eastAsia="Times New Roman" w:hAnsi="Times New Roman"/>
          <w:sz w:val="13"/>
          <w:szCs w:val="13"/>
          <w:i w:val="1"/>
          <w:iCs w:val="1"/>
          <w:color w:val="auto"/>
        </w:rPr>
        <w:t>The following discussion and analysis should be read in conjunction with our consolidated financial statements and related notes included in this Annual Report on Form 10-K. This discussion contains forward-looking statements and involves numerous risks and uncertainties, including but not limited to those described in Part I, Item 1A of this Annual Report on Form 10-K. Our actual results could differ materially from those anticipated by such forward-looking statements due to factors discussed under the "Risk Factors” section included in our SEC filings and "Cautionary Statement Concerning Forward-Looking Statements” appearing elsewhere in this Annual Report on Form 10-K.</w:t>
      </w:r>
    </w:p>
    <w:p>
      <w:pPr>
        <w:spacing w:after="0" w:line="16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GENERAL</w:t>
      </w:r>
    </w:p>
    <w:p>
      <w:pPr>
        <w:spacing w:after="0" w:line="105" w:lineRule="exact"/>
        <w:rPr>
          <w:sz w:val="20"/>
          <w:szCs w:val="20"/>
          <w:color w:val="auto"/>
        </w:rPr>
      </w:pPr>
    </w:p>
    <w:p>
      <w:pPr>
        <w:ind w:left="80" w:right="240" w:firstLine="348"/>
        <w:spacing w:after="0" w:line="262" w:lineRule="auto"/>
        <w:rPr>
          <w:sz w:val="20"/>
          <w:szCs w:val="20"/>
          <w:color w:val="auto"/>
        </w:rPr>
      </w:pPr>
      <w:r>
        <w:rPr>
          <w:rFonts w:ascii="Times New Roman" w:cs="Times New Roman" w:eastAsia="Times New Roman" w:hAnsi="Times New Roman"/>
          <w:sz w:val="13"/>
          <w:szCs w:val="13"/>
          <w:color w:val="auto"/>
        </w:rPr>
        <w:t>We are an externally managed, non- diversified closed-end investment company that has elected to be regulated as a business development company ("BDC") under the Investment Company Act of 1940, as amended (the "1940 Act"). Sierra Crest Investment Management LLC (the "Adviser") is an affiliate of BC Partners LLP ("BC Partners"). Subject to the overall supervision of the Board, the Adviser is responsible for managing our business and activities, including sourcing investment opportunities, conducting research, performing diligence on potential investments, structuring our investments, and monitoring our portfolio companies on an ongoing basis through a team of investment professionals.</w:t>
      </w:r>
    </w:p>
    <w:p>
      <w:pPr>
        <w:spacing w:after="0" w:line="67" w:lineRule="exact"/>
        <w:rPr>
          <w:sz w:val="20"/>
          <w:szCs w:val="20"/>
          <w:color w:val="auto"/>
        </w:rPr>
      </w:pPr>
    </w:p>
    <w:p>
      <w:pPr>
        <w:ind w:left="80" w:right="100" w:firstLine="348"/>
        <w:spacing w:after="0" w:line="262" w:lineRule="auto"/>
        <w:rPr>
          <w:sz w:val="20"/>
          <w:szCs w:val="20"/>
          <w:color w:val="auto"/>
        </w:rPr>
      </w:pPr>
      <w:r>
        <w:rPr>
          <w:rFonts w:ascii="Times New Roman" w:cs="Times New Roman" w:eastAsia="Times New Roman" w:hAnsi="Times New Roman"/>
          <w:sz w:val="13"/>
          <w:szCs w:val="13"/>
          <w:color w:val="auto"/>
        </w:rPr>
        <w:t>We originate, structure, and invest in secured term loans, bonds or notes and mezzanine debt primarily in privately-held middle market companies but may also invest in other investments such as loans to publicly-traded companies, high -yield bonds, and distressed debt securities (collectively the “Debt Securities Portfolio”). We also invest in debt and subordinated securities issued by collateralized loan obligation funds (“CLO Fund Securities”) . In addition, from time to time we may invest in the equity securities of privately held middle market companies and may also receive warrants or options to purchase common stock in connection with our debt investments.</w:t>
      </w:r>
    </w:p>
    <w:p>
      <w:pPr>
        <w:spacing w:after="0" w:line="67" w:lineRule="exact"/>
        <w:rPr>
          <w:sz w:val="20"/>
          <w:szCs w:val="20"/>
          <w:color w:val="auto"/>
        </w:rPr>
      </w:pPr>
    </w:p>
    <w:p>
      <w:pPr>
        <w:ind w:left="80" w:firstLine="348"/>
        <w:spacing w:after="0" w:line="257" w:lineRule="auto"/>
        <w:rPr>
          <w:sz w:val="20"/>
          <w:szCs w:val="20"/>
          <w:color w:val="auto"/>
        </w:rPr>
      </w:pPr>
      <w:r>
        <w:rPr>
          <w:rFonts w:ascii="Times New Roman" w:cs="Times New Roman" w:eastAsia="Times New Roman" w:hAnsi="Times New Roman"/>
          <w:sz w:val="13"/>
          <w:szCs w:val="13"/>
          <w:color w:val="auto"/>
        </w:rPr>
        <w:t>In our Debt Securities Portfolio, our investment objective is to generate current income and, to a lesser extent, capital appreciation from the investments in senior secured term loans, mezzanine debt and selected equity investments in privately-held middle market companies. We define the middle market as comprising companies with EBITDA of $10 million to $50 million and/or total debt of $25 million to $150 million. We primarily invest in first and second lien term loans which, because of their priority in a company’s capital structure, we expect will have lower default rates and higher rates of recovery of principal if there is a default and which we expect will create a stable stream of interest income. While there is no specific collateral associated with senior unsecured debt, such positions are senior in payment priority over subordinated debt investments. The investments in our Debt Securities Portfolio are all or predominantly below investment grade, and have speculative characteristics with respect to the issuer’s capacity to pay interest and repay principal.</w:t>
      </w:r>
    </w:p>
    <w:p>
      <w:pPr>
        <w:spacing w:after="0" w:line="72" w:lineRule="exact"/>
        <w:rPr>
          <w:sz w:val="20"/>
          <w:szCs w:val="20"/>
          <w:color w:val="auto"/>
        </w:rPr>
      </w:pPr>
    </w:p>
    <w:p>
      <w:pPr>
        <w:ind w:left="80" w:right="460" w:firstLine="348"/>
        <w:spacing w:after="0" w:line="286" w:lineRule="auto"/>
        <w:rPr>
          <w:sz w:val="20"/>
          <w:szCs w:val="20"/>
          <w:color w:val="auto"/>
        </w:rPr>
      </w:pPr>
      <w:r>
        <w:rPr>
          <w:rFonts w:ascii="Times New Roman" w:cs="Times New Roman" w:eastAsia="Times New Roman" w:hAnsi="Times New Roman"/>
          <w:sz w:val="13"/>
          <w:szCs w:val="13"/>
          <w:color w:val="auto"/>
        </w:rPr>
        <w:t>From time-to-time we have also made investments in CLO Fund Securities managed by other asset managers. Our collateralized loan obligation funds ("CLO Funds") typically invest in broadly syndicated loans, high-yield bonds and other credit instruments.</w:t>
      </w:r>
    </w:p>
    <w:p>
      <w:pPr>
        <w:spacing w:after="0" w:line="52" w:lineRule="exact"/>
        <w:rPr>
          <w:sz w:val="20"/>
          <w:szCs w:val="20"/>
          <w:color w:val="auto"/>
        </w:rPr>
      </w:pPr>
    </w:p>
    <w:p>
      <w:pPr>
        <w:ind w:left="80" w:right="140" w:firstLine="348"/>
        <w:spacing w:after="0" w:line="262" w:lineRule="auto"/>
        <w:rPr>
          <w:sz w:val="20"/>
          <w:szCs w:val="20"/>
          <w:color w:val="auto"/>
        </w:rPr>
      </w:pPr>
      <w:r>
        <w:rPr>
          <w:rFonts w:ascii="Times New Roman" w:cs="Times New Roman" w:eastAsia="Times New Roman" w:hAnsi="Times New Roman"/>
          <w:sz w:val="13"/>
          <w:szCs w:val="13"/>
          <w:color w:val="auto"/>
        </w:rPr>
        <w:t>Our portfolio may include “covenant-lite” loans which generally refer to loans that do not have a complete set of financial maintenance covenants. Generally, “covenant-lite” loans provide borrower companies more freedom to negatively impact lenders because their covenants are incurrence-based, which means they are only tested and can only be breached following an affirmative action of the borrower, rather than by a deterioration in the borrower’s financial condition. Accordingly, to the extent we invest in “covenant-lite” loans, we may have fewer rights against a borrower and may have a greater risk of loss on such investments as compared to investments in or exposure to loans with financial maintenance covenants.</w:t>
      </w:r>
    </w:p>
    <w:p>
      <w:pPr>
        <w:spacing w:after="0" w:line="67" w:lineRule="exact"/>
        <w:rPr>
          <w:sz w:val="20"/>
          <w:szCs w:val="20"/>
          <w:color w:val="auto"/>
        </w:rPr>
      </w:pPr>
    </w:p>
    <w:p>
      <w:pPr>
        <w:ind w:left="80" w:right="80" w:firstLine="348"/>
        <w:spacing w:after="0" w:line="262" w:lineRule="auto"/>
        <w:rPr>
          <w:sz w:val="20"/>
          <w:szCs w:val="20"/>
          <w:color w:val="auto"/>
        </w:rPr>
      </w:pPr>
      <w:r>
        <w:rPr>
          <w:rFonts w:ascii="Times New Roman" w:cs="Times New Roman" w:eastAsia="Times New Roman" w:hAnsi="Times New Roman"/>
          <w:sz w:val="13"/>
          <w:szCs w:val="13"/>
          <w:color w:val="auto"/>
        </w:rPr>
        <w:t>We have elected to be treated for U.S. federal income tax purposes as a RIC under Subchapter M of the Internal Revenue Code of 1986, as amended (the "Code") and intend to operate in a manner to maintain our RIC status. As a RIC, we intend to distribute to our stockholders substantially all of our net ordinary taxable income and the excess of realized net short-term capital gains over realized net long-term capital losses, if any, for each year. To qualify as a RIC, we must, among other things, meet certain source-of -income and asset diversification requirements. Pursuant to this election, we generally will not have to pay corporate-level U.S. federal income taxes on any income that we timely distribute to our stockholders.</w:t>
      </w:r>
    </w:p>
    <w:p>
      <w:pPr>
        <w:spacing w:after="0" w:line="67" w:lineRule="exact"/>
        <w:rPr>
          <w:sz w:val="20"/>
          <w:szCs w:val="20"/>
          <w:color w:val="auto"/>
        </w:rPr>
      </w:pPr>
    </w:p>
    <w:p>
      <w:pPr>
        <w:ind w:left="80" w:right="60" w:firstLine="348"/>
        <w:spacing w:after="0" w:line="262" w:lineRule="auto"/>
        <w:rPr>
          <w:sz w:val="20"/>
          <w:szCs w:val="20"/>
          <w:color w:val="auto"/>
        </w:rPr>
      </w:pPr>
      <w:r>
        <w:rPr>
          <w:rFonts w:ascii="Times New Roman" w:cs="Times New Roman" w:eastAsia="Times New Roman" w:hAnsi="Times New Roman"/>
          <w:sz w:val="13"/>
          <w:szCs w:val="13"/>
          <w:color w:val="auto"/>
        </w:rPr>
        <w:t>From time to time, we may seek to retire, repurchase, or exchange debt securities in open market purchases or by other means dependent on market conditions, liquidity, contractual obligations, and other matters. In addition, we evaluate strategic opportunities available to us, including mergers with unaffiliated funds and affiliated funds, divestures, spin-offs, joint ventures and other similar transactions from time to time. An example of an opportunity we are currently in the initial stages of evaluating is a potential merger with one or more of our affiliated 1940 Act funds, which may result in the use of an exchange ratio other than NAV-for-NAV (including but not limited to relative market price) in connection therewith.</w:t>
      </w:r>
    </w:p>
    <w:p>
      <w:pPr>
        <w:spacing w:after="0" w:line="16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The Externalization</w:t>
      </w:r>
    </w:p>
    <w:p>
      <w:pPr>
        <w:spacing w:after="0" w:line="1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On April 1, 2019 (the "Closing"), we became externally managed (the "Externalization") by the Adviser, pursuant to a stock purchase and transaction agreement (the "Externalization</w:t>
      </w:r>
    </w:p>
    <w:p>
      <w:pPr>
        <w:spacing w:after="0" w:line="2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auto"/>
        </w:rPr>
        <w:t>Agreement") with BC Partners Advisors L.P. ("BCP"), an affiliate of BC Partners. In connection with the Externalization, our stockholders approved an investment advisory agreement (the "Advisory</w:t>
      </w:r>
    </w:p>
    <w:p>
      <w:pPr>
        <w:spacing w:after="0" w:line="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auto"/>
        </w:rPr>
        <w:t>Agreement") with the Adviser. See "Advisory Agreement" below.</w:t>
      </w:r>
    </w:p>
    <w:p>
      <w:pPr>
        <w:spacing w:after="0" w:line="89" w:lineRule="exact"/>
        <w:rPr>
          <w:sz w:val="20"/>
          <w:szCs w:val="20"/>
          <w:color w:val="auto"/>
        </w:rPr>
      </w:pPr>
    </w:p>
    <w:p>
      <w:pPr>
        <w:ind w:left="80" w:right="60" w:firstLine="348"/>
        <w:spacing w:after="0" w:line="254" w:lineRule="auto"/>
        <w:rPr>
          <w:sz w:val="20"/>
          <w:szCs w:val="20"/>
          <w:color w:val="auto"/>
        </w:rPr>
      </w:pPr>
      <w:r>
        <w:rPr>
          <w:rFonts w:ascii="Times New Roman" w:cs="Times New Roman" w:eastAsia="Times New Roman" w:hAnsi="Times New Roman"/>
          <w:sz w:val="13"/>
          <w:szCs w:val="13"/>
          <w:color w:val="auto"/>
        </w:rPr>
        <w:t>Pursuant to the Externalization Agreement with BCP, the Adviser became our investment adviser in exchange for a cash payment from BCP, or its affiliate, of $25 million, or $0.669672 per share of our common stock, directly to our stockholders. In addition, the Adviser (or its affiliate) will use up to $10 million of the incentive fee actually paid to the Adviser prior to the second anniversary of the Closing to buy newly issued shares of our common stock at the most recently determined net asset value per share of our common stock at the time of such purchase. In November 2020, the Adviser purchased approximately $0.6 million newly issued shares of our common stock in connection therewith, and in May 2021, the Adviser purchased approximately $4.0 million of newly issued shares of our common stock in connection therewith. In both cases, the shares were issued at the most recently determined net asset value per share of our common stock. The obligations of the Advisor to use incentive fees to purchase shares expired on April 1, 2021. For the period of one year from the first day of the first quarter following the quarter in which the Closing occurred, the Adviser will permanently forego up to the full amount of the incentive fees earned by the Adviser without recourse against or reimbursement by us, to the extent necessary in order to achieve aggregate net investment income per share of our common stock for such one-year period to be at least equal to $0.40 per share, subject to certain adjustments. BCP and the Adviser’s total financial commitment to the transactions contemplated by the Externalization Agreement was $35.0 million.</w:t>
      </w:r>
    </w:p>
    <w:p>
      <w:pPr>
        <w:spacing w:after="0" w:line="16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i w:val="1"/>
          <w:iCs w:val="1"/>
          <w:color w:val="auto"/>
        </w:rPr>
        <w:t>OHAI Transaction</w:t>
      </w:r>
    </w:p>
    <w:p>
      <w:pPr>
        <w:spacing w:after="0" w:line="107" w:lineRule="exact"/>
        <w:rPr>
          <w:sz w:val="20"/>
          <w:szCs w:val="20"/>
          <w:color w:val="auto"/>
        </w:rPr>
      </w:pPr>
    </w:p>
    <w:p>
      <w:pPr>
        <w:ind w:left="80" w:right="40" w:firstLine="348"/>
        <w:spacing w:after="0" w:line="261" w:lineRule="auto"/>
        <w:rPr>
          <w:sz w:val="20"/>
          <w:szCs w:val="20"/>
          <w:color w:val="auto"/>
        </w:rPr>
      </w:pPr>
      <w:r>
        <w:rPr>
          <w:rFonts w:ascii="Times New Roman" w:cs="Times New Roman" w:eastAsia="Times New Roman" w:hAnsi="Times New Roman"/>
          <w:sz w:val="13"/>
          <w:szCs w:val="13"/>
          <w:color w:val="auto"/>
        </w:rPr>
        <w:t>On December 18, 2019, we completed our acquisition of OHA Investment Corporation (“OHAI”). In accordance with the terms of the merger agreement, each share of common stock, par value $0.001 per share, of OHAI (the “OHAI Common Stock”) issued and outstanding was converted into the right to receive (i) an amount in cash, without interest, equal to approximately $0.42, and</w:t>
      </w:r>
    </w:p>
    <w:p>
      <w:pPr>
        <w:spacing w:after="0" w:line="1" w:lineRule="exact"/>
        <w:rPr>
          <w:sz w:val="20"/>
          <w:szCs w:val="20"/>
          <w:color w:val="auto"/>
        </w:rPr>
      </w:pPr>
    </w:p>
    <w:p>
      <w:pPr>
        <w:ind w:left="80" w:right="360" w:firstLine="6"/>
        <w:spacing w:after="0" w:line="263" w:lineRule="auto"/>
        <w:tabs>
          <w:tab w:leader="none" w:pos="274"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0.3688 shares of common stock, par value $0.01 per share, of the Company (plus any applicable cash in lieu of fractional shares). Each share of OHAI Common Stock issued and outstanding received, as additional consideration funded by the Adviser, an amount in cash, without interest, equal to approximately $0.15.</w:t>
      </w:r>
    </w:p>
    <w:p>
      <w:pPr>
        <w:spacing w:after="0" w:line="1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i w:val="1"/>
          <w:iCs w:val="1"/>
          <w:color w:val="auto"/>
        </w:rPr>
        <w:t>GARS Transaction</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1"/>
          <w:szCs w:val="1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417830</wp:posOffset>
            </wp:positionV>
            <wp:extent cx="673290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80"/>
          </w:cols>
          <w:pgMar w:left="580" w:top="1286" w:right="640" w:bottom="1440" w:gutter="0" w:footer="0" w:header="0"/>
        </w:sectPr>
      </w:pPr>
    </w:p>
    <w:bookmarkStart w:id="37" w:name="page38"/>
    <w:bookmarkEnd w:id="37"/>
    <w:p>
      <w:pPr>
        <w:ind w:right="80" w:firstLine="348"/>
        <w:spacing w:after="0" w:line="268" w:lineRule="auto"/>
        <w:rPr>
          <w:sz w:val="20"/>
          <w:szCs w:val="20"/>
          <w:color w:val="auto"/>
        </w:rPr>
      </w:pPr>
      <w:r>
        <w:rPr>
          <w:rFonts w:ascii="Times New Roman" w:cs="Times New Roman" w:eastAsia="Times New Roman" w:hAnsi="Times New Roman"/>
          <w:sz w:val="13"/>
          <w:szCs w:val="13"/>
          <w:color w:val="auto"/>
        </w:rPr>
        <w:t>On October 28, 2020, we completed our acquisition of Garrison Capital Inc., a publicly traded BDC (“GARS”, and such transaction the “GARS Acquisition”). To effect the acquisition, our wholly owned merger subsidiary merged with and into GARS, with GARS surviving the merger as our wholly owned subsidiary. Immediately thereafter and as a single integrated transaction, GARS consummated a second merger, whereby GARS merged with and into us, with the Company surviving the merger.</w:t>
      </w:r>
    </w:p>
    <w:p>
      <w:pPr>
        <w:spacing w:after="0" w:line="63" w:lineRule="exact"/>
        <w:rPr>
          <w:sz w:val="20"/>
          <w:szCs w:val="20"/>
          <w:color w:val="auto"/>
        </w:rPr>
      </w:pPr>
    </w:p>
    <w:p>
      <w:pPr>
        <w:ind w:right="280" w:firstLine="348"/>
        <w:spacing w:after="0" w:line="262" w:lineRule="auto"/>
        <w:rPr>
          <w:sz w:val="20"/>
          <w:szCs w:val="20"/>
          <w:color w:val="auto"/>
        </w:rPr>
      </w:pPr>
      <w:r>
        <w:rPr>
          <w:rFonts w:ascii="Times New Roman" w:cs="Times New Roman" w:eastAsia="Times New Roman" w:hAnsi="Times New Roman"/>
          <w:sz w:val="13"/>
          <w:szCs w:val="13"/>
          <w:color w:val="auto"/>
        </w:rPr>
        <w:t>In accordance with the terms of the merger agreement for the GARS Acquisition, dated June 24, 2020 (the “GARS Merger Agreement”), each share of common stock, par value $0.001 per share, of GARS (the “GARS Common Stock”) issued and outstanding was converted into the right to receive (i) an amount in cash, without interest, equal to approximately $1.19 and (ii) approximately 1.917 shares of common stock, par value $0.01 per share, of the Company (plus any applicable cash in lieu of fractional shares). Each share of GARS Common Stock issued and outstanding received, as additional consideration funded by the Adviser, an amount in cash, without interest, equal to approximately $0.31.</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HCAP Transaction</w:t>
      </w:r>
    </w:p>
    <w:p>
      <w:pPr>
        <w:spacing w:after="0" w:line="107" w:lineRule="exact"/>
        <w:rPr>
          <w:sz w:val="20"/>
          <w:szCs w:val="20"/>
          <w:color w:val="auto"/>
        </w:rPr>
      </w:pPr>
    </w:p>
    <w:p>
      <w:pPr>
        <w:ind w:right="200" w:firstLine="348"/>
        <w:spacing w:after="0" w:line="262" w:lineRule="auto"/>
        <w:rPr>
          <w:sz w:val="20"/>
          <w:szCs w:val="20"/>
          <w:color w:val="auto"/>
        </w:rPr>
      </w:pPr>
      <w:r>
        <w:rPr>
          <w:rFonts w:ascii="Times New Roman" w:cs="Times New Roman" w:eastAsia="Times New Roman" w:hAnsi="Times New Roman"/>
          <w:sz w:val="13"/>
          <w:szCs w:val="13"/>
          <w:color w:val="auto"/>
        </w:rPr>
        <w:t>On June 9, 2021, we completed our acquisition of Harvest Capital Credit Corporation, a publicly traded BDC (“HCAP”, and such transaction the “HCAP Acquisition”). To effect the acquisition, our wholly owned merger subsidiary (“Acquisition Sub”) merged with and into HCAP, with HCAP surviving the merger as the Company’s wholly owned subsidiary. Immediately thereafter and as a single integrated transaction, HCAP consummated a second merger, whereby HCAP merged with and into the Company, with the Company surviving the merger. As a result of, and as of the effective time of, the second merger, HCAP’s separate corporate existence ceased.</w:t>
      </w:r>
    </w:p>
    <w:p>
      <w:pPr>
        <w:spacing w:after="0" w:line="127" w:lineRule="exact"/>
        <w:rPr>
          <w:sz w:val="20"/>
          <w:szCs w:val="20"/>
          <w:color w:val="auto"/>
        </w:rPr>
      </w:pPr>
    </w:p>
    <w:p>
      <w:pPr>
        <w:ind w:right="100" w:firstLine="348"/>
        <w:spacing w:after="0" w:line="268" w:lineRule="auto"/>
        <w:rPr>
          <w:sz w:val="20"/>
          <w:szCs w:val="20"/>
          <w:color w:val="auto"/>
        </w:rPr>
      </w:pPr>
      <w:r>
        <w:rPr>
          <w:rFonts w:ascii="Times New Roman" w:cs="Times New Roman" w:eastAsia="Times New Roman" w:hAnsi="Times New Roman"/>
          <w:sz w:val="13"/>
          <w:szCs w:val="13"/>
          <w:color w:val="auto"/>
        </w:rPr>
        <w:t>Under the terms of the merger agreement for the HCAP Acquisition, dated December 23, 2020 (the “HCAP Merger Agreement”), HCAP stockholders as of immediately prior to the effective time of the first merger (other than shares held by a subsidiary of HCAP or held, directly or indirectly, by the Company or Acquisition Sub, and all treasury shares (collectively, “Cancelled Shares”)) received a combination of (i) $18.54 million in cash paid by the Company, (ii) 15,252,453 validly issued, fully paid and non-assessable shares of the Company’s common stock, par value $0.01 per share, and (iii) an additional cash payment from the Adviser of $2.15 million in the aggregate.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PORTFOLIO AND INVESTMENT ACTIVITY</w:t>
      </w:r>
    </w:p>
    <w:p>
      <w:pPr>
        <w:spacing w:after="0" w:line="105" w:lineRule="exact"/>
        <w:rPr>
          <w:sz w:val="20"/>
          <w:szCs w:val="20"/>
          <w:color w:val="auto"/>
        </w:rPr>
      </w:pPr>
    </w:p>
    <w:p>
      <w:pPr>
        <w:ind w:right="80" w:firstLine="348"/>
        <w:spacing w:after="0" w:line="286" w:lineRule="auto"/>
        <w:rPr>
          <w:sz w:val="20"/>
          <w:szCs w:val="20"/>
          <w:color w:val="auto"/>
        </w:rPr>
      </w:pPr>
      <w:r>
        <w:rPr>
          <w:rFonts w:ascii="Times New Roman" w:cs="Times New Roman" w:eastAsia="Times New Roman" w:hAnsi="Times New Roman"/>
          <w:sz w:val="13"/>
          <w:szCs w:val="13"/>
          <w:color w:val="auto"/>
        </w:rPr>
        <w:t>Our primary investments are lending to and investing in middle-market businesses through investments in senior secured loans, junior secured loans, subordinated/mezzanine debt investments, and other equity investments, which may include warrants, investments in joint ventures, and investments in CLO Fund Securities.</w:t>
      </w:r>
    </w:p>
    <w:p>
      <w:pPr>
        <w:spacing w:after="0" w:line="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Total portfolio investment activity (excluding activity in short-term investments) for the years ended December 31, 2024, 2023 and 2022 was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8"/>
              </w:rPr>
              <w:t>Second Lien</w:t>
            </w:r>
          </w:p>
        </w:tc>
        <w:tc>
          <w:tcPr>
            <w:tcW w:w="180" w:type="dxa"/>
            <w:vAlign w:val="bottom"/>
          </w:tcPr>
          <w:p>
            <w:pPr>
              <w:spacing w:after="0"/>
              <w:rPr>
                <w:sz w:val="12"/>
                <w:szCs w:val="12"/>
                <w:color w:val="auto"/>
              </w:rPr>
            </w:pPr>
          </w:p>
        </w:tc>
        <w:tc>
          <w:tcPr>
            <w:tcW w:w="1000" w:type="dxa"/>
            <w:vAlign w:val="bottom"/>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Subordinated</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Collateralized</w:t>
            </w:r>
          </w:p>
        </w:tc>
        <w:tc>
          <w:tcPr>
            <w:tcW w:w="220" w:type="dxa"/>
            <w:vAlign w:val="bottom"/>
          </w:tcPr>
          <w:p>
            <w:pPr>
              <w:spacing w:after="0"/>
              <w:rPr>
                <w:sz w:val="12"/>
                <w:szCs w:val="12"/>
                <w:color w:val="auto"/>
              </w:rPr>
            </w:pPr>
          </w:p>
        </w:tc>
        <w:tc>
          <w:tcPr>
            <w:tcW w:w="840" w:type="dxa"/>
            <w:vAlign w:val="bottom"/>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Joint</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9"/>
        </w:trPr>
        <w:tc>
          <w:tcPr>
            <w:tcW w:w="2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120" w:type="dxa"/>
            <w:vAlign w:val="bottom"/>
          </w:tcPr>
          <w:p>
            <w:pPr>
              <w:spacing w:after="0"/>
              <w:rPr>
                <w:sz w:val="13"/>
                <w:szCs w:val="13"/>
                <w:color w:val="auto"/>
              </w:rPr>
            </w:pPr>
          </w:p>
        </w:tc>
        <w:tc>
          <w:tcPr>
            <w:tcW w:w="1020" w:type="dxa"/>
            <w:vAlign w:val="bottom"/>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First Lien Debt</w:t>
            </w:r>
          </w:p>
        </w:tc>
        <w:tc>
          <w:tcPr>
            <w:tcW w:w="180" w:type="dxa"/>
            <w:vAlign w:val="bottom"/>
          </w:tcPr>
          <w:p>
            <w:pPr>
              <w:spacing w:after="0"/>
              <w:rPr>
                <w:sz w:val="13"/>
                <w:szCs w:val="13"/>
                <w:color w:val="auto"/>
              </w:rPr>
            </w:pPr>
          </w:p>
        </w:tc>
        <w:tc>
          <w:tcPr>
            <w:tcW w:w="900" w:type="dxa"/>
            <w:vAlign w:val="bottom"/>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Debt</w:t>
            </w:r>
          </w:p>
        </w:tc>
        <w:tc>
          <w:tcPr>
            <w:tcW w:w="180" w:type="dxa"/>
            <w:vAlign w:val="bottom"/>
          </w:tcPr>
          <w:p>
            <w:pPr>
              <w:spacing w:after="0"/>
              <w:rPr>
                <w:sz w:val="13"/>
                <w:szCs w:val="13"/>
                <w:color w:val="auto"/>
              </w:rPr>
            </w:pPr>
          </w:p>
        </w:tc>
        <w:tc>
          <w:tcPr>
            <w:tcW w:w="1000" w:type="dxa"/>
            <w:vAlign w:val="bottom"/>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Debt</w:t>
            </w:r>
          </w:p>
        </w:tc>
        <w:tc>
          <w:tcPr>
            <w:tcW w:w="200" w:type="dxa"/>
            <w:vAlign w:val="bottom"/>
          </w:tcPr>
          <w:p>
            <w:pPr>
              <w:spacing w:after="0"/>
              <w:rPr>
                <w:sz w:val="13"/>
                <w:szCs w:val="13"/>
                <w:color w:val="auto"/>
              </w:rPr>
            </w:pPr>
          </w:p>
        </w:tc>
        <w:tc>
          <w:tcPr>
            <w:tcW w:w="760" w:type="dxa"/>
            <w:vAlign w:val="bottom"/>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Loan Obligations</w:t>
            </w:r>
          </w:p>
        </w:tc>
        <w:tc>
          <w:tcPr>
            <w:tcW w:w="220" w:type="dxa"/>
            <w:vAlign w:val="bottom"/>
          </w:tcPr>
          <w:p>
            <w:pPr>
              <w:spacing w:after="0"/>
              <w:rPr>
                <w:sz w:val="13"/>
                <w:szCs w:val="13"/>
                <w:color w:val="auto"/>
              </w:rPr>
            </w:pPr>
          </w:p>
        </w:tc>
        <w:tc>
          <w:tcPr>
            <w:tcW w:w="840" w:type="dxa"/>
            <w:vAlign w:val="bottom"/>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Ventures</w:t>
            </w:r>
          </w:p>
        </w:tc>
        <w:tc>
          <w:tcPr>
            <w:tcW w:w="160" w:type="dxa"/>
            <w:vAlign w:val="bottom"/>
          </w:tcPr>
          <w:p>
            <w:pPr>
              <w:spacing w:after="0"/>
              <w:rPr>
                <w:sz w:val="13"/>
                <w:szCs w:val="13"/>
                <w:color w:val="auto"/>
              </w:rPr>
            </w:pPr>
          </w:p>
        </w:tc>
        <w:tc>
          <w:tcPr>
            <w:tcW w:w="860" w:type="dxa"/>
            <w:vAlign w:val="bottom"/>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Derivatives</w:t>
            </w:r>
          </w:p>
        </w:tc>
        <w:tc>
          <w:tcPr>
            <w:tcW w:w="160" w:type="dxa"/>
            <w:vAlign w:val="bottom"/>
          </w:tcPr>
          <w:p>
            <w:pPr>
              <w:spacing w:after="0"/>
              <w:rPr>
                <w:sz w:val="13"/>
                <w:szCs w:val="13"/>
                <w:color w:val="auto"/>
              </w:rPr>
            </w:pPr>
          </w:p>
        </w:tc>
        <w:tc>
          <w:tcPr>
            <w:tcW w:w="680" w:type="dxa"/>
            <w:vAlign w:val="bottom"/>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Portfolio</w:t>
            </w:r>
          </w:p>
        </w:tc>
        <w:tc>
          <w:tcPr>
            <w:tcW w:w="0" w:type="dxa"/>
            <w:vAlign w:val="bottom"/>
          </w:tcPr>
          <w:p>
            <w:pPr>
              <w:spacing w:after="0"/>
              <w:rPr>
                <w:sz w:val="1"/>
                <w:szCs w:val="1"/>
                <w:color w:val="auto"/>
              </w:rPr>
            </w:pPr>
          </w:p>
        </w:tc>
      </w:tr>
      <w:tr>
        <w:trPr>
          <w:trHeight w:val="144"/>
        </w:trPr>
        <w:tc>
          <w:tcPr>
            <w:tcW w:w="2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Fair Value at December 31, 2021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361,076</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74,174</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43</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22,586</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31,632</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60,474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(2,412 )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547,573</w:t>
            </w:r>
          </w:p>
        </w:tc>
        <w:tc>
          <w:tcPr>
            <w:tcW w:w="0" w:type="dxa"/>
            <w:vAlign w:val="bottom"/>
          </w:tcPr>
          <w:p>
            <w:pPr>
              <w:spacing w:after="0"/>
              <w:rPr>
                <w:sz w:val="1"/>
                <w:szCs w:val="1"/>
                <w:color w:val="auto"/>
              </w:rPr>
            </w:pPr>
          </w:p>
        </w:tc>
      </w:tr>
      <w:tr>
        <w:trPr>
          <w:trHeight w:val="144"/>
        </w:trPr>
        <w:tc>
          <w:tcPr>
            <w:tcW w:w="21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Purchases / originations / draws</w:t>
            </w:r>
          </w:p>
        </w:tc>
        <w:tc>
          <w:tcPr>
            <w:tcW w:w="120" w:type="dxa"/>
            <w:vAlign w:val="bottom"/>
          </w:tcPr>
          <w:p>
            <w:pPr>
              <w:spacing w:after="0"/>
              <w:rPr>
                <w:sz w:val="12"/>
                <w:szCs w:val="12"/>
                <w:color w:val="auto"/>
              </w:rPr>
            </w:pP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189,004</w:t>
            </w:r>
          </w:p>
        </w:tc>
        <w:tc>
          <w:tcPr>
            <w:tcW w:w="180" w:type="dxa"/>
            <w:vAlign w:val="bottom"/>
          </w:tcPr>
          <w:p>
            <w:pPr>
              <w:spacing w:after="0"/>
              <w:rPr>
                <w:sz w:val="12"/>
                <w:szCs w:val="12"/>
                <w:color w:val="auto"/>
              </w:rPr>
            </w:pPr>
          </w:p>
        </w:tc>
        <w:tc>
          <w:tcPr>
            <w:tcW w:w="9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16,550</w:t>
            </w:r>
          </w:p>
        </w:tc>
        <w:tc>
          <w:tcPr>
            <w:tcW w:w="180" w:type="dxa"/>
            <w:vAlign w:val="bottom"/>
          </w:tcPr>
          <w:p>
            <w:pPr>
              <w:spacing w:after="0"/>
              <w:rPr>
                <w:sz w:val="12"/>
                <w:szCs w:val="12"/>
                <w:color w:val="auto"/>
              </w:rPr>
            </w:pPr>
          </w:p>
        </w:tc>
        <w:tc>
          <w:tcPr>
            <w:tcW w:w="10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w:t>
            </w:r>
          </w:p>
        </w:tc>
        <w:tc>
          <w:tcPr>
            <w:tcW w:w="200" w:type="dxa"/>
            <w:vAlign w:val="bottom"/>
          </w:tcPr>
          <w:p>
            <w:pPr>
              <w:spacing w:after="0"/>
              <w:rPr>
                <w:sz w:val="12"/>
                <w:szCs w:val="12"/>
                <w:color w:val="auto"/>
              </w:rPr>
            </w:pPr>
          </w:p>
        </w:tc>
        <w:tc>
          <w:tcPr>
            <w:tcW w:w="7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10,807</w:t>
            </w:r>
          </w:p>
        </w:tc>
        <w:tc>
          <w:tcPr>
            <w:tcW w:w="160" w:type="dxa"/>
            <w:vAlign w:val="bottom"/>
          </w:tcPr>
          <w:p>
            <w:pPr>
              <w:spacing w:after="0"/>
              <w:rPr>
                <w:sz w:val="12"/>
                <w:szCs w:val="12"/>
                <w:color w:val="auto"/>
              </w:rPr>
            </w:pPr>
          </w:p>
        </w:tc>
        <w:tc>
          <w:tcPr>
            <w:tcW w:w="10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15,412</w:t>
            </w:r>
          </w:p>
        </w:tc>
        <w:tc>
          <w:tcPr>
            <w:tcW w:w="160" w:type="dxa"/>
            <w:vAlign w:val="bottom"/>
          </w:tcPr>
          <w:p>
            <w:pPr>
              <w:spacing w:after="0"/>
              <w:rPr>
                <w:sz w:val="12"/>
                <w:szCs w:val="12"/>
                <w:color w:val="auto"/>
              </w:rPr>
            </w:pPr>
          </w:p>
        </w:tc>
        <w:tc>
          <w:tcPr>
            <w:tcW w:w="8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231,774</w:t>
            </w:r>
          </w:p>
        </w:tc>
        <w:tc>
          <w:tcPr>
            <w:tcW w:w="0" w:type="dxa"/>
            <w:vAlign w:val="bottom"/>
          </w:tcPr>
          <w:p>
            <w:pPr>
              <w:spacing w:after="0"/>
              <w:rPr>
                <w:sz w:val="1"/>
                <w:szCs w:val="1"/>
                <w:color w:val="auto"/>
              </w:rPr>
            </w:pPr>
          </w:p>
        </w:tc>
      </w:tr>
      <w:tr>
        <w:trPr>
          <w:trHeight w:val="144"/>
        </w:trPr>
        <w:tc>
          <w:tcPr>
            <w:tcW w:w="2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Pay-downs / pay-offs / sales</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(140,032 )</w:t>
            </w:r>
          </w:p>
        </w:tc>
        <w:tc>
          <w:tcPr>
            <w:tcW w:w="18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(4,354 )</w:t>
            </w: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(9,980 )</w:t>
            </w: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(6,194 )</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(10,400 )</w:t>
            </w: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2,075</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(168,885 )</w:t>
            </w:r>
          </w:p>
        </w:tc>
        <w:tc>
          <w:tcPr>
            <w:tcW w:w="0" w:type="dxa"/>
            <w:vAlign w:val="bottom"/>
          </w:tcPr>
          <w:p>
            <w:pPr>
              <w:spacing w:after="0"/>
              <w:rPr>
                <w:sz w:val="1"/>
                <w:szCs w:val="1"/>
                <w:color w:val="auto"/>
              </w:rPr>
            </w:pPr>
          </w:p>
        </w:tc>
      </w:tr>
      <w:tr>
        <w:trPr>
          <w:trHeight w:val="155"/>
        </w:trPr>
        <w:tc>
          <w:tcPr>
            <w:tcW w:w="21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Net accretion of interest</w:t>
            </w:r>
          </w:p>
        </w:tc>
        <w:tc>
          <w:tcPr>
            <w:tcW w:w="120" w:type="dxa"/>
            <w:vAlign w:val="bottom"/>
          </w:tcPr>
          <w:p>
            <w:pPr>
              <w:spacing w:after="0"/>
              <w:rPr>
                <w:sz w:val="13"/>
                <w:szCs w:val="13"/>
                <w:color w:val="auto"/>
              </w:rPr>
            </w:pPr>
          </w:p>
        </w:tc>
        <w:tc>
          <w:tcPr>
            <w:tcW w:w="1020" w:type="dxa"/>
            <w:vAlign w:val="bottom"/>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9,779</w:t>
            </w:r>
          </w:p>
        </w:tc>
        <w:tc>
          <w:tcPr>
            <w:tcW w:w="180" w:type="dxa"/>
            <w:vAlign w:val="bottom"/>
          </w:tcPr>
          <w:p>
            <w:pPr>
              <w:spacing w:after="0"/>
              <w:rPr>
                <w:sz w:val="13"/>
                <w:szCs w:val="13"/>
                <w:color w:val="auto"/>
              </w:rPr>
            </w:pPr>
          </w:p>
        </w:tc>
        <w:tc>
          <w:tcPr>
            <w:tcW w:w="9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873</w:t>
            </w:r>
          </w:p>
        </w:tc>
        <w:tc>
          <w:tcPr>
            <w:tcW w:w="180" w:type="dxa"/>
            <w:vAlign w:val="bottom"/>
          </w:tcPr>
          <w:p>
            <w:pPr>
              <w:spacing w:after="0"/>
              <w:rPr>
                <w:sz w:val="13"/>
                <w:szCs w:val="13"/>
                <w:color w:val="auto"/>
              </w:rPr>
            </w:pPr>
          </w:p>
        </w:tc>
        <w:tc>
          <w:tcPr>
            <w:tcW w:w="1000" w:type="dxa"/>
            <w:vAlign w:val="bottom"/>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760" w:type="dxa"/>
            <w:vAlign w:val="bottom"/>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10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4,044</w:t>
            </w:r>
          </w:p>
        </w:tc>
        <w:tc>
          <w:tcPr>
            <w:tcW w:w="220" w:type="dxa"/>
            <w:vAlign w:val="bottom"/>
          </w:tcPr>
          <w:p>
            <w:pPr>
              <w:spacing w:after="0"/>
              <w:rPr>
                <w:sz w:val="13"/>
                <w:szCs w:val="13"/>
                <w:color w:val="auto"/>
              </w:rPr>
            </w:pPr>
          </w:p>
        </w:tc>
        <w:tc>
          <w:tcPr>
            <w:tcW w:w="840" w:type="dxa"/>
            <w:vAlign w:val="bottom"/>
            <w:vMerge w:val="restart"/>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60" w:type="dxa"/>
            <w:vAlign w:val="bottom"/>
            <w:vMerge w:val="restart"/>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680" w:type="dxa"/>
            <w:vAlign w:val="bottom"/>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14,696</w:t>
            </w:r>
          </w:p>
        </w:tc>
        <w:tc>
          <w:tcPr>
            <w:tcW w:w="0" w:type="dxa"/>
            <w:vAlign w:val="bottom"/>
          </w:tcPr>
          <w:p>
            <w:pPr>
              <w:spacing w:after="0"/>
              <w:rPr>
                <w:sz w:val="1"/>
                <w:szCs w:val="1"/>
                <w:color w:val="auto"/>
              </w:rPr>
            </w:pPr>
          </w:p>
        </w:tc>
      </w:tr>
      <w:tr>
        <w:trPr>
          <w:trHeight w:val="73"/>
        </w:trPr>
        <w:tc>
          <w:tcPr>
            <w:tcW w:w="2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Net realized gain (loss) on investments</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(400 )</w:t>
            </w:r>
          </w:p>
        </w:tc>
        <w:tc>
          <w:tcPr>
            <w:tcW w:w="18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(14,323 )</w:t>
            </w: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1,341</w:t>
            </w: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(14,762 )</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(526 )</w:t>
            </w: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(2,095 )</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(30,765 )</w:t>
            </w:r>
          </w:p>
        </w:tc>
        <w:tc>
          <w:tcPr>
            <w:tcW w:w="0" w:type="dxa"/>
            <w:vAlign w:val="bottom"/>
          </w:tcPr>
          <w:p>
            <w:pPr>
              <w:spacing w:after="0"/>
              <w:rPr>
                <w:sz w:val="1"/>
                <w:szCs w:val="1"/>
                <w:color w:val="auto"/>
              </w:rPr>
            </w:pPr>
          </w:p>
        </w:tc>
      </w:tr>
      <w:tr>
        <w:trPr>
          <w:trHeight w:val="133"/>
        </w:trPr>
        <w:tc>
          <w:tcPr>
            <w:tcW w:w="2120" w:type="dxa"/>
            <w:vAlign w:val="bottom"/>
          </w:tcPr>
          <w:p>
            <w:pPr>
              <w:ind w:left="180"/>
              <w:spacing w:after="0" w:line="133" w:lineRule="exact"/>
              <w:rPr>
                <w:sz w:val="20"/>
                <w:szCs w:val="20"/>
                <w:color w:val="auto"/>
              </w:rPr>
            </w:pPr>
            <w:r>
              <w:rPr>
                <w:rFonts w:ascii="Times New Roman" w:cs="Times New Roman" w:eastAsia="Times New Roman" w:hAnsi="Times New Roman"/>
                <w:sz w:val="12"/>
                <w:szCs w:val="12"/>
                <w:color w:val="auto"/>
              </w:rPr>
              <w:t>Net change in unrealized appreciation</w:t>
            </w: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1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(depreciation) on investments</w:t>
            </w:r>
          </w:p>
        </w:tc>
        <w:tc>
          <w:tcPr>
            <w:tcW w:w="120" w:type="dxa"/>
            <w:vAlign w:val="bottom"/>
          </w:tcPr>
          <w:p>
            <w:pPr>
              <w:spacing w:after="0"/>
              <w:rPr>
                <w:sz w:val="13"/>
                <w:szCs w:val="13"/>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(18,314 )</w:t>
            </w:r>
          </w:p>
        </w:tc>
        <w:tc>
          <w:tcPr>
            <w:tcW w:w="180" w:type="dxa"/>
            <w:vAlign w:val="bottom"/>
          </w:tcPr>
          <w:p>
            <w:pPr>
              <w:spacing w:after="0"/>
              <w:rPr>
                <w:sz w:val="13"/>
                <w:szCs w:val="13"/>
                <w:color w:val="auto"/>
              </w:rPr>
            </w:pPr>
          </w:p>
        </w:tc>
        <w:tc>
          <w:tcPr>
            <w:tcW w:w="9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1,089</w:t>
            </w:r>
          </w:p>
        </w:tc>
        <w:tc>
          <w:tcPr>
            <w:tcW w:w="180" w:type="dxa"/>
            <w:vAlign w:val="bottom"/>
          </w:tcPr>
          <w:p>
            <w:pPr>
              <w:spacing w:after="0"/>
              <w:rPr>
                <w:sz w:val="13"/>
                <w:szCs w:val="13"/>
                <w:color w:val="auto"/>
              </w:rPr>
            </w:pP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(1 )</w:t>
            </w:r>
          </w:p>
        </w:tc>
        <w:tc>
          <w:tcPr>
            <w:tcW w:w="200" w:type="dxa"/>
            <w:vAlign w:val="bottom"/>
          </w:tcPr>
          <w:p>
            <w:pPr>
              <w:spacing w:after="0"/>
              <w:rPr>
                <w:sz w:val="13"/>
                <w:szCs w:val="13"/>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(2,849 )</w:t>
            </w:r>
          </w:p>
        </w:tc>
        <w:tc>
          <w:tcPr>
            <w:tcW w:w="160" w:type="dxa"/>
            <w:vAlign w:val="bottom"/>
          </w:tcPr>
          <w:p>
            <w:pPr>
              <w:spacing w:after="0"/>
              <w:rPr>
                <w:sz w:val="13"/>
                <w:szCs w:val="13"/>
                <w:color w:val="auto"/>
              </w:rPr>
            </w:pPr>
          </w:p>
        </w:tc>
        <w:tc>
          <w:tcPr>
            <w:tcW w:w="10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5,733</w:t>
            </w:r>
          </w:p>
        </w:tc>
        <w:tc>
          <w:tcPr>
            <w:tcW w:w="220" w:type="dxa"/>
            <w:vAlign w:val="bottom"/>
          </w:tcPr>
          <w:p>
            <w:pPr>
              <w:spacing w:after="0"/>
              <w:rPr>
                <w:sz w:val="13"/>
                <w:szCs w:val="13"/>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(6,005 )</w:t>
            </w:r>
          </w:p>
        </w:tc>
        <w:tc>
          <w:tcPr>
            <w:tcW w:w="160" w:type="dxa"/>
            <w:vAlign w:val="bottom"/>
          </w:tcPr>
          <w:p>
            <w:pPr>
              <w:spacing w:after="0"/>
              <w:rPr>
                <w:sz w:val="13"/>
                <w:szCs w:val="13"/>
                <w:color w:val="auto"/>
              </w:rPr>
            </w:pPr>
          </w:p>
        </w:tc>
        <w:tc>
          <w:tcPr>
            <w:tcW w:w="8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2,432</w:t>
            </w: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(17,915 )</w:t>
            </w:r>
          </w:p>
        </w:tc>
        <w:tc>
          <w:tcPr>
            <w:tcW w:w="0" w:type="dxa"/>
            <w:vAlign w:val="bottom"/>
          </w:tcPr>
          <w:p>
            <w:pPr>
              <w:spacing w:after="0"/>
              <w:rPr>
                <w:sz w:val="1"/>
                <w:szCs w:val="1"/>
                <w:color w:val="auto"/>
              </w:rPr>
            </w:pPr>
          </w:p>
        </w:tc>
      </w:tr>
      <w:tr>
        <w:trPr>
          <w:trHeight w:val="144"/>
        </w:trPr>
        <w:tc>
          <w:tcPr>
            <w:tcW w:w="2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Fair Value at December 31, 2022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401,113</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74,009</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43</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21,905</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20,453</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58,955</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576,478</w:t>
            </w:r>
          </w:p>
        </w:tc>
        <w:tc>
          <w:tcPr>
            <w:tcW w:w="0" w:type="dxa"/>
            <w:vAlign w:val="bottom"/>
          </w:tcPr>
          <w:p>
            <w:pPr>
              <w:spacing w:after="0"/>
              <w:rPr>
                <w:sz w:val="1"/>
                <w:szCs w:val="1"/>
                <w:color w:val="auto"/>
              </w:rPr>
            </w:pPr>
          </w:p>
        </w:tc>
      </w:tr>
      <w:tr>
        <w:trPr>
          <w:trHeight w:val="144"/>
        </w:trPr>
        <w:tc>
          <w:tcPr>
            <w:tcW w:w="21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Purchases / originations / draws</w:t>
            </w:r>
          </w:p>
        </w:tc>
        <w:tc>
          <w:tcPr>
            <w:tcW w:w="120" w:type="dxa"/>
            <w:vAlign w:val="bottom"/>
          </w:tcPr>
          <w:p>
            <w:pPr>
              <w:spacing w:after="0"/>
              <w:rPr>
                <w:sz w:val="12"/>
                <w:szCs w:val="12"/>
                <w:color w:val="auto"/>
              </w:rPr>
            </w:pP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50,109</w:t>
            </w:r>
          </w:p>
        </w:tc>
        <w:tc>
          <w:tcPr>
            <w:tcW w:w="180" w:type="dxa"/>
            <w:vAlign w:val="bottom"/>
          </w:tcPr>
          <w:p>
            <w:pPr>
              <w:spacing w:after="0"/>
              <w:rPr>
                <w:sz w:val="12"/>
                <w:szCs w:val="12"/>
                <w:color w:val="auto"/>
              </w:rPr>
            </w:pPr>
          </w:p>
        </w:tc>
        <w:tc>
          <w:tcPr>
            <w:tcW w:w="9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952</w:t>
            </w:r>
          </w:p>
        </w:tc>
        <w:tc>
          <w:tcPr>
            <w:tcW w:w="180" w:type="dxa"/>
            <w:vAlign w:val="bottom"/>
          </w:tcPr>
          <w:p>
            <w:pPr>
              <w:spacing w:after="0"/>
              <w:rPr>
                <w:sz w:val="12"/>
                <w:szCs w:val="12"/>
                <w:color w:val="auto"/>
              </w:rPr>
            </w:pPr>
          </w:p>
        </w:tc>
        <w:tc>
          <w:tcPr>
            <w:tcW w:w="10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7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7,867</w:t>
            </w:r>
          </w:p>
        </w:tc>
        <w:tc>
          <w:tcPr>
            <w:tcW w:w="160" w:type="dxa"/>
            <w:vAlign w:val="bottom"/>
          </w:tcPr>
          <w:p>
            <w:pPr>
              <w:spacing w:after="0"/>
              <w:rPr>
                <w:sz w:val="12"/>
                <w:szCs w:val="12"/>
                <w:color w:val="auto"/>
              </w:rPr>
            </w:pPr>
          </w:p>
        </w:tc>
        <w:tc>
          <w:tcPr>
            <w:tcW w:w="10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7,564</w:t>
            </w:r>
          </w:p>
        </w:tc>
        <w:tc>
          <w:tcPr>
            <w:tcW w:w="160" w:type="dxa"/>
            <w:vAlign w:val="bottom"/>
          </w:tcPr>
          <w:p>
            <w:pPr>
              <w:spacing w:after="0"/>
              <w:rPr>
                <w:sz w:val="12"/>
                <w:szCs w:val="12"/>
                <w:color w:val="auto"/>
              </w:rPr>
            </w:pPr>
          </w:p>
        </w:tc>
        <w:tc>
          <w:tcPr>
            <w:tcW w:w="8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66,492</w:t>
            </w:r>
          </w:p>
        </w:tc>
        <w:tc>
          <w:tcPr>
            <w:tcW w:w="0" w:type="dxa"/>
            <w:vAlign w:val="bottom"/>
          </w:tcPr>
          <w:p>
            <w:pPr>
              <w:spacing w:after="0"/>
              <w:rPr>
                <w:sz w:val="1"/>
                <w:szCs w:val="1"/>
                <w:color w:val="auto"/>
              </w:rPr>
            </w:pPr>
          </w:p>
        </w:tc>
      </w:tr>
      <w:tr>
        <w:trPr>
          <w:trHeight w:val="144"/>
        </w:trPr>
        <w:tc>
          <w:tcPr>
            <w:tcW w:w="2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Pay-downs / pay-offs / sales</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(117,244 )</w:t>
            </w:r>
          </w:p>
        </w:tc>
        <w:tc>
          <w:tcPr>
            <w:tcW w:w="18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(32,968 )</w:t>
            </w: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5,567</w:t>
            </w: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(8,770 )</w:t>
            </w: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(2,097 )</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(4,999 )</w:t>
            </w: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(160,511 )</w:t>
            </w:r>
          </w:p>
        </w:tc>
        <w:tc>
          <w:tcPr>
            <w:tcW w:w="0" w:type="dxa"/>
            <w:vAlign w:val="bottom"/>
          </w:tcPr>
          <w:p>
            <w:pPr>
              <w:spacing w:after="0"/>
              <w:rPr>
                <w:sz w:val="1"/>
                <w:szCs w:val="1"/>
                <w:color w:val="auto"/>
              </w:rPr>
            </w:pPr>
          </w:p>
        </w:tc>
      </w:tr>
      <w:tr>
        <w:trPr>
          <w:trHeight w:val="144"/>
        </w:trPr>
        <w:tc>
          <w:tcPr>
            <w:tcW w:w="21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Net accretion of interest</w:t>
            </w:r>
          </w:p>
        </w:tc>
        <w:tc>
          <w:tcPr>
            <w:tcW w:w="120" w:type="dxa"/>
            <w:vAlign w:val="bottom"/>
          </w:tcPr>
          <w:p>
            <w:pPr>
              <w:spacing w:after="0"/>
              <w:rPr>
                <w:sz w:val="12"/>
                <w:szCs w:val="12"/>
                <w:color w:val="auto"/>
              </w:rPr>
            </w:pP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6,332</w:t>
            </w:r>
          </w:p>
        </w:tc>
        <w:tc>
          <w:tcPr>
            <w:tcW w:w="180" w:type="dxa"/>
            <w:vAlign w:val="bottom"/>
          </w:tcPr>
          <w:p>
            <w:pPr>
              <w:spacing w:after="0"/>
              <w:rPr>
                <w:sz w:val="12"/>
                <w:szCs w:val="12"/>
                <w:color w:val="auto"/>
              </w:rPr>
            </w:pPr>
          </w:p>
        </w:tc>
        <w:tc>
          <w:tcPr>
            <w:tcW w:w="9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650</w:t>
            </w:r>
          </w:p>
        </w:tc>
        <w:tc>
          <w:tcPr>
            <w:tcW w:w="180" w:type="dxa"/>
            <w:vAlign w:val="bottom"/>
          </w:tcPr>
          <w:p>
            <w:pPr>
              <w:spacing w:after="0"/>
              <w:rPr>
                <w:sz w:val="12"/>
                <w:szCs w:val="12"/>
                <w:color w:val="auto"/>
              </w:rPr>
            </w:pPr>
          </w:p>
        </w:tc>
        <w:tc>
          <w:tcPr>
            <w:tcW w:w="10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7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10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1,998</w:t>
            </w:r>
          </w:p>
        </w:tc>
        <w:tc>
          <w:tcPr>
            <w:tcW w:w="220" w:type="dxa"/>
            <w:vAlign w:val="bottom"/>
          </w:tcPr>
          <w:p>
            <w:pPr>
              <w:spacing w:after="0"/>
              <w:rPr>
                <w:sz w:val="12"/>
                <w:szCs w:val="12"/>
                <w:color w:val="auto"/>
              </w:rPr>
            </w:pP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8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8,980</w:t>
            </w:r>
          </w:p>
        </w:tc>
        <w:tc>
          <w:tcPr>
            <w:tcW w:w="0" w:type="dxa"/>
            <w:vAlign w:val="bottom"/>
          </w:tcPr>
          <w:p>
            <w:pPr>
              <w:spacing w:after="0"/>
              <w:rPr>
                <w:sz w:val="1"/>
                <w:szCs w:val="1"/>
                <w:color w:val="auto"/>
              </w:rPr>
            </w:pPr>
          </w:p>
        </w:tc>
      </w:tr>
      <w:tr>
        <w:trPr>
          <w:trHeight w:val="144"/>
        </w:trPr>
        <w:tc>
          <w:tcPr>
            <w:tcW w:w="2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Net realized gain (loss) on investments</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(3,633 )</w:t>
            </w:r>
          </w:p>
        </w:tc>
        <w:tc>
          <w:tcPr>
            <w:tcW w:w="18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(1,151 )</w:t>
            </w: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3,334</w:t>
            </w: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(25,446 )</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(26,896 )</w:t>
            </w:r>
          </w:p>
        </w:tc>
        <w:tc>
          <w:tcPr>
            <w:tcW w:w="0" w:type="dxa"/>
            <w:vAlign w:val="bottom"/>
          </w:tcPr>
          <w:p>
            <w:pPr>
              <w:spacing w:after="0"/>
              <w:rPr>
                <w:sz w:val="1"/>
                <w:szCs w:val="1"/>
                <w:color w:val="auto"/>
              </w:rPr>
            </w:pPr>
          </w:p>
        </w:tc>
      </w:tr>
      <w:tr>
        <w:trPr>
          <w:trHeight w:val="133"/>
        </w:trPr>
        <w:tc>
          <w:tcPr>
            <w:tcW w:w="2120" w:type="dxa"/>
            <w:vAlign w:val="bottom"/>
          </w:tcPr>
          <w:p>
            <w:pPr>
              <w:ind w:left="180"/>
              <w:spacing w:after="0" w:line="133" w:lineRule="exact"/>
              <w:rPr>
                <w:sz w:val="20"/>
                <w:szCs w:val="20"/>
                <w:color w:val="auto"/>
              </w:rPr>
            </w:pPr>
            <w:r>
              <w:rPr>
                <w:rFonts w:ascii="Times New Roman" w:cs="Times New Roman" w:eastAsia="Times New Roman" w:hAnsi="Times New Roman"/>
                <w:sz w:val="12"/>
                <w:szCs w:val="12"/>
                <w:color w:val="auto"/>
              </w:rPr>
              <w:t>Net change in unrealized appreciation</w:t>
            </w: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1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(depreciation) on investments</w:t>
            </w:r>
          </w:p>
        </w:tc>
        <w:tc>
          <w:tcPr>
            <w:tcW w:w="120" w:type="dxa"/>
            <w:vAlign w:val="bottom"/>
          </w:tcPr>
          <w:p>
            <w:pPr>
              <w:spacing w:after="0"/>
              <w:rPr>
                <w:sz w:val="13"/>
                <w:szCs w:val="13"/>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(78 )</w:t>
            </w:r>
          </w:p>
        </w:tc>
        <w:tc>
          <w:tcPr>
            <w:tcW w:w="180" w:type="dxa"/>
            <w:vAlign w:val="bottom"/>
          </w:tcPr>
          <w:p>
            <w:pPr>
              <w:spacing w:after="0"/>
              <w:rPr>
                <w:sz w:val="13"/>
                <w:szCs w:val="13"/>
                <w:color w:val="auto"/>
              </w:rPr>
            </w:pP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(238 )</w:t>
            </w:r>
          </w:p>
        </w:tc>
        <w:tc>
          <w:tcPr>
            <w:tcW w:w="180" w:type="dxa"/>
            <w:vAlign w:val="bottom"/>
          </w:tcPr>
          <w:p>
            <w:pPr>
              <w:spacing w:after="0"/>
              <w:rPr>
                <w:sz w:val="13"/>
                <w:szCs w:val="13"/>
                <w:color w:val="auto"/>
              </w:rPr>
            </w:pP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(4,386 )</w:t>
            </w:r>
          </w:p>
        </w:tc>
        <w:tc>
          <w:tcPr>
            <w:tcW w:w="200" w:type="dxa"/>
            <w:vAlign w:val="bottom"/>
          </w:tcPr>
          <w:p>
            <w:pPr>
              <w:spacing w:after="0"/>
              <w:rPr>
                <w:sz w:val="13"/>
                <w:szCs w:val="13"/>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(3,803 )</w:t>
            </w:r>
          </w:p>
        </w:tc>
        <w:tc>
          <w:tcPr>
            <w:tcW w:w="160" w:type="dxa"/>
            <w:vAlign w:val="bottom"/>
          </w:tcPr>
          <w:p>
            <w:pPr>
              <w:spacing w:after="0"/>
              <w:rPr>
                <w:sz w:val="13"/>
                <w:szCs w:val="13"/>
                <w:color w:val="auto"/>
              </w:rPr>
            </w:pPr>
          </w:p>
        </w:tc>
        <w:tc>
          <w:tcPr>
            <w:tcW w:w="10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14,060</w:t>
            </w:r>
          </w:p>
        </w:tc>
        <w:tc>
          <w:tcPr>
            <w:tcW w:w="220" w:type="dxa"/>
            <w:vAlign w:val="bottom"/>
          </w:tcPr>
          <w:p>
            <w:pPr>
              <w:spacing w:after="0"/>
              <w:rPr>
                <w:sz w:val="13"/>
                <w:szCs w:val="13"/>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(2,233 )</w:t>
            </w:r>
          </w:p>
        </w:tc>
        <w:tc>
          <w:tcPr>
            <w:tcW w:w="160" w:type="dxa"/>
            <w:vAlign w:val="bottom"/>
          </w:tcPr>
          <w:p>
            <w:pPr>
              <w:spacing w:after="0"/>
              <w:rPr>
                <w:sz w:val="13"/>
                <w:szCs w:val="13"/>
                <w:color w:val="auto"/>
              </w:rPr>
            </w:pPr>
          </w:p>
        </w:tc>
        <w:tc>
          <w:tcPr>
            <w:tcW w:w="8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3,322</w:t>
            </w:r>
          </w:p>
        </w:tc>
        <w:tc>
          <w:tcPr>
            <w:tcW w:w="0" w:type="dxa"/>
            <w:vAlign w:val="bottom"/>
          </w:tcPr>
          <w:p>
            <w:pPr>
              <w:spacing w:after="0"/>
              <w:rPr>
                <w:sz w:val="1"/>
                <w:szCs w:val="1"/>
                <w:color w:val="auto"/>
              </w:rPr>
            </w:pPr>
          </w:p>
        </w:tc>
      </w:tr>
      <w:tr>
        <w:trPr>
          <w:trHeight w:val="144"/>
        </w:trPr>
        <w:tc>
          <w:tcPr>
            <w:tcW w:w="2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Fair Value at December 31, 2023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336,599</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41,254</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1,224</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20,533</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8,968</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59,287</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467,865</w:t>
            </w:r>
          </w:p>
        </w:tc>
        <w:tc>
          <w:tcPr>
            <w:tcW w:w="0" w:type="dxa"/>
            <w:vAlign w:val="bottom"/>
          </w:tcPr>
          <w:p>
            <w:pPr>
              <w:spacing w:after="0"/>
              <w:rPr>
                <w:sz w:val="1"/>
                <w:szCs w:val="1"/>
                <w:color w:val="auto"/>
              </w:rPr>
            </w:pPr>
          </w:p>
        </w:tc>
      </w:tr>
      <w:tr>
        <w:trPr>
          <w:trHeight w:val="144"/>
        </w:trPr>
        <w:tc>
          <w:tcPr>
            <w:tcW w:w="21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Purchases / originations / draws</w:t>
            </w:r>
          </w:p>
        </w:tc>
        <w:tc>
          <w:tcPr>
            <w:tcW w:w="120" w:type="dxa"/>
            <w:vAlign w:val="bottom"/>
          </w:tcPr>
          <w:p>
            <w:pPr>
              <w:spacing w:after="0"/>
              <w:rPr>
                <w:sz w:val="12"/>
                <w:szCs w:val="12"/>
                <w:color w:val="auto"/>
              </w:rPr>
            </w:pP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70,343</w:t>
            </w:r>
          </w:p>
        </w:tc>
        <w:tc>
          <w:tcPr>
            <w:tcW w:w="180" w:type="dxa"/>
            <w:vAlign w:val="bottom"/>
          </w:tcPr>
          <w:p>
            <w:pPr>
              <w:spacing w:after="0"/>
              <w:rPr>
                <w:sz w:val="12"/>
                <w:szCs w:val="12"/>
                <w:color w:val="auto"/>
              </w:rPr>
            </w:pPr>
          </w:p>
        </w:tc>
        <w:tc>
          <w:tcPr>
            <w:tcW w:w="9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2,361</w:t>
            </w:r>
          </w:p>
        </w:tc>
        <w:tc>
          <w:tcPr>
            <w:tcW w:w="180" w:type="dxa"/>
            <w:vAlign w:val="bottom"/>
          </w:tcPr>
          <w:p>
            <w:pPr>
              <w:spacing w:after="0"/>
              <w:rPr>
                <w:sz w:val="12"/>
                <w:szCs w:val="12"/>
                <w:color w:val="auto"/>
              </w:rPr>
            </w:pPr>
          </w:p>
        </w:tc>
        <w:tc>
          <w:tcPr>
            <w:tcW w:w="10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997</w:t>
            </w:r>
          </w:p>
        </w:tc>
        <w:tc>
          <w:tcPr>
            <w:tcW w:w="200" w:type="dxa"/>
            <w:vAlign w:val="bottom"/>
          </w:tcPr>
          <w:p>
            <w:pPr>
              <w:spacing w:after="0"/>
              <w:rPr>
                <w:sz w:val="12"/>
                <w:szCs w:val="12"/>
                <w:color w:val="auto"/>
              </w:rPr>
            </w:pPr>
          </w:p>
        </w:tc>
        <w:tc>
          <w:tcPr>
            <w:tcW w:w="7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7,173</w:t>
            </w:r>
          </w:p>
        </w:tc>
        <w:tc>
          <w:tcPr>
            <w:tcW w:w="160" w:type="dxa"/>
            <w:vAlign w:val="bottom"/>
          </w:tcPr>
          <w:p>
            <w:pPr>
              <w:spacing w:after="0"/>
              <w:rPr>
                <w:sz w:val="12"/>
                <w:szCs w:val="12"/>
                <w:color w:val="auto"/>
              </w:rPr>
            </w:pPr>
          </w:p>
        </w:tc>
        <w:tc>
          <w:tcPr>
            <w:tcW w:w="10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5,733</w:t>
            </w:r>
          </w:p>
        </w:tc>
        <w:tc>
          <w:tcPr>
            <w:tcW w:w="160" w:type="dxa"/>
            <w:vAlign w:val="bottom"/>
          </w:tcPr>
          <w:p>
            <w:pPr>
              <w:spacing w:after="0"/>
              <w:rPr>
                <w:sz w:val="12"/>
                <w:szCs w:val="12"/>
                <w:color w:val="auto"/>
              </w:rPr>
            </w:pPr>
          </w:p>
        </w:tc>
        <w:tc>
          <w:tcPr>
            <w:tcW w:w="8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86,607</w:t>
            </w:r>
          </w:p>
        </w:tc>
        <w:tc>
          <w:tcPr>
            <w:tcW w:w="0" w:type="dxa"/>
            <w:vAlign w:val="bottom"/>
          </w:tcPr>
          <w:p>
            <w:pPr>
              <w:spacing w:after="0"/>
              <w:rPr>
                <w:sz w:val="1"/>
                <w:szCs w:val="1"/>
                <w:color w:val="auto"/>
              </w:rPr>
            </w:pPr>
          </w:p>
        </w:tc>
      </w:tr>
      <w:tr>
        <w:trPr>
          <w:trHeight w:val="144"/>
        </w:trPr>
        <w:tc>
          <w:tcPr>
            <w:tcW w:w="2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Pay-downs / pay-offs / sales</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(101,614 )</w:t>
            </w:r>
          </w:p>
        </w:tc>
        <w:tc>
          <w:tcPr>
            <w:tcW w:w="18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(10,526 )</w:t>
            </w: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(510 )</w:t>
            </w: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78</w:t>
            </w: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(2,722 )</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(10,401 )</w:t>
            </w: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(125,695 )</w:t>
            </w:r>
          </w:p>
        </w:tc>
        <w:tc>
          <w:tcPr>
            <w:tcW w:w="0" w:type="dxa"/>
            <w:vAlign w:val="bottom"/>
          </w:tcPr>
          <w:p>
            <w:pPr>
              <w:spacing w:after="0"/>
              <w:rPr>
                <w:sz w:val="1"/>
                <w:szCs w:val="1"/>
                <w:color w:val="auto"/>
              </w:rPr>
            </w:pPr>
          </w:p>
        </w:tc>
      </w:tr>
      <w:tr>
        <w:trPr>
          <w:trHeight w:val="144"/>
        </w:trPr>
        <w:tc>
          <w:tcPr>
            <w:tcW w:w="21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Net accretion of interest</w:t>
            </w:r>
          </w:p>
        </w:tc>
        <w:tc>
          <w:tcPr>
            <w:tcW w:w="120" w:type="dxa"/>
            <w:vAlign w:val="bottom"/>
          </w:tcPr>
          <w:p>
            <w:pPr>
              <w:spacing w:after="0"/>
              <w:rPr>
                <w:sz w:val="12"/>
                <w:szCs w:val="12"/>
                <w:color w:val="auto"/>
              </w:rPr>
            </w:pP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2,991</w:t>
            </w:r>
          </w:p>
        </w:tc>
        <w:tc>
          <w:tcPr>
            <w:tcW w:w="180" w:type="dxa"/>
            <w:vAlign w:val="bottom"/>
          </w:tcPr>
          <w:p>
            <w:pPr>
              <w:spacing w:after="0"/>
              <w:rPr>
                <w:sz w:val="12"/>
                <w:szCs w:val="12"/>
                <w:color w:val="auto"/>
              </w:rPr>
            </w:pPr>
          </w:p>
        </w:tc>
        <w:tc>
          <w:tcPr>
            <w:tcW w:w="9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116</w:t>
            </w:r>
          </w:p>
        </w:tc>
        <w:tc>
          <w:tcPr>
            <w:tcW w:w="180" w:type="dxa"/>
            <w:vAlign w:val="bottom"/>
          </w:tcPr>
          <w:p>
            <w:pPr>
              <w:spacing w:after="0"/>
              <w:rPr>
                <w:sz w:val="12"/>
                <w:szCs w:val="12"/>
                <w:color w:val="auto"/>
              </w:rPr>
            </w:pPr>
          </w:p>
        </w:tc>
        <w:tc>
          <w:tcPr>
            <w:tcW w:w="10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7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10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1,511</w:t>
            </w:r>
          </w:p>
        </w:tc>
        <w:tc>
          <w:tcPr>
            <w:tcW w:w="220" w:type="dxa"/>
            <w:vAlign w:val="bottom"/>
          </w:tcPr>
          <w:p>
            <w:pPr>
              <w:spacing w:after="0"/>
              <w:rPr>
                <w:sz w:val="12"/>
                <w:szCs w:val="12"/>
                <w:color w:val="auto"/>
              </w:rPr>
            </w:pP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8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4,618</w:t>
            </w:r>
          </w:p>
        </w:tc>
        <w:tc>
          <w:tcPr>
            <w:tcW w:w="0" w:type="dxa"/>
            <w:vAlign w:val="bottom"/>
          </w:tcPr>
          <w:p>
            <w:pPr>
              <w:spacing w:after="0"/>
              <w:rPr>
                <w:sz w:val="1"/>
                <w:szCs w:val="1"/>
                <w:color w:val="auto"/>
              </w:rPr>
            </w:pPr>
          </w:p>
        </w:tc>
      </w:tr>
      <w:tr>
        <w:trPr>
          <w:trHeight w:val="144"/>
        </w:trPr>
        <w:tc>
          <w:tcPr>
            <w:tcW w:w="2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Net realized gain (loss) on investments</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(11,908 )</w:t>
            </w:r>
          </w:p>
        </w:tc>
        <w:tc>
          <w:tcPr>
            <w:tcW w:w="18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(7,868 )</w:t>
            </w: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(417 )</w:t>
            </w: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(6,611 )</w:t>
            </w: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(2,576 )</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(29,380 )</w:t>
            </w:r>
          </w:p>
        </w:tc>
        <w:tc>
          <w:tcPr>
            <w:tcW w:w="0" w:type="dxa"/>
            <w:vAlign w:val="bottom"/>
          </w:tcPr>
          <w:p>
            <w:pPr>
              <w:spacing w:after="0"/>
              <w:rPr>
                <w:sz w:val="1"/>
                <w:szCs w:val="1"/>
                <w:color w:val="auto"/>
              </w:rPr>
            </w:pPr>
          </w:p>
        </w:tc>
      </w:tr>
      <w:tr>
        <w:trPr>
          <w:trHeight w:val="133"/>
        </w:trPr>
        <w:tc>
          <w:tcPr>
            <w:tcW w:w="2120" w:type="dxa"/>
            <w:vAlign w:val="bottom"/>
          </w:tcPr>
          <w:p>
            <w:pPr>
              <w:ind w:left="180"/>
              <w:spacing w:after="0" w:line="133" w:lineRule="exact"/>
              <w:rPr>
                <w:sz w:val="20"/>
                <w:szCs w:val="20"/>
                <w:color w:val="auto"/>
              </w:rPr>
            </w:pPr>
            <w:r>
              <w:rPr>
                <w:rFonts w:ascii="Times New Roman" w:cs="Times New Roman" w:eastAsia="Times New Roman" w:hAnsi="Times New Roman"/>
                <w:sz w:val="12"/>
                <w:szCs w:val="12"/>
                <w:color w:val="auto"/>
              </w:rPr>
              <w:t>Net change in unrealized appreciation</w:t>
            </w: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1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(depreciation) on investments</w:t>
            </w:r>
          </w:p>
        </w:tc>
        <w:tc>
          <w:tcPr>
            <w:tcW w:w="120" w:type="dxa"/>
            <w:vAlign w:val="bottom"/>
          </w:tcPr>
          <w:p>
            <w:pPr>
              <w:spacing w:after="0"/>
              <w:rPr>
                <w:sz w:val="13"/>
                <w:szCs w:val="13"/>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(6,454 )</w:t>
            </w:r>
          </w:p>
        </w:tc>
        <w:tc>
          <w:tcPr>
            <w:tcW w:w="180" w:type="dxa"/>
            <w:vAlign w:val="bottom"/>
          </w:tcPr>
          <w:p>
            <w:pPr>
              <w:spacing w:after="0"/>
              <w:rPr>
                <w:sz w:val="13"/>
                <w:szCs w:val="13"/>
                <w:color w:val="auto"/>
              </w:rPr>
            </w:pPr>
          </w:p>
        </w:tc>
        <w:tc>
          <w:tcPr>
            <w:tcW w:w="9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3,659</w:t>
            </w:r>
          </w:p>
        </w:tc>
        <w:tc>
          <w:tcPr>
            <w:tcW w:w="180" w:type="dxa"/>
            <w:vAlign w:val="bottom"/>
          </w:tcPr>
          <w:p>
            <w:pPr>
              <w:spacing w:after="0"/>
              <w:rPr>
                <w:sz w:val="13"/>
                <w:szCs w:val="13"/>
                <w:color w:val="auto"/>
              </w:rPr>
            </w:pPr>
          </w:p>
        </w:tc>
        <w:tc>
          <w:tcPr>
            <w:tcW w:w="10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446</w:t>
            </w:r>
          </w:p>
        </w:tc>
        <w:tc>
          <w:tcPr>
            <w:tcW w:w="200" w:type="dxa"/>
            <w:vAlign w:val="bottom"/>
          </w:tcPr>
          <w:p>
            <w:pPr>
              <w:spacing w:after="0"/>
              <w:rPr>
                <w:sz w:val="13"/>
                <w:szCs w:val="13"/>
                <w:color w:val="auto"/>
              </w:rPr>
            </w:pPr>
          </w:p>
        </w:tc>
        <w:tc>
          <w:tcPr>
            <w:tcW w:w="7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3,589</w:t>
            </w:r>
          </w:p>
        </w:tc>
        <w:tc>
          <w:tcPr>
            <w:tcW w:w="160" w:type="dxa"/>
            <w:vAlign w:val="bottom"/>
          </w:tcPr>
          <w:p>
            <w:pPr>
              <w:spacing w:after="0"/>
              <w:rPr>
                <w:sz w:val="13"/>
                <w:szCs w:val="13"/>
                <w:color w:val="auto"/>
              </w:rPr>
            </w:pPr>
          </w:p>
        </w:tc>
        <w:tc>
          <w:tcPr>
            <w:tcW w:w="10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12</w:t>
            </w:r>
          </w:p>
        </w:tc>
        <w:tc>
          <w:tcPr>
            <w:tcW w:w="220" w:type="dxa"/>
            <w:vAlign w:val="bottom"/>
          </w:tcPr>
          <w:p>
            <w:pPr>
              <w:spacing w:after="0"/>
              <w:rPr>
                <w:sz w:val="13"/>
                <w:szCs w:val="13"/>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(466 )</w:t>
            </w:r>
          </w:p>
        </w:tc>
        <w:tc>
          <w:tcPr>
            <w:tcW w:w="160" w:type="dxa"/>
            <w:vAlign w:val="bottom"/>
          </w:tcPr>
          <w:p>
            <w:pPr>
              <w:spacing w:after="0"/>
              <w:rPr>
                <w:sz w:val="13"/>
                <w:szCs w:val="13"/>
                <w:color w:val="auto"/>
              </w:rPr>
            </w:pPr>
          </w:p>
        </w:tc>
        <w:tc>
          <w:tcPr>
            <w:tcW w:w="8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220</w:t>
            </w:r>
          </w:p>
        </w:tc>
        <w:tc>
          <w:tcPr>
            <w:tcW w:w="160" w:type="dxa"/>
            <w:vAlign w:val="bottom"/>
          </w:tcPr>
          <w:p>
            <w:pPr>
              <w:spacing w:after="0"/>
              <w:rPr>
                <w:sz w:val="13"/>
                <w:szCs w:val="13"/>
                <w:color w:val="auto"/>
              </w:rPr>
            </w:pP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1,006</w:t>
            </w:r>
          </w:p>
        </w:tc>
        <w:tc>
          <w:tcPr>
            <w:tcW w:w="0" w:type="dxa"/>
            <w:vAlign w:val="bottom"/>
          </w:tcPr>
          <w:p>
            <w:pPr>
              <w:spacing w:after="0"/>
              <w:rPr>
                <w:sz w:val="1"/>
                <w:szCs w:val="1"/>
                <w:color w:val="auto"/>
              </w:rPr>
            </w:pPr>
          </w:p>
        </w:tc>
      </w:tr>
      <w:tr>
        <w:trPr>
          <w:trHeight w:val="144"/>
        </w:trPr>
        <w:tc>
          <w:tcPr>
            <w:tcW w:w="2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Fair Value at December 31, 2024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289,957</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28,996</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1,740</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24,762</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5,193</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54,153</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220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405,021</w:t>
            </w:r>
          </w:p>
        </w:tc>
        <w:tc>
          <w:tcPr>
            <w:tcW w:w="0" w:type="dxa"/>
            <w:vAlign w:val="bottom"/>
          </w:tcPr>
          <w:p>
            <w:pPr>
              <w:spacing w:after="0"/>
              <w:rPr>
                <w:sz w:val="1"/>
                <w:szCs w:val="1"/>
                <w:color w:val="auto"/>
              </w:rPr>
            </w:pPr>
          </w:p>
        </w:tc>
      </w:tr>
    </w:tbl>
    <w:p>
      <w:pPr>
        <w:spacing w:after="0" w:line="336" w:lineRule="exact"/>
        <w:rPr>
          <w:sz w:val="20"/>
          <w:szCs w:val="20"/>
          <w:color w:val="auto"/>
        </w:rPr>
      </w:pPr>
    </w:p>
    <w:p>
      <w:pPr>
        <w:ind w:right="180" w:firstLine="348"/>
        <w:spacing w:after="0" w:line="268" w:lineRule="auto"/>
        <w:rPr>
          <w:sz w:val="20"/>
          <w:szCs w:val="20"/>
          <w:color w:val="auto"/>
        </w:rPr>
      </w:pPr>
      <w:r>
        <w:rPr>
          <w:rFonts w:ascii="Times New Roman" w:cs="Times New Roman" w:eastAsia="Times New Roman" w:hAnsi="Times New Roman"/>
          <w:sz w:val="13"/>
          <w:szCs w:val="13"/>
          <w:color w:val="auto"/>
        </w:rPr>
        <w:t>The level of investment activity for investments funded and principal repayments for our investments can vary substantially from period to period depending on the number and size of investments that we invest in or divest of, and many other factors, including the amount and competition for the debt and equity securities available to middle market companies, the level of merger and acquisition activity for such companies and the general economic environment.</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86" w:right="680" w:bottom="1440" w:gutter="0" w:footer="0" w:header="0"/>
        </w:sectPr>
      </w:pPr>
    </w:p>
    <w:bookmarkStart w:id="38" w:name="page39"/>
    <w:bookmarkEnd w:id="38"/>
    <w:p>
      <w:pPr>
        <w:ind w:left="360"/>
        <w:spacing w:after="0"/>
        <w:rPr>
          <w:sz w:val="20"/>
          <w:szCs w:val="20"/>
          <w:color w:val="auto"/>
        </w:rPr>
      </w:pPr>
      <w:r>
        <w:rPr>
          <w:rFonts w:ascii="Times New Roman" w:cs="Times New Roman" w:eastAsia="Times New Roman" w:hAnsi="Times New Roman"/>
          <w:sz w:val="13"/>
          <w:szCs w:val="13"/>
          <w:color w:val="auto"/>
        </w:rPr>
        <w:t>The following table shows the Company’s portfolio by security type at December 31, 2024 and December 31, 2023:</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2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 in thousands)</w:t>
            </w: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20" w:type="dxa"/>
            <w:vAlign w:val="bottom"/>
            <w:gridSpan w:val="3"/>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00" w:type="dxa"/>
            <w:vAlign w:val="bottom"/>
          </w:tcPr>
          <w:p>
            <w:pPr>
              <w:spacing w:after="0"/>
              <w:rPr>
                <w:sz w:val="15"/>
                <w:szCs w:val="15"/>
                <w:color w:val="auto"/>
              </w:rPr>
            </w:pP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38"/>
        </w:trPr>
        <w:tc>
          <w:tcPr>
            <w:tcW w:w="2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Percentage of</w:t>
            </w:r>
          </w:p>
        </w:tc>
        <w:tc>
          <w:tcPr>
            <w:tcW w:w="0" w:type="dxa"/>
            <w:vAlign w:val="bottom"/>
          </w:tcPr>
          <w:p>
            <w:pPr>
              <w:spacing w:after="0"/>
              <w:rPr>
                <w:sz w:val="1"/>
                <w:szCs w:val="1"/>
                <w:color w:val="auto"/>
              </w:rPr>
            </w:pPr>
          </w:p>
        </w:tc>
      </w:tr>
      <w:tr>
        <w:trPr>
          <w:trHeight w:val="156"/>
        </w:trPr>
        <w:tc>
          <w:tcPr>
            <w:tcW w:w="2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Cost/Amortized</w:t>
            </w: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Percentage of</w:t>
            </w:r>
          </w:p>
        </w:tc>
        <w:tc>
          <w:tcPr>
            <w:tcW w:w="100" w:type="dxa"/>
            <w:vAlign w:val="bottom"/>
          </w:tcPr>
          <w:p>
            <w:pPr>
              <w:spacing w:after="0"/>
              <w:rPr>
                <w:sz w:val="13"/>
                <w:szCs w:val="13"/>
                <w:color w:val="auto"/>
              </w:rPr>
            </w:pP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Cost/Amortized</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0"/>
        </w:trPr>
        <w:tc>
          <w:tcPr>
            <w:tcW w:w="22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Security Type</w:t>
            </w:r>
          </w:p>
        </w:tc>
        <w:tc>
          <w:tcPr>
            <w:tcW w:w="180" w:type="dxa"/>
            <w:vAlign w:val="bottom"/>
          </w:tcPr>
          <w:p>
            <w:pPr>
              <w:spacing w:after="0"/>
              <w:rPr>
                <w:sz w:val="14"/>
                <w:szCs w:val="14"/>
                <w:color w:val="auto"/>
              </w:rPr>
            </w:pPr>
          </w:p>
        </w:tc>
        <w:tc>
          <w:tcPr>
            <w:tcW w:w="1280" w:type="dxa"/>
            <w:vAlign w:val="bottom"/>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Cost</w:t>
            </w: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Total Portfolio</w:t>
            </w:r>
          </w:p>
        </w:tc>
        <w:tc>
          <w:tcPr>
            <w:tcW w:w="100" w:type="dxa"/>
            <w:vAlign w:val="bottom"/>
          </w:tcPr>
          <w:p>
            <w:pPr>
              <w:spacing w:after="0"/>
              <w:rPr>
                <w:sz w:val="14"/>
                <w:szCs w:val="14"/>
                <w:color w:val="auto"/>
              </w:rPr>
            </w:pPr>
          </w:p>
        </w:tc>
        <w:tc>
          <w:tcPr>
            <w:tcW w:w="104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Cost</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0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Portfolio</w:t>
            </w:r>
          </w:p>
        </w:tc>
        <w:tc>
          <w:tcPr>
            <w:tcW w:w="0" w:type="dxa"/>
            <w:vAlign w:val="bottom"/>
          </w:tcPr>
          <w:p>
            <w:pPr>
              <w:spacing w:after="0"/>
              <w:rPr>
                <w:sz w:val="1"/>
                <w:szCs w:val="1"/>
                <w:color w:val="auto"/>
              </w:rPr>
            </w:pPr>
          </w:p>
        </w:tc>
      </w:tr>
      <w:tr>
        <w:trPr>
          <w:trHeight w:val="156"/>
        </w:trPr>
        <w:tc>
          <w:tcPr>
            <w:tcW w:w="2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First Lien Debt</w:t>
            </w:r>
          </w:p>
        </w:tc>
        <w:tc>
          <w:tcPr>
            <w:tcW w:w="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311,673</w:t>
            </w:r>
          </w:p>
        </w:tc>
        <w:tc>
          <w:tcPr>
            <w:tcW w:w="1280" w:type="dxa"/>
            <w:vAlign w:val="bottom"/>
            <w:gridSpan w:val="2"/>
            <w:shd w:val="clear" w:color="auto" w:fill="CFF0FC"/>
          </w:tcPr>
          <w:p>
            <w:pPr>
              <w:jc w:val="right"/>
              <w:ind w:right="939"/>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4"/>
              </w:rPr>
              <w:t>289,957</w:t>
            </w:r>
          </w:p>
        </w:tc>
        <w:tc>
          <w:tcPr>
            <w:tcW w:w="15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71.6 %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351,858</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336,599</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71.9 %</w:t>
            </w:r>
          </w:p>
        </w:tc>
        <w:tc>
          <w:tcPr>
            <w:tcW w:w="0" w:type="dxa"/>
            <w:vAlign w:val="bottom"/>
          </w:tcPr>
          <w:p>
            <w:pPr>
              <w:spacing w:after="0"/>
              <w:rPr>
                <w:sz w:val="1"/>
                <w:szCs w:val="1"/>
                <w:color w:val="auto"/>
              </w:rPr>
            </w:pPr>
          </w:p>
        </w:tc>
      </w:tr>
      <w:tr>
        <w:trPr>
          <w:trHeight w:val="156"/>
        </w:trPr>
        <w:tc>
          <w:tcPr>
            <w:tcW w:w="2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Second Lien Debt</w:t>
            </w:r>
          </w:p>
        </w:tc>
        <w:tc>
          <w:tcPr>
            <w:tcW w:w="1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34,892</w:t>
            </w: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28,996</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7.2 %</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50,814</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41,254</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8.8 %</w:t>
            </w:r>
          </w:p>
        </w:tc>
        <w:tc>
          <w:tcPr>
            <w:tcW w:w="0" w:type="dxa"/>
            <w:vAlign w:val="bottom"/>
          </w:tcPr>
          <w:p>
            <w:pPr>
              <w:spacing w:after="0"/>
              <w:rPr>
                <w:sz w:val="1"/>
                <w:szCs w:val="1"/>
                <w:color w:val="auto"/>
              </w:rPr>
            </w:pPr>
          </w:p>
        </w:tc>
      </w:tr>
      <w:tr>
        <w:trPr>
          <w:trHeight w:val="156"/>
        </w:trPr>
        <w:tc>
          <w:tcPr>
            <w:tcW w:w="2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Subordinated Debt</w:t>
            </w:r>
          </w:p>
        </w:tc>
        <w:tc>
          <w:tcPr>
            <w:tcW w:w="18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8,059</w:t>
            </w:r>
          </w:p>
        </w:tc>
        <w:tc>
          <w:tcPr>
            <w:tcW w:w="2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1,740</w:t>
            </w:r>
          </w:p>
        </w:tc>
        <w:tc>
          <w:tcPr>
            <w:tcW w:w="15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0.4 %</w:t>
            </w:r>
          </w:p>
        </w:tc>
        <w:tc>
          <w:tcPr>
            <w:tcW w:w="1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7,990</w:t>
            </w: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1,224</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0" w:type="dxa"/>
            <w:vAlign w:val="bottom"/>
          </w:tcPr>
          <w:p>
            <w:pPr>
              <w:spacing w:after="0"/>
              <w:rPr>
                <w:sz w:val="1"/>
                <w:szCs w:val="1"/>
                <w:color w:val="auto"/>
              </w:rPr>
            </w:pPr>
          </w:p>
        </w:tc>
      </w:tr>
      <w:tr>
        <w:trPr>
          <w:trHeight w:val="156"/>
        </w:trPr>
        <w:tc>
          <w:tcPr>
            <w:tcW w:w="2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Collateralized Loan Obligations</w:t>
            </w:r>
          </w:p>
        </w:tc>
        <w:tc>
          <w:tcPr>
            <w:tcW w:w="1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5,318</w:t>
            </w: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5,193</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1.3 %</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9,103</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8,968</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0" w:type="dxa"/>
            <w:vAlign w:val="bottom"/>
          </w:tcPr>
          <w:p>
            <w:pPr>
              <w:spacing w:after="0"/>
              <w:rPr>
                <w:sz w:val="1"/>
                <w:szCs w:val="1"/>
                <w:color w:val="auto"/>
              </w:rPr>
            </w:pPr>
          </w:p>
        </w:tc>
      </w:tr>
      <w:tr>
        <w:trPr>
          <w:trHeight w:val="156"/>
        </w:trPr>
        <w:tc>
          <w:tcPr>
            <w:tcW w:w="2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Joint Ventures</w:t>
            </w:r>
          </w:p>
        </w:tc>
        <w:tc>
          <w:tcPr>
            <w:tcW w:w="18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66,747</w:t>
            </w:r>
          </w:p>
        </w:tc>
        <w:tc>
          <w:tcPr>
            <w:tcW w:w="2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54,153</w:t>
            </w:r>
          </w:p>
        </w:tc>
        <w:tc>
          <w:tcPr>
            <w:tcW w:w="15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13.4 %</w:t>
            </w:r>
          </w:p>
        </w:tc>
        <w:tc>
          <w:tcPr>
            <w:tcW w:w="1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71,415</w:t>
            </w: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59,287</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12.7 %</w:t>
            </w:r>
          </w:p>
        </w:tc>
        <w:tc>
          <w:tcPr>
            <w:tcW w:w="0" w:type="dxa"/>
            <w:vAlign w:val="bottom"/>
          </w:tcPr>
          <w:p>
            <w:pPr>
              <w:spacing w:after="0"/>
              <w:rPr>
                <w:sz w:val="1"/>
                <w:szCs w:val="1"/>
                <w:color w:val="auto"/>
              </w:rPr>
            </w:pPr>
          </w:p>
        </w:tc>
      </w:tr>
      <w:tr>
        <w:trPr>
          <w:trHeight w:val="156"/>
        </w:trPr>
        <w:tc>
          <w:tcPr>
            <w:tcW w:w="2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1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31,921</w:t>
            </w: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24,762</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6.1 %</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31,280</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20,533</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4.4 %</w:t>
            </w:r>
          </w:p>
        </w:tc>
        <w:tc>
          <w:tcPr>
            <w:tcW w:w="0" w:type="dxa"/>
            <w:vAlign w:val="bottom"/>
          </w:tcPr>
          <w:p>
            <w:pPr>
              <w:spacing w:after="0"/>
              <w:rPr>
                <w:sz w:val="1"/>
                <w:szCs w:val="1"/>
                <w:color w:val="auto"/>
              </w:rPr>
            </w:pPr>
          </w:p>
        </w:tc>
      </w:tr>
      <w:tr>
        <w:trPr>
          <w:trHeight w:val="156"/>
        </w:trPr>
        <w:tc>
          <w:tcPr>
            <w:tcW w:w="220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Asset Manager Affiliates</w:t>
            </w:r>
            <w:r>
              <w:rPr>
                <w:rFonts w:ascii="Times New Roman" w:cs="Times New Roman" w:eastAsia="Times New Roman" w:hAnsi="Times New Roman"/>
                <w:sz w:val="16"/>
                <w:szCs w:val="16"/>
                <w:color w:val="auto"/>
                <w:vertAlign w:val="superscript"/>
              </w:rPr>
              <w:t>(1)</w:t>
            </w:r>
          </w:p>
        </w:tc>
        <w:tc>
          <w:tcPr>
            <w:tcW w:w="18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17,791</w:t>
            </w:r>
          </w:p>
        </w:tc>
        <w:tc>
          <w:tcPr>
            <w:tcW w:w="2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17,791</w:t>
            </w: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Derivatives</w:t>
            </w:r>
          </w:p>
        </w:tc>
        <w:tc>
          <w:tcPr>
            <w:tcW w:w="1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0.0 %</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2200" w:type="dxa"/>
            <w:vAlign w:val="bottom"/>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Total</w:t>
            </w:r>
          </w:p>
        </w:tc>
        <w:tc>
          <w:tcPr>
            <w:tcW w:w="180" w:type="dxa"/>
            <w:vAlign w:val="bottom"/>
            <w:shd w:val="clear" w:color="auto" w:fill="CFF0FC"/>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476,432</w:t>
            </w:r>
          </w:p>
        </w:tc>
        <w:tc>
          <w:tcPr>
            <w:tcW w:w="22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w w:val="94"/>
              </w:rPr>
              <w:t>405,021</w:t>
            </w:r>
          </w:p>
        </w:tc>
        <w:tc>
          <w:tcPr>
            <w:tcW w:w="2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20"/>
              <w:spacing w:after="0" w:line="136" w:lineRule="exact"/>
              <w:rPr>
                <w:sz w:val="20"/>
                <w:szCs w:val="20"/>
                <w:color w:val="auto"/>
              </w:rPr>
            </w:pPr>
            <w:r>
              <w:rPr>
                <w:rFonts w:ascii="Times New Roman" w:cs="Times New Roman" w:eastAsia="Times New Roman" w:hAnsi="Times New Roman"/>
                <w:sz w:val="9"/>
                <w:szCs w:val="9"/>
                <w:color w:val="auto"/>
              </w:rPr>
              <w:t xml:space="preserve">100.0 </w:t>
            </w:r>
            <w:r>
              <w:rPr>
                <w:rFonts w:ascii="Times New Roman" w:cs="Times New Roman" w:eastAsia="Times New Roman" w:hAnsi="Times New Roman"/>
                <w:sz w:val="15"/>
                <w:szCs w:val="15"/>
                <w:color w:val="auto"/>
                <w:vertAlign w:val="subscript"/>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540,282</w:t>
            </w:r>
          </w:p>
        </w:tc>
        <w:tc>
          <w:tcPr>
            <w:tcW w:w="440" w:type="dxa"/>
            <w:vAlign w:val="bottom"/>
            <w:gridSpan w:val="2"/>
            <w:shd w:val="clear" w:color="auto" w:fill="CFF0FC"/>
          </w:tcPr>
          <w:p>
            <w:pPr>
              <w:jc w:val="right"/>
              <w:ind w:right="100"/>
              <w:spacing w:after="0" w:line="136"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467,865</w:t>
            </w:r>
          </w:p>
        </w:tc>
        <w:tc>
          <w:tcPr>
            <w:tcW w:w="1120" w:type="dxa"/>
            <w:vAlign w:val="bottom"/>
            <w:gridSpan w:val="3"/>
            <w:shd w:val="clear" w:color="auto" w:fill="CFF0FC"/>
          </w:tcPr>
          <w:p>
            <w:pPr>
              <w:jc w:val="right"/>
              <w:spacing w:after="0" w:line="136" w:lineRule="exact"/>
              <w:rPr>
                <w:sz w:val="20"/>
                <w:szCs w:val="20"/>
                <w:color w:val="auto"/>
              </w:rPr>
            </w:pPr>
            <w:r>
              <w:rPr>
                <w:rFonts w:ascii="Times New Roman" w:cs="Times New Roman" w:eastAsia="Times New Roman" w:hAnsi="Times New Roman"/>
                <w:sz w:val="9"/>
                <w:szCs w:val="9"/>
                <w:color w:val="auto"/>
              </w:rPr>
              <w:t xml:space="preserve">100.0 </w:t>
            </w:r>
            <w:r>
              <w:rPr>
                <w:rFonts w:ascii="Times New Roman" w:cs="Times New Roman" w:eastAsia="Times New Roman" w:hAnsi="Times New Roman"/>
                <w:sz w:val="15"/>
                <w:szCs w:val="15"/>
                <w:color w:val="auto"/>
                <w:vertAlign w:val="subscript"/>
              </w:rPr>
              <w:t>%</w:t>
            </w:r>
          </w:p>
        </w:tc>
        <w:tc>
          <w:tcPr>
            <w:tcW w:w="0" w:type="dxa"/>
            <w:vAlign w:val="bottom"/>
          </w:tcPr>
          <w:p>
            <w:pPr>
              <w:spacing w:after="0"/>
              <w:rPr>
                <w:sz w:val="1"/>
                <w:szCs w:val="1"/>
                <w:color w:val="auto"/>
              </w:rPr>
            </w:pPr>
          </w:p>
        </w:tc>
      </w:tr>
      <w:tr>
        <w:trPr>
          <w:trHeight w:val="20"/>
        </w:trPr>
        <w:tc>
          <w:tcPr>
            <w:tcW w:w="2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(1)Represents the equity investment in the Asset Manager Affiliates.</w:t>
      </w:r>
    </w:p>
    <w:p>
      <w:pPr>
        <w:spacing w:after="0" w:line="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The industry concentrations, based on the fair value of the Company’s investment portfolio as of December 31, 2024 and December 31, 2023, for our investment portfolio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 in thousands)</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1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80" w:type="dxa"/>
            <w:vAlign w:val="bottom"/>
            <w:gridSpan w:val="4"/>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0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38"/>
        </w:trPr>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Cost/Amortized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Percentage of</w:t>
            </w:r>
          </w:p>
        </w:tc>
        <w:tc>
          <w:tcPr>
            <w:tcW w:w="100" w:type="dxa"/>
            <w:vAlign w:val="bottom"/>
          </w:tcPr>
          <w:p>
            <w:pPr>
              <w:spacing w:after="0"/>
              <w:rPr>
                <w:sz w:val="13"/>
                <w:szCs w:val="13"/>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Cost/Amortized</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Percentage of</w:t>
            </w:r>
          </w:p>
        </w:tc>
        <w:tc>
          <w:tcPr>
            <w:tcW w:w="0" w:type="dxa"/>
            <w:vAlign w:val="bottom"/>
          </w:tcPr>
          <w:p>
            <w:pPr>
              <w:spacing w:after="0"/>
              <w:rPr>
                <w:sz w:val="1"/>
                <w:szCs w:val="1"/>
                <w:color w:val="auto"/>
              </w:rPr>
            </w:pPr>
          </w:p>
        </w:tc>
      </w:tr>
      <w:tr>
        <w:trPr>
          <w:trHeight w:val="170"/>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Industry Classification</w:t>
            </w:r>
          </w:p>
        </w:tc>
        <w:tc>
          <w:tcPr>
            <w:tcW w:w="100" w:type="dxa"/>
            <w:vAlign w:val="bottom"/>
          </w:tcPr>
          <w:p>
            <w:pPr>
              <w:spacing w:after="0"/>
              <w:rPr>
                <w:sz w:val="14"/>
                <w:szCs w:val="14"/>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Total Portfolio</w:t>
            </w:r>
          </w:p>
        </w:tc>
        <w:tc>
          <w:tcPr>
            <w:tcW w:w="10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06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Total Portfolio</w:t>
            </w:r>
          </w:p>
        </w:tc>
        <w:tc>
          <w:tcPr>
            <w:tcW w:w="0" w:type="dxa"/>
            <w:vAlign w:val="bottom"/>
          </w:tcPr>
          <w:p>
            <w:pPr>
              <w:spacing w:after="0"/>
              <w:rPr>
                <w:sz w:val="1"/>
                <w:szCs w:val="1"/>
                <w:color w:val="auto"/>
              </w:rPr>
            </w:pPr>
          </w:p>
        </w:tc>
      </w:tr>
      <w:tr>
        <w:trPr>
          <w:trHeight w:val="15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Joint Venture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66,747</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54,153</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13.4%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71,415</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59,287</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Services: Business</w:t>
            </w:r>
          </w:p>
        </w:tc>
        <w:tc>
          <w:tcPr>
            <w:tcW w:w="100" w:type="dxa"/>
            <w:vAlign w:val="bottom"/>
          </w:tcPr>
          <w:p>
            <w:pPr>
              <w:spacing w:after="0"/>
              <w:rPr>
                <w:sz w:val="13"/>
                <w:szCs w:val="13"/>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55,141</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51,776</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12.8%</w:t>
            </w:r>
          </w:p>
        </w:tc>
        <w:tc>
          <w:tcPr>
            <w:tcW w:w="100" w:type="dxa"/>
            <w:vAlign w:val="bottom"/>
          </w:tcPr>
          <w:p>
            <w:pPr>
              <w:spacing w:after="0"/>
              <w:rPr>
                <w:sz w:val="13"/>
                <w:szCs w:val="13"/>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58,997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57,168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High Tech Industries</w:t>
            </w:r>
          </w:p>
        </w:tc>
        <w:tc>
          <w:tcPr>
            <w:tcW w:w="10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55,932</w:t>
            </w: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50,138</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12.4%</w:t>
            </w:r>
          </w:p>
        </w:tc>
        <w:tc>
          <w:tcPr>
            <w:tcW w:w="10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84,676</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73,430</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Banking, Finance, Insurance &amp; Real Estate</w:t>
            </w:r>
          </w:p>
        </w:tc>
        <w:tc>
          <w:tcPr>
            <w:tcW w:w="100" w:type="dxa"/>
            <w:vAlign w:val="bottom"/>
          </w:tcPr>
          <w:p>
            <w:pPr>
              <w:spacing w:after="0"/>
              <w:rPr>
                <w:sz w:val="13"/>
                <w:szCs w:val="13"/>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44,191</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42,854</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10.6%</w:t>
            </w:r>
          </w:p>
        </w:tc>
        <w:tc>
          <w:tcPr>
            <w:tcW w:w="100" w:type="dxa"/>
            <w:vAlign w:val="bottom"/>
          </w:tcPr>
          <w:p>
            <w:pPr>
              <w:spacing w:after="0"/>
              <w:rPr>
                <w:sz w:val="13"/>
                <w:szCs w:val="13"/>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51,486</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53,918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Healthcare &amp; Pharmaceuticals</w:t>
            </w:r>
          </w:p>
        </w:tc>
        <w:tc>
          <w:tcPr>
            <w:tcW w:w="10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43,882</w:t>
            </w: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41,872</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10.3%</w:t>
            </w:r>
          </w:p>
        </w:tc>
        <w:tc>
          <w:tcPr>
            <w:tcW w:w="10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59,189</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57,224</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Consumer goods: Durable</w:t>
            </w:r>
          </w:p>
        </w:tc>
        <w:tc>
          <w:tcPr>
            <w:tcW w:w="100" w:type="dxa"/>
            <w:vAlign w:val="bottom"/>
          </w:tcPr>
          <w:p>
            <w:pPr>
              <w:spacing w:after="0"/>
              <w:rPr>
                <w:sz w:val="13"/>
                <w:szCs w:val="13"/>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28,493</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27,028</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tcPr>
          <w:p>
            <w:pPr>
              <w:spacing w:after="0"/>
              <w:rPr>
                <w:sz w:val="13"/>
                <w:szCs w:val="13"/>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16,431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13,898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Finance</w:t>
            </w:r>
          </w:p>
        </w:tc>
        <w:tc>
          <w:tcPr>
            <w:tcW w:w="10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14,815</w:t>
            </w: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14,725</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18,884</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18,972</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Machinery (Non-Agrclt/Constr/Electr)</w:t>
            </w:r>
          </w:p>
        </w:tc>
        <w:tc>
          <w:tcPr>
            <w:tcW w:w="100" w:type="dxa"/>
            <w:vAlign w:val="bottom"/>
          </w:tcPr>
          <w:p>
            <w:pPr>
              <w:spacing w:after="0"/>
              <w:rPr>
                <w:sz w:val="13"/>
                <w:szCs w:val="13"/>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11,705</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13,608</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9,836</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10,097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Media: Broadcasting &amp; Subscription</w:t>
            </w:r>
          </w:p>
        </w:tc>
        <w:tc>
          <w:tcPr>
            <w:tcW w:w="10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19,095</w:t>
            </w: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12,972</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16,665</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14,618</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Beverage, Food and Tobacco</w:t>
            </w:r>
          </w:p>
        </w:tc>
        <w:tc>
          <w:tcPr>
            <w:tcW w:w="100" w:type="dxa"/>
            <w:vAlign w:val="bottom"/>
          </w:tcPr>
          <w:p>
            <w:pPr>
              <w:spacing w:after="0"/>
              <w:rPr>
                <w:sz w:val="13"/>
                <w:szCs w:val="13"/>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12,563</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11,612</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Pr>
          <w:p>
            <w:pPr>
              <w:spacing w:after="0"/>
              <w:rPr>
                <w:sz w:val="13"/>
                <w:szCs w:val="13"/>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12,220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11,444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Aerospace and Defense</w:t>
            </w:r>
          </w:p>
        </w:tc>
        <w:tc>
          <w:tcPr>
            <w:tcW w:w="10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11,403</w:t>
            </w: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11,390</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11,130</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11,256</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Chemicals, Plastics and Rubber</w:t>
            </w:r>
          </w:p>
        </w:tc>
        <w:tc>
          <w:tcPr>
            <w:tcW w:w="100" w:type="dxa"/>
            <w:vAlign w:val="bottom"/>
          </w:tcPr>
          <w:p>
            <w:pPr>
              <w:spacing w:after="0"/>
              <w:rPr>
                <w:sz w:val="13"/>
                <w:szCs w:val="13"/>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10,135</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9,628</w:t>
            </w:r>
          </w:p>
        </w:tc>
        <w:tc>
          <w:tcPr>
            <w:tcW w:w="20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9,738</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9,836</w:t>
            </w:r>
          </w:p>
        </w:tc>
        <w:tc>
          <w:tcPr>
            <w:tcW w:w="200" w:type="dxa"/>
            <w:vAlign w:val="bottom"/>
          </w:tcPr>
          <w:p>
            <w:pPr>
              <w:spacing w:after="0"/>
              <w:rPr>
                <w:sz w:val="13"/>
                <w:szCs w:val="1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Construction &amp; Building</w:t>
            </w:r>
          </w:p>
        </w:tc>
        <w:tc>
          <w:tcPr>
            <w:tcW w:w="10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7,648</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7,596</w:t>
            </w:r>
          </w:p>
        </w:tc>
        <w:tc>
          <w:tcPr>
            <w:tcW w:w="20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7,737</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7,441</w:t>
            </w:r>
          </w:p>
        </w:tc>
        <w:tc>
          <w:tcPr>
            <w:tcW w:w="20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Transportation: Consumer</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7,410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7,470</w:t>
            </w:r>
          </w:p>
        </w:tc>
        <w:tc>
          <w:tcPr>
            <w:tcW w:w="20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7,465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7,409</w:t>
            </w:r>
          </w:p>
        </w:tc>
        <w:tc>
          <w:tcPr>
            <w:tcW w:w="200" w:type="dxa"/>
            <w:vAlign w:val="bottom"/>
          </w:tcPr>
          <w:p>
            <w:pPr>
              <w:spacing w:after="0"/>
              <w:rPr>
                <w:sz w:val="13"/>
                <w:szCs w:val="1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Retail</w:t>
            </w:r>
          </w:p>
        </w:tc>
        <w:tc>
          <w:tcPr>
            <w:tcW w:w="10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10,246</w:t>
            </w: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6,853</w:t>
            </w:r>
          </w:p>
        </w:tc>
        <w:tc>
          <w:tcPr>
            <w:tcW w:w="20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9,334</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8,732</w:t>
            </w:r>
          </w:p>
        </w:tc>
        <w:tc>
          <w:tcPr>
            <w:tcW w:w="20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Healthcare, Education and Childcare</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6,115</w:t>
            </w:r>
          </w:p>
        </w:tc>
        <w:tc>
          <w:tcPr>
            <w:tcW w:w="20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6,175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6,163</w:t>
            </w:r>
          </w:p>
        </w:tc>
        <w:tc>
          <w:tcPr>
            <w:tcW w:w="200" w:type="dxa"/>
            <w:vAlign w:val="bottom"/>
          </w:tcPr>
          <w:p>
            <w:pPr>
              <w:spacing w:after="0"/>
              <w:rPr>
                <w:sz w:val="13"/>
                <w:szCs w:val="1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CLO Fund Securities</w:t>
            </w:r>
          </w:p>
        </w:tc>
        <w:tc>
          <w:tcPr>
            <w:tcW w:w="10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5,318</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5,193</w:t>
            </w:r>
          </w:p>
        </w:tc>
        <w:tc>
          <w:tcPr>
            <w:tcW w:w="20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9,103</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8,968</w:t>
            </w:r>
          </w:p>
        </w:tc>
        <w:tc>
          <w:tcPr>
            <w:tcW w:w="20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Metals &amp; Mining</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9,950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5,103</w:t>
            </w:r>
          </w:p>
        </w:tc>
        <w:tc>
          <w:tcPr>
            <w:tcW w:w="20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7,742</w:t>
            </w:r>
          </w:p>
        </w:tc>
        <w:tc>
          <w:tcPr>
            <w:tcW w:w="200" w:type="dxa"/>
            <w:vAlign w:val="bottom"/>
          </w:tcPr>
          <w:p>
            <w:pPr>
              <w:spacing w:after="0"/>
              <w:rPr>
                <w:sz w:val="13"/>
                <w:szCs w:val="1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Transportation: Cargo</w:t>
            </w:r>
          </w:p>
        </w:tc>
        <w:tc>
          <w:tcPr>
            <w:tcW w:w="10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4,223</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3,782</w:t>
            </w:r>
          </w:p>
        </w:tc>
        <w:tc>
          <w:tcPr>
            <w:tcW w:w="20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0.9%</w:t>
            </w:r>
          </w:p>
        </w:tc>
        <w:tc>
          <w:tcPr>
            <w:tcW w:w="10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11,606</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10,303</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Diversified Financial Services</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3,074</w:t>
            </w:r>
          </w:p>
        </w:tc>
        <w:tc>
          <w:tcPr>
            <w:tcW w:w="20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0.8%</w:t>
            </w:r>
          </w:p>
        </w:tc>
        <w:tc>
          <w:tcPr>
            <w:tcW w:w="100" w:type="dxa"/>
            <w:vAlign w:val="bottom"/>
          </w:tcPr>
          <w:p>
            <w:pPr>
              <w:spacing w:after="0"/>
              <w:rPr>
                <w:sz w:val="13"/>
                <w:szCs w:val="13"/>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Containers, Packaging and Glass</w:t>
            </w:r>
          </w:p>
        </w:tc>
        <w:tc>
          <w:tcPr>
            <w:tcW w:w="10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2,728</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2,702</w:t>
            </w:r>
          </w:p>
        </w:tc>
        <w:tc>
          <w:tcPr>
            <w:tcW w:w="20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0.7%</w:t>
            </w: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2,734</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2,665</w:t>
            </w:r>
          </w:p>
        </w:tc>
        <w:tc>
          <w:tcPr>
            <w:tcW w:w="20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Energy: Electricity</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2,702</w:t>
            </w:r>
          </w:p>
        </w:tc>
        <w:tc>
          <w:tcPr>
            <w:tcW w:w="20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0.7%</w:t>
            </w: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671</w:t>
            </w:r>
          </w:p>
        </w:tc>
        <w:tc>
          <w:tcPr>
            <w:tcW w:w="200" w:type="dxa"/>
            <w:vAlign w:val="bottom"/>
          </w:tcPr>
          <w:p>
            <w:pPr>
              <w:spacing w:after="0"/>
              <w:rPr>
                <w:sz w:val="13"/>
                <w:szCs w:val="1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Interactive Media &amp; Services</w:t>
            </w:r>
          </w:p>
        </w:tc>
        <w:tc>
          <w:tcPr>
            <w:tcW w:w="10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2,539</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2,559</w:t>
            </w:r>
          </w:p>
        </w:tc>
        <w:tc>
          <w:tcPr>
            <w:tcW w:w="20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0.6%</w:t>
            </w: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2,663</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2,662</w:t>
            </w:r>
          </w:p>
        </w:tc>
        <w:tc>
          <w:tcPr>
            <w:tcW w:w="20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Services: Consumer</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2,406</w:t>
            </w:r>
          </w:p>
        </w:tc>
        <w:tc>
          <w:tcPr>
            <w:tcW w:w="20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0.6%</w:t>
            </w:r>
          </w:p>
        </w:tc>
        <w:tc>
          <w:tcPr>
            <w:tcW w:w="100" w:type="dxa"/>
            <w:vAlign w:val="bottom"/>
          </w:tcPr>
          <w:p>
            <w:pPr>
              <w:spacing w:after="0"/>
              <w:rPr>
                <w:sz w:val="13"/>
                <w:szCs w:val="13"/>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IT Consulting &amp; Other Services</w:t>
            </w:r>
          </w:p>
        </w:tc>
        <w:tc>
          <w:tcPr>
            <w:tcW w:w="10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2,157</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2,243</w:t>
            </w:r>
          </w:p>
        </w:tc>
        <w:tc>
          <w:tcPr>
            <w:tcW w:w="20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0.5%</w:t>
            </w: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2,213</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2,259</w:t>
            </w:r>
          </w:p>
        </w:tc>
        <w:tc>
          <w:tcPr>
            <w:tcW w:w="20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Hotel, Gaming &amp; Leisure</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2,205</w:t>
            </w:r>
          </w:p>
        </w:tc>
        <w:tc>
          <w:tcPr>
            <w:tcW w:w="20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0.5%</w:t>
            </w: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8,358</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3,948</w:t>
            </w:r>
          </w:p>
        </w:tc>
        <w:tc>
          <w:tcPr>
            <w:tcW w:w="200" w:type="dxa"/>
            <w:vAlign w:val="bottom"/>
          </w:tcPr>
          <w:p>
            <w:pPr>
              <w:spacing w:after="0"/>
              <w:rPr>
                <w:sz w:val="13"/>
                <w:szCs w:val="1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Capital Equipment</w:t>
            </w:r>
          </w:p>
        </w:tc>
        <w:tc>
          <w:tcPr>
            <w:tcW w:w="10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8,016</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1,291</w:t>
            </w:r>
          </w:p>
        </w:tc>
        <w:tc>
          <w:tcPr>
            <w:tcW w:w="20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0.3%</w:t>
            </w:r>
          </w:p>
        </w:tc>
        <w:tc>
          <w:tcPr>
            <w:tcW w:w="10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10,684</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1,203</w:t>
            </w:r>
          </w:p>
        </w:tc>
        <w:tc>
          <w:tcPr>
            <w:tcW w:w="20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Application Software</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1,166</w:t>
            </w:r>
          </w:p>
        </w:tc>
        <w:tc>
          <w:tcPr>
            <w:tcW w:w="20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tcPr>
          <w:p>
            <w:pPr>
              <w:spacing w:after="0"/>
              <w:rPr>
                <w:sz w:val="13"/>
                <w:szCs w:val="13"/>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Telecommunications</w:t>
            </w:r>
          </w:p>
        </w:tc>
        <w:tc>
          <w:tcPr>
            <w:tcW w:w="10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1,541</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805</w:t>
            </w:r>
          </w:p>
        </w:tc>
        <w:tc>
          <w:tcPr>
            <w:tcW w:w="20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5,268</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4,389</w:t>
            </w:r>
          </w:p>
        </w:tc>
        <w:tc>
          <w:tcPr>
            <w:tcW w:w="20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Alternative Carriers</w:t>
            </w:r>
          </w:p>
        </w:tc>
        <w:tc>
          <w:tcPr>
            <w:tcW w:w="100" w:type="dxa"/>
            <w:vAlign w:val="bottom"/>
          </w:tcPr>
          <w:p>
            <w:pPr>
              <w:spacing w:after="0"/>
              <w:rPr>
                <w:sz w:val="13"/>
                <w:szCs w:val="13"/>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0.0%</w:t>
            </w: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937</w:t>
            </w:r>
          </w:p>
        </w:tc>
        <w:tc>
          <w:tcPr>
            <w:tcW w:w="200" w:type="dxa"/>
            <w:vAlign w:val="bottom"/>
          </w:tcPr>
          <w:p>
            <w:pPr>
              <w:spacing w:after="0"/>
              <w:rPr>
                <w:sz w:val="13"/>
                <w:szCs w:val="1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Asset Management Company</w:t>
            </w:r>
            <w:r>
              <w:rPr>
                <w:rFonts w:ascii="Times New Roman" w:cs="Times New Roman" w:eastAsia="Times New Roman" w:hAnsi="Times New Roman"/>
                <w:sz w:val="16"/>
                <w:szCs w:val="16"/>
                <w:color w:val="auto"/>
                <w:vertAlign w:val="superscript"/>
              </w:rPr>
              <w:t>(1)</w:t>
            </w:r>
          </w:p>
        </w:tc>
        <w:tc>
          <w:tcPr>
            <w:tcW w:w="10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17,791</w:t>
            </w: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0.0%</w:t>
            </w:r>
          </w:p>
        </w:tc>
        <w:tc>
          <w:tcPr>
            <w:tcW w:w="10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17,791</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Energy: Oil &amp; Gas</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0.0%</w:t>
            </w: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6,721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200" w:type="dxa"/>
            <w:vAlign w:val="bottom"/>
          </w:tcPr>
          <w:p>
            <w:pPr>
              <w:spacing w:after="0"/>
              <w:rPr>
                <w:sz w:val="13"/>
                <w:szCs w:val="1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Media: Diversified &amp; Production</w:t>
            </w:r>
          </w:p>
        </w:tc>
        <w:tc>
          <w:tcPr>
            <w:tcW w:w="10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0.0%</w:t>
            </w: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1,121</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1,125</w:t>
            </w:r>
          </w:p>
        </w:tc>
        <w:tc>
          <w:tcPr>
            <w:tcW w:w="20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476,432</w:t>
            </w:r>
          </w:p>
        </w:tc>
        <w:tc>
          <w:tcPr>
            <w:tcW w:w="80" w:type="dxa"/>
            <w:vAlign w:val="bottom"/>
          </w:tcPr>
          <w:p>
            <w:pPr>
              <w:spacing w:after="0"/>
              <w:rPr>
                <w:sz w:val="15"/>
                <w:szCs w:val="15"/>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405,021</w:t>
            </w:r>
          </w:p>
        </w:tc>
        <w:tc>
          <w:tcPr>
            <w:tcW w:w="200" w:type="dxa"/>
            <w:vAlign w:val="bottom"/>
          </w:tcPr>
          <w:p>
            <w:pPr>
              <w:spacing w:after="0"/>
              <w:rPr>
                <w:sz w:val="15"/>
                <w:szCs w:val="15"/>
                <w:color w:val="auto"/>
              </w:rPr>
            </w:pPr>
          </w:p>
        </w:tc>
        <w:tc>
          <w:tcPr>
            <w:tcW w:w="1180" w:type="dxa"/>
            <w:vAlign w:val="bottom"/>
            <w:gridSpan w:val="2"/>
          </w:tcPr>
          <w:p>
            <w:pPr>
              <w:jc w:val="right"/>
              <w:ind w:right="100"/>
              <w:spacing w:after="0" w:line="160" w:lineRule="exact"/>
              <w:rPr>
                <w:sz w:val="20"/>
                <w:szCs w:val="20"/>
                <w:color w:val="auto"/>
              </w:rPr>
            </w:pPr>
            <w:r>
              <w:rPr>
                <w:rFonts w:ascii="Times New Roman" w:cs="Times New Roman" w:eastAsia="Times New Roman" w:hAnsi="Times New Roman"/>
                <w:sz w:val="10"/>
                <w:szCs w:val="10"/>
                <w:color w:val="auto"/>
              </w:rPr>
              <w:t xml:space="preserve">100.0 </w:t>
            </w:r>
            <w:r>
              <w:rPr>
                <w:rFonts w:ascii="Times New Roman" w:cs="Times New Roman" w:eastAsia="Times New Roman" w:hAnsi="Times New Roman"/>
                <w:sz w:val="18"/>
                <w:szCs w:val="18"/>
                <w:color w:val="auto"/>
                <w:vertAlign w:val="subscript"/>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540,282</w:t>
            </w:r>
          </w:p>
        </w:tc>
        <w:tc>
          <w:tcPr>
            <w:tcW w:w="60" w:type="dxa"/>
            <w:vAlign w:val="bottom"/>
          </w:tcPr>
          <w:p>
            <w:pPr>
              <w:spacing w:after="0"/>
              <w:rPr>
                <w:sz w:val="15"/>
                <w:szCs w:val="15"/>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467,865</w:t>
            </w:r>
          </w:p>
        </w:tc>
        <w:tc>
          <w:tcPr>
            <w:tcW w:w="200" w:type="dxa"/>
            <w:vAlign w:val="bottom"/>
          </w:tcPr>
          <w:p>
            <w:pPr>
              <w:spacing w:after="0"/>
              <w:rPr>
                <w:sz w:val="15"/>
                <w:szCs w:val="15"/>
                <w:color w:val="auto"/>
              </w:rPr>
            </w:pPr>
          </w:p>
        </w:tc>
        <w:tc>
          <w:tcPr>
            <w:tcW w:w="1060" w:type="dxa"/>
            <w:vAlign w:val="bottom"/>
            <w:gridSpan w:val="3"/>
          </w:tcPr>
          <w:p>
            <w:pPr>
              <w:jc w:val="right"/>
              <w:spacing w:after="0" w:line="160" w:lineRule="exact"/>
              <w:rPr>
                <w:sz w:val="20"/>
                <w:szCs w:val="20"/>
                <w:color w:val="auto"/>
              </w:rPr>
            </w:pPr>
            <w:r>
              <w:rPr>
                <w:rFonts w:ascii="Times New Roman" w:cs="Times New Roman" w:eastAsia="Times New Roman" w:hAnsi="Times New Roman"/>
                <w:sz w:val="10"/>
                <w:szCs w:val="10"/>
                <w:color w:val="auto"/>
              </w:rPr>
              <w:t xml:space="preserve">100.0 </w:t>
            </w:r>
            <w:r>
              <w:rPr>
                <w:rFonts w:ascii="Times New Roman" w:cs="Times New Roman" w:eastAsia="Times New Roman" w:hAnsi="Times New Roman"/>
                <w:sz w:val="18"/>
                <w:szCs w:val="18"/>
                <w:color w:val="auto"/>
                <w:vertAlign w:val="subscript"/>
              </w:rPr>
              <w:t>%</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(1)Represents the equity investment in the Asset Manager Affiliates.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86" w:right="660" w:bottom="1440" w:gutter="0" w:footer="0" w:header="0"/>
        </w:sectPr>
      </w:pPr>
    </w:p>
    <w:bookmarkStart w:id="39" w:name="page40"/>
    <w:bookmarkEnd w:id="39"/>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Debt Securities Portfolio</w:t>
      </w:r>
    </w:p>
    <w:p>
      <w:pPr>
        <w:spacing w:after="0" w:line="105" w:lineRule="exact"/>
        <w:rPr>
          <w:sz w:val="20"/>
          <w:szCs w:val="20"/>
          <w:color w:val="auto"/>
        </w:rPr>
      </w:pPr>
    </w:p>
    <w:p>
      <w:pPr>
        <w:ind w:right="640" w:firstLine="348"/>
        <w:spacing w:after="0" w:line="286" w:lineRule="auto"/>
        <w:rPr>
          <w:sz w:val="20"/>
          <w:szCs w:val="20"/>
          <w:color w:val="auto"/>
        </w:rPr>
      </w:pPr>
      <w:r>
        <w:rPr>
          <w:rFonts w:ascii="Times New Roman" w:cs="Times New Roman" w:eastAsia="Times New Roman" w:hAnsi="Times New Roman"/>
          <w:sz w:val="13"/>
          <w:szCs w:val="13"/>
          <w:color w:val="auto"/>
        </w:rPr>
        <w:t>At December 31, 2024 and December 31, 2023, the weighted average contractual interest rate on our interest earning Debt Securities Portfolio, was approximately 11.3% and 12.5%, respectively.</w:t>
      </w:r>
    </w:p>
    <w:p>
      <w:pPr>
        <w:spacing w:after="0" w:line="52" w:lineRule="exact"/>
        <w:rPr>
          <w:sz w:val="20"/>
          <w:szCs w:val="20"/>
          <w:color w:val="auto"/>
        </w:rPr>
      </w:pPr>
    </w:p>
    <w:p>
      <w:pPr>
        <w:ind w:right="40" w:firstLine="348"/>
        <w:spacing w:after="0" w:line="268" w:lineRule="auto"/>
        <w:rPr>
          <w:sz w:val="20"/>
          <w:szCs w:val="20"/>
          <w:color w:val="auto"/>
        </w:rPr>
      </w:pPr>
      <w:r>
        <w:rPr>
          <w:rFonts w:ascii="Times New Roman" w:cs="Times New Roman" w:eastAsia="Times New Roman" w:hAnsi="Times New Roman"/>
          <w:sz w:val="13"/>
          <w:szCs w:val="13"/>
          <w:color w:val="auto"/>
        </w:rPr>
        <w:t>The debt investment portfolio (excluding our investments in the CLO Funds, equities and Joint Ventures) at December 31, 2024 was spread across 26 different industries and 93 different portfolio companies with a fair value of approximately $320.7 million and average par balance per entity of approximately $2.5 million. As of December 31, 2024, six of our investments were on non-accrual status.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Asset Manager Affiliates</w:t>
      </w:r>
    </w:p>
    <w:p>
      <w:pPr>
        <w:spacing w:after="0" w:line="105" w:lineRule="exact"/>
        <w:rPr>
          <w:sz w:val="20"/>
          <w:szCs w:val="20"/>
          <w:color w:val="auto"/>
        </w:rPr>
      </w:pPr>
    </w:p>
    <w:p>
      <w:pPr>
        <w:ind w:right="120" w:firstLine="348"/>
        <w:spacing w:after="0" w:line="286" w:lineRule="auto"/>
        <w:rPr>
          <w:sz w:val="20"/>
          <w:szCs w:val="20"/>
          <w:color w:val="auto"/>
        </w:rPr>
      </w:pPr>
      <w:r>
        <w:rPr>
          <w:rFonts w:ascii="Times New Roman" w:cs="Times New Roman" w:eastAsia="Times New Roman" w:hAnsi="Times New Roman"/>
          <w:sz w:val="13"/>
          <w:szCs w:val="13"/>
          <w:color w:val="auto"/>
        </w:rPr>
        <w:t>As of December 31, 2024, our remaining asset management affiliates (the “Asset Manager Affiliates”) have limited operations and are expected to be liquidated. As of December 31, 2024, the Asset Manager Affiliates manage CLO Funds that invest in broadly syndicated loans, high yield bonds and other credit instruments.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CLO Fund Securities</w:t>
      </w:r>
    </w:p>
    <w:p>
      <w:pPr>
        <w:spacing w:after="0" w:line="105" w:lineRule="exact"/>
        <w:rPr>
          <w:sz w:val="20"/>
          <w:szCs w:val="20"/>
          <w:color w:val="auto"/>
        </w:rPr>
      </w:pPr>
    </w:p>
    <w:p>
      <w:pPr>
        <w:ind w:right="40" w:firstLine="348"/>
        <w:spacing w:after="0" w:line="268" w:lineRule="auto"/>
        <w:rPr>
          <w:sz w:val="20"/>
          <w:szCs w:val="20"/>
          <w:color w:val="auto"/>
        </w:rPr>
      </w:pPr>
      <w:r>
        <w:rPr>
          <w:rFonts w:ascii="Times New Roman" w:cs="Times New Roman" w:eastAsia="Times New Roman" w:hAnsi="Times New Roman"/>
          <w:sz w:val="13"/>
          <w:szCs w:val="13"/>
          <w:color w:val="auto"/>
        </w:rPr>
        <w:t>We have made minority investments in the subordinated securities or preferred shares of CLO Funds managed by the Disposed Manager Affiliates and may selectively invest in securities issued by CLO Funds managed by other asset management companies. As of December 31, 2024 and December 31, 2023, the fair value of the CLO Fund Securities was $5.2 million and $9.0 million, respectively.</w:t>
      </w:r>
    </w:p>
    <w:p>
      <w:pPr>
        <w:spacing w:after="0" w:line="63" w:lineRule="exact"/>
        <w:rPr>
          <w:sz w:val="20"/>
          <w:szCs w:val="20"/>
          <w:color w:val="auto"/>
        </w:rPr>
      </w:pPr>
    </w:p>
    <w:p>
      <w:pPr>
        <w:ind w:right="40" w:firstLine="348"/>
        <w:spacing w:after="0" w:line="286" w:lineRule="auto"/>
        <w:rPr>
          <w:sz w:val="20"/>
          <w:szCs w:val="20"/>
          <w:color w:val="auto"/>
        </w:rPr>
      </w:pPr>
      <w:r>
        <w:rPr>
          <w:rFonts w:ascii="Times New Roman" w:cs="Times New Roman" w:eastAsia="Times New Roman" w:hAnsi="Times New Roman"/>
          <w:sz w:val="13"/>
          <w:szCs w:val="13"/>
          <w:color w:val="auto"/>
        </w:rPr>
        <w:t>The CLO Funds invest primarily in broadly syndicated non-investment grade loans, high -yield bonds and other credit instruments of corporate issuers. The underlying assets in each of the CLO Fund Securities in which we have an investment are generally diversified secured or unsecured corporate debt.</w:t>
      </w:r>
    </w:p>
    <w:p>
      <w:pPr>
        <w:spacing w:after="0" w:line="52" w:lineRule="exact"/>
        <w:rPr>
          <w:sz w:val="20"/>
          <w:szCs w:val="20"/>
          <w:color w:val="auto"/>
        </w:rPr>
      </w:pPr>
    </w:p>
    <w:p>
      <w:pPr>
        <w:ind w:right="180" w:firstLine="348"/>
        <w:spacing w:after="0" w:line="262" w:lineRule="auto"/>
        <w:rPr>
          <w:sz w:val="20"/>
          <w:szCs w:val="20"/>
          <w:color w:val="auto"/>
        </w:rPr>
      </w:pPr>
      <w:r>
        <w:rPr>
          <w:rFonts w:ascii="Times New Roman" w:cs="Times New Roman" w:eastAsia="Times New Roman" w:hAnsi="Times New Roman"/>
          <w:sz w:val="13"/>
          <w:szCs w:val="13"/>
          <w:color w:val="auto"/>
        </w:rPr>
        <w:t>The structure of CLO Funds, which are highly levered, is extremely complicated. Since we primarily invest in securities representing the residual interests of CLO Funds, our investments are much riskier than the risk profile of the loans by which such CLO Funds are collateralized. Our investments in CLO Funds may be riskier and less transparent to us and our stockholders than direct investments in the underlying loans. For a more detailed discussion of the risks related to our investments in CLO Funds, please see “Risk Factors — Risks Related to Our Investments — Our investments may be risky, and you could lose all or part of your investment” included in this Annual Report on Form 10-K.</w:t>
      </w:r>
    </w:p>
    <w:p>
      <w:pPr>
        <w:spacing w:after="0" w:line="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Our CLO Fund Securities as of December 31, 2024 and December 31, 2023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1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 in thousands)</w:t>
            </w:r>
          </w:p>
        </w:tc>
        <w:tc>
          <w:tcPr>
            <w:tcW w:w="1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vMerge w:val="restart"/>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1400" w:type="dxa"/>
            <w:vAlign w:val="bottom"/>
            <w:gridSpan w:val="4"/>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280" w:type="dxa"/>
            <w:vAlign w:val="bottom"/>
            <w:vMerge w:val="restart"/>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100" w:type="dxa"/>
            <w:vAlign w:val="bottom"/>
          </w:tcPr>
          <w:p>
            <w:pPr>
              <w:spacing w:after="0"/>
              <w:rPr>
                <w:sz w:val="15"/>
                <w:szCs w:val="15"/>
                <w:color w:val="auto"/>
              </w:rPr>
            </w:pPr>
          </w:p>
        </w:tc>
        <w:tc>
          <w:tcPr>
            <w:tcW w:w="72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200" w:type="dxa"/>
            <w:vAlign w:val="bottom"/>
          </w:tcPr>
          <w:p>
            <w:pPr>
              <w:spacing w:after="0"/>
              <w:rPr>
                <w:sz w:val="15"/>
                <w:szCs w:val="15"/>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1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0" w:type="dxa"/>
            <w:vAlign w:val="bottom"/>
          </w:tcPr>
          <w:p>
            <w:pPr>
              <w:spacing w:after="0"/>
              <w:rPr>
                <w:sz w:val="1"/>
                <w:szCs w:val="1"/>
                <w:color w:val="auto"/>
              </w:rPr>
            </w:pPr>
          </w:p>
        </w:tc>
      </w:tr>
      <w:tr>
        <w:trPr>
          <w:trHeight w:val="127"/>
        </w:trPr>
        <w:tc>
          <w:tcPr>
            <w:tcW w:w="21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CLO Fund Securities</w:t>
            </w:r>
          </w:p>
        </w:tc>
        <w:tc>
          <w:tcPr>
            <w:tcW w:w="1500" w:type="dxa"/>
            <w:vAlign w:val="bottom"/>
          </w:tcPr>
          <w:p>
            <w:pPr>
              <w:ind w:left="52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60" w:type="dxa"/>
            <w:vAlign w:val="bottom"/>
          </w:tcPr>
          <w:p>
            <w:pPr>
              <w:spacing w:after="0"/>
              <w:rPr>
                <w:sz w:val="15"/>
                <w:szCs w:val="15"/>
                <w:color w:val="auto"/>
              </w:rPr>
            </w:pPr>
          </w:p>
        </w:tc>
        <w:tc>
          <w:tcPr>
            <w:tcW w:w="92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Cost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280" w:type="dxa"/>
            <w:vAlign w:val="bottom"/>
          </w:tcPr>
          <w:p>
            <w:pPr>
              <w:jc w:val="right"/>
              <w:ind w:right="334"/>
              <w:spacing w:after="0" w:line="181" w:lineRule="exact"/>
              <w:rPr>
                <w:sz w:val="20"/>
                <w:szCs w:val="20"/>
                <w:color w:val="auto"/>
              </w:rPr>
            </w:pPr>
            <w:r>
              <w:rPr>
                <w:rFonts w:ascii="Times New Roman" w:cs="Times New Roman" w:eastAsia="Times New Roman" w:hAnsi="Times New Roman"/>
                <w:sz w:val="13"/>
                <w:szCs w:val="13"/>
                <w:b w:val="1"/>
                <w:bCs w:val="1"/>
                <w:color w:val="auto"/>
              </w:rPr>
              <w:t>Ownership</w:t>
            </w:r>
            <w:r>
              <w:rPr>
                <w:rFonts w:ascii="Times New Roman" w:cs="Times New Roman" w:eastAsia="Times New Roman" w:hAnsi="Times New Roman"/>
                <w:sz w:val="16"/>
                <w:szCs w:val="16"/>
                <w:b w:val="1"/>
                <w:bCs w:val="1"/>
                <w:color w:val="auto"/>
                <w:vertAlign w:val="superscript"/>
              </w:rPr>
              <w:t>(1)</w:t>
            </w:r>
          </w:p>
        </w:tc>
        <w:tc>
          <w:tcPr>
            <w:tcW w:w="100" w:type="dxa"/>
            <w:vAlign w:val="bottom"/>
          </w:tcPr>
          <w:p>
            <w:pPr>
              <w:spacing w:after="0"/>
              <w:rPr>
                <w:sz w:val="15"/>
                <w:szCs w:val="15"/>
                <w:color w:val="auto"/>
              </w:rPr>
            </w:pPr>
          </w:p>
        </w:tc>
        <w:tc>
          <w:tcPr>
            <w:tcW w:w="72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Cost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100" w:type="dxa"/>
            <w:vAlign w:val="bottom"/>
            <w:gridSpan w:val="2"/>
          </w:tcPr>
          <w:p>
            <w:pPr>
              <w:jc w:val="right"/>
              <w:ind w:right="340"/>
              <w:spacing w:after="0" w:line="181" w:lineRule="exact"/>
              <w:rPr>
                <w:sz w:val="20"/>
                <w:szCs w:val="20"/>
                <w:color w:val="auto"/>
              </w:rPr>
            </w:pPr>
            <w:r>
              <w:rPr>
                <w:rFonts w:ascii="Times New Roman" w:cs="Times New Roman" w:eastAsia="Times New Roman" w:hAnsi="Times New Roman"/>
                <w:sz w:val="13"/>
                <w:szCs w:val="13"/>
                <w:b w:val="1"/>
                <w:bCs w:val="1"/>
                <w:color w:val="auto"/>
              </w:rPr>
              <w:t>Ownership</w:t>
            </w:r>
            <w:r>
              <w:rPr>
                <w:rFonts w:ascii="Times New Roman" w:cs="Times New Roman" w:eastAsia="Times New Roman" w:hAnsi="Times New Roman"/>
                <w:sz w:val="16"/>
                <w:szCs w:val="16"/>
                <w:b w:val="1"/>
                <w:bCs w:val="1"/>
                <w:color w:val="auto"/>
                <w:vertAlign w:val="superscript"/>
              </w:rPr>
              <w:t>(1)</w:t>
            </w:r>
          </w:p>
        </w:tc>
        <w:tc>
          <w:tcPr>
            <w:tcW w:w="0" w:type="dxa"/>
            <w:vAlign w:val="bottom"/>
          </w:tcPr>
          <w:p>
            <w:pPr>
              <w:spacing w:after="0"/>
              <w:rPr>
                <w:sz w:val="1"/>
                <w:szCs w:val="1"/>
                <w:color w:val="auto"/>
              </w:rPr>
            </w:pPr>
          </w:p>
        </w:tc>
      </w:tr>
      <w:tr>
        <w:trPr>
          <w:trHeight w:val="144"/>
        </w:trPr>
        <w:tc>
          <w:tcPr>
            <w:tcW w:w="210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Catamaran CLO 2014-1 Ltd.</w:t>
            </w:r>
          </w:p>
        </w:tc>
        <w:tc>
          <w:tcPr>
            <w:tcW w:w="1500" w:type="dxa"/>
            <w:vAlign w:val="bottom"/>
            <w:shd w:val="clear" w:color="auto" w:fill="CFF0FC"/>
          </w:tcPr>
          <w:p>
            <w:pPr>
              <w:ind w:left="240"/>
              <w:spacing w:after="0" w:line="144" w:lineRule="exact"/>
              <w:rPr>
                <w:sz w:val="20"/>
                <w:szCs w:val="20"/>
                <w:color w:val="auto"/>
              </w:rPr>
            </w:pPr>
            <w:r>
              <w:rPr>
                <w:rFonts w:ascii="Times New Roman" w:cs="Times New Roman" w:eastAsia="Times New Roman" w:hAnsi="Times New Roman"/>
                <w:sz w:val="13"/>
                <w:szCs w:val="13"/>
                <w:color w:val="auto"/>
              </w:rPr>
              <w:t>Collateralized Loan</w:t>
            </w: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100" w:type="dxa"/>
            <w:vAlign w:val="bottom"/>
            <w:shd w:val="clear" w:color="auto" w:fill="CFF0FC"/>
          </w:tcPr>
          <w:p>
            <w:pPr>
              <w:spacing w:after="0"/>
              <w:rPr>
                <w:sz w:val="14"/>
                <w:szCs w:val="14"/>
                <w:color w:val="auto"/>
              </w:rPr>
            </w:pPr>
          </w:p>
        </w:tc>
        <w:tc>
          <w:tcPr>
            <w:tcW w:w="1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Obligations</w:t>
            </w: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220" w:type="dxa"/>
            <w:vAlign w:val="bottom"/>
            <w:shd w:val="clear" w:color="auto" w:fill="CFF0FC"/>
          </w:tcPr>
          <w:p>
            <w:pPr>
              <w:spacing w:after="0"/>
              <w:rPr>
                <w:sz w:val="14"/>
                <w:szCs w:val="14"/>
                <w:color w:val="auto"/>
              </w:rPr>
            </w:pPr>
          </w:p>
        </w:tc>
        <w:tc>
          <w:tcPr>
            <w:tcW w:w="12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22.2%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1,024</w:t>
            </w:r>
          </w:p>
        </w:tc>
        <w:tc>
          <w:tcPr>
            <w:tcW w:w="3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904</w:t>
            </w:r>
          </w:p>
        </w:tc>
        <w:tc>
          <w:tcPr>
            <w:tcW w:w="2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10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Catamaran CLO 2018-1 Ltd.</w:t>
            </w:r>
          </w:p>
        </w:tc>
        <w:tc>
          <w:tcPr>
            <w:tcW w:w="1500" w:type="dxa"/>
            <w:vAlign w:val="bottom"/>
          </w:tcPr>
          <w:p>
            <w:pPr>
              <w:ind w:left="240"/>
              <w:spacing w:after="0" w:line="144" w:lineRule="exact"/>
              <w:rPr>
                <w:sz w:val="20"/>
                <w:szCs w:val="20"/>
                <w:color w:val="auto"/>
              </w:rPr>
            </w:pPr>
            <w:r>
              <w:rPr>
                <w:rFonts w:ascii="Times New Roman" w:cs="Times New Roman" w:eastAsia="Times New Roman" w:hAnsi="Times New Roman"/>
                <w:sz w:val="13"/>
                <w:szCs w:val="13"/>
                <w:color w:val="auto"/>
              </w:rPr>
              <w:t>Collateralized Loan</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100" w:type="dxa"/>
            <w:vAlign w:val="bottom"/>
          </w:tcPr>
          <w:p>
            <w:pPr>
              <w:spacing w:after="0"/>
              <w:rPr>
                <w:sz w:val="14"/>
                <w:szCs w:val="14"/>
                <w:color w:val="auto"/>
              </w:rPr>
            </w:pPr>
          </w:p>
        </w:tc>
        <w:tc>
          <w:tcPr>
            <w:tcW w:w="15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Obligations</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2,600</w:t>
            </w:r>
          </w:p>
        </w:tc>
        <w:tc>
          <w:tcPr>
            <w:tcW w:w="220" w:type="dxa"/>
            <w:vAlign w:val="bottom"/>
          </w:tcPr>
          <w:p>
            <w:pPr>
              <w:spacing w:after="0"/>
              <w:rPr>
                <w:sz w:val="14"/>
                <w:szCs w:val="14"/>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24.8%</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3,923</w:t>
            </w:r>
          </w:p>
        </w:tc>
        <w:tc>
          <w:tcPr>
            <w:tcW w:w="28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0" w:type="dxa"/>
            <w:vAlign w:val="bottom"/>
          </w:tcPr>
          <w:p>
            <w:pPr>
              <w:spacing w:after="0"/>
              <w:rPr>
                <w:sz w:val="1"/>
                <w:szCs w:val="1"/>
                <w:color w:val="auto"/>
              </w:rPr>
            </w:pPr>
          </w:p>
        </w:tc>
      </w:tr>
      <w:tr>
        <w:trPr>
          <w:trHeight w:val="144"/>
        </w:trPr>
        <w:tc>
          <w:tcPr>
            <w:tcW w:w="210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Dryden 30 Senior Loan Fund</w:t>
            </w:r>
          </w:p>
        </w:tc>
        <w:tc>
          <w:tcPr>
            <w:tcW w:w="1500" w:type="dxa"/>
            <w:vAlign w:val="bottom"/>
            <w:shd w:val="clear" w:color="auto" w:fill="CFF0FC"/>
          </w:tcPr>
          <w:p>
            <w:pPr>
              <w:ind w:left="240"/>
              <w:spacing w:after="0" w:line="144" w:lineRule="exact"/>
              <w:rPr>
                <w:sz w:val="20"/>
                <w:szCs w:val="20"/>
                <w:color w:val="auto"/>
              </w:rPr>
            </w:pPr>
            <w:r>
              <w:rPr>
                <w:rFonts w:ascii="Times New Roman" w:cs="Times New Roman" w:eastAsia="Times New Roman" w:hAnsi="Times New Roman"/>
                <w:sz w:val="13"/>
                <w:szCs w:val="13"/>
                <w:color w:val="auto"/>
              </w:rPr>
              <w:t>Collateralized Loan</w:t>
            </w: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100" w:type="dxa"/>
            <w:vAlign w:val="bottom"/>
            <w:shd w:val="clear" w:color="auto" w:fill="CFF0FC"/>
          </w:tcPr>
          <w:p>
            <w:pPr>
              <w:spacing w:after="0"/>
              <w:rPr>
                <w:sz w:val="14"/>
                <w:szCs w:val="14"/>
                <w:color w:val="auto"/>
              </w:rPr>
            </w:pPr>
          </w:p>
        </w:tc>
        <w:tc>
          <w:tcPr>
            <w:tcW w:w="1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Obligations</w:t>
            </w: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220" w:type="dxa"/>
            <w:vAlign w:val="bottom"/>
            <w:shd w:val="clear" w:color="auto" w:fill="CFF0FC"/>
          </w:tcPr>
          <w:p>
            <w:pPr>
              <w:spacing w:after="0"/>
              <w:rPr>
                <w:sz w:val="14"/>
                <w:szCs w:val="14"/>
                <w:color w:val="auto"/>
              </w:rPr>
            </w:pPr>
          </w:p>
        </w:tc>
        <w:tc>
          <w:tcPr>
            <w:tcW w:w="12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424</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409</w:t>
            </w:r>
          </w:p>
        </w:tc>
        <w:tc>
          <w:tcPr>
            <w:tcW w:w="2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10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JMP Credit Advisors CLO IV Ltd.</w:t>
            </w:r>
          </w:p>
        </w:tc>
        <w:tc>
          <w:tcPr>
            <w:tcW w:w="1500" w:type="dxa"/>
            <w:vAlign w:val="bottom"/>
          </w:tcPr>
          <w:p>
            <w:pPr>
              <w:ind w:left="240"/>
              <w:spacing w:after="0" w:line="144" w:lineRule="exact"/>
              <w:rPr>
                <w:sz w:val="20"/>
                <w:szCs w:val="20"/>
                <w:color w:val="auto"/>
              </w:rPr>
            </w:pPr>
            <w:r>
              <w:rPr>
                <w:rFonts w:ascii="Times New Roman" w:cs="Times New Roman" w:eastAsia="Times New Roman" w:hAnsi="Times New Roman"/>
                <w:sz w:val="13"/>
                <w:szCs w:val="13"/>
                <w:color w:val="auto"/>
              </w:rPr>
              <w:t>Collateralized Loan</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100" w:type="dxa"/>
            <w:vAlign w:val="bottom"/>
          </w:tcPr>
          <w:p>
            <w:pPr>
              <w:spacing w:after="0"/>
              <w:rPr>
                <w:sz w:val="14"/>
                <w:szCs w:val="14"/>
                <w:color w:val="auto"/>
              </w:rPr>
            </w:pPr>
          </w:p>
        </w:tc>
        <w:tc>
          <w:tcPr>
            <w:tcW w:w="15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Obligations</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725</w:t>
            </w:r>
          </w:p>
        </w:tc>
        <w:tc>
          <w:tcPr>
            <w:tcW w:w="220" w:type="dxa"/>
            <w:vAlign w:val="bottom"/>
          </w:tcPr>
          <w:p>
            <w:pPr>
              <w:spacing w:after="0"/>
              <w:rPr>
                <w:sz w:val="14"/>
                <w:szCs w:val="14"/>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57.2%</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683</w:t>
            </w:r>
          </w:p>
        </w:tc>
        <w:tc>
          <w:tcPr>
            <w:tcW w:w="28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57.2%</w:t>
            </w:r>
          </w:p>
        </w:tc>
        <w:tc>
          <w:tcPr>
            <w:tcW w:w="0" w:type="dxa"/>
            <w:vAlign w:val="bottom"/>
          </w:tcPr>
          <w:p>
            <w:pPr>
              <w:spacing w:after="0"/>
              <w:rPr>
                <w:sz w:val="1"/>
                <w:szCs w:val="1"/>
                <w:color w:val="auto"/>
              </w:rPr>
            </w:pPr>
          </w:p>
        </w:tc>
      </w:tr>
      <w:tr>
        <w:trPr>
          <w:trHeight w:val="144"/>
        </w:trPr>
        <w:tc>
          <w:tcPr>
            <w:tcW w:w="210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JMP Credit Advisors CLO V Ltd.</w:t>
            </w:r>
          </w:p>
        </w:tc>
        <w:tc>
          <w:tcPr>
            <w:tcW w:w="1500" w:type="dxa"/>
            <w:vAlign w:val="bottom"/>
            <w:shd w:val="clear" w:color="auto" w:fill="CFF0FC"/>
          </w:tcPr>
          <w:p>
            <w:pPr>
              <w:ind w:left="240"/>
              <w:spacing w:after="0" w:line="144" w:lineRule="exact"/>
              <w:rPr>
                <w:sz w:val="20"/>
                <w:szCs w:val="20"/>
                <w:color w:val="auto"/>
              </w:rPr>
            </w:pPr>
            <w:r>
              <w:rPr>
                <w:rFonts w:ascii="Times New Roman" w:cs="Times New Roman" w:eastAsia="Times New Roman" w:hAnsi="Times New Roman"/>
                <w:sz w:val="13"/>
                <w:szCs w:val="13"/>
                <w:color w:val="auto"/>
              </w:rPr>
              <w:t>Collateralized Loan</w:t>
            </w: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100" w:type="dxa"/>
            <w:vAlign w:val="bottom"/>
            <w:shd w:val="clear" w:color="auto" w:fill="CFF0FC"/>
          </w:tcPr>
          <w:p>
            <w:pPr>
              <w:spacing w:after="0"/>
              <w:rPr>
                <w:sz w:val="14"/>
                <w:szCs w:val="14"/>
                <w:color w:val="auto"/>
              </w:rPr>
            </w:pPr>
          </w:p>
        </w:tc>
        <w:tc>
          <w:tcPr>
            <w:tcW w:w="1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Obligations</w:t>
            </w: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1,467</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1,467</w:t>
            </w:r>
          </w:p>
        </w:tc>
        <w:tc>
          <w:tcPr>
            <w:tcW w:w="220" w:type="dxa"/>
            <w:vAlign w:val="bottom"/>
            <w:shd w:val="clear" w:color="auto" w:fill="CFF0FC"/>
          </w:tcPr>
          <w:p>
            <w:pPr>
              <w:spacing w:after="0"/>
              <w:rPr>
                <w:sz w:val="14"/>
                <w:szCs w:val="14"/>
                <w:color w:val="auto"/>
              </w:rPr>
            </w:pPr>
          </w:p>
        </w:tc>
        <w:tc>
          <w:tcPr>
            <w:tcW w:w="12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57.2%</w:t>
            </w: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3,049</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3,049</w:t>
            </w:r>
          </w:p>
        </w:tc>
        <w:tc>
          <w:tcPr>
            <w:tcW w:w="2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500" w:type="dxa"/>
            <w:vAlign w:val="bottom"/>
          </w:tcPr>
          <w:p>
            <w:pPr>
              <w:spacing w:after="0"/>
              <w:rPr>
                <w:sz w:val="13"/>
                <w:szCs w:val="13"/>
                <w:color w:val="auto"/>
              </w:rPr>
            </w:pP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5,318</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5,193</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9,103</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8,968</w:t>
            </w: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(1)Represents percentage of class held as of December 31, 2024 and December 31, 2023.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Investment in Joint Ventures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KCAP Freedom 3 LLC</w:t>
      </w:r>
    </w:p>
    <w:p>
      <w:pPr>
        <w:spacing w:after="0" w:line="105" w:lineRule="exact"/>
        <w:rPr>
          <w:sz w:val="20"/>
          <w:szCs w:val="20"/>
          <w:color w:val="auto"/>
        </w:rPr>
      </w:pPr>
    </w:p>
    <w:p>
      <w:pPr>
        <w:ind w:right="300" w:firstLine="348"/>
        <w:spacing w:after="0" w:line="268" w:lineRule="auto"/>
        <w:rPr>
          <w:sz w:val="20"/>
          <w:szCs w:val="20"/>
          <w:color w:val="auto"/>
        </w:rPr>
      </w:pPr>
      <w:r>
        <w:rPr>
          <w:rFonts w:ascii="Times New Roman" w:cs="Times New Roman" w:eastAsia="Times New Roman" w:hAnsi="Times New Roman"/>
          <w:sz w:val="13"/>
          <w:szCs w:val="13"/>
          <w:color w:val="auto"/>
        </w:rPr>
        <w:t>During the third quarter of 2017, we and Freedom 3 Opportunities LLC (“Freedom 3 Opportunities”), an affiliate of Freedom 3 Capital LLC, entered into an agreement to create KCAP Freedom 3 LLC (the “F3C Joint Venture”). The fund capitalized by the F3C Joint Venture invests primarily in middle-market loans and the F3C Joint Venture partners may source middle-market loans from time-to-time for the fund.</w:t>
      </w:r>
    </w:p>
    <w:p>
      <w:pPr>
        <w:spacing w:after="0" w:line="63" w:lineRule="exact"/>
        <w:rPr>
          <w:sz w:val="20"/>
          <w:szCs w:val="20"/>
          <w:color w:val="auto"/>
        </w:rPr>
      </w:pPr>
    </w:p>
    <w:p>
      <w:pPr>
        <w:jc w:val="both"/>
        <w:ind w:right="300" w:firstLine="348"/>
        <w:spacing w:after="0" w:line="262" w:lineRule="auto"/>
        <w:rPr>
          <w:sz w:val="20"/>
          <w:szCs w:val="20"/>
          <w:color w:val="auto"/>
        </w:rPr>
      </w:pPr>
      <w:r>
        <w:rPr>
          <w:rFonts w:ascii="Times New Roman" w:cs="Times New Roman" w:eastAsia="Times New Roman" w:hAnsi="Times New Roman"/>
          <w:sz w:val="13"/>
          <w:szCs w:val="13"/>
          <w:color w:val="auto"/>
        </w:rPr>
        <w:t>We own a 62.8% economic interest in the F3C Joint Venture. The F3C Joint Venture is structured as an unconsolidated Delaware limited liability company. All portfolio and other material decisions regarding the F3C Joint Venture must be submitted to its board of managers, which is comprised of four members, two of whom were selected by us and two of whom were selected by Freedom 3 Opportunities, and must be approved by at least one member appointed by us and one appointed by Freedom 3 Opportunities. In addition, certain matters may be approved by the F3C Joint Venture’s investment committee, which is comprised of one member appointed by us and one member appointed by Freedom 3 Opportunities.</w:t>
      </w:r>
    </w:p>
    <w:p>
      <w:pPr>
        <w:spacing w:after="0" w:line="67" w:lineRule="exact"/>
        <w:rPr>
          <w:sz w:val="20"/>
          <w:szCs w:val="20"/>
          <w:color w:val="auto"/>
        </w:rPr>
      </w:pPr>
    </w:p>
    <w:p>
      <w:pPr>
        <w:ind w:right="340" w:firstLine="348"/>
        <w:spacing w:after="0" w:line="262" w:lineRule="auto"/>
        <w:rPr>
          <w:sz w:val="20"/>
          <w:szCs w:val="20"/>
          <w:color w:val="auto"/>
        </w:rPr>
      </w:pPr>
      <w:r>
        <w:rPr>
          <w:rFonts w:ascii="Times New Roman" w:cs="Times New Roman" w:eastAsia="Times New Roman" w:hAnsi="Times New Roman"/>
          <w:sz w:val="13"/>
          <w:szCs w:val="13"/>
          <w:color w:val="auto"/>
        </w:rPr>
        <w:t>We have determined that the F3C Joint Venture is an investment company under Accounting Standards Codification (“ASC”), Financial Services — Investment Companies (“ASC 946”), however, in accordance with such guidance, we will generally not consolidate our investment in a company other than a wholly owned investment company subsidiary or a controlled operating company whose business consists of providing services to us. We do not consolidate its interest in the F3C Joint Venture because we do not control the F3C Joint Venture due to allocation of the voting rights among the F3C Joint Venture partners.</w:t>
      </w:r>
    </w:p>
    <w:p>
      <w:pPr>
        <w:spacing w:after="0" w:line="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The fair value of the Company’s investment in the F3C Joint Venture as of December 31, 2024 and December 31, 2023 was $13.0 million and $14.3 million, respectively.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Series A – Great Lakes Funding II LLC</w:t>
      </w:r>
    </w:p>
    <w:p>
      <w:pPr>
        <w:spacing w:after="0" w:line="105" w:lineRule="exact"/>
        <w:rPr>
          <w:sz w:val="20"/>
          <w:szCs w:val="20"/>
          <w:color w:val="auto"/>
        </w:rPr>
      </w:pPr>
    </w:p>
    <w:p>
      <w:pPr>
        <w:jc w:val="both"/>
        <w:ind w:firstLine="348"/>
        <w:spacing w:after="0" w:line="268" w:lineRule="auto"/>
        <w:rPr>
          <w:sz w:val="20"/>
          <w:szCs w:val="20"/>
          <w:color w:val="auto"/>
        </w:rPr>
      </w:pPr>
      <w:r>
        <w:rPr>
          <w:rFonts w:ascii="Times New Roman" w:cs="Times New Roman" w:eastAsia="Times New Roman" w:hAnsi="Times New Roman"/>
          <w:sz w:val="13"/>
          <w:szCs w:val="13"/>
          <w:color w:val="auto"/>
        </w:rPr>
        <w:t>In August 2022, we invested in Series A – Great Lakes Funding II LLC (the “Great Lakes II Joint Venture,” collectively with the F3C Joint Venture the “Joint Ventures”), a joint venture with a third-party financial institution and certain other parties with an investment strategy to underwrite and hold senior, secured unitranche loans made to middle-market companies. We treat our investment in the Great Lakes II Joint Venture as a joint venture since affiliated funds of the Adviser collectively control a 50% voting interest in the Great Lakes II Joint Venture.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0" w:name="page41"/>
    <w:bookmarkEnd w:id="40"/>
    <w:p>
      <w:pPr>
        <w:ind w:right="180" w:firstLine="348"/>
        <w:spacing w:after="0" w:line="262" w:lineRule="auto"/>
        <w:rPr>
          <w:sz w:val="20"/>
          <w:szCs w:val="20"/>
          <w:color w:val="auto"/>
        </w:rPr>
      </w:pPr>
      <w:r>
        <w:rPr>
          <w:rFonts w:ascii="Times New Roman" w:cs="Times New Roman" w:eastAsia="Times New Roman" w:hAnsi="Times New Roman"/>
          <w:sz w:val="13"/>
          <w:szCs w:val="13"/>
          <w:color w:val="auto"/>
        </w:rPr>
        <w:t>The Great Lakes II Joint Venture is a Delaware series limited liability company, and pursuant to the terms of the Great Lakes Funding II LLC Limited Liability Company Agreement (the “Great Lakes II LLC Agreement”), prior to the end of the investment period with respect to each series established under the Great Lakes II LLC Agreement, each member of the predecessor series would be offered the opportunity to roll its interests into any subsequent series of the Great Lakes II Joint Venture. We do not pay any advisory fees in connection with our investment in the Great Lakes II Joint Venture.</w:t>
      </w:r>
    </w:p>
    <w:p>
      <w:pPr>
        <w:spacing w:after="0" w:line="67" w:lineRule="exact"/>
        <w:rPr>
          <w:sz w:val="20"/>
          <w:szCs w:val="20"/>
          <w:color w:val="auto"/>
        </w:rPr>
      </w:pPr>
    </w:p>
    <w:p>
      <w:pPr>
        <w:ind w:right="220" w:firstLine="348"/>
        <w:spacing w:after="0" w:line="262" w:lineRule="auto"/>
        <w:rPr>
          <w:sz w:val="20"/>
          <w:szCs w:val="20"/>
          <w:color w:val="auto"/>
        </w:rPr>
      </w:pPr>
      <w:r>
        <w:rPr>
          <w:rFonts w:ascii="Times New Roman" w:cs="Times New Roman" w:eastAsia="Times New Roman" w:hAnsi="Times New Roman"/>
          <w:sz w:val="13"/>
          <w:szCs w:val="13"/>
          <w:color w:val="auto"/>
        </w:rPr>
        <w:t>The fair value of our investment in the Great Lakes II Joint Venture at December 31, 2024 and December 31, 2023 was $41.1 million and $45.0 million, respectively. Fair value has been determined utilizing the practical expedient pursuant to ASC 820-10. Pursuant to the terms of the Great Lakes II LLC Agreement, we generally may not effect any direct or indirect sale, transfer, assignment, hypothecation, pledge or other disposition of or encumbrance upon our interests in the Great Lakes II Joint Venture, except that we may sell or otherwise transfer our interests with the consent of the managing members of the Great Lakes II Joint Venture or to an affiliate or a successor to substantially all of our assets.</w:t>
      </w:r>
    </w:p>
    <w:p>
      <w:pPr>
        <w:spacing w:after="0" w:line="67" w:lineRule="exact"/>
        <w:rPr>
          <w:sz w:val="20"/>
          <w:szCs w:val="20"/>
          <w:color w:val="auto"/>
        </w:rPr>
      </w:pPr>
    </w:p>
    <w:p>
      <w:pPr>
        <w:ind w:firstLine="348"/>
        <w:spacing w:after="0" w:line="286" w:lineRule="auto"/>
        <w:rPr>
          <w:sz w:val="20"/>
          <w:szCs w:val="20"/>
          <w:color w:val="auto"/>
        </w:rPr>
      </w:pPr>
      <w:r>
        <w:rPr>
          <w:rFonts w:ascii="Times New Roman" w:cs="Times New Roman" w:eastAsia="Times New Roman" w:hAnsi="Times New Roman"/>
          <w:sz w:val="13"/>
          <w:szCs w:val="13"/>
          <w:color w:val="auto"/>
        </w:rPr>
        <w:t>As of December 31, 2024, we had a $8.2 million unfunded commitment to the Great Lakes II Joint Venture. As of December 31, 2023, we had a $5.5 million unfunded commitment to the Great Lakes II Joint Venture.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RESULTS OF OPERATIONS</w:t>
      </w:r>
    </w:p>
    <w:p>
      <w:pPr>
        <w:spacing w:after="0" w:line="105" w:lineRule="exact"/>
        <w:rPr>
          <w:sz w:val="20"/>
          <w:szCs w:val="20"/>
          <w:color w:val="auto"/>
        </w:rPr>
      </w:pPr>
    </w:p>
    <w:p>
      <w:pPr>
        <w:ind w:right="140" w:firstLine="348"/>
        <w:spacing w:after="0" w:line="262" w:lineRule="auto"/>
        <w:rPr>
          <w:sz w:val="20"/>
          <w:szCs w:val="20"/>
          <w:color w:val="auto"/>
        </w:rPr>
      </w:pPr>
      <w:r>
        <w:rPr>
          <w:rFonts w:ascii="Times New Roman" w:cs="Times New Roman" w:eastAsia="Times New Roman" w:hAnsi="Times New Roman"/>
          <w:sz w:val="13"/>
          <w:szCs w:val="13"/>
          <w:color w:val="auto"/>
        </w:rPr>
        <w:t>The principal measure of our financial performance is the net increase (decrease) in net assets resulting from operations, which includes net investment income (loss) and net realized and unrealized appreciation (depreciation). Net investment income (loss) is the difference between our income from interest, distributions, fees, and other investment income and our operating expenses. Net realized gain (loss) on investments is the difference between the proceeds received from dispositions of portfolio investments and their amortized cost. Net change in unrealized appreciation (depreciation) on investments is the net change in the fair value of our investment portfolio.</w:t>
      </w:r>
    </w:p>
    <w:p>
      <w:pPr>
        <w:spacing w:after="0" w:line="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Set forth below is a discussion of our results of operations for the years ended December 31, 2024, 2023 and 2022.</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Revenue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8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56"/>
        </w:trPr>
        <w:tc>
          <w:tcPr>
            <w:tcW w:w="38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1760" w:type="dxa"/>
            <w:vAlign w:val="bottom"/>
          </w:tcPr>
          <w:p>
            <w:pPr>
              <w:spacing w:after="0"/>
              <w:rPr>
                <w:sz w:val="13"/>
                <w:szCs w:val="13"/>
                <w:color w:val="auto"/>
              </w:rPr>
            </w:pPr>
          </w:p>
        </w:tc>
        <w:tc>
          <w:tcPr>
            <w:tcW w:w="1240" w:type="dxa"/>
            <w:vAlign w:val="bottom"/>
          </w:tcPr>
          <w:p>
            <w:pPr>
              <w:jc w:val="right"/>
              <w:ind w:right="6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0" w:type="dxa"/>
            <w:vAlign w:val="bottom"/>
          </w:tcPr>
          <w:p>
            <w:pPr>
              <w:spacing w:after="0"/>
              <w:rPr>
                <w:sz w:val="13"/>
                <w:szCs w:val="13"/>
                <w:color w:val="auto"/>
              </w:rPr>
            </w:pPr>
          </w:p>
        </w:tc>
        <w:tc>
          <w:tcPr>
            <w:tcW w:w="1440" w:type="dxa"/>
            <w:vAlign w:val="bottom"/>
          </w:tcPr>
          <w:p>
            <w:pPr>
              <w:jc w:val="right"/>
              <w:ind w:right="814"/>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0" w:type="dxa"/>
            <w:vAlign w:val="bottom"/>
          </w:tcPr>
          <w:p>
            <w:pPr>
              <w:spacing w:after="0"/>
              <w:rPr>
                <w:sz w:val="13"/>
                <w:szCs w:val="13"/>
                <w:color w:val="auto"/>
              </w:rPr>
            </w:pPr>
          </w:p>
        </w:tc>
        <w:tc>
          <w:tcPr>
            <w:tcW w:w="1320" w:type="dxa"/>
            <w:vAlign w:val="bottom"/>
          </w:tcPr>
          <w:p>
            <w:pPr>
              <w:jc w:val="right"/>
              <w:ind w:right="694"/>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70"/>
        </w:trPr>
        <w:tc>
          <w:tcPr>
            <w:tcW w:w="3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INCOME</w:t>
            </w:r>
          </w:p>
        </w:tc>
        <w:tc>
          <w:tcPr>
            <w:tcW w:w="1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56"/>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176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r>
      <w:tr>
        <w:trPr>
          <w:trHeight w:val="156"/>
        </w:trPr>
        <w:tc>
          <w:tcPr>
            <w:tcW w:w="38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Non-controlled/non-affiliated investments</w:t>
            </w:r>
          </w:p>
        </w:tc>
        <w:tc>
          <w:tcPr>
            <w:tcW w:w="176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45,036</w:t>
            </w:r>
          </w:p>
        </w:tc>
        <w:tc>
          <w:tcPr>
            <w:tcW w:w="60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55,675</w:t>
            </w: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51,090</w:t>
            </w:r>
          </w:p>
        </w:tc>
      </w:tr>
      <w:tr>
        <w:trPr>
          <w:trHeight w:val="156"/>
        </w:trPr>
        <w:tc>
          <w:tcPr>
            <w:tcW w:w="3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Non-controlled affiliated investments</w:t>
            </w:r>
          </w:p>
        </w:tc>
        <w:tc>
          <w:tcPr>
            <w:tcW w:w="176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1,859</w:t>
            </w:r>
          </w:p>
        </w:tc>
        <w:tc>
          <w:tcPr>
            <w:tcW w:w="600" w:type="dxa"/>
            <w:vAlign w:val="bottom"/>
            <w:shd w:val="clear" w:color="auto" w:fill="CFF0FC"/>
          </w:tcPr>
          <w:p>
            <w:pPr>
              <w:spacing w:after="0"/>
              <w:rPr>
                <w:sz w:val="13"/>
                <w:szCs w:val="13"/>
                <w:color w:val="auto"/>
              </w:rPr>
            </w:pPr>
          </w:p>
        </w:tc>
        <w:tc>
          <w:tcPr>
            <w:tcW w:w="144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2,728</w:t>
            </w:r>
          </w:p>
        </w:tc>
        <w:tc>
          <w:tcPr>
            <w:tcW w:w="400" w:type="dxa"/>
            <w:vAlign w:val="bottom"/>
            <w:shd w:val="clear" w:color="auto" w:fill="CFF0FC"/>
          </w:tcPr>
          <w:p>
            <w:pPr>
              <w:spacing w:after="0"/>
              <w:rPr>
                <w:sz w:val="13"/>
                <w:szCs w:val="13"/>
                <w:color w:val="auto"/>
              </w:rPr>
            </w:pPr>
          </w:p>
        </w:tc>
        <w:tc>
          <w:tcPr>
            <w:tcW w:w="13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3,150</w:t>
            </w:r>
          </w:p>
        </w:tc>
      </w:tr>
      <w:tr>
        <w:trPr>
          <w:trHeight w:val="156"/>
        </w:trPr>
        <w:tc>
          <w:tcPr>
            <w:tcW w:w="38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interest income</w:t>
            </w:r>
          </w:p>
        </w:tc>
        <w:tc>
          <w:tcPr>
            <w:tcW w:w="17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46,895</w:t>
            </w:r>
          </w:p>
        </w:tc>
        <w:tc>
          <w:tcPr>
            <w:tcW w:w="600" w:type="dxa"/>
            <w:vAlign w:val="bottom"/>
          </w:tcPr>
          <w:p>
            <w:pPr>
              <w:spacing w:after="0"/>
              <w:rPr>
                <w:sz w:val="13"/>
                <w:szCs w:val="13"/>
                <w:color w:val="auto"/>
              </w:rPr>
            </w:pPr>
          </w:p>
        </w:tc>
        <w:tc>
          <w:tcPr>
            <w:tcW w:w="14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58,403</w:t>
            </w:r>
          </w:p>
        </w:tc>
        <w:tc>
          <w:tcPr>
            <w:tcW w:w="400" w:type="dxa"/>
            <w:vAlign w:val="bottom"/>
          </w:tcPr>
          <w:p>
            <w:pPr>
              <w:spacing w:after="0"/>
              <w:rPr>
                <w:sz w:val="13"/>
                <w:szCs w:val="13"/>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54,240</w:t>
            </w:r>
          </w:p>
        </w:tc>
      </w:tr>
      <w:tr>
        <w:trPr>
          <w:trHeight w:val="156"/>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Payment-in-kind income:</w:t>
            </w:r>
          </w:p>
        </w:tc>
        <w:tc>
          <w:tcPr>
            <w:tcW w:w="176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r>
      <w:tr>
        <w:trPr>
          <w:trHeight w:val="156"/>
        </w:trPr>
        <w:tc>
          <w:tcPr>
            <w:tcW w:w="38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Non-controlled/non-affiliated investments</w:t>
            </w:r>
          </w:p>
        </w:tc>
        <w:tc>
          <w:tcPr>
            <w:tcW w:w="17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7,472</w:t>
            </w:r>
          </w:p>
        </w:tc>
        <w:tc>
          <w:tcPr>
            <w:tcW w:w="600" w:type="dxa"/>
            <w:vAlign w:val="bottom"/>
          </w:tcPr>
          <w:p>
            <w:pPr>
              <w:spacing w:after="0"/>
              <w:rPr>
                <w:sz w:val="13"/>
                <w:szCs w:val="13"/>
                <w:color w:val="auto"/>
              </w:rPr>
            </w:pPr>
          </w:p>
        </w:tc>
        <w:tc>
          <w:tcPr>
            <w:tcW w:w="14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6,662</w:t>
            </w:r>
          </w:p>
        </w:tc>
        <w:tc>
          <w:tcPr>
            <w:tcW w:w="400" w:type="dxa"/>
            <w:vAlign w:val="bottom"/>
          </w:tcPr>
          <w:p>
            <w:pPr>
              <w:spacing w:after="0"/>
              <w:rPr>
                <w:sz w:val="13"/>
                <w:szCs w:val="13"/>
                <w:color w:val="auto"/>
              </w:rPr>
            </w:pPr>
          </w:p>
        </w:tc>
        <w:tc>
          <w:tcPr>
            <w:tcW w:w="13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4,950</w:t>
            </w:r>
          </w:p>
        </w:tc>
      </w:tr>
      <w:tr>
        <w:trPr>
          <w:trHeight w:val="156"/>
        </w:trPr>
        <w:tc>
          <w:tcPr>
            <w:tcW w:w="3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Non-controlled affiliated investments</w:t>
            </w:r>
          </w:p>
        </w:tc>
        <w:tc>
          <w:tcPr>
            <w:tcW w:w="176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714</w:t>
            </w:r>
          </w:p>
        </w:tc>
        <w:tc>
          <w:tcPr>
            <w:tcW w:w="600" w:type="dxa"/>
            <w:vAlign w:val="bottom"/>
            <w:shd w:val="clear" w:color="auto" w:fill="CFF0FC"/>
          </w:tcPr>
          <w:p>
            <w:pPr>
              <w:spacing w:after="0"/>
              <w:rPr>
                <w:sz w:val="13"/>
                <w:szCs w:val="13"/>
                <w:color w:val="auto"/>
              </w:rPr>
            </w:pPr>
          </w:p>
        </w:tc>
        <w:tc>
          <w:tcPr>
            <w:tcW w:w="144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406</w:t>
            </w:r>
          </w:p>
        </w:tc>
        <w:tc>
          <w:tcPr>
            <w:tcW w:w="400" w:type="dxa"/>
            <w:vAlign w:val="bottom"/>
            <w:shd w:val="clear" w:color="auto" w:fill="CFF0FC"/>
          </w:tcPr>
          <w:p>
            <w:pPr>
              <w:spacing w:after="0"/>
              <w:rPr>
                <w:sz w:val="13"/>
                <w:szCs w:val="13"/>
                <w:color w:val="auto"/>
              </w:rPr>
            </w:pPr>
          </w:p>
        </w:tc>
        <w:tc>
          <w:tcPr>
            <w:tcW w:w="13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477</w:t>
            </w:r>
          </w:p>
        </w:tc>
      </w:tr>
      <w:tr>
        <w:trPr>
          <w:trHeight w:val="156"/>
        </w:trPr>
        <w:tc>
          <w:tcPr>
            <w:tcW w:w="38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Controlled affiliated investments</w:t>
            </w:r>
          </w:p>
        </w:tc>
        <w:tc>
          <w:tcPr>
            <w:tcW w:w="17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spacing w:after="0"/>
              <w:rPr>
                <w:sz w:val="13"/>
                <w:szCs w:val="13"/>
                <w:color w:val="auto"/>
              </w:rPr>
            </w:pPr>
          </w:p>
        </w:tc>
        <w:tc>
          <w:tcPr>
            <w:tcW w:w="14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3"/>
                <w:szCs w:val="13"/>
                <w:color w:val="auto"/>
              </w:rPr>
            </w:pPr>
          </w:p>
        </w:tc>
        <w:tc>
          <w:tcPr>
            <w:tcW w:w="13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181</w:t>
            </w:r>
          </w:p>
        </w:tc>
      </w:tr>
      <w:tr>
        <w:trPr>
          <w:trHeight w:val="156"/>
        </w:trPr>
        <w:tc>
          <w:tcPr>
            <w:tcW w:w="3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Total payment-in-kind income</w:t>
            </w:r>
          </w:p>
        </w:tc>
        <w:tc>
          <w:tcPr>
            <w:tcW w:w="176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8,186</w:t>
            </w:r>
          </w:p>
        </w:tc>
        <w:tc>
          <w:tcPr>
            <w:tcW w:w="600" w:type="dxa"/>
            <w:vAlign w:val="bottom"/>
            <w:shd w:val="clear" w:color="auto" w:fill="CFF0FC"/>
          </w:tcPr>
          <w:p>
            <w:pPr>
              <w:spacing w:after="0"/>
              <w:rPr>
                <w:sz w:val="13"/>
                <w:szCs w:val="13"/>
                <w:color w:val="auto"/>
              </w:rPr>
            </w:pPr>
          </w:p>
        </w:tc>
        <w:tc>
          <w:tcPr>
            <w:tcW w:w="144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7,068</w:t>
            </w:r>
          </w:p>
        </w:tc>
        <w:tc>
          <w:tcPr>
            <w:tcW w:w="400" w:type="dxa"/>
            <w:vAlign w:val="bottom"/>
            <w:shd w:val="clear" w:color="auto" w:fill="CFF0FC"/>
          </w:tcPr>
          <w:p>
            <w:pPr>
              <w:spacing w:after="0"/>
              <w:rPr>
                <w:sz w:val="13"/>
                <w:szCs w:val="13"/>
                <w:color w:val="auto"/>
              </w:rPr>
            </w:pPr>
          </w:p>
        </w:tc>
        <w:tc>
          <w:tcPr>
            <w:tcW w:w="13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5,608</w:t>
            </w:r>
          </w:p>
        </w:tc>
      </w:tr>
      <w:tr>
        <w:trPr>
          <w:trHeight w:val="156"/>
        </w:trPr>
        <w:tc>
          <w:tcPr>
            <w:tcW w:w="3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 income:</w:t>
            </w:r>
          </w:p>
        </w:tc>
        <w:tc>
          <w:tcPr>
            <w:tcW w:w="17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56"/>
        </w:trPr>
        <w:tc>
          <w:tcPr>
            <w:tcW w:w="3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Non-controlled affiliated investments</w:t>
            </w:r>
          </w:p>
        </w:tc>
        <w:tc>
          <w:tcPr>
            <w:tcW w:w="176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6,576</w:t>
            </w:r>
          </w:p>
        </w:tc>
        <w:tc>
          <w:tcPr>
            <w:tcW w:w="600" w:type="dxa"/>
            <w:vAlign w:val="bottom"/>
            <w:shd w:val="clear" w:color="auto" w:fill="CFF0FC"/>
          </w:tcPr>
          <w:p>
            <w:pPr>
              <w:spacing w:after="0"/>
              <w:rPr>
                <w:sz w:val="13"/>
                <w:szCs w:val="13"/>
                <w:color w:val="auto"/>
              </w:rPr>
            </w:pPr>
          </w:p>
        </w:tc>
        <w:tc>
          <w:tcPr>
            <w:tcW w:w="144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6,764</w:t>
            </w:r>
          </w:p>
        </w:tc>
        <w:tc>
          <w:tcPr>
            <w:tcW w:w="400" w:type="dxa"/>
            <w:vAlign w:val="bottom"/>
            <w:shd w:val="clear" w:color="auto" w:fill="CFF0FC"/>
          </w:tcPr>
          <w:p>
            <w:pPr>
              <w:spacing w:after="0"/>
              <w:rPr>
                <w:sz w:val="13"/>
                <w:szCs w:val="13"/>
                <w:color w:val="auto"/>
              </w:rPr>
            </w:pPr>
          </w:p>
        </w:tc>
        <w:tc>
          <w:tcPr>
            <w:tcW w:w="13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4,450</w:t>
            </w:r>
          </w:p>
        </w:tc>
      </w:tr>
      <w:tr>
        <w:trPr>
          <w:trHeight w:val="156"/>
        </w:trPr>
        <w:tc>
          <w:tcPr>
            <w:tcW w:w="38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Controlled affiliated investments</w:t>
            </w:r>
          </w:p>
        </w:tc>
        <w:tc>
          <w:tcPr>
            <w:tcW w:w="17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spacing w:after="0"/>
              <w:rPr>
                <w:sz w:val="13"/>
                <w:szCs w:val="13"/>
                <w:color w:val="auto"/>
              </w:rPr>
            </w:pPr>
          </w:p>
        </w:tc>
        <w:tc>
          <w:tcPr>
            <w:tcW w:w="14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2,184</w:t>
            </w:r>
          </w:p>
        </w:tc>
        <w:tc>
          <w:tcPr>
            <w:tcW w:w="400" w:type="dxa"/>
            <w:vAlign w:val="bottom"/>
          </w:tcPr>
          <w:p>
            <w:pPr>
              <w:spacing w:after="0"/>
              <w:rPr>
                <w:sz w:val="13"/>
                <w:szCs w:val="13"/>
                <w:color w:val="auto"/>
              </w:rPr>
            </w:pPr>
          </w:p>
        </w:tc>
        <w:tc>
          <w:tcPr>
            <w:tcW w:w="13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4,141</w:t>
            </w:r>
          </w:p>
        </w:tc>
      </w:tr>
      <w:tr>
        <w:trPr>
          <w:trHeight w:val="156"/>
        </w:trPr>
        <w:tc>
          <w:tcPr>
            <w:tcW w:w="3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Total dividend income</w:t>
            </w:r>
          </w:p>
        </w:tc>
        <w:tc>
          <w:tcPr>
            <w:tcW w:w="176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6,576</w:t>
            </w:r>
          </w:p>
        </w:tc>
        <w:tc>
          <w:tcPr>
            <w:tcW w:w="600" w:type="dxa"/>
            <w:vAlign w:val="bottom"/>
            <w:shd w:val="clear" w:color="auto" w:fill="CFF0FC"/>
          </w:tcPr>
          <w:p>
            <w:pPr>
              <w:spacing w:after="0"/>
              <w:rPr>
                <w:sz w:val="13"/>
                <w:szCs w:val="13"/>
                <w:color w:val="auto"/>
              </w:rPr>
            </w:pPr>
          </w:p>
        </w:tc>
        <w:tc>
          <w:tcPr>
            <w:tcW w:w="144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8,948</w:t>
            </w:r>
          </w:p>
        </w:tc>
        <w:tc>
          <w:tcPr>
            <w:tcW w:w="400" w:type="dxa"/>
            <w:vAlign w:val="bottom"/>
            <w:shd w:val="clear" w:color="auto" w:fill="CFF0FC"/>
          </w:tcPr>
          <w:p>
            <w:pPr>
              <w:spacing w:after="0"/>
              <w:rPr>
                <w:sz w:val="13"/>
                <w:szCs w:val="13"/>
                <w:color w:val="auto"/>
              </w:rPr>
            </w:pPr>
          </w:p>
        </w:tc>
        <w:tc>
          <w:tcPr>
            <w:tcW w:w="13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8,591</w:t>
            </w:r>
          </w:p>
        </w:tc>
      </w:tr>
      <w:tr>
        <w:trPr>
          <w:trHeight w:val="156"/>
        </w:trPr>
        <w:tc>
          <w:tcPr>
            <w:tcW w:w="3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Fees and other income:</w:t>
            </w:r>
          </w:p>
        </w:tc>
        <w:tc>
          <w:tcPr>
            <w:tcW w:w="17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56"/>
        </w:trPr>
        <w:tc>
          <w:tcPr>
            <w:tcW w:w="3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Non-controlled/non-affiliated investments</w:t>
            </w:r>
          </w:p>
        </w:tc>
        <w:tc>
          <w:tcPr>
            <w:tcW w:w="176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775</w:t>
            </w:r>
          </w:p>
        </w:tc>
        <w:tc>
          <w:tcPr>
            <w:tcW w:w="600" w:type="dxa"/>
            <w:vAlign w:val="bottom"/>
            <w:shd w:val="clear" w:color="auto" w:fill="CFF0FC"/>
          </w:tcPr>
          <w:p>
            <w:pPr>
              <w:spacing w:after="0"/>
              <w:rPr>
                <w:sz w:val="13"/>
                <w:szCs w:val="13"/>
                <w:color w:val="auto"/>
              </w:rPr>
            </w:pPr>
          </w:p>
        </w:tc>
        <w:tc>
          <w:tcPr>
            <w:tcW w:w="144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1,882</w:t>
            </w:r>
          </w:p>
        </w:tc>
        <w:tc>
          <w:tcPr>
            <w:tcW w:w="400" w:type="dxa"/>
            <w:vAlign w:val="bottom"/>
            <w:shd w:val="clear" w:color="auto" w:fill="CFF0FC"/>
          </w:tcPr>
          <w:p>
            <w:pPr>
              <w:spacing w:after="0"/>
              <w:rPr>
                <w:sz w:val="13"/>
                <w:szCs w:val="13"/>
                <w:color w:val="auto"/>
              </w:rPr>
            </w:pPr>
          </w:p>
        </w:tc>
        <w:tc>
          <w:tcPr>
            <w:tcW w:w="13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1,135</w:t>
            </w:r>
          </w:p>
        </w:tc>
      </w:tr>
      <w:tr>
        <w:trPr>
          <w:trHeight w:val="156"/>
        </w:trPr>
        <w:tc>
          <w:tcPr>
            <w:tcW w:w="38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Non-controlled affiliated investments</w:t>
            </w:r>
          </w:p>
        </w:tc>
        <w:tc>
          <w:tcPr>
            <w:tcW w:w="17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spacing w:after="0"/>
              <w:rPr>
                <w:sz w:val="13"/>
                <w:szCs w:val="13"/>
                <w:color w:val="auto"/>
              </w:rPr>
            </w:pPr>
          </w:p>
        </w:tc>
        <w:tc>
          <w:tcPr>
            <w:tcW w:w="14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14</w:t>
            </w:r>
          </w:p>
        </w:tc>
        <w:tc>
          <w:tcPr>
            <w:tcW w:w="400" w:type="dxa"/>
            <w:vAlign w:val="bottom"/>
          </w:tcPr>
          <w:p>
            <w:pPr>
              <w:spacing w:after="0"/>
              <w:rPr>
                <w:sz w:val="13"/>
                <w:szCs w:val="13"/>
                <w:color w:val="auto"/>
              </w:rPr>
            </w:pPr>
          </w:p>
        </w:tc>
        <w:tc>
          <w:tcPr>
            <w:tcW w:w="13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40</w:t>
            </w:r>
          </w:p>
        </w:tc>
      </w:tr>
      <w:tr>
        <w:trPr>
          <w:trHeight w:val="156"/>
        </w:trPr>
        <w:tc>
          <w:tcPr>
            <w:tcW w:w="3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Total fees and other income</w:t>
            </w:r>
          </w:p>
        </w:tc>
        <w:tc>
          <w:tcPr>
            <w:tcW w:w="176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775</w:t>
            </w:r>
          </w:p>
        </w:tc>
        <w:tc>
          <w:tcPr>
            <w:tcW w:w="600" w:type="dxa"/>
            <w:vAlign w:val="bottom"/>
            <w:shd w:val="clear" w:color="auto" w:fill="CFF0FC"/>
          </w:tcPr>
          <w:p>
            <w:pPr>
              <w:spacing w:after="0"/>
              <w:rPr>
                <w:sz w:val="13"/>
                <w:szCs w:val="13"/>
                <w:color w:val="auto"/>
              </w:rPr>
            </w:pPr>
          </w:p>
        </w:tc>
        <w:tc>
          <w:tcPr>
            <w:tcW w:w="144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1,896</w:t>
            </w:r>
          </w:p>
        </w:tc>
        <w:tc>
          <w:tcPr>
            <w:tcW w:w="400" w:type="dxa"/>
            <w:vAlign w:val="bottom"/>
            <w:shd w:val="clear" w:color="auto" w:fill="CFF0FC"/>
          </w:tcPr>
          <w:p>
            <w:pPr>
              <w:spacing w:after="0"/>
              <w:rPr>
                <w:sz w:val="13"/>
                <w:szCs w:val="13"/>
                <w:color w:val="auto"/>
              </w:rPr>
            </w:pPr>
          </w:p>
        </w:tc>
        <w:tc>
          <w:tcPr>
            <w:tcW w:w="13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1,175</w:t>
            </w:r>
          </w:p>
        </w:tc>
      </w:tr>
      <w:tr>
        <w:trPr>
          <w:trHeight w:val="172"/>
        </w:trPr>
        <w:tc>
          <w:tcPr>
            <w:tcW w:w="38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investment income</w:t>
            </w:r>
          </w:p>
        </w:tc>
        <w:tc>
          <w:tcPr>
            <w:tcW w:w="176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62,432</w:t>
            </w:r>
          </w:p>
        </w:tc>
        <w:tc>
          <w:tcPr>
            <w:tcW w:w="60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76,315</w:t>
            </w: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69,614</w:t>
            </w:r>
          </w:p>
        </w:tc>
      </w:tr>
    </w:tbl>
    <w:p>
      <w:pPr>
        <w:spacing w:after="0" w:line="225" w:lineRule="exact"/>
        <w:rPr>
          <w:sz w:val="20"/>
          <w:szCs w:val="20"/>
          <w:color w:val="auto"/>
        </w:rPr>
      </w:pPr>
    </w:p>
    <w:p>
      <w:pPr>
        <w:ind w:right="320" w:firstLine="348"/>
        <w:spacing w:after="0" w:line="286" w:lineRule="auto"/>
        <w:rPr>
          <w:sz w:val="20"/>
          <w:szCs w:val="20"/>
          <w:color w:val="auto"/>
        </w:rPr>
      </w:pPr>
      <w:r>
        <w:rPr>
          <w:rFonts w:ascii="Times New Roman" w:cs="Times New Roman" w:eastAsia="Times New Roman" w:hAnsi="Times New Roman"/>
          <w:sz w:val="13"/>
          <w:szCs w:val="13"/>
          <w:color w:val="auto"/>
        </w:rPr>
        <w:t>Revenues consist primarily of investment income from interest and dividends on our investment portfolio and various ancillary fees related to our investment holdings. For the years ended December 31, 2024, 2023 and 2022, total investment income was approximately $62.4 million, $76.3 million and $69.6 million, respectively.</w:t>
      </w:r>
    </w:p>
    <w:p>
      <w:pPr>
        <w:spacing w:after="0" w:line="50" w:lineRule="exact"/>
        <w:rPr>
          <w:sz w:val="20"/>
          <w:szCs w:val="20"/>
          <w:color w:val="auto"/>
        </w:rPr>
      </w:pPr>
    </w:p>
    <w:p>
      <w:pPr>
        <w:ind w:right="80" w:firstLine="348"/>
        <w:spacing w:after="0" w:line="269" w:lineRule="auto"/>
        <w:rPr>
          <w:sz w:val="20"/>
          <w:szCs w:val="20"/>
          <w:color w:val="auto"/>
        </w:rPr>
      </w:pPr>
      <w:r>
        <w:rPr>
          <w:rFonts w:ascii="Times New Roman" w:cs="Times New Roman" w:eastAsia="Times New Roman" w:hAnsi="Times New Roman"/>
          <w:sz w:val="13"/>
          <w:szCs w:val="13"/>
          <w:i w:val="1"/>
          <w:iCs w:val="1"/>
          <w:color w:val="auto"/>
        </w:rPr>
        <w:t>Interest from Investments in Debt Securities</w:t>
      </w:r>
      <w:r>
        <w:rPr>
          <w:rFonts w:ascii="Times New Roman" w:cs="Times New Roman" w:eastAsia="Times New Roman" w:hAnsi="Times New Roman"/>
          <w:sz w:val="13"/>
          <w:szCs w:val="13"/>
          <w:color w:val="auto"/>
        </w:rPr>
        <w:t>. We generate interest income from our investments in debt securities that consist primarily of senior and junior secured loans. Our Debt Securities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Portfolio is spread across multiple industries and geographic locations and, as such, we are broadly exposed to market conditions and business environments. As a result, although our investments are exposed to market risks, we continuously seek to limit concentration of exposure in any particular sector or issuer.</w:t>
      </w:r>
    </w:p>
    <w:p>
      <w:pPr>
        <w:spacing w:after="0" w:line="64" w:lineRule="exact"/>
        <w:rPr>
          <w:sz w:val="20"/>
          <w:szCs w:val="20"/>
          <w:color w:val="auto"/>
        </w:rPr>
      </w:pPr>
    </w:p>
    <w:p>
      <w:pPr>
        <w:ind w:right="120" w:firstLine="348"/>
        <w:spacing w:after="0" w:line="268" w:lineRule="auto"/>
        <w:rPr>
          <w:sz w:val="20"/>
          <w:szCs w:val="20"/>
          <w:color w:val="auto"/>
        </w:rPr>
      </w:pPr>
      <w:r>
        <w:rPr>
          <w:rFonts w:ascii="Times New Roman" w:cs="Times New Roman" w:eastAsia="Times New Roman" w:hAnsi="Times New Roman"/>
          <w:sz w:val="13"/>
          <w:szCs w:val="13"/>
          <w:color w:val="auto"/>
        </w:rPr>
        <w:t>The majority of investment income is attributable to interest income, inclusive of payment-in-kind income, on our Debt Securities Portfolio. For the years ended December 31, 2024, 2023 and 2022, approximately $52.6 million, $63.5 million and $55.8 million, respectively, of investment income was attributable to interest income, inclusive of payment-in-kind income, on our Debt Securities Portfolio. The decrease in investment income is primarily driven by paydowns to the Debt Securities Portfolio, as well as a decrease in the contractual interest rates on our loans.</w:t>
      </w:r>
    </w:p>
    <w:p>
      <w:pPr>
        <w:spacing w:after="0" w:line="63" w:lineRule="exact"/>
        <w:rPr>
          <w:sz w:val="20"/>
          <w:szCs w:val="20"/>
          <w:color w:val="auto"/>
        </w:rPr>
      </w:pPr>
    </w:p>
    <w:p>
      <w:pPr>
        <w:ind w:right="80" w:firstLine="348"/>
        <w:spacing w:after="0" w:line="286" w:lineRule="auto"/>
        <w:rPr>
          <w:sz w:val="20"/>
          <w:szCs w:val="20"/>
          <w:color w:val="auto"/>
        </w:rPr>
      </w:pPr>
      <w:r>
        <w:rPr>
          <w:rFonts w:ascii="Times New Roman" w:cs="Times New Roman" w:eastAsia="Times New Roman" w:hAnsi="Times New Roman"/>
          <w:sz w:val="13"/>
          <w:szCs w:val="13"/>
          <w:color w:val="auto"/>
        </w:rPr>
        <w:t>For the years ended December 31, 2024, 2023, and 2022, the weighted average contractual interest rate on our interest earning Debt Securities Portfolio was approximately 11.3% , 12.5%, and 11.1%, respectively.</w:t>
      </w:r>
    </w:p>
    <w:p>
      <w:pPr>
        <w:spacing w:after="0" w:line="52" w:lineRule="exact"/>
        <w:rPr>
          <w:sz w:val="20"/>
          <w:szCs w:val="20"/>
          <w:color w:val="auto"/>
        </w:rPr>
      </w:pPr>
    </w:p>
    <w:p>
      <w:pPr>
        <w:jc w:val="both"/>
        <w:ind w:right="460" w:firstLine="348"/>
        <w:spacing w:after="0" w:line="268" w:lineRule="auto"/>
        <w:rPr>
          <w:sz w:val="20"/>
          <w:szCs w:val="20"/>
          <w:color w:val="auto"/>
        </w:rPr>
      </w:pPr>
      <w:r>
        <w:rPr>
          <w:rFonts w:ascii="Times New Roman" w:cs="Times New Roman" w:eastAsia="Times New Roman" w:hAnsi="Times New Roman"/>
          <w:sz w:val="13"/>
          <w:szCs w:val="13"/>
          <w:color w:val="auto"/>
        </w:rPr>
        <w:t>Investment income is primarily dependent on the composition and credit quality of our investment portfolio. Generally, our Debt Securities Portfolio is expected to generate predictable, recurring interest income in accordance with the contractual terms of each loan. Corporate equity securities may pay a dividend and may increase in value for which a gain may be recognized; generally, such dividend payments and gains are less predictable than interest income on our loan portfolio.</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86" w:right="680" w:bottom="1440" w:gutter="0" w:footer="0" w:header="0"/>
        </w:sectPr>
      </w:pPr>
    </w:p>
    <w:bookmarkStart w:id="41" w:name="page42"/>
    <w:bookmarkEnd w:id="41"/>
    <w:p>
      <w:pPr>
        <w:ind w:right="160" w:firstLine="348"/>
        <w:spacing w:after="0" w:line="268" w:lineRule="auto"/>
        <w:rPr>
          <w:sz w:val="20"/>
          <w:szCs w:val="20"/>
          <w:color w:val="auto"/>
        </w:rPr>
      </w:pPr>
      <w:r>
        <w:rPr>
          <w:rFonts w:ascii="Times New Roman" w:cs="Times New Roman" w:eastAsia="Times New Roman" w:hAnsi="Times New Roman"/>
          <w:sz w:val="13"/>
          <w:szCs w:val="13"/>
          <w:color w:val="auto"/>
        </w:rPr>
        <w:t>Investment income is comprised of coupon interest, accretion of discount and accelerated accretion resulting from paydowns and other revenue earned from operations. Acquisitions of OHAI (December 2019), GARS (October 2020) and HCAP (June 2021) have had a significant positive impact on earnings as a result of amortization of purchase discount established at the time of the merger. The table below illustrates that impact.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0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46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70"/>
        </w:trPr>
        <w:tc>
          <w:tcPr>
            <w:tcW w:w="44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 in thousands)</w:t>
            </w:r>
          </w:p>
        </w:tc>
        <w:tc>
          <w:tcPr>
            <w:tcW w:w="960" w:type="dxa"/>
            <w:vAlign w:val="bottom"/>
          </w:tcPr>
          <w:p>
            <w:pPr>
              <w:spacing w:after="0"/>
              <w:rPr>
                <w:sz w:val="14"/>
                <w:szCs w:val="14"/>
                <w:color w:val="auto"/>
              </w:rPr>
            </w:pPr>
          </w:p>
        </w:tc>
        <w:tc>
          <w:tcPr>
            <w:tcW w:w="1380" w:type="dxa"/>
            <w:vAlign w:val="bottom"/>
          </w:tcPr>
          <w:p>
            <w:pPr>
              <w:jc w:val="right"/>
              <w:ind w:right="7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Pr>
          <w:p>
            <w:pPr>
              <w:spacing w:after="0"/>
              <w:rPr>
                <w:sz w:val="14"/>
                <w:szCs w:val="14"/>
                <w:color w:val="auto"/>
              </w:rPr>
            </w:pPr>
          </w:p>
        </w:tc>
        <w:tc>
          <w:tcPr>
            <w:tcW w:w="1460" w:type="dxa"/>
            <w:vAlign w:val="bottom"/>
          </w:tcPr>
          <w:p>
            <w:pPr>
              <w:jc w:val="right"/>
              <w:ind w:right="794"/>
              <w:spacing w:after="0"/>
              <w:rPr>
                <w:sz w:val="20"/>
                <w:szCs w:val="20"/>
                <w:color w:val="auto"/>
              </w:rPr>
            </w:pPr>
            <w:r>
              <w:rPr>
                <w:rFonts w:ascii="Times New Roman" w:cs="Times New Roman" w:eastAsia="Times New Roman" w:hAnsi="Times New Roman"/>
                <w:sz w:val="13"/>
                <w:szCs w:val="13"/>
                <w:b w:val="1"/>
                <w:bCs w:val="1"/>
                <w:color w:val="auto"/>
              </w:rPr>
              <w:t>2023</w:t>
            </w:r>
          </w:p>
        </w:tc>
        <w:tc>
          <w:tcPr>
            <w:tcW w:w="460" w:type="dxa"/>
            <w:vAlign w:val="bottom"/>
          </w:tcPr>
          <w:p>
            <w:pPr>
              <w:spacing w:after="0"/>
              <w:rPr>
                <w:sz w:val="14"/>
                <w:szCs w:val="14"/>
                <w:color w:val="auto"/>
              </w:rPr>
            </w:pPr>
          </w:p>
        </w:tc>
        <w:tc>
          <w:tcPr>
            <w:tcW w:w="1340" w:type="dxa"/>
            <w:vAlign w:val="bottom"/>
          </w:tcPr>
          <w:p>
            <w:pPr>
              <w:jc w:val="right"/>
              <w:ind w:right="714"/>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56"/>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Interest income, excluding CLO income and purchase discount accretion</w:t>
            </w:r>
          </w:p>
        </w:tc>
        <w:tc>
          <w:tcPr>
            <w:tcW w:w="960" w:type="dxa"/>
            <w:vAlign w:val="bottom"/>
            <w:shd w:val="clear" w:color="auto" w:fill="CFF0FC"/>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45,149</w:t>
            </w:r>
          </w:p>
        </w:tc>
        <w:tc>
          <w:tcPr>
            <w:tcW w:w="540" w:type="dxa"/>
            <w:vAlign w:val="bottom"/>
            <w:shd w:val="clear" w:color="auto" w:fill="CFF0FC"/>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54,631</w:t>
            </w:r>
          </w:p>
        </w:tc>
        <w:tc>
          <w:tcPr>
            <w:tcW w:w="460" w:type="dxa"/>
            <w:vAlign w:val="bottom"/>
            <w:shd w:val="clear" w:color="auto" w:fill="CFF0FC"/>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44,771</w:t>
            </w:r>
          </w:p>
        </w:tc>
      </w:tr>
      <w:tr>
        <w:trPr>
          <w:trHeight w:val="156"/>
        </w:trPr>
        <w:tc>
          <w:tcPr>
            <w:tcW w:w="4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 discount accounting</w:t>
            </w:r>
          </w:p>
        </w:tc>
        <w:tc>
          <w:tcPr>
            <w:tcW w:w="96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w:t>
            </w:r>
          </w:p>
        </w:tc>
        <w:tc>
          <w:tcPr>
            <w:tcW w:w="540" w:type="dxa"/>
            <w:vAlign w:val="bottom"/>
          </w:tcPr>
          <w:p>
            <w:pPr>
              <w:spacing w:after="0"/>
              <w:rPr>
                <w:sz w:val="13"/>
                <w:szCs w:val="13"/>
                <w:color w:val="auto"/>
              </w:rPr>
            </w:pPr>
          </w:p>
        </w:tc>
        <w:tc>
          <w:tcPr>
            <w:tcW w:w="14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1,774</w:t>
            </w:r>
          </w:p>
        </w:tc>
        <w:tc>
          <w:tcPr>
            <w:tcW w:w="460" w:type="dxa"/>
            <w:vAlign w:val="bottom"/>
          </w:tcPr>
          <w:p>
            <w:pPr>
              <w:spacing w:after="0"/>
              <w:rPr>
                <w:sz w:val="13"/>
                <w:szCs w:val="13"/>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5,425</w:t>
            </w:r>
          </w:p>
        </w:tc>
      </w:tr>
      <w:tr>
        <w:trPr>
          <w:trHeight w:val="156"/>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PIK income</w:t>
            </w:r>
          </w:p>
        </w:tc>
        <w:tc>
          <w:tcPr>
            <w:tcW w:w="96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8,186</w:t>
            </w:r>
          </w:p>
        </w:tc>
        <w:tc>
          <w:tcPr>
            <w:tcW w:w="540" w:type="dxa"/>
            <w:vAlign w:val="bottom"/>
            <w:shd w:val="clear" w:color="auto" w:fill="CFF0FC"/>
          </w:tcPr>
          <w:p>
            <w:pPr>
              <w:spacing w:after="0"/>
              <w:rPr>
                <w:sz w:val="13"/>
                <w:szCs w:val="13"/>
                <w:color w:val="auto"/>
              </w:rPr>
            </w:pPr>
          </w:p>
        </w:tc>
        <w:tc>
          <w:tcPr>
            <w:tcW w:w="14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7,068</w:t>
            </w:r>
          </w:p>
        </w:tc>
        <w:tc>
          <w:tcPr>
            <w:tcW w:w="460" w:type="dxa"/>
            <w:vAlign w:val="bottom"/>
            <w:shd w:val="clear" w:color="auto" w:fill="CFF0FC"/>
          </w:tcPr>
          <w:p>
            <w:pPr>
              <w:spacing w:after="0"/>
              <w:rPr>
                <w:sz w:val="13"/>
                <w:szCs w:val="13"/>
                <w:color w:val="auto"/>
              </w:rPr>
            </w:pPr>
          </w:p>
        </w:tc>
        <w:tc>
          <w:tcPr>
            <w:tcW w:w="13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5,608</w:t>
            </w:r>
          </w:p>
        </w:tc>
      </w:tr>
      <w:tr>
        <w:trPr>
          <w:trHeight w:val="156"/>
        </w:trPr>
        <w:tc>
          <w:tcPr>
            <w:tcW w:w="4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CLO income</w:t>
            </w:r>
          </w:p>
        </w:tc>
        <w:tc>
          <w:tcPr>
            <w:tcW w:w="96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1,511</w:t>
            </w:r>
          </w:p>
        </w:tc>
        <w:tc>
          <w:tcPr>
            <w:tcW w:w="540" w:type="dxa"/>
            <w:vAlign w:val="bottom"/>
          </w:tcPr>
          <w:p>
            <w:pPr>
              <w:spacing w:after="0"/>
              <w:rPr>
                <w:sz w:val="13"/>
                <w:szCs w:val="13"/>
                <w:color w:val="auto"/>
              </w:rPr>
            </w:pPr>
          </w:p>
        </w:tc>
        <w:tc>
          <w:tcPr>
            <w:tcW w:w="14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1,998</w:t>
            </w:r>
          </w:p>
        </w:tc>
        <w:tc>
          <w:tcPr>
            <w:tcW w:w="460" w:type="dxa"/>
            <w:vAlign w:val="bottom"/>
          </w:tcPr>
          <w:p>
            <w:pPr>
              <w:spacing w:after="0"/>
              <w:rPr>
                <w:sz w:val="13"/>
                <w:szCs w:val="13"/>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4,044</w:t>
            </w:r>
          </w:p>
        </w:tc>
      </w:tr>
      <w:tr>
        <w:trPr>
          <w:trHeight w:val="156"/>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JV income</w:t>
            </w:r>
          </w:p>
        </w:tc>
        <w:tc>
          <w:tcPr>
            <w:tcW w:w="96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6,576</w:t>
            </w:r>
          </w:p>
        </w:tc>
        <w:tc>
          <w:tcPr>
            <w:tcW w:w="540" w:type="dxa"/>
            <w:vAlign w:val="bottom"/>
            <w:shd w:val="clear" w:color="auto" w:fill="CFF0FC"/>
          </w:tcPr>
          <w:p>
            <w:pPr>
              <w:spacing w:after="0"/>
              <w:rPr>
                <w:sz w:val="13"/>
                <w:szCs w:val="13"/>
                <w:color w:val="auto"/>
              </w:rPr>
            </w:pPr>
          </w:p>
        </w:tc>
        <w:tc>
          <w:tcPr>
            <w:tcW w:w="14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8,948</w:t>
            </w:r>
          </w:p>
        </w:tc>
        <w:tc>
          <w:tcPr>
            <w:tcW w:w="460" w:type="dxa"/>
            <w:vAlign w:val="bottom"/>
            <w:shd w:val="clear" w:color="auto" w:fill="CFF0FC"/>
          </w:tcPr>
          <w:p>
            <w:pPr>
              <w:spacing w:after="0"/>
              <w:rPr>
                <w:sz w:val="13"/>
                <w:szCs w:val="13"/>
                <w:color w:val="auto"/>
              </w:rPr>
            </w:pPr>
          </w:p>
        </w:tc>
        <w:tc>
          <w:tcPr>
            <w:tcW w:w="13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8,591</w:t>
            </w:r>
          </w:p>
        </w:tc>
      </w:tr>
      <w:tr>
        <w:trPr>
          <w:trHeight w:val="156"/>
        </w:trPr>
        <w:tc>
          <w:tcPr>
            <w:tcW w:w="4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Fees and other income</w:t>
            </w:r>
          </w:p>
        </w:tc>
        <w:tc>
          <w:tcPr>
            <w:tcW w:w="96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775</w:t>
            </w:r>
          </w:p>
        </w:tc>
        <w:tc>
          <w:tcPr>
            <w:tcW w:w="540" w:type="dxa"/>
            <w:vAlign w:val="bottom"/>
          </w:tcPr>
          <w:p>
            <w:pPr>
              <w:spacing w:after="0"/>
              <w:rPr>
                <w:sz w:val="13"/>
                <w:szCs w:val="13"/>
                <w:color w:val="auto"/>
              </w:rPr>
            </w:pPr>
          </w:p>
        </w:tc>
        <w:tc>
          <w:tcPr>
            <w:tcW w:w="14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1,896</w:t>
            </w:r>
          </w:p>
        </w:tc>
        <w:tc>
          <w:tcPr>
            <w:tcW w:w="460" w:type="dxa"/>
            <w:vAlign w:val="bottom"/>
          </w:tcPr>
          <w:p>
            <w:pPr>
              <w:spacing w:after="0"/>
              <w:rPr>
                <w:sz w:val="13"/>
                <w:szCs w:val="13"/>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1,175</w:t>
            </w:r>
          </w:p>
        </w:tc>
      </w:tr>
      <w:tr>
        <w:trPr>
          <w:trHeight w:val="156"/>
        </w:trPr>
        <w:tc>
          <w:tcPr>
            <w:tcW w:w="4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b w:val="1"/>
                <w:bCs w:val="1"/>
                <w:color w:val="auto"/>
              </w:rPr>
              <w:t>Investment Income</w:t>
            </w:r>
          </w:p>
        </w:tc>
        <w:tc>
          <w:tcPr>
            <w:tcW w:w="960" w:type="dxa"/>
            <w:vAlign w:val="bottom"/>
            <w:shd w:val="clear" w:color="auto" w:fill="CFF0FC"/>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62,432</w:t>
            </w:r>
          </w:p>
        </w:tc>
        <w:tc>
          <w:tcPr>
            <w:tcW w:w="540" w:type="dxa"/>
            <w:vAlign w:val="bottom"/>
            <w:shd w:val="clear" w:color="auto" w:fill="CFF0FC"/>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76,315</w:t>
            </w:r>
          </w:p>
        </w:tc>
        <w:tc>
          <w:tcPr>
            <w:tcW w:w="460" w:type="dxa"/>
            <w:vAlign w:val="bottom"/>
            <w:shd w:val="clear" w:color="auto" w:fill="CFF0FC"/>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69,614</w:t>
            </w:r>
          </w:p>
        </w:tc>
      </w:tr>
      <w:tr>
        <w:trPr>
          <w:trHeight w:val="156"/>
        </w:trPr>
        <w:tc>
          <w:tcPr>
            <w:tcW w:w="4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Less: Purchase discount accounting</w:t>
            </w:r>
          </w:p>
        </w:tc>
        <w:tc>
          <w:tcPr>
            <w:tcW w:w="96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w:t>
            </w:r>
          </w:p>
        </w:tc>
        <w:tc>
          <w:tcPr>
            <w:tcW w:w="54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(1,774)</w:t>
            </w:r>
          </w:p>
        </w:tc>
        <w:tc>
          <w:tcPr>
            <w:tcW w:w="46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(5,425)</w:t>
            </w:r>
          </w:p>
        </w:tc>
      </w:tr>
      <w:tr>
        <w:trPr>
          <w:trHeight w:val="156"/>
        </w:trPr>
        <w:tc>
          <w:tcPr>
            <w:tcW w:w="4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b w:val="1"/>
                <w:bCs w:val="1"/>
                <w:color w:val="auto"/>
              </w:rPr>
              <w:t>Core Investment Income</w:t>
            </w:r>
          </w:p>
        </w:tc>
        <w:tc>
          <w:tcPr>
            <w:tcW w:w="960" w:type="dxa"/>
            <w:vAlign w:val="bottom"/>
            <w:shd w:val="clear" w:color="auto" w:fill="CFF0FC"/>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62,197</w:t>
            </w:r>
          </w:p>
        </w:tc>
        <w:tc>
          <w:tcPr>
            <w:tcW w:w="540" w:type="dxa"/>
            <w:vAlign w:val="bottom"/>
            <w:shd w:val="clear" w:color="auto" w:fill="CFF0FC"/>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74,541</w:t>
            </w:r>
          </w:p>
        </w:tc>
        <w:tc>
          <w:tcPr>
            <w:tcW w:w="460" w:type="dxa"/>
            <w:vAlign w:val="bottom"/>
            <w:shd w:val="clear" w:color="auto" w:fill="CFF0FC"/>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64,189</w:t>
            </w:r>
          </w:p>
        </w:tc>
      </w:tr>
    </w:tbl>
    <w:p>
      <w:pPr>
        <w:spacing w:after="0" w:line="84" w:lineRule="exact"/>
        <w:rPr>
          <w:sz w:val="20"/>
          <w:szCs w:val="20"/>
          <w:color w:val="auto"/>
        </w:rPr>
      </w:pPr>
    </w:p>
    <w:p>
      <w:pPr>
        <w:ind w:right="120" w:firstLine="348"/>
        <w:spacing w:after="0" w:line="256" w:lineRule="auto"/>
        <w:rPr>
          <w:sz w:val="20"/>
          <w:szCs w:val="20"/>
          <w:color w:val="auto"/>
        </w:rPr>
      </w:pPr>
      <w:r>
        <w:rPr>
          <w:rFonts w:ascii="Times New Roman" w:cs="Times New Roman" w:eastAsia="Times New Roman" w:hAnsi="Times New Roman"/>
          <w:sz w:val="13"/>
          <w:szCs w:val="13"/>
          <w:color w:val="auto"/>
        </w:rPr>
        <w:t>Core investment income excludes the impact of purchase discount accretion in connection with the OHAI, GARS and HCAP mergers which is investment income as determined in accordance with U.S. Generally Accepted Accounting Principles (“U.S. GAAP”), excluding the impact of purchase discount accretion associated with the OHAI, GARS and HCAP mergers. We believe presenting investment income excluding the impact of the OHAI, GARS and HCAP merger-related purchase discount amortization and the related per share amount is useful and appropriate supplemental disclosure for analyzing our financial performance due to the unique circumstance giving rise to the purchase accounting adjustment. However, this measure is a non-U.S. GAAP measure and should not be considered as a replacement for net investment income and other earnings measures presented in accordance with U.S. GAAP. Instead, this measure should be reviewed only in connection with such U.S. GAAP measures in analyzing Portman Ridge’s financial performance. A reconciliation of net investment income in accordance with U.S. GAAP to net investment income excluding the impact of purchase accounting is detailed in the table above.</w:t>
      </w:r>
    </w:p>
    <w:p>
      <w:pPr>
        <w:spacing w:after="0" w:line="70"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3"/>
          <w:szCs w:val="13"/>
          <w:i w:val="1"/>
          <w:iCs w:val="1"/>
          <w:color w:val="auto"/>
        </w:rPr>
        <w:t>Investment Income on Investments in CLO Fund Securities</w:t>
      </w:r>
      <w:r>
        <w:rPr>
          <w:rFonts w:ascii="Times New Roman" w:cs="Times New Roman" w:eastAsia="Times New Roman" w:hAnsi="Times New Roman"/>
          <w:sz w:val="13"/>
          <w:szCs w:val="13"/>
          <w:color w:val="auto"/>
        </w:rPr>
        <w:t>. For the years ended December 31, 2024, 2023 and 2022, approximately $1.5 million, $2.0 million and $4.0 million, respectively,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investment income was attributable to investments in CLO Fund Securities. We generate investment income from our investments in the securities (typically preferred shares or subordinated securities) of CLO Funds. CLO Funds invest primarily in broadly syndicated non -investment grade loans, high-yield bonds and other credit instruments of corporate issuers. The underlying assets in each of the CLO Funds in which we have an investment are generally diversified secured or unsecured corporate debt. Our CLO Fund Securities that are subordinated securities or preferred shares (“junior securities”) are subordinated to senior note holders who typically receive a return on their investment at a fixed spread relative to the SOFR index. The CLO Funds are leveraged funds and any excess cash flow or “excess spread” (interest earned by the underlying securities in the fund less payments made to senior bond holders and less fund expenses and management fees) is paid to the holders of the CLO Fund’s subordinated securities or preferred shares. The level of excess spread from CLO Fund Securities can be impacted by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resulting cash distributions to us can vary significantly.</w:t>
      </w:r>
    </w:p>
    <w:p>
      <w:pPr>
        <w:spacing w:after="0" w:line="71" w:lineRule="exact"/>
        <w:rPr>
          <w:sz w:val="20"/>
          <w:szCs w:val="20"/>
          <w:color w:val="auto"/>
        </w:rPr>
      </w:pPr>
    </w:p>
    <w:p>
      <w:pPr>
        <w:ind w:right="20" w:firstLine="348"/>
        <w:spacing w:after="0" w:line="258" w:lineRule="auto"/>
        <w:rPr>
          <w:sz w:val="20"/>
          <w:szCs w:val="20"/>
          <w:color w:val="auto"/>
        </w:rPr>
      </w:pPr>
      <w:r>
        <w:rPr>
          <w:rFonts w:ascii="Times New Roman" w:cs="Times New Roman" w:eastAsia="Times New Roman" w:hAnsi="Times New Roman"/>
          <w:sz w:val="13"/>
          <w:szCs w:val="13"/>
          <w:color w:val="auto"/>
        </w:rPr>
        <w:t xml:space="preserve">Interest income on investments in CLO equity investments is recorded using the effective interest method in accordance with the provisions of ASC 325-40, </w:t>
      </w:r>
      <w:r>
        <w:rPr>
          <w:rFonts w:ascii="Times New Roman" w:cs="Times New Roman" w:eastAsia="Times New Roman" w:hAnsi="Times New Roman"/>
          <w:sz w:val="13"/>
          <w:szCs w:val="13"/>
          <w:i w:val="1"/>
          <w:iCs w:val="1"/>
          <w:color w:val="auto"/>
        </w:rPr>
        <w:t>Beneficial Interests in Securitized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Financial Assets </w:t>
      </w:r>
      <w:r>
        <w:rPr>
          <w:rFonts w:ascii="Times New Roman" w:cs="Times New Roman" w:eastAsia="Times New Roman" w:hAnsi="Times New Roman"/>
          <w:sz w:val="13"/>
          <w:szCs w:val="13"/>
          <w:color w:val="auto"/>
        </w:rPr>
        <w:t>(“ASC 325-40”), based on the anticipated yield and the estimated cash flows over the projected life of the investment. Yields are revised when there are changes in actual or estimated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projected future cash flows due to changes in prepayments and/or re- 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our U.S. GAAP statement of operations differs from both the tax–basis investment income and from the cash distributions actually received by us during the period. As a RIC, we anticipate a timely distribution of our tax-basis taxable income.</w:t>
      </w:r>
    </w:p>
    <w:p>
      <w:pPr>
        <w:spacing w:after="0" w:line="68" w:lineRule="exact"/>
        <w:rPr>
          <w:sz w:val="20"/>
          <w:szCs w:val="20"/>
          <w:color w:val="auto"/>
        </w:rPr>
      </w:pPr>
    </w:p>
    <w:p>
      <w:pPr>
        <w:jc w:val="both"/>
        <w:ind w:right="100" w:firstLine="348"/>
        <w:spacing w:after="0" w:line="263" w:lineRule="auto"/>
        <w:rPr>
          <w:sz w:val="20"/>
          <w:szCs w:val="20"/>
          <w:color w:val="auto"/>
        </w:rPr>
      </w:pPr>
      <w:r>
        <w:rPr>
          <w:rFonts w:ascii="Times New Roman" w:cs="Times New Roman" w:eastAsia="Times New Roman" w:hAnsi="Times New Roman"/>
          <w:sz w:val="13"/>
          <w:szCs w:val="13"/>
          <w:i w:val="1"/>
          <w:iCs w:val="1"/>
          <w:color w:val="auto"/>
        </w:rPr>
        <w:t xml:space="preserve">Investments in Joint Ventures. </w:t>
      </w:r>
      <w:r>
        <w:rPr>
          <w:rFonts w:ascii="Times New Roman" w:cs="Times New Roman" w:eastAsia="Times New Roman" w:hAnsi="Times New Roman"/>
          <w:sz w:val="13"/>
          <w:szCs w:val="13"/>
          <w:color w:val="auto"/>
        </w:rPr>
        <w:t>For the years ended December 31, 2024, 2023 and 2022,we recognized $6.6 million, $8.9 million and $8.6 million, respectively, in investment income from our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investments in Joint Ventures. As of December 31, 2024 and December 31, 2023, the fair value of our investments in Joint Ventures was approximately $54.2 million and $59.3 million, respectively. The final determination of the tax attributes of distributions from Joint Ventures is made on an annual (full calendar year) basis at the end of the year based upon taxable income and distributions for the full year. Therefore, any estimate of tax attributes of distributions made on an interim basis may not be representative of the actual tax attributes of distributions for the full year.</w:t>
      </w:r>
    </w:p>
    <w:p>
      <w:pPr>
        <w:spacing w:after="0" w:line="65" w:lineRule="exact"/>
        <w:rPr>
          <w:sz w:val="20"/>
          <w:szCs w:val="20"/>
          <w:color w:val="auto"/>
        </w:rPr>
      </w:pPr>
    </w:p>
    <w:p>
      <w:pPr>
        <w:ind w:right="220" w:firstLine="348"/>
        <w:spacing w:after="0" w:line="263" w:lineRule="auto"/>
        <w:rPr>
          <w:sz w:val="20"/>
          <w:szCs w:val="20"/>
          <w:color w:val="auto"/>
        </w:rPr>
      </w:pPr>
      <w:r>
        <w:rPr>
          <w:rFonts w:ascii="Times New Roman" w:cs="Times New Roman" w:eastAsia="Times New Roman" w:hAnsi="Times New Roman"/>
          <w:sz w:val="13"/>
          <w:szCs w:val="13"/>
          <w:i w:val="1"/>
          <w:iCs w:val="1"/>
          <w:color w:val="auto"/>
        </w:rPr>
        <w:t>Fees and other income</w:t>
      </w:r>
      <w:r>
        <w:rPr>
          <w:rFonts w:ascii="Times New Roman" w:cs="Times New Roman" w:eastAsia="Times New Roman" w:hAnsi="Times New Roman"/>
          <w:sz w:val="13"/>
          <w:szCs w:val="13"/>
          <w:color w:val="auto"/>
        </w:rPr>
        <w:t>. Origination fees (to the extent services are performed to earn such income upon closing), amendment fees, consent fees, and other fees associated with investments in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portfolio companies are recognized as income when they are earned. Prepayment penalties received by the Company for debt instruments repaid prior to maturity date are recorded as income upon receipt. For the years ended December 31, 2024, 2023 and 2022, approximately $0.8 million, $1.9 million and $1.2 million, respectively, of investment income was attributable to fees and other income.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Expenses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1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1800" w:type="dxa"/>
            <w:vAlign w:val="bottom"/>
          </w:tcPr>
          <w:p>
            <w:pPr>
              <w:spacing w:after="0"/>
              <w:rPr>
                <w:sz w:val="14"/>
                <w:szCs w:val="14"/>
                <w:color w:val="auto"/>
              </w:rPr>
            </w:pPr>
          </w:p>
        </w:tc>
        <w:tc>
          <w:tcPr>
            <w:tcW w:w="1120" w:type="dxa"/>
            <w:vAlign w:val="bottom"/>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0" w:type="dxa"/>
            <w:vAlign w:val="bottom"/>
          </w:tcPr>
          <w:p>
            <w:pPr>
              <w:spacing w:after="0"/>
              <w:rPr>
                <w:sz w:val="14"/>
                <w:szCs w:val="14"/>
                <w:color w:val="auto"/>
              </w:rPr>
            </w:pPr>
          </w:p>
        </w:tc>
        <w:tc>
          <w:tcPr>
            <w:tcW w:w="1400" w:type="dxa"/>
            <w:vAlign w:val="bottom"/>
          </w:tcPr>
          <w:p>
            <w:pPr>
              <w:jc w:val="right"/>
              <w:ind w:right="774"/>
              <w:spacing w:after="0"/>
              <w:rPr>
                <w:sz w:val="20"/>
                <w:szCs w:val="20"/>
                <w:color w:val="auto"/>
              </w:rPr>
            </w:pPr>
            <w:r>
              <w:rPr>
                <w:rFonts w:ascii="Times New Roman" w:cs="Times New Roman" w:eastAsia="Times New Roman" w:hAnsi="Times New Roman"/>
                <w:sz w:val="13"/>
                <w:szCs w:val="13"/>
                <w:b w:val="1"/>
                <w:bCs w:val="1"/>
                <w:color w:val="auto"/>
              </w:rPr>
              <w:t>2023</w:t>
            </w:r>
          </w:p>
        </w:tc>
        <w:tc>
          <w:tcPr>
            <w:tcW w:w="360" w:type="dxa"/>
            <w:vAlign w:val="bottom"/>
          </w:tcPr>
          <w:p>
            <w:pPr>
              <w:spacing w:after="0"/>
              <w:rPr>
                <w:sz w:val="14"/>
                <w:szCs w:val="14"/>
                <w:color w:val="auto"/>
              </w:rPr>
            </w:pPr>
          </w:p>
        </w:tc>
        <w:tc>
          <w:tcPr>
            <w:tcW w:w="1140" w:type="dxa"/>
            <w:vAlign w:val="bottom"/>
          </w:tcPr>
          <w:p>
            <w:pPr>
              <w:jc w:val="right"/>
              <w:ind w:right="574"/>
              <w:spacing w:after="0"/>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156"/>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18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Management fees</w:t>
            </w:r>
          </w:p>
        </w:tc>
        <w:tc>
          <w:tcPr>
            <w:tcW w:w="180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6,559</w:t>
            </w:r>
          </w:p>
        </w:tc>
        <w:tc>
          <w:tcPr>
            <w:tcW w:w="60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7,452</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8,349</w:t>
            </w:r>
          </w:p>
        </w:tc>
        <w:tc>
          <w:tcPr>
            <w:tcW w:w="0" w:type="dxa"/>
            <w:vAlign w:val="bottom"/>
          </w:tcPr>
          <w:p>
            <w:pPr>
              <w:spacing w:after="0"/>
              <w:rPr>
                <w:sz w:val="1"/>
                <w:szCs w:val="1"/>
                <w:color w:val="auto"/>
              </w:rPr>
            </w:pPr>
          </w:p>
        </w:tc>
      </w:tr>
      <w:tr>
        <w:trPr>
          <w:trHeight w:val="156"/>
        </w:trPr>
        <w:tc>
          <w:tcPr>
            <w:tcW w:w="4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Performance-based incentive fees</w:t>
            </w:r>
          </w:p>
        </w:tc>
        <w:tc>
          <w:tcPr>
            <w:tcW w:w="18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5,012</w:t>
            </w:r>
          </w:p>
        </w:tc>
        <w:tc>
          <w:tcPr>
            <w:tcW w:w="600" w:type="dxa"/>
            <w:vAlign w:val="bottom"/>
            <w:shd w:val="clear" w:color="auto" w:fill="CFF0FC"/>
          </w:tcPr>
          <w:p>
            <w:pPr>
              <w:spacing w:after="0"/>
              <w:rPr>
                <w:sz w:val="13"/>
                <w:szCs w:val="13"/>
                <w:color w:val="auto"/>
              </w:rPr>
            </w:pPr>
          </w:p>
        </w:tc>
        <w:tc>
          <w:tcPr>
            <w:tcW w:w="14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7,374</w:t>
            </w:r>
          </w:p>
        </w:tc>
        <w:tc>
          <w:tcPr>
            <w:tcW w:w="360" w:type="dxa"/>
            <w:vAlign w:val="bottom"/>
            <w:shd w:val="clear" w:color="auto" w:fill="CFF0FC"/>
          </w:tcPr>
          <w:p>
            <w:pPr>
              <w:spacing w:after="0"/>
              <w:rPr>
                <w:sz w:val="13"/>
                <w:szCs w:val="13"/>
                <w:color w:val="auto"/>
              </w:rPr>
            </w:pPr>
          </w:p>
        </w:tc>
        <w:tc>
          <w:tcPr>
            <w:tcW w:w="11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6,126</w:t>
            </w:r>
          </w:p>
        </w:tc>
        <w:tc>
          <w:tcPr>
            <w:tcW w:w="0" w:type="dxa"/>
            <w:vAlign w:val="bottom"/>
          </w:tcPr>
          <w:p>
            <w:pPr>
              <w:spacing w:after="0"/>
              <w:rPr>
                <w:sz w:val="1"/>
                <w:szCs w:val="1"/>
                <w:color w:val="auto"/>
              </w:rPr>
            </w:pPr>
          </w:p>
        </w:tc>
      </w:tr>
      <w:tr>
        <w:trPr>
          <w:trHeight w:val="156"/>
        </w:trPr>
        <w:tc>
          <w:tcPr>
            <w:tcW w:w="4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and amortization of debt issuance costs</w:t>
            </w:r>
          </w:p>
        </w:tc>
        <w:tc>
          <w:tcPr>
            <w:tcW w:w="18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20,782</w:t>
            </w:r>
          </w:p>
        </w:tc>
        <w:tc>
          <w:tcPr>
            <w:tcW w:w="600" w:type="dxa"/>
            <w:vAlign w:val="bottom"/>
          </w:tcPr>
          <w:p>
            <w:pPr>
              <w:spacing w:after="0"/>
              <w:rPr>
                <w:sz w:val="13"/>
                <w:szCs w:val="13"/>
                <w:color w:val="auto"/>
              </w:rPr>
            </w:pP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25,306</w:t>
            </w:r>
          </w:p>
        </w:tc>
        <w:tc>
          <w:tcPr>
            <w:tcW w:w="360" w:type="dxa"/>
            <w:vAlign w:val="bottom"/>
          </w:tcPr>
          <w:p>
            <w:pPr>
              <w:spacing w:after="0"/>
              <w:rPr>
                <w:sz w:val="13"/>
                <w:szCs w:val="13"/>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17,701</w:t>
            </w:r>
          </w:p>
        </w:tc>
        <w:tc>
          <w:tcPr>
            <w:tcW w:w="0" w:type="dxa"/>
            <w:vAlign w:val="bottom"/>
          </w:tcPr>
          <w:p>
            <w:pPr>
              <w:spacing w:after="0"/>
              <w:rPr>
                <w:sz w:val="1"/>
                <w:szCs w:val="1"/>
                <w:color w:val="auto"/>
              </w:rPr>
            </w:pPr>
          </w:p>
        </w:tc>
      </w:tr>
      <w:tr>
        <w:trPr>
          <w:trHeight w:val="156"/>
        </w:trPr>
        <w:tc>
          <w:tcPr>
            <w:tcW w:w="4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Professional fees</w:t>
            </w:r>
          </w:p>
        </w:tc>
        <w:tc>
          <w:tcPr>
            <w:tcW w:w="18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1,873</w:t>
            </w:r>
          </w:p>
        </w:tc>
        <w:tc>
          <w:tcPr>
            <w:tcW w:w="600" w:type="dxa"/>
            <w:vAlign w:val="bottom"/>
            <w:shd w:val="clear" w:color="auto" w:fill="CFF0FC"/>
          </w:tcPr>
          <w:p>
            <w:pPr>
              <w:spacing w:after="0"/>
              <w:rPr>
                <w:sz w:val="13"/>
                <w:szCs w:val="13"/>
                <w:color w:val="auto"/>
              </w:rPr>
            </w:pPr>
          </w:p>
        </w:tc>
        <w:tc>
          <w:tcPr>
            <w:tcW w:w="14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1,999</w:t>
            </w:r>
          </w:p>
        </w:tc>
        <w:tc>
          <w:tcPr>
            <w:tcW w:w="360" w:type="dxa"/>
            <w:vAlign w:val="bottom"/>
            <w:shd w:val="clear" w:color="auto" w:fill="CFF0FC"/>
          </w:tcPr>
          <w:p>
            <w:pPr>
              <w:spacing w:after="0"/>
              <w:rPr>
                <w:sz w:val="13"/>
                <w:szCs w:val="13"/>
                <w:color w:val="auto"/>
              </w:rPr>
            </w:pPr>
          </w:p>
        </w:tc>
        <w:tc>
          <w:tcPr>
            <w:tcW w:w="11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2,768</w:t>
            </w:r>
          </w:p>
        </w:tc>
        <w:tc>
          <w:tcPr>
            <w:tcW w:w="0" w:type="dxa"/>
            <w:vAlign w:val="bottom"/>
          </w:tcPr>
          <w:p>
            <w:pPr>
              <w:spacing w:after="0"/>
              <w:rPr>
                <w:sz w:val="1"/>
                <w:szCs w:val="1"/>
                <w:color w:val="auto"/>
              </w:rPr>
            </w:pPr>
          </w:p>
        </w:tc>
      </w:tr>
      <w:tr>
        <w:trPr>
          <w:trHeight w:val="172"/>
        </w:trPr>
        <w:tc>
          <w:tcPr>
            <w:tcW w:w="4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Administrative services expense</w:t>
            </w:r>
          </w:p>
        </w:tc>
        <w:tc>
          <w:tcPr>
            <w:tcW w:w="18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1,771</w:t>
            </w:r>
          </w:p>
        </w:tc>
        <w:tc>
          <w:tcPr>
            <w:tcW w:w="600" w:type="dxa"/>
            <w:vAlign w:val="bottom"/>
          </w:tcPr>
          <w:p>
            <w:pPr>
              <w:spacing w:after="0"/>
              <w:rPr>
                <w:sz w:val="14"/>
                <w:szCs w:val="14"/>
                <w:color w:val="auto"/>
              </w:rPr>
            </w:pPr>
          </w:p>
        </w:tc>
        <w:tc>
          <w:tcPr>
            <w:tcW w:w="14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2,377</w:t>
            </w:r>
          </w:p>
        </w:tc>
        <w:tc>
          <w:tcPr>
            <w:tcW w:w="360" w:type="dxa"/>
            <w:vAlign w:val="bottom"/>
          </w:tcPr>
          <w:p>
            <w:pPr>
              <w:spacing w:after="0"/>
              <w:rPr>
                <w:sz w:val="14"/>
                <w:szCs w:val="14"/>
                <w:color w:val="auto"/>
              </w:rPr>
            </w:pPr>
          </w:p>
        </w:tc>
        <w:tc>
          <w:tcPr>
            <w:tcW w:w="114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3,364</w:t>
            </w:r>
          </w:p>
        </w:tc>
        <w:tc>
          <w:tcPr>
            <w:tcW w:w="0" w:type="dxa"/>
            <w:vAlign w:val="bottom"/>
          </w:tcPr>
          <w:p>
            <w:pPr>
              <w:spacing w:after="0"/>
              <w:rPr>
                <w:sz w:val="1"/>
                <w:szCs w:val="1"/>
                <w:color w:val="auto"/>
              </w:rPr>
            </w:pPr>
          </w:p>
        </w:tc>
      </w:tr>
      <w:tr>
        <w:trPr>
          <w:trHeight w:val="104"/>
        </w:trPr>
        <w:tc>
          <w:tcPr>
            <w:tcW w:w="41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4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Directors' expense</w:t>
            </w:r>
          </w:p>
        </w:tc>
        <w:tc>
          <w:tcPr>
            <w:tcW w:w="18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610</w:t>
            </w:r>
          </w:p>
        </w:tc>
        <w:tc>
          <w:tcPr>
            <w:tcW w:w="600" w:type="dxa"/>
            <w:vAlign w:val="bottom"/>
            <w:shd w:val="clear" w:color="auto" w:fill="CFF0FC"/>
          </w:tcPr>
          <w:p>
            <w:pPr>
              <w:spacing w:after="0"/>
              <w:rPr>
                <w:sz w:val="13"/>
                <w:szCs w:val="13"/>
                <w:color w:val="auto"/>
              </w:rPr>
            </w:pPr>
          </w:p>
        </w:tc>
        <w:tc>
          <w:tcPr>
            <w:tcW w:w="14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630</w:t>
            </w:r>
          </w:p>
        </w:tc>
        <w:tc>
          <w:tcPr>
            <w:tcW w:w="360" w:type="dxa"/>
            <w:vAlign w:val="bottom"/>
            <w:shd w:val="clear" w:color="auto" w:fill="CFF0FC"/>
          </w:tcPr>
          <w:p>
            <w:pPr>
              <w:spacing w:after="0"/>
              <w:rPr>
                <w:sz w:val="13"/>
                <w:szCs w:val="13"/>
                <w:color w:val="auto"/>
              </w:rPr>
            </w:pPr>
          </w:p>
        </w:tc>
        <w:tc>
          <w:tcPr>
            <w:tcW w:w="11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632</w:t>
            </w:r>
          </w:p>
        </w:tc>
        <w:tc>
          <w:tcPr>
            <w:tcW w:w="0" w:type="dxa"/>
            <w:vAlign w:val="bottom"/>
          </w:tcPr>
          <w:p>
            <w:pPr>
              <w:spacing w:after="0"/>
              <w:rPr>
                <w:sz w:val="1"/>
                <w:szCs w:val="1"/>
                <w:color w:val="auto"/>
              </w:rPr>
            </w:pPr>
          </w:p>
        </w:tc>
      </w:tr>
      <w:tr>
        <w:trPr>
          <w:trHeight w:val="156"/>
        </w:trPr>
        <w:tc>
          <w:tcPr>
            <w:tcW w:w="4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general and administrative expenses</w:t>
            </w:r>
          </w:p>
        </w:tc>
        <w:tc>
          <w:tcPr>
            <w:tcW w:w="18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1,781</w:t>
            </w:r>
          </w:p>
        </w:tc>
        <w:tc>
          <w:tcPr>
            <w:tcW w:w="600" w:type="dxa"/>
            <w:vAlign w:val="bottom"/>
          </w:tcPr>
          <w:p>
            <w:pPr>
              <w:spacing w:after="0"/>
              <w:rPr>
                <w:sz w:val="13"/>
                <w:szCs w:val="13"/>
                <w:color w:val="auto"/>
              </w:rPr>
            </w:pPr>
          </w:p>
        </w:tc>
        <w:tc>
          <w:tcPr>
            <w:tcW w:w="14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1,713</w:t>
            </w:r>
          </w:p>
        </w:tc>
        <w:tc>
          <w:tcPr>
            <w:tcW w:w="360" w:type="dxa"/>
            <w:vAlign w:val="bottom"/>
          </w:tcPr>
          <w:p>
            <w:pPr>
              <w:spacing w:after="0"/>
              <w:rPr>
                <w:sz w:val="13"/>
                <w:szCs w:val="13"/>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1,784</w:t>
            </w:r>
          </w:p>
        </w:tc>
        <w:tc>
          <w:tcPr>
            <w:tcW w:w="0" w:type="dxa"/>
            <w:vAlign w:val="bottom"/>
          </w:tcPr>
          <w:p>
            <w:pPr>
              <w:spacing w:after="0"/>
              <w:rPr>
                <w:sz w:val="1"/>
                <w:szCs w:val="1"/>
                <w:color w:val="auto"/>
              </w:rPr>
            </w:pPr>
          </w:p>
        </w:tc>
      </w:tr>
      <w:tr>
        <w:trPr>
          <w:trHeight w:val="156"/>
        </w:trPr>
        <w:tc>
          <w:tcPr>
            <w:tcW w:w="41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Total expenses</w:t>
            </w:r>
          </w:p>
        </w:tc>
        <w:tc>
          <w:tcPr>
            <w:tcW w:w="180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38,388</w:t>
            </w:r>
          </w:p>
        </w:tc>
        <w:tc>
          <w:tcPr>
            <w:tcW w:w="600" w:type="dxa"/>
            <w:vAlign w:val="bottom"/>
            <w:shd w:val="clear" w:color="auto" w:fill="CFF0FC"/>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46,851</w:t>
            </w:r>
          </w:p>
        </w:tc>
        <w:tc>
          <w:tcPr>
            <w:tcW w:w="36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40,724</w:t>
            </w:r>
          </w:p>
        </w:tc>
        <w:tc>
          <w:tcPr>
            <w:tcW w:w="0" w:type="dxa"/>
            <w:vAlign w:val="bottom"/>
          </w:tcPr>
          <w:p>
            <w:pPr>
              <w:spacing w:after="0"/>
              <w:rPr>
                <w:sz w:val="1"/>
                <w:szCs w:val="1"/>
                <w:color w:val="auto"/>
              </w:rPr>
            </w:pPr>
          </w:p>
        </w:tc>
      </w:tr>
      <w:tr>
        <w:trPr>
          <w:trHeight w:val="156"/>
        </w:trPr>
        <w:tc>
          <w:tcPr>
            <w:tcW w:w="4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Expense reimbursement</w:t>
            </w:r>
          </w:p>
        </w:tc>
        <w:tc>
          <w:tcPr>
            <w:tcW w:w="18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spacing w:after="0"/>
              <w:rPr>
                <w:sz w:val="13"/>
                <w:szCs w:val="13"/>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(5,309)</w:t>
            </w:r>
          </w:p>
        </w:tc>
        <w:tc>
          <w:tcPr>
            <w:tcW w:w="360" w:type="dxa"/>
            <w:vAlign w:val="bottom"/>
          </w:tcPr>
          <w:p>
            <w:pPr>
              <w:spacing w:after="0"/>
              <w:rPr>
                <w:sz w:val="13"/>
                <w:szCs w:val="13"/>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41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Net Expenses</w:t>
            </w:r>
          </w:p>
        </w:tc>
        <w:tc>
          <w:tcPr>
            <w:tcW w:w="180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38,388</w:t>
            </w:r>
          </w:p>
        </w:tc>
        <w:tc>
          <w:tcPr>
            <w:tcW w:w="600" w:type="dxa"/>
            <w:vAlign w:val="bottom"/>
            <w:shd w:val="clear" w:color="auto" w:fill="CFF0FC"/>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41,542</w:t>
            </w:r>
          </w:p>
        </w:tc>
        <w:tc>
          <w:tcPr>
            <w:tcW w:w="36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40,724</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right="80" w:firstLine="348"/>
        <w:spacing w:after="0" w:line="286" w:lineRule="auto"/>
        <w:rPr>
          <w:sz w:val="20"/>
          <w:szCs w:val="20"/>
          <w:color w:val="auto"/>
        </w:rPr>
      </w:pPr>
      <w:r>
        <w:rPr>
          <w:rFonts w:ascii="Times New Roman" w:cs="Times New Roman" w:eastAsia="Times New Roman" w:hAnsi="Times New Roman"/>
          <w:sz w:val="13"/>
          <w:szCs w:val="13"/>
          <w:color w:val="auto"/>
        </w:rPr>
        <w:t>In connection with the Advisory Agreement, we pay the Adviser certain investment advisory fees and reimburse the Adviser and Administrator for certain expenses incurred in connection with the services they provide. We bear our allocable portion of the compensation paid by the Adviser (or its affiliates) to our chief</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86" w:right="660" w:bottom="1440" w:gutter="0" w:footer="0" w:header="0"/>
        </w:sectPr>
      </w:pPr>
    </w:p>
    <w:bookmarkStart w:id="42" w:name="page43"/>
    <w:bookmarkEnd w:id="42"/>
    <w:p>
      <w:pPr>
        <w:ind w:right="40"/>
        <w:spacing w:after="0" w:line="262" w:lineRule="auto"/>
        <w:rPr>
          <w:sz w:val="20"/>
          <w:szCs w:val="20"/>
          <w:color w:val="auto"/>
        </w:rPr>
      </w:pPr>
      <w:r>
        <w:rPr>
          <w:rFonts w:ascii="Times New Roman" w:cs="Times New Roman" w:eastAsia="Times New Roman" w:hAnsi="Times New Roman"/>
          <w:sz w:val="13"/>
          <w:szCs w:val="13"/>
          <w:color w:val="auto"/>
        </w:rPr>
        <w:t>compliance officer and chief financial officer and their respective staffs (based on a percentage of time such individuals devote, on an estimated basis, to our business affairs). We also bear all other costs and expenses of our operations, administration and transactions, including, but not limited to (i) investment advisory fees, including management fees and incentive fees, to the Adviser, pursuant to the Advisory Agreement; (ii) our allocable portion of overhead and other expenses incurred by the Adviser (or its affiliates) in performing its administrative obligations under the Advisory Agreement, and (iii) all other expenses of our operations and transactions including, without limitation, those relating to:</w:t>
      </w:r>
    </w:p>
    <w:p>
      <w:pPr>
        <w:spacing w:after="0" w:line="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•the cost of calculating our net asset value, including the cost of any third-party valuation services;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•the cost of effecting any sales and repurchases of our common stock and other securities;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•fees and expenses payable under any dealer manager or placement agent agreements, if any;</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•administration fees payable under the Administration Agreement and any sub-administration agreements, including related expenses;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•debt service and other costs of borrowings or other financing arrangements;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•costs of hedging;</w:t>
      </w:r>
    </w:p>
    <w:p>
      <w:pPr>
        <w:spacing w:after="0" w:line="103" w:lineRule="exact"/>
        <w:rPr>
          <w:sz w:val="20"/>
          <w:szCs w:val="20"/>
          <w:color w:val="auto"/>
        </w:rPr>
      </w:pPr>
    </w:p>
    <w:p>
      <w:pPr>
        <w:ind w:left="360"/>
        <w:spacing w:after="0" w:line="286" w:lineRule="auto"/>
        <w:rPr>
          <w:sz w:val="20"/>
          <w:szCs w:val="20"/>
          <w:color w:val="auto"/>
        </w:rPr>
      </w:pPr>
      <w:r>
        <w:rPr>
          <w:rFonts w:ascii="Times New Roman" w:cs="Times New Roman" w:eastAsia="Times New Roman" w:hAnsi="Times New Roman"/>
          <w:sz w:val="13"/>
          <w:szCs w:val="13"/>
          <w:color w:val="auto"/>
        </w:rPr>
        <w:t>•expenses, including travel expense, incurred by the Adviser, or members of the investment team, or payable to third parties, performing due diligence on prospective portfolio companies and, if necessary, enforcing our rights;</w:t>
      </w:r>
    </w:p>
    <w:p>
      <w:pPr>
        <w:spacing w:after="0" w:line="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•transfer agent and custodial fees;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•fees and expenses associated with marketing efforts;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•federal and state registration fees, any stock exchange listing fees and fees payable to rating agencies;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•federal, state and local taxes;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•independent directors’ fees and expenses including certain travel expenses;</w:t>
      </w:r>
    </w:p>
    <w:p>
      <w:pPr>
        <w:spacing w:after="0" w:line="103" w:lineRule="exact"/>
        <w:rPr>
          <w:sz w:val="20"/>
          <w:szCs w:val="20"/>
          <w:color w:val="auto"/>
        </w:rPr>
      </w:pPr>
    </w:p>
    <w:p>
      <w:pPr>
        <w:ind w:left="360" w:right="120"/>
        <w:spacing w:after="0" w:line="286" w:lineRule="auto"/>
        <w:rPr>
          <w:sz w:val="20"/>
          <w:szCs w:val="20"/>
          <w:color w:val="auto"/>
        </w:rPr>
      </w:pPr>
      <w:r>
        <w:rPr>
          <w:rFonts w:ascii="Times New Roman" w:cs="Times New Roman" w:eastAsia="Times New Roman" w:hAnsi="Times New Roman"/>
          <w:sz w:val="13"/>
          <w:szCs w:val="13"/>
          <w:color w:val="auto"/>
        </w:rPr>
        <w:t>•costs of preparing financial statements and maintaining books and records and filing reports or other documents with the SEC (or other regulatory bodies) and other reporting and compliance costs, including registration and listing fees, and the compensation of professionals responsible for the preparation of the foregoing;</w:t>
      </w:r>
    </w:p>
    <w:p>
      <w:pPr>
        <w:spacing w:after="0" w:line="52" w:lineRule="exact"/>
        <w:rPr>
          <w:sz w:val="20"/>
          <w:szCs w:val="20"/>
          <w:color w:val="auto"/>
        </w:rPr>
      </w:pPr>
    </w:p>
    <w:p>
      <w:pPr>
        <w:ind w:left="360" w:right="300"/>
        <w:spacing w:after="0" w:line="286" w:lineRule="auto"/>
        <w:rPr>
          <w:sz w:val="20"/>
          <w:szCs w:val="20"/>
          <w:color w:val="auto"/>
        </w:rPr>
      </w:pPr>
      <w:r>
        <w:rPr>
          <w:rFonts w:ascii="Times New Roman" w:cs="Times New Roman" w:eastAsia="Times New Roman" w:hAnsi="Times New Roman"/>
          <w:sz w:val="13"/>
          <w:szCs w:val="13"/>
          <w:color w:val="auto"/>
        </w:rPr>
        <w:t>•the costs of any reports, proxy statements or other notices to stockholders (including printing and mailing costs), the costs of any stockholder or director meetings and the compensation of personnel responsible for the preparation of the foregoing and related matters;</w:t>
      </w:r>
    </w:p>
    <w:p>
      <w:pPr>
        <w:spacing w:after="0" w:line="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•commissions and other compensation payable to brokers or dealers;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•research and market data;</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•fidelity bond, directors and officers errors and omissions liability insurance and other insurance premiums;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•direct costs and expenses of administration, including printing, mailing, long distance telephone and staff;</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•fees and expenses associated with independent audits, outside legal and consulting costs;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•costs of winding up our affairs;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•costs incurred by either the Administrator or us in connection with administering our business, including payments under the Administration Agreement;</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•extraordinary expenses (such as litigation or indemnification); and</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•costs associated with reporting and compliance obligations under the 1940 Act and applicable federal and state securities laws.</w:t>
      </w:r>
    </w:p>
    <w:p>
      <w:pPr>
        <w:spacing w:after="0" w:line="103" w:lineRule="exact"/>
        <w:rPr>
          <w:sz w:val="20"/>
          <w:szCs w:val="20"/>
          <w:color w:val="auto"/>
        </w:rPr>
      </w:pPr>
    </w:p>
    <w:p>
      <w:pPr>
        <w:ind w:right="60" w:firstLine="414"/>
        <w:spacing w:after="0" w:line="268" w:lineRule="auto"/>
        <w:rPr>
          <w:sz w:val="20"/>
          <w:szCs w:val="20"/>
          <w:color w:val="auto"/>
        </w:rPr>
      </w:pPr>
      <w:r>
        <w:rPr>
          <w:rFonts w:ascii="Times New Roman" w:cs="Times New Roman" w:eastAsia="Times New Roman" w:hAnsi="Times New Roman"/>
          <w:sz w:val="13"/>
          <w:szCs w:val="13"/>
          <w:color w:val="auto"/>
        </w:rPr>
        <w:t>Total expenses for the years ended December 31, 2024, 2023 and 2022 were approximately $38.4 million, $46.9 million and $40.7 million, respectively. The decrease in total expenses for the year ended December 31, 2024, in comparison to the prior year, was primarily driven by a decrease in average debt outstanding and lower cost of debt capital as well as lower management and incentive fees.</w:t>
      </w:r>
    </w:p>
    <w:p>
      <w:pPr>
        <w:spacing w:after="0" w:line="61" w:lineRule="exact"/>
        <w:rPr>
          <w:sz w:val="20"/>
          <w:szCs w:val="20"/>
          <w:color w:val="auto"/>
        </w:rPr>
      </w:pPr>
    </w:p>
    <w:p>
      <w:pPr>
        <w:ind w:right="60" w:firstLine="348"/>
        <w:spacing w:after="0" w:line="263" w:lineRule="auto"/>
        <w:rPr>
          <w:sz w:val="20"/>
          <w:szCs w:val="20"/>
          <w:color w:val="auto"/>
        </w:rPr>
      </w:pPr>
      <w:r>
        <w:rPr>
          <w:rFonts w:ascii="Times New Roman" w:cs="Times New Roman" w:eastAsia="Times New Roman" w:hAnsi="Times New Roman"/>
          <w:sz w:val="13"/>
          <w:szCs w:val="13"/>
          <w:i w:val="1"/>
          <w:iCs w:val="1"/>
          <w:color w:val="auto"/>
        </w:rPr>
        <w:t xml:space="preserve">Management Fees and Incentive Fees. </w:t>
      </w:r>
      <w:r>
        <w:rPr>
          <w:rFonts w:ascii="Times New Roman" w:cs="Times New Roman" w:eastAsia="Times New Roman" w:hAnsi="Times New Roman"/>
          <w:sz w:val="13"/>
          <w:szCs w:val="13"/>
          <w:color w:val="auto"/>
        </w:rPr>
        <w:t>Management fees for the years ended December 31, 2024, 2023 and 2022 were approximately $6.6 million, $7.5 million and $8.3 million, respectively.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decrease of the management fees for the year ended December 31, 2024 from the comparable period in 2023 was primarily due to the decrease in the average gross assets. The Company incurred incentive fees of $5.0 million, $7.4 million, and $6.1 million for the years ended December 31, 2024, 2023 and 2022, respectively. The decrease of the incentive fees for the year ended December 31, 2024 from the comparable period in 2023 was primarily due to the decrease in the Income-Based Fee.</w:t>
      </w:r>
    </w:p>
    <w:p>
      <w:pPr>
        <w:spacing w:after="0" w:line="65" w:lineRule="exact"/>
        <w:rPr>
          <w:sz w:val="20"/>
          <w:szCs w:val="20"/>
          <w:color w:val="auto"/>
        </w:rPr>
      </w:pPr>
    </w:p>
    <w:p>
      <w:pPr>
        <w:ind w:firstLine="348"/>
        <w:spacing w:after="0" w:line="263" w:lineRule="auto"/>
        <w:rPr>
          <w:sz w:val="20"/>
          <w:szCs w:val="20"/>
          <w:color w:val="auto"/>
        </w:rPr>
      </w:pPr>
      <w:r>
        <w:rPr>
          <w:rFonts w:ascii="Times New Roman" w:cs="Times New Roman" w:eastAsia="Times New Roman" w:hAnsi="Times New Roman"/>
          <w:sz w:val="13"/>
          <w:szCs w:val="13"/>
          <w:i w:val="1"/>
          <w:iCs w:val="1"/>
          <w:color w:val="auto"/>
        </w:rPr>
        <w:t>Interest and Amortization of Debt Issuance Costs</w:t>
      </w:r>
      <w:r>
        <w:rPr>
          <w:rFonts w:ascii="Times New Roman" w:cs="Times New Roman" w:eastAsia="Times New Roman" w:hAnsi="Times New Roman"/>
          <w:sz w:val="13"/>
          <w:szCs w:val="13"/>
          <w:color w:val="auto"/>
        </w:rPr>
        <w:t>. Interest expense is dependent on the average outstanding balance on our borrowings and the base index rate for the period. Debt issuance costs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represent fees and other direct costs incurred in connection with our borrowings. These amounts are capitalized and amortized over the expected term of the borrowing. For the years ended December 31, 2024, 2023 and 2022, interest expense and amortization of debt issuance costs for the period was approximately $20.8 million, $25.3 million and $17.7 million, respectively, on average debt outstanding of $285.9 million, $343.0 million, and $363.0 million, respectively.</w:t>
      </w:r>
    </w:p>
    <w:p>
      <w:pPr>
        <w:spacing w:after="0" w:line="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i w:val="1"/>
          <w:iCs w:val="1"/>
          <w:color w:val="auto"/>
        </w:rPr>
        <w:t>Directors' Expense</w:t>
      </w:r>
      <w:r>
        <w:rPr>
          <w:rFonts w:ascii="Times New Roman" w:cs="Times New Roman" w:eastAsia="Times New Roman" w:hAnsi="Times New Roman"/>
          <w:sz w:val="13"/>
          <w:szCs w:val="13"/>
          <w:color w:val="auto"/>
        </w:rPr>
        <w:t>. Directors' expense for the years ended December 31, 2024, 2023 and 2022 was approximately $0.6 million, $0.6 million and $0.6 million, respectively.</w:t>
      </w:r>
    </w:p>
    <w:p>
      <w:pPr>
        <w:spacing w:after="0" w:line="103" w:lineRule="exact"/>
        <w:rPr>
          <w:sz w:val="20"/>
          <w:szCs w:val="20"/>
          <w:color w:val="auto"/>
        </w:rPr>
      </w:pPr>
    </w:p>
    <w:p>
      <w:pPr>
        <w:ind w:right="240" w:firstLine="348"/>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Professional Fees and General and Administrative Expenses. </w:t>
      </w:r>
      <w:r>
        <w:rPr>
          <w:rFonts w:ascii="Times New Roman" w:cs="Times New Roman" w:eastAsia="Times New Roman" w:hAnsi="Times New Roman"/>
          <w:sz w:val="13"/>
          <w:szCs w:val="13"/>
          <w:color w:val="auto"/>
        </w:rPr>
        <w:t>The balance of our expenses includes professional fees (primarily legal, accounting, valuation and other professional services),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insurance costs, and administrative services expense under the Administration Agreement and general administrative and other costs.</w:t>
      </w:r>
    </w:p>
    <w:p>
      <w:pPr>
        <w:spacing w:after="0" w:line="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For the years ended December 31, 2024, 2023 and 2022, professional fees totaled approximately $1.9 million, $2.0 million and $2.8 million, respectively.</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For the years ended December 31, 2024, 2023 and 2022, administrative services expense was approximately $1.8 million, $2.4 million, and $3.4 million, respectively.</w:t>
      </w:r>
    </w:p>
    <w:p>
      <w:pPr>
        <w:spacing w:after="0" w:line="103" w:lineRule="exact"/>
        <w:rPr>
          <w:sz w:val="20"/>
          <w:szCs w:val="20"/>
          <w:color w:val="auto"/>
        </w:rPr>
      </w:pPr>
    </w:p>
    <w:p>
      <w:pPr>
        <w:ind w:right="200" w:firstLine="348"/>
        <w:spacing w:after="0" w:line="286" w:lineRule="auto"/>
        <w:rPr>
          <w:sz w:val="20"/>
          <w:szCs w:val="20"/>
          <w:color w:val="auto"/>
        </w:rPr>
      </w:pPr>
      <w:r>
        <w:rPr>
          <w:rFonts w:ascii="Times New Roman" w:cs="Times New Roman" w:eastAsia="Times New Roman" w:hAnsi="Times New Roman"/>
          <w:sz w:val="13"/>
          <w:szCs w:val="13"/>
          <w:color w:val="auto"/>
        </w:rPr>
        <w:t>Other general and administrative expenses, which includes technology and other office and administrative expenses, totaled approximately $1.8 million, $1.7 million and $1.8 million for the years ended December 31, 2024, 2023 and 2022, respectively.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86" w:right="680" w:bottom="1440" w:gutter="0" w:footer="0" w:header="0"/>
        </w:sectPr>
      </w:pPr>
    </w:p>
    <w:bookmarkStart w:id="43" w:name="page44"/>
    <w:bookmarkEnd w:id="43"/>
    <w:p>
      <w:pPr>
        <w:ind w:right="160" w:firstLine="348"/>
        <w:spacing w:after="0" w:line="262" w:lineRule="auto"/>
        <w:rPr>
          <w:sz w:val="20"/>
          <w:szCs w:val="20"/>
          <w:color w:val="auto"/>
        </w:rPr>
      </w:pPr>
      <w:r>
        <w:rPr>
          <w:rFonts w:ascii="Times New Roman" w:cs="Times New Roman" w:eastAsia="Times New Roman" w:hAnsi="Times New Roman"/>
          <w:sz w:val="13"/>
          <w:szCs w:val="13"/>
          <w:color w:val="auto"/>
        </w:rPr>
        <w:t>During the year ended December 31, 2023, the Adviser reimbursed the Company approximately $5.3 million for expenses relating to certain administrative transition services provided by the former administrative and other personnel of OHAI, GARS and HCAP to the Company following the Company’s acquisition of each of these BDCs. The Adviser reimbursed the Company approximately $1.1 million, $2.1 million, $ 1.6 million, $0.5 million for such expenses paid by the Company during the years ended 2023, 2022, 2021 and 2020, respectively, inclusive of interest. Beginning on October 1, 2023, the Adviser bore and will continue to bear on a go-forward basis the expenses associated with these administrative transition services.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Net Investment Income</w:t>
      </w:r>
    </w:p>
    <w:p>
      <w:pPr>
        <w:spacing w:after="0" w:line="105" w:lineRule="exact"/>
        <w:rPr>
          <w:sz w:val="20"/>
          <w:szCs w:val="20"/>
          <w:color w:val="auto"/>
        </w:rPr>
      </w:pPr>
    </w:p>
    <w:p>
      <w:pPr>
        <w:ind w:right="60" w:firstLine="348"/>
        <w:spacing w:after="0" w:line="262" w:lineRule="auto"/>
        <w:rPr>
          <w:sz w:val="20"/>
          <w:szCs w:val="20"/>
          <w:color w:val="auto"/>
        </w:rPr>
      </w:pPr>
      <w:r>
        <w:rPr>
          <w:rFonts w:ascii="Times New Roman" w:cs="Times New Roman" w:eastAsia="Times New Roman" w:hAnsi="Times New Roman"/>
          <w:sz w:val="13"/>
          <w:szCs w:val="13"/>
          <w:color w:val="auto"/>
        </w:rPr>
        <w:t>For the year ended December 31, 2024, net investment income was approximately $24.0 million, or $2.59 per basic and diluted share, while tax -basis distributable income was $26.5 million, or $2.86 per basic and diluted share. For the year ended December 31, 2023, net investment income was approximately $34.8 million, or $3.66 per basic and diluted share, while tax-basis distributable income was $29.4 million, or $3.09 per basic and diluted share. For the year ended December 31, 2022, net investment income was approximately $28.9 million, or $3.00 per basic and diluted share, while tax-basis distributable income was $29.6 million, or $3.07 per basic and diluted share.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Net Realized Gains (Loss) on Investments</w:t>
      </w:r>
    </w:p>
    <w:p>
      <w:pPr>
        <w:spacing w:after="0" w:line="105" w:lineRule="exact"/>
        <w:rPr>
          <w:sz w:val="20"/>
          <w:szCs w:val="20"/>
          <w:color w:val="auto"/>
        </w:rPr>
      </w:pPr>
    </w:p>
    <w:p>
      <w:pPr>
        <w:ind w:right="160" w:firstLine="348"/>
        <w:spacing w:after="0" w:line="262" w:lineRule="auto"/>
        <w:rPr>
          <w:sz w:val="20"/>
          <w:szCs w:val="20"/>
          <w:color w:val="auto"/>
        </w:rPr>
      </w:pPr>
      <w:r>
        <w:rPr>
          <w:rFonts w:ascii="Times New Roman" w:cs="Times New Roman" w:eastAsia="Times New Roman" w:hAnsi="Times New Roman"/>
          <w:sz w:val="13"/>
          <w:szCs w:val="13"/>
          <w:color w:val="auto"/>
        </w:rPr>
        <w:t>Investments are carried at fair value, with changes in fair value recorded as unrealized appreciation (depreciation) in the consolidated statement of operations. When an investment is sold or liquidated, any previously recognized unrealized appreciation (depreciation) is reversed and a corresponding amount is recognized as realized gain (loss) . For the year ended December 31, 2024, the Company recognized $31.2 million of net realized losses on our portfolio investments. For the year ended December 31, 2023, the Company recognized $26.8 million of net realized losses on our portfolio investments. For the year ended December 31, 2022, the Company recognized $31.2 million of net realized losses on our portfolio investments.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Net Unrealized Appreciation (Depreciation) on Investments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0"/>
        </w:trPr>
        <w:tc>
          <w:tcPr>
            <w:tcW w:w="51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 in thousands)</w:t>
            </w:r>
          </w:p>
        </w:tc>
        <w:tc>
          <w:tcPr>
            <w:tcW w:w="360" w:type="dxa"/>
            <w:vAlign w:val="bottom"/>
          </w:tcPr>
          <w:p>
            <w:pPr>
              <w:spacing w:after="0"/>
              <w:rPr>
                <w:sz w:val="14"/>
                <w:szCs w:val="14"/>
                <w:color w:val="auto"/>
              </w:rPr>
            </w:pPr>
          </w:p>
        </w:tc>
        <w:tc>
          <w:tcPr>
            <w:tcW w:w="1220" w:type="dxa"/>
            <w:vAlign w:val="bottom"/>
          </w:tcPr>
          <w:p>
            <w:pPr>
              <w:jc w:val="right"/>
              <w:ind w:right="595"/>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ind w:right="694"/>
              <w:spacing w:after="0"/>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98"/>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4"/>
                <w:szCs w:val="14"/>
                <w:color w:val="auto"/>
              </w:rPr>
            </w:pPr>
          </w:p>
        </w:tc>
      </w:tr>
      <w:tr>
        <w:trPr>
          <w:trHeight w:val="156"/>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Unrealized Gains (Losses) on Investments:</w:t>
            </w: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6"/>
        </w:trPr>
        <w:tc>
          <w:tcPr>
            <w:tcW w:w="5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change in unrealized appreciation (depreciation) on:</w:t>
            </w: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5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Non-controlled/non-affiliated investments</w:t>
            </w:r>
          </w:p>
        </w:tc>
        <w:tc>
          <w:tcPr>
            <w:tcW w:w="360" w:type="dxa"/>
            <w:vAlign w:val="bottom"/>
            <w:shd w:val="clear" w:color="auto" w:fill="CFF0FC"/>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(2,446 )</w:t>
            </w:r>
          </w:p>
        </w:tc>
        <w:tc>
          <w:tcPr>
            <w:tcW w:w="540" w:type="dxa"/>
            <w:vAlign w:val="bottom"/>
            <w:gridSpan w:val="2"/>
            <w:shd w:val="clear" w:color="auto" w:fill="CFF0FC"/>
          </w:tcPr>
          <w:p>
            <w:pPr>
              <w:jc w:val="right"/>
              <w:ind w:right="274"/>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6,696</w:t>
            </w:r>
          </w:p>
        </w:tc>
        <w:tc>
          <w:tcPr>
            <w:tcW w:w="240" w:type="dxa"/>
            <w:vAlign w:val="bottom"/>
            <w:shd w:val="clear" w:color="auto" w:fill="CFF0FC"/>
          </w:tcPr>
          <w:p>
            <w:pPr>
              <w:spacing w:after="0"/>
              <w:rPr>
                <w:sz w:val="13"/>
                <w:szCs w:val="13"/>
                <w:color w:val="auto"/>
              </w:rPr>
            </w:pPr>
          </w:p>
        </w:tc>
        <w:tc>
          <w:tcPr>
            <w:tcW w:w="360" w:type="dxa"/>
            <w:vAlign w:val="bottom"/>
            <w:shd w:val="clear" w:color="auto" w:fill="CFF0FC"/>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(8,298 )</w:t>
            </w:r>
          </w:p>
        </w:tc>
      </w:tr>
      <w:tr>
        <w:trPr>
          <w:trHeight w:val="192"/>
        </w:trPr>
        <w:tc>
          <w:tcPr>
            <w:tcW w:w="5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Non-controlled affiliated investments</w:t>
            </w:r>
          </w:p>
        </w:tc>
        <w:tc>
          <w:tcPr>
            <w:tcW w:w="360" w:type="dxa"/>
            <w:vAlign w:val="bottom"/>
          </w:tcPr>
          <w:p>
            <w:pPr>
              <w:spacing w:after="0"/>
              <w:rPr>
                <w:sz w:val="16"/>
                <w:szCs w:val="16"/>
                <w:color w:val="auto"/>
              </w:rPr>
            </w:pPr>
          </w:p>
        </w:tc>
        <w:tc>
          <w:tcPr>
            <w:tcW w:w="1320" w:type="dxa"/>
            <w:vAlign w:val="bottom"/>
            <w:gridSpan w:val="2"/>
          </w:tcPr>
          <w:p>
            <w:pPr>
              <w:jc w:val="right"/>
              <w:ind w:right="40"/>
              <w:spacing w:after="0" w:line="192" w:lineRule="exact"/>
              <w:rPr>
                <w:sz w:val="20"/>
                <w:szCs w:val="20"/>
                <w:color w:val="auto"/>
              </w:rPr>
            </w:pPr>
            <w:r>
              <w:rPr>
                <w:rFonts w:ascii="Times New Roman" w:cs="Times New Roman" w:eastAsia="Times New Roman" w:hAnsi="Times New Roman"/>
                <w:sz w:val="12"/>
                <w:szCs w:val="12"/>
                <w:color w:val="auto"/>
              </w:rPr>
              <w:t xml:space="preserve">(4,085 </w:t>
            </w:r>
            <w:r>
              <w:rPr>
                <w:rFonts w:ascii="Times New Roman" w:cs="Times New Roman" w:eastAsia="Times New Roman" w:hAnsi="Times New Roman"/>
                <w:sz w:val="22"/>
                <w:szCs w:val="22"/>
                <w:color w:val="auto"/>
                <w:vertAlign w:val="subscript"/>
              </w:rPr>
              <w:t>)</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980</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gridSpan w:val="2"/>
          </w:tcPr>
          <w:p>
            <w:pPr>
              <w:jc w:val="right"/>
              <w:ind w:right="40"/>
              <w:spacing w:after="0" w:line="192" w:lineRule="exact"/>
              <w:rPr>
                <w:sz w:val="20"/>
                <w:szCs w:val="20"/>
                <w:color w:val="auto"/>
              </w:rPr>
            </w:pPr>
            <w:r>
              <w:rPr>
                <w:rFonts w:ascii="Times New Roman" w:cs="Times New Roman" w:eastAsia="Times New Roman" w:hAnsi="Times New Roman"/>
                <w:sz w:val="12"/>
                <w:szCs w:val="12"/>
                <w:color w:val="auto"/>
              </w:rPr>
              <w:t xml:space="preserve">(1,428 </w:t>
            </w:r>
            <w:r>
              <w:rPr>
                <w:rFonts w:ascii="Times New Roman" w:cs="Times New Roman" w:eastAsia="Times New Roman" w:hAnsi="Times New Roman"/>
                <w:sz w:val="22"/>
                <w:szCs w:val="22"/>
                <w:color w:val="auto"/>
                <w:vertAlign w:val="subscript"/>
              </w:rPr>
              <w:t>)</w:t>
            </w:r>
          </w:p>
        </w:tc>
      </w:tr>
      <w:tr>
        <w:trPr>
          <w:trHeight w:val="156"/>
        </w:trPr>
        <w:tc>
          <w:tcPr>
            <w:tcW w:w="5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Controlled affiliated investments</w:t>
            </w: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7,317</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(4,354 )</w:t>
            </w:r>
          </w:p>
        </w:tc>
        <w:tc>
          <w:tcPr>
            <w:tcW w:w="36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(10,601 )</w:t>
            </w:r>
          </w:p>
        </w:tc>
      </w:tr>
      <w:tr>
        <w:trPr>
          <w:trHeight w:val="156"/>
        </w:trPr>
        <w:tc>
          <w:tcPr>
            <w:tcW w:w="5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Derivatives</w:t>
            </w: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2,412</w:t>
            </w:r>
          </w:p>
        </w:tc>
        <w:tc>
          <w:tcPr>
            <w:tcW w:w="80" w:type="dxa"/>
            <w:vAlign w:val="bottom"/>
          </w:tcPr>
          <w:p>
            <w:pPr>
              <w:spacing w:after="0"/>
              <w:rPr>
                <w:sz w:val="13"/>
                <w:szCs w:val="13"/>
                <w:color w:val="auto"/>
              </w:rPr>
            </w:pPr>
          </w:p>
        </w:tc>
      </w:tr>
      <w:tr>
        <w:trPr>
          <w:trHeight w:val="176"/>
        </w:trPr>
        <w:tc>
          <w:tcPr>
            <w:tcW w:w="5100" w:type="dxa"/>
            <w:vAlign w:val="bottom"/>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Total net change in unrealized gain (loss) on investments</w:t>
            </w:r>
          </w:p>
        </w:tc>
        <w:tc>
          <w:tcPr>
            <w:tcW w:w="360" w:type="dxa"/>
            <w:vAlign w:val="bottom"/>
            <w:shd w:val="clear" w:color="auto" w:fill="CFF0FC"/>
          </w:tcPr>
          <w:p>
            <w:pPr>
              <w:jc w:val="right"/>
              <w:ind w:right="21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1,006</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jc w:val="right"/>
              <w:ind w:right="27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3,322</w:t>
            </w: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21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gridSpan w:val="2"/>
            <w:shd w:val="clear" w:color="auto" w:fill="CFF0FC"/>
          </w:tcPr>
          <w:p>
            <w:pPr>
              <w:jc w:val="right"/>
              <w:ind w:right="40"/>
              <w:spacing w:after="0" w:line="136" w:lineRule="exact"/>
              <w:rPr>
                <w:sz w:val="20"/>
                <w:szCs w:val="20"/>
                <w:color w:val="auto"/>
              </w:rPr>
            </w:pPr>
            <w:r>
              <w:rPr>
                <w:rFonts w:ascii="Times New Roman" w:cs="Times New Roman" w:eastAsia="Times New Roman" w:hAnsi="Times New Roman"/>
                <w:sz w:val="9"/>
                <w:szCs w:val="9"/>
                <w:color w:val="auto"/>
              </w:rPr>
              <w:t xml:space="preserve">(17,915 </w:t>
            </w:r>
            <w:r>
              <w:rPr>
                <w:rFonts w:ascii="Times New Roman" w:cs="Times New Roman" w:eastAsia="Times New Roman" w:hAnsi="Times New Roman"/>
                <w:sz w:val="15"/>
                <w:szCs w:val="15"/>
                <w:color w:val="auto"/>
                <w:vertAlign w:val="subscript"/>
              </w:rPr>
              <w:t>)</w:t>
            </w:r>
          </w:p>
        </w:tc>
      </w:tr>
      <w:tr>
        <w:trPr>
          <w:trHeight w:val="20"/>
        </w:trPr>
        <w:tc>
          <w:tcPr>
            <w:tcW w:w="51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84" w:lineRule="exact"/>
        <w:rPr>
          <w:sz w:val="20"/>
          <w:szCs w:val="20"/>
          <w:color w:val="auto"/>
        </w:rPr>
      </w:pPr>
    </w:p>
    <w:p>
      <w:pPr>
        <w:ind w:right="60" w:firstLine="348"/>
        <w:spacing w:after="0" w:line="262" w:lineRule="auto"/>
        <w:rPr>
          <w:sz w:val="20"/>
          <w:szCs w:val="20"/>
          <w:color w:val="auto"/>
        </w:rPr>
      </w:pPr>
      <w:r>
        <w:rPr>
          <w:rFonts w:ascii="Times New Roman" w:cs="Times New Roman" w:eastAsia="Times New Roman" w:hAnsi="Times New Roman"/>
          <w:sz w:val="13"/>
          <w:szCs w:val="13"/>
          <w:color w:val="auto"/>
        </w:rPr>
        <w:t>During the year ended December 31, 2024, our total investments had net change in unrealized appreciation of approximately $1.0 million. Included in the net change in unrealized appreciation for the year ended December 31, 2024, are change in unrealized appreciation on equity securities of approximately $3.6 million, change in unrealized depreciation of $0.5 million on our Joint Venture investments, change in unrealized depreciation on our debt securities of approximately $2.3 million, as well as change in unrealized appreciation on our derivative investments of approximately $0.2 million.</w:t>
      </w:r>
    </w:p>
    <w:p>
      <w:pPr>
        <w:spacing w:after="0" w:line="67" w:lineRule="exact"/>
        <w:rPr>
          <w:sz w:val="20"/>
          <w:szCs w:val="20"/>
          <w:color w:val="auto"/>
        </w:rPr>
      </w:pPr>
    </w:p>
    <w:p>
      <w:pPr>
        <w:ind w:right="80" w:firstLine="348"/>
        <w:spacing w:after="0" w:line="262" w:lineRule="auto"/>
        <w:rPr>
          <w:sz w:val="20"/>
          <w:szCs w:val="20"/>
          <w:color w:val="auto"/>
        </w:rPr>
      </w:pPr>
      <w:r>
        <w:rPr>
          <w:rFonts w:ascii="Times New Roman" w:cs="Times New Roman" w:eastAsia="Times New Roman" w:hAnsi="Times New Roman"/>
          <w:sz w:val="13"/>
          <w:szCs w:val="13"/>
          <w:color w:val="auto"/>
        </w:rPr>
        <w:t>During the year ended December 31, 2023, our total investments had net change in unrealized depreciation of approximately $3.3 million. Included in the net change in unrealized depreciation for the year ended December 31, 2023 are change in unrealized appreciation on CLO Fund Securities of approximately $14.1 million, change in unrealized appreciation on equity securities of approximately $3.8 million, as well as change in unrealized appreciation of $2.2 million on our Joint Ventures investment. Change in unrealized depreciation on our debt securities was approximately $4.7 million. Change in unrealized appreciation (depreciation) on our derivative investments was approximately $0.0 million.</w:t>
      </w:r>
    </w:p>
    <w:p>
      <w:pPr>
        <w:spacing w:after="0" w:line="67"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3"/>
          <w:szCs w:val="13"/>
          <w:color w:val="auto"/>
        </w:rPr>
        <w:t>During the year ended December 31, 2022, our total investments had net change in unrealized appreciation of approximately $17.9 million. Included in the net change in unrealized appreciation for the year ended December 31, 2022 are change in unrealized depreciation on CLO Fund Securities of approximately $5.7 million, change in unrealized depreciation on equity securities of approximately $2.8 million, change in unrealized depreciation of $6.0 million on our Joint Ventures investment and change in unrealized appreciation on our debt securities of $17.2 million. Change in unrealized appreciation (depreciation) on our derivative investments was approximately $2.4 million.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Net Change in Net Assets Resulting from Operations</w:t>
      </w:r>
    </w:p>
    <w:p>
      <w:pPr>
        <w:spacing w:after="0" w:line="105" w:lineRule="exact"/>
        <w:rPr>
          <w:sz w:val="20"/>
          <w:szCs w:val="20"/>
          <w:color w:val="auto"/>
        </w:rPr>
      </w:pPr>
    </w:p>
    <w:p>
      <w:pPr>
        <w:ind w:right="200" w:firstLine="348"/>
        <w:spacing w:after="0" w:line="268" w:lineRule="auto"/>
        <w:rPr>
          <w:sz w:val="20"/>
          <w:szCs w:val="20"/>
          <w:color w:val="auto"/>
        </w:rPr>
      </w:pPr>
      <w:r>
        <w:rPr>
          <w:rFonts w:ascii="Times New Roman" w:cs="Times New Roman" w:eastAsia="Times New Roman" w:hAnsi="Times New Roman"/>
          <w:sz w:val="13"/>
          <w:szCs w:val="13"/>
          <w:color w:val="auto"/>
        </w:rPr>
        <w:t>The net decrease in net assets resulting from operations for the year ended December 31, 2024 was approximately $5.9 million, or $0.64 per basic and diluted share. Net increase in net assets resulting from operations for the year ended December 31, 2023 was approximately $11.4 million, or $1.20 per basic and diluted share. Net decrease in net assets resulting from operations for the year ended December 31, 2022 was approximately $21.0 million, or $2.18 per basic and diluted share.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FINANCIAL CONDITION, LIQUIDITY, AND CAPITAL RESOURCES</w:t>
      </w:r>
    </w:p>
    <w:p>
      <w:pPr>
        <w:spacing w:after="0" w:line="105" w:lineRule="exact"/>
        <w:rPr>
          <w:sz w:val="20"/>
          <w:szCs w:val="20"/>
          <w:color w:val="auto"/>
        </w:rPr>
      </w:pPr>
    </w:p>
    <w:p>
      <w:pPr>
        <w:ind w:right="120" w:firstLine="348"/>
        <w:spacing w:after="0" w:line="262" w:lineRule="auto"/>
        <w:rPr>
          <w:sz w:val="20"/>
          <w:szCs w:val="20"/>
          <w:color w:val="auto"/>
        </w:rPr>
      </w:pPr>
      <w:r>
        <w:rPr>
          <w:rFonts w:ascii="Times New Roman" w:cs="Times New Roman" w:eastAsia="Times New Roman" w:hAnsi="Times New Roman"/>
          <w:sz w:val="13"/>
          <w:szCs w:val="13"/>
          <w:color w:val="auto"/>
        </w:rPr>
        <w:t>Liquidity is a measure of our ability to meet potential cash requirements, including ongoing commitments to repay borrowings, fund and maintain investments, pay distributions to our stockholders and other general business needs. We recognize the need to have funds available for operating our business and to make investments. We seek to have adequate liquidity at all times to cover normal cyclical swings in funding availability and to allow us to meet irregular and unexpected funding requirements. We plan to satisfy our liquidity needs through normal operations with the goal of avoiding unplanned sales of assets or emergency borrowing of funds.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86" w:right="660" w:bottom="1440" w:gutter="0" w:footer="0" w:header="0"/>
        </w:sectPr>
      </w:pPr>
    </w:p>
    <w:bookmarkStart w:id="44" w:name="page45"/>
    <w:bookmarkEnd w:id="44"/>
    <w:p>
      <w:pPr>
        <w:ind w:left="360"/>
        <w:spacing w:after="0"/>
        <w:rPr>
          <w:sz w:val="20"/>
          <w:szCs w:val="20"/>
          <w:color w:val="auto"/>
        </w:rPr>
      </w:pPr>
      <w:r>
        <w:rPr>
          <w:rFonts w:ascii="Times New Roman" w:cs="Times New Roman" w:eastAsia="Times New Roman" w:hAnsi="Times New Roman"/>
          <w:sz w:val="13"/>
          <w:szCs w:val="13"/>
          <w:color w:val="auto"/>
        </w:rPr>
        <w:t>As of December 31, 2024 and December 31, 2023 the fair value of investments and cash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6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 in thousands)</w:t>
            </w:r>
          </w:p>
        </w:tc>
        <w:tc>
          <w:tcPr>
            <w:tcW w:w="2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70"/>
        </w:trPr>
        <w:tc>
          <w:tcPr>
            <w:tcW w:w="6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Security Type</w:t>
            </w:r>
          </w:p>
        </w:tc>
        <w:tc>
          <w:tcPr>
            <w:tcW w:w="220" w:type="dxa"/>
            <w:vAlign w:val="bottom"/>
          </w:tcPr>
          <w:p>
            <w:pPr>
              <w:spacing w:after="0"/>
              <w:rPr>
                <w:sz w:val="14"/>
                <w:szCs w:val="14"/>
                <w:color w:val="auto"/>
              </w:rPr>
            </w:pPr>
          </w:p>
        </w:tc>
        <w:tc>
          <w:tcPr>
            <w:tcW w:w="160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5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17,532</w:t>
            </w:r>
          </w:p>
        </w:tc>
        <w:tc>
          <w:tcPr>
            <w:tcW w:w="460" w:type="dxa"/>
            <w:vAlign w:val="bottom"/>
            <w:gridSpan w:val="2"/>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26,912</w:t>
            </w:r>
          </w:p>
        </w:tc>
        <w:tc>
          <w:tcPr>
            <w:tcW w:w="80" w:type="dxa"/>
            <w:vAlign w:val="bottom"/>
            <w:shd w:val="clear" w:color="auto" w:fill="CFF0FC"/>
          </w:tcPr>
          <w:p>
            <w:pPr>
              <w:spacing w:after="0"/>
              <w:rPr>
                <w:sz w:val="13"/>
                <w:szCs w:val="13"/>
                <w:color w:val="auto"/>
              </w:rPr>
            </w:pPr>
          </w:p>
        </w:tc>
      </w:tr>
      <w:tr>
        <w:trPr>
          <w:trHeight w:val="156"/>
        </w:trPr>
        <w:tc>
          <w:tcPr>
            <w:tcW w:w="6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Restricted Cash</w:t>
            </w:r>
          </w:p>
        </w:tc>
        <w:tc>
          <w:tcPr>
            <w:tcW w:w="22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22,421</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44,652</w:t>
            </w:r>
          </w:p>
        </w:tc>
        <w:tc>
          <w:tcPr>
            <w:tcW w:w="80" w:type="dxa"/>
            <w:vAlign w:val="bottom"/>
          </w:tcPr>
          <w:p>
            <w:pPr>
              <w:spacing w:after="0"/>
              <w:rPr>
                <w:sz w:val="13"/>
                <w:szCs w:val="13"/>
                <w:color w:val="auto"/>
              </w:rPr>
            </w:pPr>
          </w:p>
        </w:tc>
      </w:tr>
      <w:tr>
        <w:trPr>
          <w:trHeight w:val="15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First Lien Debt</w:t>
            </w:r>
          </w:p>
        </w:tc>
        <w:tc>
          <w:tcPr>
            <w:tcW w:w="220" w:type="dxa"/>
            <w:vAlign w:val="bottom"/>
            <w:shd w:val="clear" w:color="auto" w:fill="CFF0FC"/>
          </w:tcPr>
          <w:p>
            <w:pPr>
              <w:spacing w:after="0"/>
              <w:rPr>
                <w:sz w:val="13"/>
                <w:szCs w:val="13"/>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289,957</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336,599</w:t>
            </w:r>
          </w:p>
        </w:tc>
        <w:tc>
          <w:tcPr>
            <w:tcW w:w="80" w:type="dxa"/>
            <w:vAlign w:val="bottom"/>
            <w:shd w:val="clear" w:color="auto" w:fill="CFF0FC"/>
          </w:tcPr>
          <w:p>
            <w:pPr>
              <w:spacing w:after="0"/>
              <w:rPr>
                <w:sz w:val="13"/>
                <w:szCs w:val="13"/>
                <w:color w:val="auto"/>
              </w:rPr>
            </w:pPr>
          </w:p>
        </w:tc>
      </w:tr>
      <w:tr>
        <w:trPr>
          <w:trHeight w:val="156"/>
        </w:trPr>
        <w:tc>
          <w:tcPr>
            <w:tcW w:w="6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Second Lien Debt</w:t>
            </w:r>
          </w:p>
        </w:tc>
        <w:tc>
          <w:tcPr>
            <w:tcW w:w="22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28,996</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41,254</w:t>
            </w:r>
          </w:p>
        </w:tc>
        <w:tc>
          <w:tcPr>
            <w:tcW w:w="80" w:type="dxa"/>
            <w:vAlign w:val="bottom"/>
          </w:tcPr>
          <w:p>
            <w:pPr>
              <w:spacing w:after="0"/>
              <w:rPr>
                <w:sz w:val="13"/>
                <w:szCs w:val="13"/>
                <w:color w:val="auto"/>
              </w:rPr>
            </w:pPr>
          </w:p>
        </w:tc>
      </w:tr>
      <w:tr>
        <w:trPr>
          <w:trHeight w:val="15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Subordinated Debt</w:t>
            </w:r>
          </w:p>
        </w:tc>
        <w:tc>
          <w:tcPr>
            <w:tcW w:w="220" w:type="dxa"/>
            <w:vAlign w:val="bottom"/>
            <w:shd w:val="clear" w:color="auto" w:fill="CFF0FC"/>
          </w:tcPr>
          <w:p>
            <w:pPr>
              <w:spacing w:after="0"/>
              <w:rPr>
                <w:sz w:val="13"/>
                <w:szCs w:val="13"/>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1,740</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1,224</w:t>
            </w:r>
          </w:p>
        </w:tc>
        <w:tc>
          <w:tcPr>
            <w:tcW w:w="80" w:type="dxa"/>
            <w:vAlign w:val="bottom"/>
            <w:shd w:val="clear" w:color="auto" w:fill="CFF0FC"/>
          </w:tcPr>
          <w:p>
            <w:pPr>
              <w:spacing w:after="0"/>
              <w:rPr>
                <w:sz w:val="13"/>
                <w:szCs w:val="13"/>
                <w:color w:val="auto"/>
              </w:rPr>
            </w:pPr>
          </w:p>
        </w:tc>
      </w:tr>
      <w:tr>
        <w:trPr>
          <w:trHeight w:val="156"/>
        </w:trPr>
        <w:tc>
          <w:tcPr>
            <w:tcW w:w="6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22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24,762</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20,533</w:t>
            </w:r>
          </w:p>
        </w:tc>
        <w:tc>
          <w:tcPr>
            <w:tcW w:w="80" w:type="dxa"/>
            <w:vAlign w:val="bottom"/>
          </w:tcPr>
          <w:p>
            <w:pPr>
              <w:spacing w:after="0"/>
              <w:rPr>
                <w:sz w:val="13"/>
                <w:szCs w:val="13"/>
                <w:color w:val="auto"/>
              </w:rPr>
            </w:pPr>
          </w:p>
        </w:tc>
      </w:tr>
      <w:tr>
        <w:trPr>
          <w:trHeight w:val="15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Collateralized Loan Obligations</w:t>
            </w:r>
          </w:p>
        </w:tc>
        <w:tc>
          <w:tcPr>
            <w:tcW w:w="220" w:type="dxa"/>
            <w:vAlign w:val="bottom"/>
            <w:shd w:val="clear" w:color="auto" w:fill="CFF0FC"/>
          </w:tcPr>
          <w:p>
            <w:pPr>
              <w:spacing w:after="0"/>
              <w:rPr>
                <w:sz w:val="13"/>
                <w:szCs w:val="13"/>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5,193</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8,968</w:t>
            </w:r>
          </w:p>
        </w:tc>
        <w:tc>
          <w:tcPr>
            <w:tcW w:w="80" w:type="dxa"/>
            <w:vAlign w:val="bottom"/>
            <w:shd w:val="clear" w:color="auto" w:fill="CFF0FC"/>
          </w:tcPr>
          <w:p>
            <w:pPr>
              <w:spacing w:after="0"/>
              <w:rPr>
                <w:sz w:val="13"/>
                <w:szCs w:val="13"/>
                <w:color w:val="auto"/>
              </w:rPr>
            </w:pPr>
          </w:p>
        </w:tc>
      </w:tr>
      <w:tr>
        <w:trPr>
          <w:trHeight w:val="180"/>
        </w:trPr>
        <w:tc>
          <w:tcPr>
            <w:tcW w:w="6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Asset Manager Affiliates</w:t>
            </w:r>
          </w:p>
        </w:tc>
        <w:tc>
          <w:tcPr>
            <w:tcW w:w="2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Joint Ventures</w:t>
            </w:r>
          </w:p>
        </w:tc>
        <w:tc>
          <w:tcPr>
            <w:tcW w:w="220" w:type="dxa"/>
            <w:vAlign w:val="bottom"/>
            <w:shd w:val="clear" w:color="auto" w:fill="CFF0FC"/>
          </w:tcPr>
          <w:p>
            <w:pPr>
              <w:spacing w:after="0"/>
              <w:rPr>
                <w:sz w:val="13"/>
                <w:szCs w:val="13"/>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54,153</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59,287</w:t>
            </w:r>
          </w:p>
        </w:tc>
        <w:tc>
          <w:tcPr>
            <w:tcW w:w="80" w:type="dxa"/>
            <w:vAlign w:val="bottom"/>
            <w:shd w:val="clear" w:color="auto" w:fill="CFF0FC"/>
          </w:tcPr>
          <w:p>
            <w:pPr>
              <w:spacing w:after="0"/>
              <w:rPr>
                <w:sz w:val="13"/>
                <w:szCs w:val="13"/>
                <w:color w:val="auto"/>
              </w:rPr>
            </w:pPr>
          </w:p>
        </w:tc>
      </w:tr>
      <w:tr>
        <w:trPr>
          <w:trHeight w:val="156"/>
        </w:trPr>
        <w:tc>
          <w:tcPr>
            <w:tcW w:w="6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Derivatives</w:t>
            </w:r>
          </w:p>
        </w:tc>
        <w:tc>
          <w:tcPr>
            <w:tcW w:w="22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96"/>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20" w:type="dxa"/>
            <w:vAlign w:val="bottom"/>
            <w:tcBorders>
              <w:bottom w:val="single" w:sz="8" w:color="auto"/>
            </w:tcBorders>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444,974</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539,429</w:t>
            </w:r>
          </w:p>
        </w:tc>
        <w:tc>
          <w:tcPr>
            <w:tcW w:w="80" w:type="dxa"/>
            <w:vAlign w:val="bottom"/>
            <w:tcBorders>
              <w:bottom w:val="single" w:sz="8" w:color="CFF0FC"/>
            </w:tcBorders>
            <w:shd w:val="clear" w:color="auto" w:fill="CFF0FC"/>
          </w:tcPr>
          <w:p>
            <w:pPr>
              <w:spacing w:after="0"/>
              <w:rPr>
                <w:sz w:val="17"/>
                <w:szCs w:val="17"/>
                <w:color w:val="auto"/>
              </w:rPr>
            </w:pPr>
          </w:p>
        </w:tc>
      </w:tr>
    </w:tbl>
    <w:p>
      <w:pPr>
        <w:spacing w:after="0" w:line="84" w:lineRule="exact"/>
        <w:rPr>
          <w:sz w:val="20"/>
          <w:szCs w:val="20"/>
          <w:color w:val="auto"/>
        </w:rPr>
      </w:pPr>
    </w:p>
    <w:p>
      <w:pPr>
        <w:ind w:firstLine="348"/>
        <w:spacing w:after="0" w:line="286" w:lineRule="auto"/>
        <w:rPr>
          <w:sz w:val="20"/>
          <w:szCs w:val="20"/>
          <w:color w:val="auto"/>
        </w:rPr>
      </w:pPr>
      <w:r>
        <w:rPr>
          <w:rFonts w:ascii="Times New Roman" w:cs="Times New Roman" w:eastAsia="Times New Roman" w:hAnsi="Times New Roman"/>
          <w:sz w:val="13"/>
          <w:szCs w:val="13"/>
          <w:color w:val="auto"/>
        </w:rPr>
        <w:t>Subject to market conditions, we intend to grow our portfolio of assets by raising additional capital, including through the prudent use of leverage available to us. As a BDC, we are limited in the amount of leverage we can incur under the 1940 Act.</w:t>
      </w:r>
    </w:p>
    <w:p>
      <w:pPr>
        <w:spacing w:after="0" w:line="52" w:lineRule="exact"/>
        <w:rPr>
          <w:sz w:val="20"/>
          <w:szCs w:val="20"/>
          <w:color w:val="auto"/>
        </w:rPr>
      </w:pPr>
    </w:p>
    <w:p>
      <w:pPr>
        <w:jc w:val="both"/>
        <w:ind w:right="80" w:firstLine="348"/>
        <w:spacing w:after="0" w:line="268" w:lineRule="auto"/>
        <w:rPr>
          <w:sz w:val="20"/>
          <w:szCs w:val="20"/>
          <w:color w:val="auto"/>
        </w:rPr>
      </w:pPr>
      <w:r>
        <w:rPr>
          <w:rFonts w:ascii="Times New Roman" w:cs="Times New Roman" w:eastAsia="Times New Roman" w:hAnsi="Times New Roman"/>
          <w:sz w:val="13"/>
          <w:szCs w:val="13"/>
          <w:color w:val="auto"/>
        </w:rPr>
        <w:t>Effective March 29, 2019, we are allowed to borrow amounts such that our asset coverage, as defined in the 1940 Act, equals at least 150% after such borrowing. Because we also recognize the need to have funds available for operating our business and to make investments, we seek to have adequate liquidity at all times to cover normal cyclical swings in funding availability and to allow us to meet abnormal and unexpected funding requirements. As a result, we may hold varying amounts of cash and other short-term investments from time-to-time for liquidity purposes.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Borrowings</w:t>
      </w:r>
    </w:p>
    <w:p>
      <w:pPr>
        <w:spacing w:after="0" w:line="105" w:lineRule="exact"/>
        <w:rPr>
          <w:sz w:val="20"/>
          <w:szCs w:val="20"/>
          <w:color w:val="auto"/>
        </w:rPr>
      </w:pPr>
    </w:p>
    <w:p>
      <w:pPr>
        <w:ind w:right="20" w:firstLine="348"/>
        <w:spacing w:after="0" w:line="262" w:lineRule="auto"/>
        <w:rPr>
          <w:sz w:val="20"/>
          <w:szCs w:val="20"/>
          <w:color w:val="auto"/>
        </w:rPr>
      </w:pPr>
      <w:r>
        <w:rPr>
          <w:rFonts w:ascii="Times New Roman" w:cs="Times New Roman" w:eastAsia="Times New Roman" w:hAnsi="Times New Roman"/>
          <w:sz w:val="13"/>
          <w:szCs w:val="13"/>
          <w:color w:val="auto"/>
        </w:rPr>
        <w:t>We use borrowed funds, known as “leverage,” to make investments and to attempt to increase returns to our shareholders by reducing our overall cost of capital. As a BDC, we are limited in the amount of leverage we can incur under the 1940 Act. We are only allowed to borrow amounts such that our asset coverage, as defined in the 1940 Act, equals at least 150% after such borrowing. As of December 31, 2024, we had approximately $267.5 million of par value of outstanding borrowings and our asset coverage ratio of total assets to total borrowings was 167%, compliant with the minimum asset coverage level of 150% generally required for a BDC by the 1940 Act. We may also borrow amounts of up to 5% of the value of our total assets for temporary purposes.</w:t>
      </w:r>
    </w:p>
    <w:p>
      <w:pPr>
        <w:spacing w:after="0" w:line="67" w:lineRule="exact"/>
        <w:rPr>
          <w:sz w:val="20"/>
          <w:szCs w:val="20"/>
          <w:color w:val="auto"/>
        </w:rPr>
      </w:pPr>
    </w:p>
    <w:p>
      <w:pPr>
        <w:ind w:right="80" w:firstLine="348"/>
        <w:spacing w:after="0" w:line="262" w:lineRule="auto"/>
        <w:rPr>
          <w:sz w:val="20"/>
          <w:szCs w:val="20"/>
          <w:color w:val="auto"/>
        </w:rPr>
      </w:pPr>
      <w:r>
        <w:rPr>
          <w:rFonts w:ascii="Times New Roman" w:cs="Times New Roman" w:eastAsia="Times New Roman" w:hAnsi="Times New Roman"/>
          <w:sz w:val="13"/>
          <w:szCs w:val="13"/>
          <w:color w:val="auto"/>
        </w:rPr>
        <w:t>The Small Business Credit Availability Act (the “SBCA”) has modified the 1940 Act by allowing a BDC to increase the maximum amount of leverage it may incur from an asset coverage ratio of 200% to an asset coverage ratio of 150%, if certain requirements are met. On March 29, 2018, the Board , including a “required majority” (as such term is defined in Section 57(o) of the 1940 Act) of its Board, approved the modified asset coverage requirements set forth in Section 61(a)(2) of the 1940 Act, as amended by the SBCA. As a result, our asset coverage requirements for senior securities changed from 200% to 150%, effective as of March 29, 2019.</w:t>
      </w:r>
    </w:p>
    <w:p>
      <w:pPr>
        <w:spacing w:after="0" w:line="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i w:val="1"/>
          <w:iCs w:val="1"/>
          <w:color w:val="auto"/>
        </w:rPr>
        <w:t>Outstanding Unsecured Notes</w:t>
      </w:r>
    </w:p>
    <w:p>
      <w:pPr>
        <w:spacing w:after="0" w:line="105" w:lineRule="exact"/>
        <w:rPr>
          <w:sz w:val="20"/>
          <w:szCs w:val="20"/>
          <w:color w:val="auto"/>
        </w:rPr>
      </w:pPr>
    </w:p>
    <w:p>
      <w:pPr>
        <w:ind w:right="60" w:firstLine="348"/>
        <w:spacing w:after="0" w:line="259" w:lineRule="auto"/>
        <w:rPr>
          <w:sz w:val="20"/>
          <w:szCs w:val="20"/>
          <w:color w:val="auto"/>
        </w:rPr>
      </w:pPr>
      <w:r>
        <w:rPr>
          <w:rFonts w:ascii="Times New Roman" w:cs="Times New Roman" w:eastAsia="Times New Roman" w:hAnsi="Times New Roman"/>
          <w:sz w:val="13"/>
          <w:szCs w:val="13"/>
          <w:color w:val="auto"/>
        </w:rPr>
        <w:t>During the second quarter of 2021, we issued $108.0 million aggregate principal amount of our 4.875% Notes due 2026. The net proceeds for the 4.875% Notes due 2026, after the payment of underwriting expenses, were approximately $104.6 million. Interest on the 4.875% Notes due 2026 is paid semi- annually on April 30 and October 30, at a rate of 4.875%. The 4.875% Notes due 2026 mature on April 30, 2026 and are general unsecured obligations. The indenture governing the 4.875% Notes due 2026 contains certain restrictive covenants, including compliance with certain provisions of the 1940 Act relating to borrowing and dividends. At December 31, 2024, there was approximately $108.0 million of principal amount outstanding, and we were in compliance with all of our debt covenants on the 4.875% Notes due 2026.</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i w:val="1"/>
          <w:iCs w:val="1"/>
          <w:color w:val="auto"/>
        </w:rPr>
        <w:t>Revolving Credit Facility</w:t>
      </w:r>
    </w:p>
    <w:p>
      <w:pPr>
        <w:spacing w:after="0" w:line="105" w:lineRule="exact"/>
        <w:rPr>
          <w:sz w:val="20"/>
          <w:szCs w:val="20"/>
          <w:color w:val="auto"/>
        </w:rPr>
      </w:pPr>
    </w:p>
    <w:p>
      <w:pPr>
        <w:ind w:right="20" w:firstLine="348"/>
        <w:spacing w:after="0" w:line="268" w:lineRule="auto"/>
        <w:rPr>
          <w:sz w:val="20"/>
          <w:szCs w:val="20"/>
          <w:color w:val="auto"/>
        </w:rPr>
      </w:pPr>
      <w:r>
        <w:rPr>
          <w:rFonts w:ascii="Times New Roman" w:cs="Times New Roman" w:eastAsia="Times New Roman" w:hAnsi="Times New Roman"/>
          <w:sz w:val="13"/>
          <w:szCs w:val="13"/>
          <w:color w:val="auto"/>
        </w:rPr>
        <w:t>On December 18, 2019, Great Lakes Portman Ridge Funding LLC (“GLPRF LLC”), a wholly-owned subsidiary of the Company, entered into a senior secured revolving credit facility (as amended, restated or otherwise modified from time to time, the “Revolving Credit Facility”) with JPMorgan Chase Bank, National Association (“JPM”) . JPM serves as administrative agent, U.S. Bank National Association serves as collateral agent, securities intermediary and collateral administrator, and the Company serves as portfolio manager under the Revolving Credit Facility.</w:t>
      </w:r>
    </w:p>
    <w:p>
      <w:pPr>
        <w:spacing w:after="0" w:line="63" w:lineRule="exact"/>
        <w:rPr>
          <w:sz w:val="20"/>
          <w:szCs w:val="20"/>
          <w:color w:val="auto"/>
        </w:rPr>
      </w:pPr>
    </w:p>
    <w:p>
      <w:pPr>
        <w:ind w:right="100" w:firstLine="348"/>
        <w:spacing w:after="0" w:line="268" w:lineRule="auto"/>
        <w:rPr>
          <w:sz w:val="20"/>
          <w:szCs w:val="20"/>
          <w:color w:val="auto"/>
        </w:rPr>
      </w:pPr>
      <w:r>
        <w:rPr>
          <w:rFonts w:ascii="Times New Roman" w:cs="Times New Roman" w:eastAsia="Times New Roman" w:hAnsi="Times New Roman"/>
          <w:sz w:val="13"/>
          <w:szCs w:val="13"/>
          <w:color w:val="auto"/>
        </w:rPr>
        <w:t>GLPRF LLC is required to utilize a minimum of the commitments under the Revolving Credit Facility. Unused amounts below such minimum utilization amount accrue interest as if such amounts are outstanding as borrowings under the Revolving Credit Facility. In addition, GLPRF LLC pays a non-usage fee during the reinvestment period on the average daily unborrowed portion of the financing commitments in excess of such minimum utilization amount.</w:t>
      </w:r>
    </w:p>
    <w:p>
      <w:pPr>
        <w:spacing w:after="0" w:line="63" w:lineRule="exact"/>
        <w:rPr>
          <w:sz w:val="20"/>
          <w:szCs w:val="20"/>
          <w:color w:val="auto"/>
        </w:rPr>
      </w:pPr>
    </w:p>
    <w:p>
      <w:pPr>
        <w:ind w:right="120" w:firstLine="348"/>
        <w:spacing w:after="0" w:line="268" w:lineRule="auto"/>
        <w:rPr>
          <w:sz w:val="20"/>
          <w:szCs w:val="20"/>
          <w:color w:val="auto"/>
        </w:rPr>
      </w:pPr>
      <w:r>
        <w:rPr>
          <w:rFonts w:ascii="Times New Roman" w:cs="Times New Roman" w:eastAsia="Times New Roman" w:hAnsi="Times New Roman"/>
          <w:sz w:val="13"/>
          <w:szCs w:val="13"/>
          <w:color w:val="auto"/>
        </w:rPr>
        <w:t>The initial principal amount of the Revolving Credit Facility was $115 million. The Revolving Credit Facility has an accordion feature, subject to the satisfaction of various conditions, which could bring total commitments under the Revolving Credit Facility to up to $215 million. Proceeds from borrowings under the Revolving Credit Facility may be used to fund portfolio investments by GLPRF LLC and to make advances under delayed draw term loans where GLPRF LLC is a lender.</w:t>
      </w:r>
    </w:p>
    <w:p>
      <w:pPr>
        <w:spacing w:after="0" w:line="63" w:lineRule="exact"/>
        <w:rPr>
          <w:sz w:val="20"/>
          <w:szCs w:val="20"/>
          <w:color w:val="auto"/>
        </w:rPr>
      </w:pPr>
    </w:p>
    <w:p>
      <w:pPr>
        <w:ind w:right="120" w:firstLine="348"/>
        <w:spacing w:after="0" w:line="286" w:lineRule="auto"/>
        <w:rPr>
          <w:sz w:val="20"/>
          <w:szCs w:val="20"/>
          <w:color w:val="auto"/>
        </w:rPr>
      </w:pPr>
      <w:r>
        <w:rPr>
          <w:rFonts w:ascii="Times New Roman" w:cs="Times New Roman" w:eastAsia="Times New Roman" w:hAnsi="Times New Roman"/>
          <w:sz w:val="13"/>
          <w:szCs w:val="13"/>
          <w:color w:val="auto"/>
        </w:rPr>
        <w:t>On April 29, 2022, GLPRF LLC amended the Revolving Credit Facility with JPM as administrative agent. The amended agreement replaced three-month SOFR as the benchmark interest rate and reduced the applicable margin to 2.80% per annum from 2.85% per annum.</w:t>
      </w:r>
    </w:p>
    <w:p>
      <w:pPr>
        <w:spacing w:after="0" w:line="52" w:lineRule="exact"/>
        <w:rPr>
          <w:sz w:val="20"/>
          <w:szCs w:val="20"/>
          <w:color w:val="auto"/>
        </w:rPr>
      </w:pPr>
    </w:p>
    <w:p>
      <w:pPr>
        <w:ind w:right="80" w:firstLine="348"/>
        <w:spacing w:after="0" w:line="255" w:lineRule="auto"/>
        <w:rPr>
          <w:sz w:val="20"/>
          <w:szCs w:val="20"/>
          <w:color w:val="auto"/>
        </w:rPr>
      </w:pPr>
      <w:r>
        <w:rPr>
          <w:rFonts w:ascii="Times New Roman" w:cs="Times New Roman" w:eastAsia="Times New Roman" w:hAnsi="Times New Roman"/>
          <w:sz w:val="13"/>
          <w:szCs w:val="13"/>
          <w:color w:val="auto"/>
        </w:rPr>
        <w:t>On July 23, 2024, GLPRF LLC amended the Revolving Credit Facility with JPM as administrative agent. The amended agreement, among other things, (i) provided for a committed increase to the aggregate principal amount of the Revolving Credit Facility in an amount not to exceed $85.0 million, for a total commitment of $200.0 million, which increase became effective on August 20, 2024, (ii) provided for a committed seven-day bridge advance in an aggregate principal amount of $18,250,000, which advance became effective on August 20, 2024, (iii) reduced the applicable margin on the Revolving Credit Facility to 2.50% per annum, (iv) extended the period in which the Company may request advances under the Revolving Credit Facility to August 29, 2026, (v) extended the stated maturity of the Revolving Credit Facility to August 29, 2027, (vi) reduced the requirement to utilize a minimum of commitments under the Revolving Credit Facility to 70%, (vii) reduced the non-usage fee applicable during the reinvestment period to 0.55% per annum on the average daily unborrowed portion of the financing commitments in excess of the minimum utilization amount, (viii) extended the non-call period under the Revolving Credit Facility to April 29, 2025, and (ix) provided for certain fees to be paid to the administrative agent and the lenders in connection therewith.</w:t>
      </w:r>
    </w:p>
    <w:p>
      <w:pPr>
        <w:spacing w:after="0" w:line="233" w:lineRule="exact"/>
        <w:rPr>
          <w:sz w:val="20"/>
          <w:szCs w:val="20"/>
          <w:color w:val="auto"/>
        </w:rPr>
      </w:pPr>
    </w:p>
    <w:p>
      <w:pPr>
        <w:jc w:val="both"/>
        <w:ind w:right="440" w:firstLine="348"/>
        <w:spacing w:after="0" w:line="268" w:lineRule="auto"/>
        <w:rPr>
          <w:sz w:val="20"/>
          <w:szCs w:val="20"/>
          <w:color w:val="auto"/>
        </w:rPr>
      </w:pPr>
      <w:r>
        <w:rPr>
          <w:rFonts w:ascii="Times New Roman" w:cs="Times New Roman" w:eastAsia="Times New Roman" w:hAnsi="Times New Roman"/>
          <w:sz w:val="13"/>
          <w:szCs w:val="13"/>
          <w:color w:val="auto"/>
        </w:rPr>
        <w:t>GLPRF LLC’s obligations to the lenders under the Revolving Credit Facility are secured by a first priority security interest in all of GLPRF LLC's portfolio of investments and cash. The obligations of GLPRF LLC under the Revolving Credit Facility are non-recourse to the Company, and the Company's exposure under the Revolving Credit Facility is limited to the value of the Company's investment in GLPRF LLC.</w:t>
      </w:r>
    </w:p>
    <w:p>
      <w:pPr>
        <w:spacing w:after="0" w:line="63" w:lineRule="exact"/>
        <w:rPr>
          <w:sz w:val="20"/>
          <w:szCs w:val="20"/>
          <w:color w:val="auto"/>
        </w:rPr>
      </w:pPr>
    </w:p>
    <w:p>
      <w:pPr>
        <w:ind w:right="600" w:firstLine="348"/>
        <w:spacing w:after="0" w:line="286" w:lineRule="auto"/>
        <w:rPr>
          <w:sz w:val="20"/>
          <w:szCs w:val="20"/>
          <w:color w:val="auto"/>
        </w:rPr>
      </w:pPr>
      <w:r>
        <w:rPr>
          <w:rFonts w:ascii="Times New Roman" w:cs="Times New Roman" w:eastAsia="Times New Roman" w:hAnsi="Times New Roman"/>
          <w:sz w:val="13"/>
          <w:szCs w:val="13"/>
          <w:color w:val="auto"/>
        </w:rPr>
        <w:t>In connection with the Revolving Credit Facility, GLPRF LLC has made certain customary representations and warranties and is required to comply with various covenants, reporting requirements and other customary requirements for similar facilities. The Revolving Credit Facility contains customary events of default for</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386" w:right="640" w:bottom="1440" w:gutter="0" w:footer="0" w:header="0"/>
        </w:sectPr>
      </w:pPr>
    </w:p>
    <w:bookmarkStart w:id="45" w:name="page46"/>
    <w:bookmarkEnd w:id="45"/>
    <w:p>
      <w:pPr>
        <w:ind w:right="220"/>
        <w:spacing w:after="0" w:line="286" w:lineRule="auto"/>
        <w:rPr>
          <w:sz w:val="20"/>
          <w:szCs w:val="20"/>
          <w:color w:val="auto"/>
        </w:rPr>
      </w:pPr>
      <w:r>
        <w:rPr>
          <w:rFonts w:ascii="Times New Roman" w:cs="Times New Roman" w:eastAsia="Times New Roman" w:hAnsi="Times New Roman"/>
          <w:sz w:val="13"/>
          <w:szCs w:val="13"/>
          <w:color w:val="auto"/>
        </w:rPr>
        <w:t>similar financing transactions, including if a change of control of GLPRF LLC occurs or if the Company is no longer the portfolio manager of GLPRF LLC. Upon the occurrence and during the continuation of an event of default, JPM may declare the outstanding advances and all other obligations under the Revolving Credit Facility immediately due and payable.</w:t>
      </w:r>
    </w:p>
    <w:p>
      <w:pPr>
        <w:spacing w:after="0" w:line="52" w:lineRule="exact"/>
        <w:rPr>
          <w:sz w:val="20"/>
          <w:szCs w:val="20"/>
          <w:color w:val="auto"/>
        </w:rPr>
      </w:pPr>
    </w:p>
    <w:p>
      <w:pPr>
        <w:ind w:right="120" w:firstLine="348"/>
        <w:spacing w:after="0" w:line="268" w:lineRule="auto"/>
        <w:rPr>
          <w:sz w:val="20"/>
          <w:szCs w:val="20"/>
          <w:color w:val="auto"/>
        </w:rPr>
      </w:pPr>
      <w:r>
        <w:rPr>
          <w:rFonts w:ascii="Times New Roman" w:cs="Times New Roman" w:eastAsia="Times New Roman" w:hAnsi="Times New Roman"/>
          <w:sz w:val="13"/>
          <w:szCs w:val="13"/>
          <w:color w:val="auto"/>
        </w:rPr>
        <w:t>The occurrence of an event of default (as described above) or a market value event (as defined in the Revolving Credit Facility) triggers a requirement that GLPRF LLC obtain the consent of JPM prior to entering into certain sales or dispositions with respect to portfolio assets, and the occurrence of a market value event triggers the right of JPM to direct GLPRF LLC to enter into sales or dispositions with respect to any portfolio assets, in each case in JPM’s sole discretion.</w:t>
      </w:r>
    </w:p>
    <w:p>
      <w:pPr>
        <w:spacing w:after="0" w:line="63" w:lineRule="exact"/>
        <w:rPr>
          <w:sz w:val="20"/>
          <w:szCs w:val="20"/>
          <w:color w:val="auto"/>
        </w:rPr>
      </w:pPr>
    </w:p>
    <w:p>
      <w:pPr>
        <w:ind w:right="140" w:firstLine="348"/>
        <w:spacing w:after="0" w:line="286" w:lineRule="auto"/>
        <w:rPr>
          <w:sz w:val="20"/>
          <w:szCs w:val="20"/>
          <w:color w:val="auto"/>
        </w:rPr>
      </w:pPr>
      <w:r>
        <w:rPr>
          <w:rFonts w:ascii="Times New Roman" w:cs="Times New Roman" w:eastAsia="Times New Roman" w:hAnsi="Times New Roman"/>
          <w:sz w:val="13"/>
          <w:szCs w:val="13"/>
          <w:color w:val="auto"/>
        </w:rPr>
        <w:t>At December 31, 2024, GLPRF LLC was in compliance with all of its debt covenants and there was approximately $159.5 million of principal amount outstanding under the Revolving Credit Facility.</w:t>
      </w:r>
    </w:p>
    <w:p>
      <w:pPr>
        <w:spacing w:after="0" w:line="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i w:val="1"/>
          <w:iCs w:val="1"/>
          <w:color w:val="auto"/>
        </w:rPr>
        <w:t>2018-2 Secured Notes</w:t>
      </w:r>
    </w:p>
    <w:p>
      <w:pPr>
        <w:spacing w:after="0" w:line="105" w:lineRule="exact"/>
        <w:rPr>
          <w:sz w:val="20"/>
          <w:szCs w:val="20"/>
          <w:color w:val="auto"/>
        </w:rPr>
      </w:pPr>
    </w:p>
    <w:p>
      <w:pPr>
        <w:ind w:right="120" w:firstLine="348"/>
        <w:spacing w:after="0" w:line="268" w:lineRule="auto"/>
        <w:rPr>
          <w:sz w:val="20"/>
          <w:szCs w:val="20"/>
          <w:color w:val="auto"/>
        </w:rPr>
      </w:pPr>
      <w:r>
        <w:rPr>
          <w:rFonts w:ascii="Times New Roman" w:cs="Times New Roman" w:eastAsia="Times New Roman" w:hAnsi="Times New Roman"/>
          <w:sz w:val="13"/>
          <w:szCs w:val="13"/>
          <w:color w:val="auto"/>
        </w:rPr>
        <w:t>On October 28, 2020, the Company completed the GARS Acquisition, pursuant to the terms and conditions of the GARS Merger Agreement. In connection therewith, the Company now consolidates the financial statements the 2018-2 CLO a $420.0 million par value CLO facility. On the date of the transaction the debt assumed was recognized at fair value, resulting in a $2.4 million discount which is amortized over the remaining term of the borrowings.</w:t>
      </w:r>
    </w:p>
    <w:p>
      <w:pPr>
        <w:spacing w:after="0" w:line="63" w:lineRule="exact"/>
        <w:rPr>
          <w:sz w:val="20"/>
          <w:szCs w:val="20"/>
          <w:color w:val="auto"/>
        </w:rPr>
      </w:pPr>
    </w:p>
    <w:p>
      <w:pPr>
        <w:ind w:right="60" w:firstLine="348"/>
        <w:spacing w:after="0" w:line="253" w:lineRule="auto"/>
        <w:rPr>
          <w:sz w:val="20"/>
          <w:szCs w:val="20"/>
          <w:color w:val="auto"/>
        </w:rPr>
      </w:pPr>
      <w:r>
        <w:rPr>
          <w:rFonts w:ascii="Times New Roman" w:cs="Times New Roman" w:eastAsia="Times New Roman" w:hAnsi="Times New Roman"/>
          <w:sz w:val="13"/>
          <w:szCs w:val="13"/>
          <w:color w:val="auto"/>
        </w:rPr>
        <w:t>The CLO was executed by GF 2018-2 (the “Issuer”) and Portman Ridge Funding 2018-2 LLC (formerly known as Garrison Funding 2018-2 LLC, together with the Issuer, the “Co-Issuers”) who issued $312.0 million of senior secured notes (collectively referred to as the “2018-2 Secured Notes”) and $108.0 million of subordinated notes (the “2018 -2 Subordinated Notes” and, together with the 2018 -2 Secured Notes, the “2018-2 Notes”) backed by a diversified portfolio of primarily senior secured loans. The Company owns all $108.0 million of the par value of the 2018-2 Subordinated Notes and $18.3 million of the par value of the Class B-R Notes and serves as collateral manager for the Co- Issuers. The Company is entitled to receive interest from the Class B-R Notes, distributions from the 2018-2 Subordinated Notes and fees for serving as collateral manager in accordance with the CLO’s governing documents and to the extent funds are available for such purposes. However, as a result of retaining all of the 2018-2 Subordinated Notes, the Company consolidates the accounts of the Co-Issuers into its financial statements and all transactions between the Company and the Co-Issuers are eliminated on consolidation. As a result of this consolidation, the 2018-2 Secured Notes issued by the CLO is treated as the Company’s indebtedness, except any</w:t>
      </w:r>
    </w:p>
    <w:p>
      <w:pPr>
        <w:spacing w:after="0" w:line="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3"/>
          <w:szCs w:val="13"/>
          <w:color w:val="auto"/>
        </w:rPr>
        <w:t>2018-2 Secured Notes owned by the Company, which are eliminated in consolidation. The 2018-2 Notes are scheduled to mature on November 20, 2029, however the Co- Issuers may redeem the 2018- 2 Notes on any business day after November 20, 2020. The indenture governing the 2018-2 Notes provides that, to the extent cash is available from cash collections, the holders of the 2018-2 Notes are to receive quarterly interest payments on the 20th day or, if not a business day, the next succeeding business day of February, May, August and November of each year until the stated maturity or earlier redemption. On July 18, 2019, $25.0 million outstanding of the aggregate $50.0 million Class A-1 R-R Notes available under the CLO converted to Class A-1 T-R Notes. On November 18, 2022, the Company drew $14.3 million of the $25.0 million unfunded Class A-1 R-R Notes. The Reinvestment Period ended on November 20, 2022, and the remaining amount of the unfunded Class A-1 R-R Notes terminated.</w:t>
      </w:r>
    </w:p>
    <w:p>
      <w:pPr>
        <w:spacing w:after="0" w:line="73" w:lineRule="exact"/>
        <w:rPr>
          <w:sz w:val="20"/>
          <w:szCs w:val="20"/>
          <w:color w:val="auto"/>
        </w:rPr>
      </w:pPr>
    </w:p>
    <w:p>
      <w:pPr>
        <w:ind w:right="480" w:firstLine="381"/>
        <w:spacing w:after="0" w:line="286" w:lineRule="auto"/>
        <w:rPr>
          <w:sz w:val="20"/>
          <w:szCs w:val="20"/>
          <w:color w:val="auto"/>
        </w:rPr>
      </w:pPr>
      <w:r>
        <w:rPr>
          <w:rFonts w:ascii="Times New Roman" w:cs="Times New Roman" w:eastAsia="Times New Roman" w:hAnsi="Times New Roman"/>
          <w:sz w:val="13"/>
          <w:szCs w:val="13"/>
          <w:color w:val="auto"/>
        </w:rPr>
        <w:t>During the first quarter of 2021, the Company redeemed approximately $88.0 million of the 2018-2 Secured Notes. In connection therewith, the Company recognized a realized loss on extinguishment of debt of approximately $0.9 million.</w:t>
      </w:r>
    </w:p>
    <w:p>
      <w:pPr>
        <w:spacing w:after="0" w:line="52" w:lineRule="exact"/>
        <w:rPr>
          <w:sz w:val="20"/>
          <w:szCs w:val="20"/>
          <w:color w:val="auto"/>
        </w:rPr>
      </w:pPr>
    </w:p>
    <w:p>
      <w:pPr>
        <w:ind w:right="640" w:firstLine="348"/>
        <w:spacing w:after="0" w:line="286" w:lineRule="auto"/>
        <w:rPr>
          <w:sz w:val="20"/>
          <w:szCs w:val="20"/>
          <w:color w:val="auto"/>
        </w:rPr>
      </w:pPr>
      <w:r>
        <w:rPr>
          <w:rFonts w:ascii="Times New Roman" w:cs="Times New Roman" w:eastAsia="Times New Roman" w:hAnsi="Times New Roman"/>
          <w:sz w:val="13"/>
          <w:szCs w:val="13"/>
          <w:color w:val="auto"/>
        </w:rPr>
        <w:t>During the year ended December 31, 2023, the Company redeemed approximately $52.5 million of the par value of the 2018-2 Secured Notes. In connection therewith, the Company recognized a realized loss on extinguishment of approximately $0.4 million.</w:t>
      </w:r>
    </w:p>
    <w:p>
      <w:pPr>
        <w:spacing w:after="0" w:line="52" w:lineRule="exact"/>
        <w:rPr>
          <w:sz w:val="20"/>
          <w:szCs w:val="20"/>
          <w:color w:val="auto"/>
        </w:rPr>
      </w:pPr>
    </w:p>
    <w:p>
      <w:pPr>
        <w:ind w:right="120" w:firstLine="348"/>
        <w:spacing w:after="0" w:line="268" w:lineRule="auto"/>
        <w:rPr>
          <w:sz w:val="20"/>
          <w:szCs w:val="20"/>
          <w:color w:val="auto"/>
        </w:rPr>
      </w:pPr>
      <w:r>
        <w:rPr>
          <w:rFonts w:ascii="Times New Roman" w:cs="Times New Roman" w:eastAsia="Times New Roman" w:hAnsi="Times New Roman"/>
          <w:sz w:val="13"/>
          <w:szCs w:val="13"/>
          <w:color w:val="auto"/>
        </w:rPr>
        <w:t>On August 20, 2024, an optional redemption of the CLO occurred and all rated notes were repaid in full. As of December 31, 2024, no 2018-2 Secured Notes were outstanding. Accordingly, during 2024, the Company redeemed approximately $125.7 million of the par value of the 2018-2 Secured Notes. In connection therewith, the Company recognized a realized loss on extinguishment of approximately $0.7 million.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Stockholder Distributions</w:t>
      </w:r>
    </w:p>
    <w:p>
      <w:pPr>
        <w:spacing w:after="0" w:line="105" w:lineRule="exact"/>
        <w:rPr>
          <w:sz w:val="20"/>
          <w:szCs w:val="20"/>
          <w:color w:val="auto"/>
        </w:rPr>
      </w:pPr>
    </w:p>
    <w:p>
      <w:pPr>
        <w:ind w:right="340" w:firstLine="348"/>
        <w:spacing w:after="0" w:line="286" w:lineRule="auto"/>
        <w:rPr>
          <w:sz w:val="20"/>
          <w:szCs w:val="20"/>
          <w:color w:val="auto"/>
        </w:rPr>
      </w:pPr>
      <w:r>
        <w:rPr>
          <w:rFonts w:ascii="Times New Roman" w:cs="Times New Roman" w:eastAsia="Times New Roman" w:hAnsi="Times New Roman"/>
          <w:sz w:val="13"/>
          <w:szCs w:val="13"/>
          <w:color w:val="auto"/>
        </w:rPr>
        <w:t>We intend to continue to make quarterly distributions to our stockholders. To avoid certain excise taxes imposed on RICs, we generally endeavor to distribute during each calendar year an amount at least equal to the sum of:</w:t>
      </w:r>
    </w:p>
    <w:p>
      <w:pPr>
        <w:spacing w:after="0" w:line="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•98% of our ordinary net taxable income for the calendar year;</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•98.2% of our capital gains, if any, in excess of capital losses for the one-year period ending on October 31 of the calendar year; and</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•any net ordinary income and net capital gains for the preceding year that were not distributed during such year and on which we do not pay corporate tax.</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We may choose to carry forward taxable income in excess of current year distributions into the next tax year and pay a 4% excise tax on such income, to the extent required.</w:t>
      </w:r>
    </w:p>
    <w:p>
      <w:pPr>
        <w:spacing w:after="0" w:line="103" w:lineRule="exact"/>
        <w:rPr>
          <w:sz w:val="20"/>
          <w:szCs w:val="20"/>
          <w:color w:val="auto"/>
        </w:rPr>
      </w:pPr>
    </w:p>
    <w:p>
      <w:pPr>
        <w:ind w:right="140" w:firstLine="348"/>
        <w:spacing w:after="0" w:line="286" w:lineRule="auto"/>
        <w:rPr>
          <w:sz w:val="20"/>
          <w:szCs w:val="20"/>
          <w:color w:val="auto"/>
        </w:rPr>
      </w:pPr>
      <w:r>
        <w:rPr>
          <w:rFonts w:ascii="Times New Roman" w:cs="Times New Roman" w:eastAsia="Times New Roman" w:hAnsi="Times New Roman"/>
          <w:sz w:val="13"/>
          <w:szCs w:val="13"/>
          <w:color w:val="auto"/>
        </w:rPr>
        <w:t>The amount of our declared distributions, as evaluated by management and approved by our Board, is based primarily on our evaluation of our net investment income and distributable taxable income.</w:t>
      </w:r>
    </w:p>
    <w:p>
      <w:pPr>
        <w:spacing w:after="0" w:line="52"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3"/>
          <w:szCs w:val="13"/>
          <w:color w:val="auto"/>
        </w:rPr>
        <w:t>We may distribute taxable dividends that are payable in cash or shares of our common stock at the election of each stockholder. Under certain applicable provisions of the Code and the Treasury regulations, distributions payable in cash or in shares of stock at the election of stockholders are treated as taxable dividends. The Internal Revenue Service has published guidance indicating that this rule will apply even where the total amount of cash that may be distributed is limited to no more than 20% of the total distribution. Under this guidance, if too many stockholders elect to receive their distributions in cash, the cash available for distribution must be allocated among the stockholders electing to receive cash (with the balance of the distribution paid in stock). If we decide to make any distributions consistent with this guidance that are payable in part in our stock, taxable stockholders receiving such dividends will be required to include the full amount of the dividend (whether received in cash, shares of our stock, or a combination thereof) as ordinary income (or as long-term capital gain to the extent such distribution is properly reported as a capital gain dividend) to the extent of our current and accumulated earnings and profits for U.S. federal income tax purposes. As a result, a U.S. stockholder may be required to pay tax with respect to such dividends in excess of any cash received. If a U.S. stockholder sells the stock it receives in order to pay this tax, the sales proceeds may be less than the amount included in income with respect to the dividend, depending on the market price of our stock at the time of the sale. Furthermore, with respect to non-U.S. stockholders, we may be required to withhold U.S. tax with respect to such dividends, including in respect of all or a portion of such dividend that is payable in stock. In addition, if a significant number of our stockholders determine to sell shares of our stock in order to pay taxes owed on dividends, it may put downward pressure on the trading price of our stock.</w:t>
      </w:r>
    </w:p>
    <w:p>
      <w:pPr>
        <w:spacing w:after="0" w:line="72" w:lineRule="exact"/>
        <w:rPr>
          <w:sz w:val="20"/>
          <w:szCs w:val="20"/>
          <w:color w:val="auto"/>
        </w:rPr>
      </w:pPr>
    </w:p>
    <w:p>
      <w:pPr>
        <w:ind w:right="40" w:firstLine="348"/>
        <w:spacing w:after="0" w:line="258" w:lineRule="auto"/>
        <w:rPr>
          <w:sz w:val="20"/>
          <w:szCs w:val="20"/>
          <w:color w:val="auto"/>
        </w:rPr>
      </w:pPr>
      <w:r>
        <w:rPr>
          <w:rFonts w:ascii="Times New Roman" w:cs="Times New Roman" w:eastAsia="Times New Roman" w:hAnsi="Times New Roman"/>
          <w:sz w:val="13"/>
          <w:szCs w:val="13"/>
          <w:color w:val="auto"/>
        </w:rPr>
        <w:t>We are also prohibited by the 1940 Act and the indenture governing our 4.875% Notes due 2026 from declaring dividends (except a dividend payable in our stock) or making distributions on our common stock, or purchasing any such stock, if, at the time of declaration or at the time of any such purchase, our asset coverage, as defined in the 1940 Act, is below the threshold specified in Section 18(a)(1)(B) as modified by Section 61(a)(2) of the 1940 Act or any successor provisions thereto of the 1940 Act, after deducting the amount of such dividend, distribution or purchase price, as the case may be, and giving effect, in each case (i) to any exemptive relief granted to us by the SEC and (ii) to any no-action relief granted by the SEC to another BDC (or to the Company if it determines to seek such similar no-action or other relief) permitting the BDC to declare any cash dividend or distribution notwithstanding the prohibition contained in Section 18(a)(1)(B) as modified by Section</w:t>
      </w: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86" w:right="660" w:bottom="1440" w:gutter="0" w:footer="0" w:header="0"/>
        </w:sectPr>
      </w:pPr>
    </w:p>
    <w:bookmarkStart w:id="46" w:name="page47"/>
    <w:bookmarkEnd w:id="46"/>
    <w:p>
      <w:pPr>
        <w:ind w:right="80"/>
        <w:spacing w:after="0" w:line="286" w:lineRule="auto"/>
        <w:rPr>
          <w:sz w:val="20"/>
          <w:szCs w:val="20"/>
          <w:color w:val="auto"/>
        </w:rPr>
      </w:pPr>
      <w:r>
        <w:rPr>
          <w:rFonts w:ascii="Times New Roman" w:cs="Times New Roman" w:eastAsia="Times New Roman" w:hAnsi="Times New Roman"/>
          <w:sz w:val="13"/>
          <w:szCs w:val="13"/>
          <w:color w:val="auto"/>
        </w:rPr>
        <w:t>61(a)(1) of the 1940 Act in order to maintain its status as a RIC under the Code. In any such event, we would be prohibited from making distributions required in order to maintain our status as a RIC unless made in accordance with any such exemptive or no-action relief granted by the SEC.</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The following table sets forth the quarterly distributions paid by us since 2022.</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5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60" w:type="dxa"/>
            <w:vAlign w:val="bottom"/>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Declaration</w:t>
            </w:r>
          </w:p>
        </w:tc>
        <w:tc>
          <w:tcPr>
            <w:tcW w:w="1280" w:type="dxa"/>
            <w:vAlign w:val="bottom"/>
          </w:tcPr>
          <w:p>
            <w:pPr>
              <w:jc w:val="right"/>
              <w:ind w:right="574"/>
              <w:spacing w:after="0"/>
              <w:rPr>
                <w:sz w:val="20"/>
                <w:szCs w:val="20"/>
                <w:color w:val="auto"/>
              </w:rPr>
            </w:pPr>
            <w:r>
              <w:rPr>
                <w:rFonts w:ascii="Times New Roman" w:cs="Times New Roman" w:eastAsia="Times New Roman" w:hAnsi="Times New Roman"/>
                <w:sz w:val="13"/>
                <w:szCs w:val="13"/>
                <w:b w:val="1"/>
                <w:bCs w:val="1"/>
                <w:color w:val="auto"/>
              </w:rPr>
              <w:t>Record</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0"/>
        </w:trPr>
        <w:tc>
          <w:tcPr>
            <w:tcW w:w="5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Distribution</w:t>
            </w:r>
          </w:p>
        </w:tc>
        <w:tc>
          <w:tcPr>
            <w:tcW w:w="1660" w:type="dxa"/>
            <w:vAlign w:val="bottom"/>
          </w:tcPr>
          <w:p>
            <w:pPr>
              <w:jc w:val="right"/>
              <w:ind w:right="634"/>
              <w:spacing w:after="0"/>
              <w:rPr>
                <w:sz w:val="20"/>
                <w:szCs w:val="20"/>
                <w:color w:val="auto"/>
              </w:rPr>
            </w:pPr>
            <w:r>
              <w:rPr>
                <w:rFonts w:ascii="Times New Roman" w:cs="Times New Roman" w:eastAsia="Times New Roman" w:hAnsi="Times New Roman"/>
                <w:sz w:val="13"/>
                <w:szCs w:val="13"/>
                <w:b w:val="1"/>
                <w:bCs w:val="1"/>
                <w:color w:val="auto"/>
              </w:rPr>
              <w:t>Date</w:t>
            </w:r>
          </w:p>
        </w:tc>
        <w:tc>
          <w:tcPr>
            <w:tcW w:w="1280" w:type="dxa"/>
            <w:vAlign w:val="bottom"/>
          </w:tcPr>
          <w:p>
            <w:pPr>
              <w:jc w:val="right"/>
              <w:ind w:right="634"/>
              <w:spacing w:after="0"/>
              <w:rPr>
                <w:sz w:val="20"/>
                <w:szCs w:val="20"/>
                <w:color w:val="auto"/>
              </w:rPr>
            </w:pPr>
            <w:r>
              <w:rPr>
                <w:rFonts w:ascii="Times New Roman" w:cs="Times New Roman" w:eastAsia="Times New Roman" w:hAnsi="Times New Roman"/>
                <w:sz w:val="13"/>
                <w:szCs w:val="13"/>
                <w:b w:val="1"/>
                <w:bCs w:val="1"/>
                <w:color w:val="auto"/>
              </w:rPr>
              <w:t>Date</w:t>
            </w:r>
          </w:p>
        </w:tc>
        <w:tc>
          <w:tcPr>
            <w:tcW w:w="106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Pay Date</w:t>
            </w:r>
          </w:p>
        </w:tc>
        <w:tc>
          <w:tcPr>
            <w:tcW w:w="0" w:type="dxa"/>
            <w:vAlign w:val="bottom"/>
          </w:tcPr>
          <w:p>
            <w:pPr>
              <w:spacing w:after="0"/>
              <w:rPr>
                <w:sz w:val="1"/>
                <w:szCs w:val="1"/>
                <w:color w:val="auto"/>
              </w:rPr>
            </w:pPr>
          </w:p>
        </w:tc>
      </w:tr>
      <w:tr>
        <w:trPr>
          <w:trHeight w:val="156"/>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2024:</w:t>
            </w:r>
          </w:p>
        </w:tc>
        <w:tc>
          <w:tcPr>
            <w:tcW w:w="1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66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Fourth quarter</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0.69</w:t>
            </w:r>
          </w:p>
        </w:tc>
        <w:tc>
          <w:tcPr>
            <w:tcW w:w="166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11/7/2024</w:t>
            </w:r>
          </w:p>
        </w:tc>
        <w:tc>
          <w:tcPr>
            <w:tcW w:w="128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11/19/2024</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11/29/2024</w:t>
            </w:r>
          </w:p>
        </w:tc>
        <w:tc>
          <w:tcPr>
            <w:tcW w:w="0" w:type="dxa"/>
            <w:vAlign w:val="bottom"/>
          </w:tcPr>
          <w:p>
            <w:pPr>
              <w:spacing w:after="0"/>
              <w:rPr>
                <w:sz w:val="1"/>
                <w:szCs w:val="1"/>
                <w:color w:val="auto"/>
              </w:rPr>
            </w:pPr>
          </w:p>
        </w:tc>
      </w:tr>
      <w:tr>
        <w:trPr>
          <w:trHeight w:val="156"/>
        </w:trPr>
        <w:tc>
          <w:tcPr>
            <w:tcW w:w="5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Third quarter</w:t>
            </w:r>
          </w:p>
        </w:tc>
        <w:tc>
          <w:tcPr>
            <w:tcW w:w="1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0.69</w:t>
            </w:r>
          </w:p>
        </w:tc>
        <w:tc>
          <w:tcPr>
            <w:tcW w:w="166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rPr>
              <w:t>8/8/2024</w:t>
            </w:r>
          </w:p>
        </w:tc>
        <w:tc>
          <w:tcPr>
            <w:tcW w:w="128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8/22/2024</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8/30/2024</w:t>
            </w:r>
          </w:p>
        </w:tc>
        <w:tc>
          <w:tcPr>
            <w:tcW w:w="0" w:type="dxa"/>
            <w:vAlign w:val="bottom"/>
          </w:tcPr>
          <w:p>
            <w:pPr>
              <w:spacing w:after="0"/>
              <w:rPr>
                <w:sz w:val="1"/>
                <w:szCs w:val="1"/>
                <w:color w:val="auto"/>
              </w:rPr>
            </w:pPr>
          </w:p>
        </w:tc>
      </w:tr>
      <w:tr>
        <w:trPr>
          <w:trHeight w:val="156"/>
        </w:trPr>
        <w:tc>
          <w:tcPr>
            <w:tcW w:w="54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Second quarter</w:t>
            </w: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0.69</w:t>
            </w:r>
          </w:p>
        </w:tc>
        <w:tc>
          <w:tcPr>
            <w:tcW w:w="166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5/8/2024</w:t>
            </w:r>
          </w:p>
        </w:tc>
        <w:tc>
          <w:tcPr>
            <w:tcW w:w="128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5/21/2024</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5/31/2024</w:t>
            </w:r>
          </w:p>
        </w:tc>
        <w:tc>
          <w:tcPr>
            <w:tcW w:w="0" w:type="dxa"/>
            <w:vAlign w:val="bottom"/>
          </w:tcPr>
          <w:p>
            <w:pPr>
              <w:spacing w:after="0"/>
              <w:rPr>
                <w:sz w:val="1"/>
                <w:szCs w:val="1"/>
                <w:color w:val="auto"/>
              </w:rPr>
            </w:pPr>
          </w:p>
        </w:tc>
      </w:tr>
      <w:tr>
        <w:trPr>
          <w:trHeight w:val="156"/>
        </w:trPr>
        <w:tc>
          <w:tcPr>
            <w:tcW w:w="5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First quarter</w:t>
            </w:r>
          </w:p>
        </w:tc>
        <w:tc>
          <w:tcPr>
            <w:tcW w:w="1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0.69</w:t>
            </w:r>
          </w:p>
        </w:tc>
        <w:tc>
          <w:tcPr>
            <w:tcW w:w="166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rPr>
              <w:t>3/13/2024</w:t>
            </w:r>
          </w:p>
        </w:tc>
        <w:tc>
          <w:tcPr>
            <w:tcW w:w="128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3/25/2024</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4/2/2024</w:t>
            </w:r>
          </w:p>
        </w:tc>
        <w:tc>
          <w:tcPr>
            <w:tcW w:w="0" w:type="dxa"/>
            <w:vAlign w:val="bottom"/>
          </w:tcPr>
          <w:p>
            <w:pPr>
              <w:spacing w:after="0"/>
              <w:rPr>
                <w:sz w:val="1"/>
                <w:szCs w:val="1"/>
                <w:color w:val="auto"/>
              </w:rPr>
            </w:pPr>
          </w:p>
        </w:tc>
      </w:tr>
      <w:tr>
        <w:trPr>
          <w:trHeight w:val="156"/>
        </w:trPr>
        <w:tc>
          <w:tcPr>
            <w:tcW w:w="5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declared in 2024</w:t>
            </w:r>
          </w:p>
        </w:tc>
        <w:tc>
          <w:tcPr>
            <w:tcW w:w="1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2.76</w:t>
            </w:r>
          </w:p>
        </w:tc>
        <w:tc>
          <w:tcPr>
            <w:tcW w:w="16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44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2023:</w:t>
            </w: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66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54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Fourth quarter</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0.69</w:t>
            </w:r>
          </w:p>
        </w:tc>
        <w:tc>
          <w:tcPr>
            <w:tcW w:w="166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11/8/2023</w:t>
            </w:r>
          </w:p>
        </w:tc>
        <w:tc>
          <w:tcPr>
            <w:tcW w:w="128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11/20/2023</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11/30/2023</w:t>
            </w:r>
          </w:p>
        </w:tc>
        <w:tc>
          <w:tcPr>
            <w:tcW w:w="0" w:type="dxa"/>
            <w:vAlign w:val="bottom"/>
          </w:tcPr>
          <w:p>
            <w:pPr>
              <w:spacing w:after="0"/>
              <w:rPr>
                <w:sz w:val="1"/>
                <w:szCs w:val="1"/>
                <w:color w:val="auto"/>
              </w:rPr>
            </w:pPr>
          </w:p>
        </w:tc>
      </w:tr>
      <w:tr>
        <w:trPr>
          <w:trHeight w:val="156"/>
        </w:trPr>
        <w:tc>
          <w:tcPr>
            <w:tcW w:w="5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Third quarter</w:t>
            </w:r>
          </w:p>
        </w:tc>
        <w:tc>
          <w:tcPr>
            <w:tcW w:w="1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0.69</w:t>
            </w:r>
          </w:p>
        </w:tc>
        <w:tc>
          <w:tcPr>
            <w:tcW w:w="166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rPr>
              <w:t>8/8/2023</w:t>
            </w:r>
          </w:p>
        </w:tc>
        <w:tc>
          <w:tcPr>
            <w:tcW w:w="128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8/22/2023</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8/31/2023</w:t>
            </w: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Second quarter</w:t>
            </w:r>
          </w:p>
        </w:tc>
        <w:tc>
          <w:tcPr>
            <w:tcW w:w="1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0.69</w:t>
            </w:r>
          </w:p>
        </w:tc>
        <w:tc>
          <w:tcPr>
            <w:tcW w:w="166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5/10/2023</w:t>
            </w:r>
          </w:p>
        </w:tc>
        <w:tc>
          <w:tcPr>
            <w:tcW w:w="128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5/22/2023</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5/31/2023</w:t>
            </w:r>
          </w:p>
        </w:tc>
        <w:tc>
          <w:tcPr>
            <w:tcW w:w="0" w:type="dxa"/>
            <w:vAlign w:val="bottom"/>
          </w:tcPr>
          <w:p>
            <w:pPr>
              <w:spacing w:after="0"/>
              <w:rPr>
                <w:sz w:val="1"/>
                <w:szCs w:val="1"/>
                <w:color w:val="auto"/>
              </w:rPr>
            </w:pPr>
          </w:p>
        </w:tc>
      </w:tr>
      <w:tr>
        <w:trPr>
          <w:trHeight w:val="116"/>
        </w:trPr>
        <w:tc>
          <w:tcPr>
            <w:tcW w:w="5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6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5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First quarter</w:t>
            </w:r>
          </w:p>
        </w:tc>
        <w:tc>
          <w:tcPr>
            <w:tcW w:w="1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0.68</w:t>
            </w:r>
          </w:p>
        </w:tc>
        <w:tc>
          <w:tcPr>
            <w:tcW w:w="166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rPr>
              <w:t>3/9/2023</w:t>
            </w:r>
          </w:p>
        </w:tc>
        <w:tc>
          <w:tcPr>
            <w:tcW w:w="128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3/20/2023</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3/31/2023</w:t>
            </w:r>
          </w:p>
        </w:tc>
        <w:tc>
          <w:tcPr>
            <w:tcW w:w="0" w:type="dxa"/>
            <w:vAlign w:val="bottom"/>
          </w:tcPr>
          <w:p>
            <w:pPr>
              <w:spacing w:after="0"/>
              <w:rPr>
                <w:sz w:val="1"/>
                <w:szCs w:val="1"/>
                <w:color w:val="auto"/>
              </w:rPr>
            </w:pPr>
          </w:p>
        </w:tc>
      </w:tr>
      <w:tr>
        <w:trPr>
          <w:trHeight w:val="156"/>
        </w:trPr>
        <w:tc>
          <w:tcPr>
            <w:tcW w:w="5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declared in 2023</w:t>
            </w:r>
          </w:p>
        </w:tc>
        <w:tc>
          <w:tcPr>
            <w:tcW w:w="1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16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44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2022:</w:t>
            </w: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66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54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Fourth quarter</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0.67</w:t>
            </w:r>
          </w:p>
        </w:tc>
        <w:tc>
          <w:tcPr>
            <w:tcW w:w="166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11/8/2022</w:t>
            </w:r>
          </w:p>
        </w:tc>
        <w:tc>
          <w:tcPr>
            <w:tcW w:w="128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11/24/2022</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12/13/2022</w:t>
            </w:r>
          </w:p>
        </w:tc>
        <w:tc>
          <w:tcPr>
            <w:tcW w:w="0" w:type="dxa"/>
            <w:vAlign w:val="bottom"/>
          </w:tcPr>
          <w:p>
            <w:pPr>
              <w:spacing w:after="0"/>
              <w:rPr>
                <w:sz w:val="1"/>
                <w:szCs w:val="1"/>
                <w:color w:val="auto"/>
              </w:rPr>
            </w:pPr>
          </w:p>
        </w:tc>
      </w:tr>
      <w:tr>
        <w:trPr>
          <w:trHeight w:val="156"/>
        </w:trPr>
        <w:tc>
          <w:tcPr>
            <w:tcW w:w="5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Third quarter</w:t>
            </w:r>
          </w:p>
        </w:tc>
        <w:tc>
          <w:tcPr>
            <w:tcW w:w="1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0.63</w:t>
            </w:r>
          </w:p>
        </w:tc>
        <w:tc>
          <w:tcPr>
            <w:tcW w:w="166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rPr>
              <w:t>8/9/2022</w:t>
            </w:r>
          </w:p>
        </w:tc>
        <w:tc>
          <w:tcPr>
            <w:tcW w:w="128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8/16/2022</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9/2/2022</w:t>
            </w:r>
          </w:p>
        </w:tc>
        <w:tc>
          <w:tcPr>
            <w:tcW w:w="0" w:type="dxa"/>
            <w:vAlign w:val="bottom"/>
          </w:tcPr>
          <w:p>
            <w:pPr>
              <w:spacing w:after="0"/>
              <w:rPr>
                <w:sz w:val="1"/>
                <w:szCs w:val="1"/>
                <w:color w:val="auto"/>
              </w:rPr>
            </w:pPr>
          </w:p>
        </w:tc>
      </w:tr>
      <w:tr>
        <w:trPr>
          <w:trHeight w:val="156"/>
        </w:trPr>
        <w:tc>
          <w:tcPr>
            <w:tcW w:w="54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Second quarter</w:t>
            </w: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0.63</w:t>
            </w:r>
          </w:p>
        </w:tc>
        <w:tc>
          <w:tcPr>
            <w:tcW w:w="166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5/10/2022</w:t>
            </w:r>
          </w:p>
        </w:tc>
        <w:tc>
          <w:tcPr>
            <w:tcW w:w="128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5/24/2022</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6/7/2022</w:t>
            </w:r>
          </w:p>
        </w:tc>
        <w:tc>
          <w:tcPr>
            <w:tcW w:w="0" w:type="dxa"/>
            <w:vAlign w:val="bottom"/>
          </w:tcPr>
          <w:p>
            <w:pPr>
              <w:spacing w:after="0"/>
              <w:rPr>
                <w:sz w:val="1"/>
                <w:szCs w:val="1"/>
                <w:color w:val="auto"/>
              </w:rPr>
            </w:pPr>
          </w:p>
        </w:tc>
      </w:tr>
      <w:tr>
        <w:trPr>
          <w:trHeight w:val="156"/>
        </w:trPr>
        <w:tc>
          <w:tcPr>
            <w:tcW w:w="5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First quarter</w:t>
            </w:r>
          </w:p>
        </w:tc>
        <w:tc>
          <w:tcPr>
            <w:tcW w:w="1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0.63</w:t>
            </w:r>
          </w:p>
        </w:tc>
        <w:tc>
          <w:tcPr>
            <w:tcW w:w="166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rPr>
              <w:t>3/10/2022</w:t>
            </w:r>
          </w:p>
        </w:tc>
        <w:tc>
          <w:tcPr>
            <w:tcW w:w="128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3/21/2022</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3/30/2022</w:t>
            </w:r>
          </w:p>
        </w:tc>
        <w:tc>
          <w:tcPr>
            <w:tcW w:w="0" w:type="dxa"/>
            <w:vAlign w:val="bottom"/>
          </w:tcPr>
          <w:p>
            <w:pPr>
              <w:spacing w:after="0"/>
              <w:rPr>
                <w:sz w:val="1"/>
                <w:szCs w:val="1"/>
                <w:color w:val="auto"/>
              </w:rPr>
            </w:pPr>
          </w:p>
        </w:tc>
      </w:tr>
      <w:tr>
        <w:trPr>
          <w:trHeight w:val="156"/>
        </w:trPr>
        <w:tc>
          <w:tcPr>
            <w:tcW w:w="5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declared in 2022</w:t>
            </w:r>
          </w:p>
        </w:tc>
        <w:tc>
          <w:tcPr>
            <w:tcW w:w="1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16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Stock Repurchase Program</w:t>
      </w:r>
    </w:p>
    <w:p>
      <w:pPr>
        <w:spacing w:after="0" w:line="105" w:lineRule="exact"/>
        <w:rPr>
          <w:sz w:val="20"/>
          <w:szCs w:val="20"/>
          <w:color w:val="auto"/>
        </w:rPr>
      </w:pPr>
    </w:p>
    <w:p>
      <w:pPr>
        <w:ind w:right="60" w:firstLine="348"/>
        <w:spacing w:after="0" w:line="254" w:lineRule="auto"/>
        <w:rPr>
          <w:sz w:val="20"/>
          <w:szCs w:val="20"/>
          <w:color w:val="auto"/>
        </w:rPr>
      </w:pPr>
      <w:r>
        <w:rPr>
          <w:rFonts w:ascii="Times New Roman" w:cs="Times New Roman" w:eastAsia="Times New Roman" w:hAnsi="Times New Roman"/>
          <w:sz w:val="13"/>
          <w:szCs w:val="13"/>
          <w:color w:val="auto"/>
        </w:rPr>
        <w:t>On March 6, 2023, the Board of Directors of the Company approved a $10 million stock repurchase program (the “Stock Repurchase Program”) for an approximately one-year period, effective March 6, 2023 and terminating on March 31, 2024. Under this repurchase program, shares may be repurchased from time to time in open market transactions, in privately negotiated transactions or otherwise subject to any law or agreement to which we are party including any restrictions under the 1940 Act and in the indenture for our 4.875% Notes due 2026. The timing and actual number of shares repurchased will depend on a variety of factors, including legal requirements, price, and economic and market conditions. This Stock Repurchase Program may be suspended or discontinued at any time. On March 11, 2024, the Board of Directors of the Company authorized a renewed stock repurchase program of up to $10 million (the “Renewed Stock Repurchase Program”) for an approximately one-year period, effective March 11, 2024 and terminating on March 31, 2025. The terms and conditions of the Renewed Stock Repurchase Program are substantially similar to the prior Stock Repurchase Program. The Renewed Stock Repurchase Program may be suspended or discontinued at any time. Subject to these restrictions, we will selectively pursue opportunities to repurchase shares which are accretive to net asset value per share. On March 12, 2025, the Board of Directors of the Company authorized once more a renewed stock repurchase program of up to $10 million (the “2025 Stock Repurchase Program”) for an approximately one-year period, effective March 12, 2025 and terminating on March 31, 2026. The terms and conditions of the 2025 Stock Repurchase Program are substantially similar to the prior Renewed Stock Repurchase Program. The 2025 Stock Repurchase Program may be suspended or discontinued at any time. Subject to these restrictions, we will selectively pursue opportunities to repurchase shares which are accretive to net asset value per share.</w:t>
      </w:r>
    </w:p>
    <w:p>
      <w:pPr>
        <w:spacing w:after="0" w:line="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During the year ended December 31, 2024, the Company repurchased 202,357 shares, under the Renewed Stock Repurchase Program at an aggregate cost of approximately $3.8 million.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During the year ended December 31, 2023, the Company repurchased 224,933 shares, under the Stock Repurchase Program at an aggregate cost of approximately $4.4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OFF-BALANCE SHEET ARRANGEMENTS</w:t>
      </w:r>
    </w:p>
    <w:p>
      <w:pPr>
        <w:spacing w:after="0" w:line="105" w:lineRule="exact"/>
        <w:rPr>
          <w:sz w:val="20"/>
          <w:szCs w:val="20"/>
          <w:color w:val="auto"/>
        </w:rPr>
      </w:pPr>
    </w:p>
    <w:p>
      <w:pPr>
        <w:ind w:right="40" w:firstLine="348"/>
        <w:spacing w:after="0" w:line="259" w:lineRule="auto"/>
        <w:rPr>
          <w:sz w:val="20"/>
          <w:szCs w:val="20"/>
          <w:color w:val="auto"/>
        </w:rPr>
      </w:pPr>
      <w:r>
        <w:rPr>
          <w:rFonts w:ascii="Times New Roman" w:cs="Times New Roman" w:eastAsia="Times New Roman" w:hAnsi="Times New Roman"/>
          <w:sz w:val="13"/>
          <w:szCs w:val="13"/>
          <w:color w:val="auto"/>
        </w:rPr>
        <w:t>From time-to -time we are a party to financial instruments with off-balance sheet risk in the normal course of business in order to meet the needs of our investment in portfolio companies. Such instruments include commitments to extend credit and may involve, in varying degrees, elements of credit risk in excess of amounts recognized on our consolidated statements of assets and liabilities. Prior to extending such credit, we attempt to limit our credit risk by conducting extensive due diligence, obtaining collateral where necessary and negotiating appropriate financial covenants. As of December 31, 2024 and December 31, 2023, the Company had approximately $ 27.2 million and $28.6 million in commitments to fund investments, respectively. We may also enter into derivative contracts with off-balance sheet risk in connection with our investing activities.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CONTRACTUAL OBLIGATIONS</w:t>
      </w:r>
    </w:p>
    <w:p>
      <w:pPr>
        <w:spacing w:after="0" w:line="1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The following table summarizes our contractual cash obligations and other commercial commitments as of December 31, 2024:</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 in thousands)</w:t>
            </w:r>
          </w:p>
        </w:tc>
        <w:tc>
          <w:tcPr>
            <w:tcW w:w="1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Payments Due by Period</w:t>
            </w: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6"/>
        </w:trPr>
        <w:tc>
          <w:tcPr>
            <w:tcW w:w="31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center"/>
              <w:ind w:right="194"/>
              <w:spacing w:after="0"/>
              <w:rPr>
                <w:sz w:val="20"/>
                <w:szCs w:val="20"/>
                <w:color w:val="auto"/>
              </w:rPr>
            </w:pPr>
            <w:r>
              <w:rPr>
                <w:rFonts w:ascii="Times New Roman" w:cs="Times New Roman" w:eastAsia="Times New Roman" w:hAnsi="Times New Roman"/>
                <w:sz w:val="13"/>
                <w:szCs w:val="13"/>
                <w:b w:val="1"/>
                <w:bCs w:val="1"/>
                <w:color w:val="auto"/>
              </w:rPr>
              <w:t>Less than</w:t>
            </w: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center"/>
              <w:ind w:right="134"/>
              <w:spacing w:after="0"/>
              <w:rPr>
                <w:sz w:val="20"/>
                <w:szCs w:val="20"/>
                <w:color w:val="auto"/>
              </w:rPr>
            </w:pPr>
            <w:r>
              <w:rPr>
                <w:rFonts w:ascii="Times New Roman" w:cs="Times New Roman" w:eastAsia="Times New Roman" w:hAnsi="Times New Roman"/>
                <w:sz w:val="13"/>
                <w:szCs w:val="13"/>
                <w:b w:val="1"/>
                <w:bCs w:val="1"/>
                <w:color w:val="auto"/>
                <w:w w:val="98"/>
              </w:rPr>
              <w:t>More than</w:t>
            </w:r>
          </w:p>
        </w:tc>
      </w:tr>
      <w:tr>
        <w:trPr>
          <w:trHeight w:val="170"/>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Contractual Obligations</w:t>
            </w:r>
          </w:p>
        </w:tc>
        <w:tc>
          <w:tcPr>
            <w:tcW w:w="1880" w:type="dxa"/>
            <w:vAlign w:val="bottom"/>
          </w:tcPr>
          <w:p>
            <w:pPr>
              <w:spacing w:after="0"/>
              <w:rPr>
                <w:sz w:val="14"/>
                <w:szCs w:val="14"/>
                <w:color w:val="auto"/>
              </w:rPr>
            </w:pPr>
          </w:p>
        </w:tc>
        <w:tc>
          <w:tcPr>
            <w:tcW w:w="88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60" w:type="dxa"/>
            <w:vAlign w:val="bottom"/>
          </w:tcPr>
          <w:p>
            <w:pPr>
              <w:spacing w:after="0"/>
              <w:rPr>
                <w:sz w:val="14"/>
                <w:szCs w:val="14"/>
                <w:color w:val="auto"/>
              </w:rPr>
            </w:pPr>
          </w:p>
        </w:tc>
        <w:tc>
          <w:tcPr>
            <w:tcW w:w="920" w:type="dxa"/>
            <w:vAlign w:val="bottom"/>
          </w:tcPr>
          <w:p>
            <w:pPr>
              <w:jc w:val="center"/>
              <w:ind w:right="214"/>
              <w:spacing w:after="0"/>
              <w:rPr>
                <w:sz w:val="20"/>
                <w:szCs w:val="20"/>
                <w:color w:val="auto"/>
              </w:rPr>
            </w:pPr>
            <w:r>
              <w:rPr>
                <w:rFonts w:ascii="Times New Roman" w:cs="Times New Roman" w:eastAsia="Times New Roman" w:hAnsi="Times New Roman"/>
                <w:sz w:val="13"/>
                <w:szCs w:val="13"/>
                <w:b w:val="1"/>
                <w:bCs w:val="1"/>
                <w:color w:val="auto"/>
                <w:w w:val="99"/>
              </w:rPr>
              <w:t>two year</w:t>
            </w:r>
          </w:p>
        </w:tc>
        <w:tc>
          <w:tcPr>
            <w:tcW w:w="260" w:type="dxa"/>
            <w:vAlign w:val="bottom"/>
          </w:tcPr>
          <w:p>
            <w:pPr>
              <w:spacing w:after="0"/>
              <w:rPr>
                <w:sz w:val="14"/>
                <w:szCs w:val="14"/>
                <w:color w:val="auto"/>
              </w:rPr>
            </w:pPr>
          </w:p>
        </w:tc>
        <w:tc>
          <w:tcPr>
            <w:tcW w:w="102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2 - 3 years</w:t>
            </w:r>
          </w:p>
        </w:tc>
        <w:tc>
          <w:tcPr>
            <w:tcW w:w="16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4 - 5 years</w:t>
            </w:r>
          </w:p>
        </w:tc>
        <w:tc>
          <w:tcPr>
            <w:tcW w:w="220" w:type="dxa"/>
            <w:vAlign w:val="bottom"/>
          </w:tcPr>
          <w:p>
            <w:pPr>
              <w:spacing w:after="0"/>
              <w:rPr>
                <w:sz w:val="14"/>
                <w:szCs w:val="14"/>
                <w:color w:val="auto"/>
              </w:rPr>
            </w:pPr>
          </w:p>
        </w:tc>
        <w:tc>
          <w:tcPr>
            <w:tcW w:w="900" w:type="dxa"/>
            <w:vAlign w:val="bottom"/>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rPr>
              <w:t>5 years</w:t>
            </w:r>
          </w:p>
        </w:tc>
      </w:tr>
      <w:tr>
        <w:trPr>
          <w:trHeight w:val="156"/>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Long-term debt obligations</w:t>
            </w:r>
          </w:p>
        </w:tc>
        <w:tc>
          <w:tcPr>
            <w:tcW w:w="18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267,479</w:t>
            </w:r>
          </w:p>
        </w:tc>
        <w:tc>
          <w:tcPr>
            <w:tcW w:w="2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108,000</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159,479</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3"/>
                <w:szCs w:val="13"/>
                <w:color w:val="auto"/>
              </w:rPr>
              <w:t>—</w:t>
            </w:r>
          </w:p>
        </w:tc>
      </w:tr>
    </w:tbl>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CRITICAL ACCOUNTING POLICIES AND ESTIMATES</w:t>
      </w:r>
    </w:p>
    <w:p>
      <w:pPr>
        <w:spacing w:after="0" w:line="105" w:lineRule="exact"/>
        <w:rPr>
          <w:sz w:val="20"/>
          <w:szCs w:val="20"/>
          <w:color w:val="auto"/>
        </w:rPr>
      </w:pPr>
    </w:p>
    <w:p>
      <w:pPr>
        <w:ind w:right="200" w:firstLine="348"/>
        <w:spacing w:after="0" w:line="268" w:lineRule="auto"/>
        <w:rPr>
          <w:sz w:val="20"/>
          <w:szCs w:val="20"/>
          <w:color w:val="auto"/>
        </w:rPr>
      </w:pPr>
      <w:r>
        <w:rPr>
          <w:rFonts w:ascii="Times New Roman" w:cs="Times New Roman" w:eastAsia="Times New Roman" w:hAnsi="Times New Roman"/>
          <w:sz w:val="13"/>
          <w:szCs w:val="13"/>
          <w:color w:val="auto"/>
        </w:rPr>
        <w:t>The consolidated financial statements are based on the selection and application of critical accounting policies, which require management to make significant estimates and assumptions. Critical accounting policies are those that are both important to the presentation of our financial condition and results of operations and require management’s most difficult, complex, or subjective judgments. Our critical accounting policies are those applicable to the basis of presentation, valuation of</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86" w:right="680" w:bottom="1440" w:gutter="0" w:footer="0" w:header="0"/>
        </w:sectPr>
      </w:pPr>
    </w:p>
    <w:bookmarkStart w:id="47" w:name="page48"/>
    <w:bookmarkEnd w:id="47"/>
    <w:p>
      <w:pPr>
        <w:ind w:right="120"/>
        <w:spacing w:after="0" w:line="286" w:lineRule="auto"/>
        <w:rPr>
          <w:sz w:val="20"/>
          <w:szCs w:val="20"/>
          <w:color w:val="auto"/>
        </w:rPr>
      </w:pPr>
      <w:r>
        <w:rPr>
          <w:rFonts w:ascii="Times New Roman" w:cs="Times New Roman" w:eastAsia="Times New Roman" w:hAnsi="Times New Roman"/>
          <w:sz w:val="13"/>
          <w:szCs w:val="13"/>
          <w:color w:val="auto"/>
        </w:rPr>
        <w:t>investments, and certain revenue recognition matters as discussed below. See Note 2 to our consolidated financial statements, “Significant Accounting Policies — Investments”, contained elsewhere herein.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Valuation of Portfolio Investments</w:t>
      </w:r>
    </w:p>
    <w:p>
      <w:pPr>
        <w:spacing w:after="0" w:line="107" w:lineRule="exact"/>
        <w:rPr>
          <w:sz w:val="20"/>
          <w:szCs w:val="20"/>
          <w:color w:val="auto"/>
        </w:rPr>
      </w:pPr>
    </w:p>
    <w:p>
      <w:pPr>
        <w:ind w:right="520" w:firstLine="348"/>
        <w:spacing w:after="0" w:line="286" w:lineRule="auto"/>
        <w:rPr>
          <w:sz w:val="20"/>
          <w:szCs w:val="20"/>
          <w:color w:val="auto"/>
        </w:rPr>
      </w:pPr>
      <w:r>
        <w:rPr>
          <w:rFonts w:ascii="Times New Roman" w:cs="Times New Roman" w:eastAsia="Times New Roman" w:hAnsi="Times New Roman"/>
          <w:sz w:val="13"/>
          <w:szCs w:val="13"/>
          <w:color w:val="auto"/>
        </w:rPr>
        <w:t>The most significant estimate inherent in the preparation of our consolidated financial statements is the valuation of investments and the related amounts of unrealized appreciation and depreciation of investments recorded.</w:t>
      </w:r>
    </w:p>
    <w:p>
      <w:pPr>
        <w:spacing w:after="0" w:line="52" w:lineRule="exact"/>
        <w:rPr>
          <w:sz w:val="20"/>
          <w:szCs w:val="20"/>
          <w:color w:val="auto"/>
        </w:rPr>
      </w:pPr>
    </w:p>
    <w:p>
      <w:pPr>
        <w:ind w:right="20" w:firstLine="348"/>
        <w:spacing w:after="0" w:line="254" w:lineRule="auto"/>
        <w:rPr>
          <w:sz w:val="20"/>
          <w:szCs w:val="20"/>
          <w:color w:val="auto"/>
        </w:rPr>
      </w:pPr>
      <w:r>
        <w:rPr>
          <w:rFonts w:ascii="Times New Roman" w:cs="Times New Roman" w:eastAsia="Times New Roman" w:hAnsi="Times New Roman"/>
          <w:sz w:val="13"/>
          <w:szCs w:val="13"/>
          <w:color w:val="auto"/>
        </w:rPr>
        <w:t>Value, as defined in Section 2(a)(41) of 1940 Act, is (1) the market price for those securities for which a market quotation is readily available and (2) for all other securities and assets, fair value as determined in good faith by our Adviser pursuant to procedures approved by our Board. In December 2020, the SEC adopted Rule 2a- 5 under the 1940 Act, which permits a BDC's board of directors to designate its investment adviser as a valuation designee to determine the fair value for its investment portfolio, subject to the active oversight of the board. Our Board has designated our Adviser as its "valuation designee" pursuant to Rule 2a-5 under the 1940 Act, and in that role our Adviser is responsible for performing fair value determinations relating to all of the Company's investments, including periodically assessing and managing any material valuation risks and establishing and applying fair value methodologies, in accordance with valuation policies and procedures that have been approved by the Board. Our Board remains ultimately responsible for making fair value determinations under the 1940 Act and satisfies its responsibility through oversight of the valuation designee in accordance with Rule 2a-5. Our valuation policy is intended to provide a consistent basis for determining the fair value of the portfolio based on the nature of the security, the market for the security and other considerations including the financial performance and enterprise value of the portfolio company. Because of the inherent uncertainty of valuation, the Adviser determined values may differ significantly from the values that would have been used had a ready market existed for the investments, and the differences could be material.</w:t>
      </w:r>
    </w:p>
    <w:p>
      <w:pPr>
        <w:spacing w:after="0" w:line="75" w:lineRule="exact"/>
        <w:rPr>
          <w:sz w:val="20"/>
          <w:szCs w:val="20"/>
          <w:color w:val="auto"/>
        </w:rPr>
      </w:pPr>
    </w:p>
    <w:p>
      <w:pPr>
        <w:ind w:right="20" w:firstLine="348"/>
        <w:spacing w:after="0" w:line="269" w:lineRule="auto"/>
        <w:rPr>
          <w:sz w:val="20"/>
          <w:szCs w:val="20"/>
          <w:color w:val="auto"/>
        </w:rPr>
      </w:pPr>
      <w:r>
        <w:rPr>
          <w:rFonts w:ascii="Times New Roman" w:cs="Times New Roman" w:eastAsia="Times New Roman" w:hAnsi="Times New Roman"/>
          <w:sz w:val="13"/>
          <w:szCs w:val="13"/>
          <w:color w:val="auto"/>
        </w:rPr>
        <w:t xml:space="preserve">Pursuant to ASC 946: </w:t>
      </w:r>
      <w:r>
        <w:rPr>
          <w:rFonts w:ascii="Times New Roman" w:cs="Times New Roman" w:eastAsia="Times New Roman" w:hAnsi="Times New Roman"/>
          <w:sz w:val="13"/>
          <w:szCs w:val="13"/>
          <w:i w:val="1"/>
          <w:iCs w:val="1"/>
          <w:color w:val="auto"/>
        </w:rPr>
        <w:t>Financial Services — Investment Companies</w:t>
      </w:r>
      <w:r>
        <w:rPr>
          <w:rFonts w:ascii="Times New Roman" w:cs="Times New Roman" w:eastAsia="Times New Roman" w:hAnsi="Times New Roman"/>
          <w:sz w:val="13"/>
          <w:szCs w:val="13"/>
          <w:color w:val="auto"/>
        </w:rPr>
        <w:t xml:space="preserve"> (“ASC 946”), we reflect our investments on our consolidated statements of assets and liabilities at their determined fair value with unrealized gains and losses resulting from changes in fair value reflected as a component of unrealized gains or losses on our statements of operations. Fair value is the amount that would be received to sell the investments in an orderly transaction between market participants at the measurement date (i.e., the exit price).</w:t>
      </w:r>
    </w:p>
    <w:p>
      <w:pPr>
        <w:spacing w:after="0" w:line="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See Note 4 to the consolidated financial statements for the additional information about the level of market observability associated with investments carried at fair value.</w:t>
      </w:r>
    </w:p>
    <w:p>
      <w:pPr>
        <w:spacing w:after="0" w:line="101"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3"/>
          <w:szCs w:val="13"/>
          <w:color w:val="auto"/>
        </w:rPr>
        <w:t xml:space="preserve">We follow the provisions of ASC 820: </w:t>
      </w:r>
      <w:r>
        <w:rPr>
          <w:rFonts w:ascii="Times New Roman" w:cs="Times New Roman" w:eastAsia="Times New Roman" w:hAnsi="Times New Roman"/>
          <w:sz w:val="13"/>
          <w:szCs w:val="13"/>
          <w:i w:val="1"/>
          <w:iCs w:val="1"/>
          <w:color w:val="auto"/>
        </w:rPr>
        <w:t>Fair Value Measurements and Disclosures</w:t>
      </w:r>
      <w:r>
        <w:rPr>
          <w:rFonts w:ascii="Times New Roman" w:cs="Times New Roman" w:eastAsia="Times New Roman" w:hAnsi="Times New Roman"/>
          <w:sz w:val="13"/>
          <w:szCs w:val="13"/>
          <w:color w:val="auto"/>
        </w:rPr>
        <w:t xml:space="preserve">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This fair value definition focuses on an exit price in the principle, or most advantageous market, and prioritizes, within a measurement of fair value, the use of market- based inputs (which may be weighted or adjusted for relevance, reliability and specific attributes relative to the subject investment) over entity -specific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 Subsequent to the adoption of ASC 820: Fair Value, the FASB has issued various staff positions clarifying the initial standard (see Note 2 to the consolidated financial statements: “Significant Accounting Policies — Investments”).</w:t>
      </w:r>
    </w:p>
    <w:p>
      <w:pPr>
        <w:spacing w:after="0" w:line="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ASC 820: Fair Value establishes the following three-level hierarchy, based upon the transparency of inputs to the fair value measurement of an asset or liability as of the measurement date:</w:t>
      </w:r>
    </w:p>
    <w:p>
      <w:pPr>
        <w:spacing w:after="0" w:line="103" w:lineRule="exact"/>
        <w:rPr>
          <w:sz w:val="20"/>
          <w:szCs w:val="20"/>
          <w:color w:val="auto"/>
        </w:rPr>
      </w:pPr>
    </w:p>
    <w:p>
      <w:pPr>
        <w:jc w:val="both"/>
        <w:ind w:left="480" w:right="120"/>
        <w:spacing w:after="0" w:line="268" w:lineRule="auto"/>
        <w:rPr>
          <w:sz w:val="20"/>
          <w:szCs w:val="20"/>
          <w:color w:val="auto"/>
        </w:rPr>
      </w:pPr>
      <w:r>
        <w:rPr>
          <w:rFonts w:ascii="Times New Roman" w:cs="Times New Roman" w:eastAsia="Times New Roman" w:hAnsi="Times New Roman"/>
          <w:sz w:val="13"/>
          <w:szCs w:val="13"/>
          <w:color w:val="auto"/>
        </w:rPr>
        <w:t>•Level I — Unadjusted quoted prices are available in active markets for identical investments as of the reporting date. The type of investments included in Level I include listed equities and listed securities. As required by ASC 820: Fair Value, we do not adjust the quoted price for these investments, even in situations where we hold a large position and a sale could reasonably affect the quoted price.</w:t>
      </w:r>
    </w:p>
    <w:p>
      <w:pPr>
        <w:spacing w:after="0" w:line="63" w:lineRule="exact"/>
        <w:rPr>
          <w:sz w:val="20"/>
          <w:szCs w:val="20"/>
          <w:color w:val="auto"/>
        </w:rPr>
      </w:pPr>
    </w:p>
    <w:p>
      <w:pPr>
        <w:ind w:left="480" w:right="60"/>
        <w:spacing w:after="0" w:line="262" w:lineRule="auto"/>
        <w:rPr>
          <w:sz w:val="20"/>
          <w:szCs w:val="20"/>
          <w:color w:val="auto"/>
        </w:rPr>
      </w:pPr>
      <w:r>
        <w:rPr>
          <w:rFonts w:ascii="Times New Roman" w:cs="Times New Roman" w:eastAsia="Times New Roman" w:hAnsi="Times New Roman"/>
          <w:sz w:val="13"/>
          <w:szCs w:val="13"/>
          <w:color w:val="auto"/>
        </w:rPr>
        <w:t>•Level II —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67" w:lineRule="exact"/>
        <w:rPr>
          <w:sz w:val="20"/>
          <w:szCs w:val="20"/>
          <w:color w:val="auto"/>
        </w:rPr>
      </w:pPr>
    </w:p>
    <w:p>
      <w:pPr>
        <w:ind w:left="480"/>
        <w:spacing w:after="0" w:line="259" w:lineRule="auto"/>
        <w:rPr>
          <w:sz w:val="20"/>
          <w:szCs w:val="20"/>
          <w:color w:val="auto"/>
        </w:rPr>
      </w:pPr>
      <w:r>
        <w:rPr>
          <w:rFonts w:ascii="Times New Roman" w:cs="Times New Roman" w:eastAsia="Times New Roman" w:hAnsi="Times New Roman"/>
          <w:sz w:val="13"/>
          <w:szCs w:val="13"/>
          <w:color w:val="auto"/>
        </w:rPr>
        <w:t>•Level III — Pricing inputs are unobservable for the investment and includes situations where there is little, if any, market activity for the investment. The inputs may be based on our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70"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3"/>
          <w:szCs w:val="13"/>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We assess of the significance of a particular input to the fair value measurement in its entirety requires judgment, and we consider factors specific to the investment. The majority of our investments are classified as Level III. We evaluate the source of inputs, including any markets in which its investments are trading, in determining fair value. Inputs that are backed by actual transactions, those that are highly correlated to the specific investment being valued and those derived from reliable or knowledgeable sources will tend to have a higher weighting in determining fair value. Our fair value determinations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72" w:lineRule="exact"/>
        <w:rPr>
          <w:sz w:val="20"/>
          <w:szCs w:val="20"/>
          <w:color w:val="auto"/>
        </w:rPr>
      </w:pPr>
    </w:p>
    <w:p>
      <w:pPr>
        <w:ind w:right="220" w:firstLine="348"/>
        <w:spacing w:after="0" w:line="268" w:lineRule="auto"/>
        <w:rPr>
          <w:sz w:val="20"/>
          <w:szCs w:val="20"/>
          <w:color w:val="auto"/>
        </w:rPr>
      </w:pPr>
      <w:r>
        <w:rPr>
          <w:rFonts w:ascii="Times New Roman" w:cs="Times New Roman" w:eastAsia="Times New Roman" w:hAnsi="Times New Roman"/>
          <w:sz w:val="13"/>
          <w:szCs w:val="13"/>
          <w:color w:val="auto"/>
        </w:rPr>
        <w:t>We have valued our investments, in the absence of observable market prices, using the valuation methodologies described below applied on a consistent basis. For some investments little market activity may exist; management’s determination of fair value is then based on the best information available in the circumstances, and may incorporate management’s own assumptions and involves a significant degree of management’s judgment.</w:t>
      </w:r>
    </w:p>
    <w:p>
      <w:pPr>
        <w:spacing w:after="0" w:line="63" w:lineRule="exact"/>
        <w:rPr>
          <w:sz w:val="20"/>
          <w:szCs w:val="20"/>
          <w:color w:val="auto"/>
        </w:rPr>
      </w:pPr>
    </w:p>
    <w:p>
      <w:pPr>
        <w:ind w:right="100" w:firstLine="348"/>
        <w:spacing w:after="0" w:line="257" w:lineRule="auto"/>
        <w:rPr>
          <w:sz w:val="20"/>
          <w:szCs w:val="20"/>
          <w:color w:val="auto"/>
        </w:rPr>
      </w:pPr>
      <w:r>
        <w:rPr>
          <w:rFonts w:ascii="Times New Roman" w:cs="Times New Roman" w:eastAsia="Times New Roman" w:hAnsi="Times New Roman"/>
          <w:sz w:val="13"/>
          <w:szCs w:val="13"/>
          <w:color w:val="auto"/>
        </w:rPr>
        <w:t>Our investments in CLO Fund Securities are carried at fair value, which is based either on (i) the present value of the net expected cash inflows for interest income and principal repayments from underlying assets and the cash outflows for interest expense, debt paydown and other fund costs for the CLO Funds which are approaching or past the end of their reinvestment period and therefore are selling assets and/or using principal repayments to pay-down CLO Fund debt, and for which there continue to be net cash distributions to the class of securities we own, or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we have invested, or (iii) indicative prices provided by the underwriters or brokers who arrange CLO Funds. We recognize unrealized appreciation or depreciation on our investments in CLO Fund Securities as comparable yields in the market change and/or based on changes in net asset values or</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86" w:right="680" w:bottom="1440" w:gutter="0" w:footer="0" w:header="0"/>
        </w:sectPr>
      </w:pPr>
    </w:p>
    <w:bookmarkStart w:id="48" w:name="page49"/>
    <w:bookmarkEnd w:id="48"/>
    <w:p>
      <w:pPr>
        <w:ind w:right="120"/>
        <w:spacing w:after="0" w:line="268" w:lineRule="auto"/>
        <w:rPr>
          <w:sz w:val="20"/>
          <w:szCs w:val="20"/>
          <w:color w:val="auto"/>
        </w:rPr>
      </w:pPr>
      <w:r>
        <w:rPr>
          <w:rFonts w:ascii="Times New Roman" w:cs="Times New Roman" w:eastAsia="Times New Roman" w:hAnsi="Times New Roman"/>
          <w:sz w:val="13"/>
          <w:szCs w:val="13"/>
          <w:color w:val="auto"/>
        </w:rPr>
        <w:t>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Securities. We determine the fair value of our investments in CLO Fund Securities on a security-by-security basis.</w:t>
      </w:r>
    </w:p>
    <w:p>
      <w:pPr>
        <w:spacing w:after="0" w:line="63"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3"/>
          <w:szCs w:val="13"/>
          <w:color w:val="auto"/>
        </w:rPr>
        <w:t>Our investments in our wholly-owned Asset Manager Affiliates are carried at fair value, which is primarily determined utilizing a discounted cash flow model which incorporates different levels of discount rates depending on the hierarchy of fees earned (including the likelihood of realization of senior, subordinate and incentive fees) and prospective modeled performance (“Discounted Cash Flow”). Such valuation takes into consideration an analysis of comparable asset management companies and a percentage of assets under management. The Asset Manager Affiliates are classified as a Level III investment (as described above). Any change in value from period to period is recognized as net change in unrealized appreciation or depreciation.</w:t>
      </w:r>
    </w:p>
    <w:p>
      <w:pPr>
        <w:spacing w:after="0" w:line="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We carry investments in joint ventures at fair value based upon the fair value of the investments held by the joint venture.</w:t>
      </w:r>
    </w:p>
    <w:p>
      <w:pPr>
        <w:spacing w:after="0" w:line="103" w:lineRule="exact"/>
        <w:rPr>
          <w:sz w:val="20"/>
          <w:szCs w:val="20"/>
          <w:color w:val="auto"/>
        </w:rPr>
      </w:pPr>
    </w:p>
    <w:p>
      <w:pPr>
        <w:ind w:right="40" w:firstLine="348"/>
        <w:spacing w:after="0" w:line="256" w:lineRule="auto"/>
        <w:rPr>
          <w:sz w:val="20"/>
          <w:szCs w:val="20"/>
          <w:color w:val="auto"/>
        </w:rPr>
      </w:pPr>
      <w:r>
        <w:rPr>
          <w:rFonts w:ascii="Times New Roman" w:cs="Times New Roman" w:eastAsia="Times New Roman" w:hAnsi="Times New Roman"/>
          <w:sz w:val="13"/>
          <w:szCs w:val="13"/>
          <w:color w:val="auto"/>
        </w:rPr>
        <w:t>Fair values of other investments for which market prices are not observable are determined by reference to public market or private transactions or valuations for comparable companies or assets in the relevant asset class and/or industry when such amounts are available. Generally, these valuations are derived by multiplying a key performance metric of the investee company or asset (e.g., EBITDA) by the relevant valuation multiple observed for comparable companies or transactions, adjusted by management for differences between the investment and the referenced comparable. Such investments may also be valued at cost for a period of time after an acquisition as the best indicator of fair value. If the fair value of such investments cannot be valued by reference to observable valuation measures for comparable companies, then the primary analytical method used to estimate the fair value is a discounted cash flow method and/or cap rate analysis. A sensitivity analysis is applied to the estimated future cash flows using various factors depending on the investment, including assumed growth rates (in cash flows), capitalization rates (for determining terminal values) and appropriate discount rates to determine a range of reasonable values or to compute projected return on investment.</w:t>
      </w:r>
    </w:p>
    <w:p>
      <w:pPr>
        <w:spacing w:after="0" w:line="72" w:lineRule="exact"/>
        <w:rPr>
          <w:sz w:val="20"/>
          <w:szCs w:val="20"/>
          <w:color w:val="auto"/>
        </w:rPr>
      </w:pPr>
    </w:p>
    <w:p>
      <w:pPr>
        <w:ind w:right="200" w:firstLine="348"/>
        <w:spacing w:after="0" w:line="262" w:lineRule="auto"/>
        <w:rPr>
          <w:sz w:val="20"/>
          <w:szCs w:val="20"/>
          <w:color w:val="auto"/>
        </w:rPr>
      </w:pPr>
      <w:r>
        <w:rPr>
          <w:rFonts w:ascii="Times New Roman" w:cs="Times New Roman" w:eastAsia="Times New Roman" w:hAnsi="Times New Roman"/>
          <w:sz w:val="13"/>
          <w:szCs w:val="13"/>
          <w:color w:val="auto"/>
        </w:rPr>
        <w:t>For bond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67" w:lineRule="exact"/>
        <w:rPr>
          <w:sz w:val="20"/>
          <w:szCs w:val="20"/>
          <w:color w:val="auto"/>
        </w:rPr>
      </w:pPr>
    </w:p>
    <w:p>
      <w:pPr>
        <w:ind w:right="200" w:firstLine="348"/>
        <w:spacing w:after="0" w:line="268" w:lineRule="auto"/>
        <w:rPr>
          <w:sz w:val="20"/>
          <w:szCs w:val="20"/>
          <w:color w:val="auto"/>
        </w:rPr>
      </w:pPr>
      <w:r>
        <w:rPr>
          <w:rFonts w:ascii="Times New Roman" w:cs="Times New Roman" w:eastAsia="Times New Roman" w:hAnsi="Times New Roman"/>
          <w:sz w:val="13"/>
          <w:szCs w:val="13"/>
          <w:color w:val="auto"/>
        </w:rPr>
        <w:t>We derive fair value for our illiquid loan investments that do not have indicative fair values based upon active trades primarily by using the Income Approach, and also consider recent loan amendments or other activity specific to the subject asset as described above. Other significant assumptions, such as coupon and maturity, are asset-specific and are noted for each investment in the Schedules of Investments.</w:t>
      </w:r>
    </w:p>
    <w:p>
      <w:pPr>
        <w:spacing w:after="0" w:line="63" w:lineRule="exact"/>
        <w:rPr>
          <w:sz w:val="20"/>
          <w:szCs w:val="20"/>
          <w:color w:val="auto"/>
        </w:rPr>
      </w:pPr>
    </w:p>
    <w:p>
      <w:pPr>
        <w:ind w:right="120" w:firstLine="348"/>
        <w:spacing w:after="0" w:line="268" w:lineRule="auto"/>
        <w:rPr>
          <w:sz w:val="20"/>
          <w:szCs w:val="20"/>
          <w:color w:val="auto"/>
        </w:rPr>
      </w:pPr>
      <w:r>
        <w:rPr>
          <w:rFonts w:ascii="Times New Roman" w:cs="Times New Roman" w:eastAsia="Times New Roman" w:hAnsi="Times New Roman"/>
          <w:sz w:val="13"/>
          <w:szCs w:val="13"/>
          <w:color w:val="auto"/>
        </w:rPr>
        <w:t>The determination of fair value using this methodology takes into consideration a range of factors, including but not limited to the price at which the investment was acquired, the nature of the investment, local market conditions, trading values on public exchanges for comparable securities, current and projected operating performance and financing transactions subsequent to the acquisition of the investment. This valuation methodology involves a significant degree of our judgment.</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Our Adviser may consider other methods of valuation to determine the fair value of investments as appropriate in conformity with U.S. GAAP.</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Interest Income</w:t>
      </w:r>
    </w:p>
    <w:p>
      <w:pPr>
        <w:spacing w:after="0" w:line="107" w:lineRule="exact"/>
        <w:rPr>
          <w:sz w:val="20"/>
          <w:szCs w:val="20"/>
          <w:color w:val="auto"/>
        </w:rPr>
      </w:pPr>
    </w:p>
    <w:p>
      <w:pPr>
        <w:ind w:firstLine="348"/>
        <w:spacing w:after="0" w:line="257" w:lineRule="auto"/>
        <w:rPr>
          <w:sz w:val="20"/>
          <w:szCs w:val="20"/>
          <w:color w:val="auto"/>
        </w:rPr>
      </w:pPr>
      <w:r>
        <w:rPr>
          <w:rFonts w:ascii="Times New Roman" w:cs="Times New Roman" w:eastAsia="Times New Roman" w:hAnsi="Times New Roman"/>
          <w:sz w:val="13"/>
          <w:szCs w:val="13"/>
          <w:color w:val="auto"/>
        </w:rPr>
        <w:t>Interest income, including the amortization of premium and accretion of discount and accrual of payment-in-kind (“PIK”) interest, is recorded on the accrual basis to the extent that such amounts are expected to be collected. We generally place a loan or security on non-accrual status and cease recognizing interest income on such loan or security when a loan or security becomes 90 days or more past due or if we otherwise do not expect the debtor to be able to service its debt obligations. For investments with PIK interest, which represents contractual interest accrued and added to the principal balance that generally becomes due at maturity, we will not accrue PIK interest if the portfolio company valuation indicates that the PIK interest is not collectible (i.e. via a partial or full non-accrual). Loans which are on partial or full non-accrual remain in such status until the borrower has demonstrated the ability and intent to pay contractual amounts due or such loans become current. As of December 31, 2024, six of our debt investments were on non-accrual status.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Investment Income on CLO Fund Securities</w:t>
      </w:r>
    </w:p>
    <w:p>
      <w:pPr>
        <w:spacing w:after="0" w:line="107" w:lineRule="exact"/>
        <w:rPr>
          <w:sz w:val="20"/>
          <w:szCs w:val="20"/>
          <w:color w:val="auto"/>
        </w:rPr>
      </w:pPr>
    </w:p>
    <w:p>
      <w:pPr>
        <w:ind w:right="20" w:firstLine="348"/>
        <w:spacing w:after="0" w:line="256" w:lineRule="auto"/>
        <w:rPr>
          <w:sz w:val="20"/>
          <w:szCs w:val="20"/>
          <w:color w:val="auto"/>
        </w:rPr>
      </w:pPr>
      <w:r>
        <w:rPr>
          <w:rFonts w:ascii="Times New Roman" w:cs="Times New Roman" w:eastAsia="Times New Roman" w:hAnsi="Times New Roman"/>
          <w:sz w:val="13"/>
          <w:szCs w:val="13"/>
          <w:color w:val="auto"/>
        </w:rPr>
        <w:t>We receive distributions from our investments in the most junior class of securities of CLO Funds (typically preferred shares or subordinated securities). Our CLO Fund junior class securities are subordinated to senior note holders who typically receive a return on their investment at a fixed spread relative to the SOFR index.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 The level of excess spread from CLO Fund Securities can be impacted from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distributions to us can vary significantly. In addition, the failure of CLO Funds in which we invest to comply with certain financial covenants may lead to the temporary suspension or deferral of cash distributions to us.</w:t>
      </w:r>
    </w:p>
    <w:p>
      <w:pPr>
        <w:spacing w:after="0" w:line="72" w:lineRule="exact"/>
        <w:rPr>
          <w:sz w:val="20"/>
          <w:szCs w:val="20"/>
          <w:color w:val="auto"/>
        </w:rPr>
      </w:pPr>
    </w:p>
    <w:p>
      <w:pPr>
        <w:ind w:right="20" w:firstLine="348"/>
        <w:spacing w:after="0" w:line="257" w:lineRule="auto"/>
        <w:rPr>
          <w:sz w:val="20"/>
          <w:szCs w:val="20"/>
          <w:color w:val="auto"/>
        </w:rPr>
      </w:pPr>
      <w:r>
        <w:rPr>
          <w:rFonts w:ascii="Times New Roman" w:cs="Times New Roman" w:eastAsia="Times New Roman" w:hAnsi="Times New Roman"/>
          <w:sz w:val="13"/>
          <w:szCs w:val="13"/>
          <w:color w:val="auto"/>
        </w:rPr>
        <w:t>U.S. 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U.S. GAAP statement of operations differs from both the tax-basis investment income and from the cash distributions actually received by us during the period. For U.S. tax purposes, these CLO equity investments are generally treated as PFICs. Taxable income is provided on a PFIC statement, where income and capital gains are determined based on the U.S. shareholder's proportionate ownership of the PFIC.</w:t>
      </w:r>
    </w:p>
    <w:p>
      <w:pPr>
        <w:spacing w:after="0" w:line="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For non-junior class CLO Fund Securities interest is earned at a fixed spread relative to the SOFR index.</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Payment-in-Kind Interest</w:t>
      </w:r>
    </w:p>
    <w:p>
      <w:pPr>
        <w:spacing w:after="0" w:line="107" w:lineRule="exact"/>
        <w:rPr>
          <w:sz w:val="20"/>
          <w:szCs w:val="20"/>
          <w:color w:val="auto"/>
        </w:rPr>
      </w:pPr>
    </w:p>
    <w:p>
      <w:pPr>
        <w:ind w:right="20" w:firstLine="348"/>
        <w:spacing w:after="0" w:line="268" w:lineRule="auto"/>
        <w:rPr>
          <w:sz w:val="20"/>
          <w:szCs w:val="20"/>
          <w:color w:val="auto"/>
        </w:rPr>
      </w:pPr>
      <w:r>
        <w:rPr>
          <w:rFonts w:ascii="Times New Roman" w:cs="Times New Roman" w:eastAsia="Times New Roman" w:hAnsi="Times New Roman"/>
          <w:sz w:val="13"/>
          <w:szCs w:val="13"/>
          <w:color w:val="auto"/>
        </w:rPr>
        <w:t>We may have loans in our portfolio that contain a PIK provision. PIK interest, computed at the contractual rate specified in each loan agreement, is added to the principal balance of the loan and recorded as interest income. To maintain our RIC status, this non-cash source of income must be distributed to stockholders in the form of cash dividends, even though we have not yet collected any cash.</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Fees and Other Income</w:t>
      </w:r>
    </w:p>
    <w:p>
      <w:pPr>
        <w:spacing w:after="0" w:line="107" w:lineRule="exact"/>
        <w:rPr>
          <w:sz w:val="20"/>
          <w:szCs w:val="20"/>
          <w:color w:val="auto"/>
        </w:rPr>
      </w:pPr>
    </w:p>
    <w:p>
      <w:pPr>
        <w:ind w:right="200" w:firstLine="348"/>
        <w:spacing w:after="0" w:line="286" w:lineRule="auto"/>
        <w:rPr>
          <w:sz w:val="20"/>
          <w:szCs w:val="20"/>
          <w:color w:val="auto"/>
        </w:rPr>
      </w:pPr>
      <w:r>
        <w:rPr>
          <w:rFonts w:ascii="Times New Roman" w:cs="Times New Roman" w:eastAsia="Times New Roman" w:hAnsi="Times New Roman"/>
          <w:sz w:val="13"/>
          <w:szCs w:val="13"/>
          <w:color w:val="auto"/>
        </w:rPr>
        <w:t>Origination fees (to the extent services are performed to earn such income upon closing), amendment fees, consent fees, and other fees associated with investments in portfolio companies are recognized as income when they are earned. Prepayment penalties received by the Company for debt instruments repaid prior to maturity date are recorded as income upon receipt.</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86" w:right="660" w:bottom="1440" w:gutter="0" w:footer="0" w:header="0"/>
        </w:sectPr>
      </w:pPr>
    </w:p>
    <w:bookmarkStart w:id="49" w:name="page50"/>
    <w:bookmarkEnd w:id="49"/>
    <w:p>
      <w:pPr>
        <w:spacing w:after="0" w:line="3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i w:val="1"/>
          <w:iCs w:val="1"/>
          <w:color w:val="auto"/>
        </w:rPr>
        <w:t>United States Federal Income Taxes</w:t>
      </w:r>
    </w:p>
    <w:p>
      <w:pPr>
        <w:spacing w:after="0" w:line="107" w:lineRule="exact"/>
        <w:rPr>
          <w:sz w:val="20"/>
          <w:szCs w:val="20"/>
          <w:color w:val="auto"/>
        </w:rPr>
      </w:pPr>
    </w:p>
    <w:p>
      <w:pPr>
        <w:ind w:left="80" w:right="120" w:firstLine="348"/>
        <w:spacing w:after="0" w:line="262" w:lineRule="auto"/>
        <w:rPr>
          <w:sz w:val="20"/>
          <w:szCs w:val="20"/>
          <w:color w:val="auto"/>
        </w:rPr>
      </w:pPr>
      <w:r>
        <w:rPr>
          <w:rFonts w:ascii="Times New Roman" w:cs="Times New Roman" w:eastAsia="Times New Roman" w:hAnsi="Times New Roman"/>
          <w:sz w:val="13"/>
          <w:szCs w:val="13"/>
          <w:color w:val="auto"/>
        </w:rPr>
        <w:t>We have elected to be treated as a RIC and intend to continue to qualify for the tax treatment applicable to RICs under Subchapter M of the Code and, among other things, intend to make the required distributions to our stockholders as specified therein. In order to qualify for tax treatment as a RIC, the Company is required to timely distribute to its stockholders at least 90% of investment company taxable income, as defined by the Code, for each year. Depending on the level of taxable income earned in a tax year, we may choose to carry forward taxable income in excess of current year distributions into the next tax year and pay a 4% excise tax on such income, to the extent required.</w:t>
      </w:r>
    </w:p>
    <w:p>
      <w:pPr>
        <w:spacing w:after="0" w:line="16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Recent Developments</w:t>
      </w:r>
    </w:p>
    <w:p>
      <w:pPr>
        <w:spacing w:after="0" w:line="105" w:lineRule="exact"/>
        <w:rPr>
          <w:sz w:val="20"/>
          <w:szCs w:val="20"/>
          <w:color w:val="auto"/>
        </w:rPr>
      </w:pPr>
    </w:p>
    <w:p>
      <w:pPr>
        <w:ind w:left="80" w:right="40" w:firstLine="348"/>
        <w:spacing w:after="0" w:line="253" w:lineRule="auto"/>
        <w:rPr>
          <w:sz w:val="20"/>
          <w:szCs w:val="20"/>
          <w:color w:val="auto"/>
        </w:rPr>
      </w:pPr>
      <w:r>
        <w:rPr>
          <w:rFonts w:ascii="Times New Roman" w:cs="Times New Roman" w:eastAsia="Times New Roman" w:hAnsi="Times New Roman"/>
          <w:sz w:val="13"/>
          <w:szCs w:val="13"/>
          <w:color w:val="auto"/>
        </w:rPr>
        <w:t>On January 29, 2025, the Company entered into an Agreement and Plan of Merger (the “Merger Agreement”) with Logan Ridge Finance Corporation, a Maryland corporation (“LRFC”), Portman Ridge Merger Sub, Inc., a Maryland corporation and a direct wholly-owned subsidiary of the Company (“Merger Sub”); solely for the limited purposes set forth therein, Mount Logan Management LLC, a Delaware limited liability company and the external investment adviser to LRFC (“Mount Logan”); and, solely for the limited purposes set forth therein, the Adviser. The Merger Agreement provides that, subject to the conditions set forth therein, (i) at the effective time of the First Merger (the “Effective Time”), Merger Sub will be merged with and into LRFC (the “First Merger”), with LRFC continuing as the surviving company and as a wholly-owned subsidiary of the Company, and (ii) immediately after the Effective Time, LRFC will merge with and into the Company (the “Second Merger” and, together with the First Merger, the “Mergers”), with the Company continuing as the surviving company. Both the Board of Directors of the Company and LRFC’s board of directors, including all of their respective independent directors who are not “interested persons” of either the Company or LRFC or the Adviser or Mount Logan, in each case, on the recommendation of special committees comprised solely of certain independent directors of the Company or LRFC, as applicable (each, a “Special Committee”), have approved, among other things, the Merger Agreement and the transactions contemplated thereby. Consummation of the Mergers, which is currently anticipated to occur in the second quarter of calendar year 2025, is subject to certain closing conditions, including requisite approvals of the Company’s and LRFC’s stockholders. Subject to the terms and conditions of the Merger Agreement, at the Effective Time, each share of LRFC’s common stock issued and outstanding immediately prior to the Effective Time (other than shares owned by the Company or any of its consolidated subsidiaries, including Merger Sub) will be converted into the right to receive 1.500 newly-issued shares of common stock of the Company with cash to be paid (without interest) in lieu of fractional shares. In addition, pursuant to a fee waiver letter executed on January 29, 2025, between the Company and the Adviser, the Adviser has agreed to waive up to $1.5 million of the incentive fees otherwise payable to it by Company over the eight consecutive quarters following the closing of the Mergers, subject to the closing of the Mergers.</w:t>
      </w:r>
    </w:p>
    <w:p>
      <w:pPr>
        <w:spacing w:after="0" w:line="74" w:lineRule="exact"/>
        <w:rPr>
          <w:sz w:val="20"/>
          <w:szCs w:val="20"/>
          <w:color w:val="auto"/>
        </w:rPr>
      </w:pPr>
    </w:p>
    <w:p>
      <w:pPr>
        <w:ind w:left="80" w:right="240" w:firstLine="348"/>
        <w:spacing w:after="0" w:line="262" w:lineRule="auto"/>
        <w:rPr>
          <w:sz w:val="20"/>
          <w:szCs w:val="20"/>
          <w:color w:val="auto"/>
        </w:rPr>
      </w:pPr>
      <w:r>
        <w:rPr>
          <w:rFonts w:ascii="Times New Roman" w:cs="Times New Roman" w:eastAsia="Times New Roman" w:hAnsi="Times New Roman"/>
          <w:sz w:val="13"/>
          <w:szCs w:val="13"/>
          <w:color w:val="auto"/>
        </w:rPr>
        <w:t>On March 12, 2025, the Board of Directors of the Company authorized once more a renewed stock repurchase program of up to $10 million (the “2025 Stock Repurchase Program”) for an approximately one-year period, effective March 12, 2025 and terminating on March 31, 2026. The terms and conditions of the 2025 Stock Repurchase Program are substantially similar to the prior Renewed Stock Repurchase Program. The 2025 Stock Repurchase Program may be suspended or discontinued at any time. Subject to these restrictions, we will selectively pursue opportunities to repurchase shares which are accretive to net asset value per share.</w:t>
      </w:r>
    </w:p>
    <w:p>
      <w:pPr>
        <w:spacing w:after="0" w:line="67" w:lineRule="exact"/>
        <w:rPr>
          <w:sz w:val="20"/>
          <w:szCs w:val="20"/>
          <w:color w:val="auto"/>
        </w:rPr>
      </w:pPr>
    </w:p>
    <w:p>
      <w:pPr>
        <w:ind w:left="80" w:right="40" w:firstLine="348"/>
        <w:spacing w:after="0" w:line="262" w:lineRule="auto"/>
        <w:rPr>
          <w:sz w:val="20"/>
          <w:szCs w:val="20"/>
          <w:color w:val="auto"/>
        </w:rPr>
      </w:pPr>
      <w:r>
        <w:rPr>
          <w:rFonts w:ascii="Times New Roman" w:cs="Times New Roman" w:eastAsia="Times New Roman" w:hAnsi="Times New Roman"/>
          <w:sz w:val="13"/>
          <w:szCs w:val="13"/>
          <w:color w:val="auto"/>
        </w:rPr>
        <w:t>On March 13, 2025, the Company declared a regular quarterly base distribution of $0.47 per share of common stock and a supplemental cash distribution of $0.07 per share of common stock. The distribution is payable on March 31, 2025 to stockholders of record at the close of business on March 24, 2025. The modification to the dividend policy introduces a stable base distribution, which is anticipated to be sustainable across market cycles, and a quarterly supplemental distribution, which will approximate 50% of net investment income in excess of the quarterly base distribution to account for fluctuations in rates and spreads.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Item 7A. </w:t>
      </w:r>
      <w:r>
        <w:rPr>
          <w:rFonts w:ascii="Times New Roman" w:cs="Times New Roman" w:eastAsia="Times New Roman" w:hAnsi="Times New Roman"/>
          <w:sz w:val="13"/>
          <w:szCs w:val="13"/>
          <w:b w:val="1"/>
          <w:bCs w:val="1"/>
          <w:i w:val="1"/>
          <w:iCs w:val="1"/>
          <w:color w:val="auto"/>
        </w:rPr>
        <w:t>Quantitative and Qualitative Disclosures about Market Risk</w:t>
      </w:r>
    </w:p>
    <w:p>
      <w:pPr>
        <w:spacing w:after="0" w:line="107" w:lineRule="exact"/>
        <w:rPr>
          <w:sz w:val="20"/>
          <w:szCs w:val="20"/>
          <w:color w:val="auto"/>
        </w:rPr>
      </w:pPr>
    </w:p>
    <w:p>
      <w:pPr>
        <w:ind w:left="80" w:right="40" w:firstLine="348"/>
        <w:spacing w:after="0" w:line="268" w:lineRule="auto"/>
        <w:rPr>
          <w:sz w:val="20"/>
          <w:szCs w:val="20"/>
          <w:color w:val="auto"/>
        </w:rPr>
      </w:pPr>
      <w:r>
        <w:rPr>
          <w:rFonts w:ascii="Times New Roman" w:cs="Times New Roman" w:eastAsia="Times New Roman" w:hAnsi="Times New Roman"/>
          <w:sz w:val="13"/>
          <w:szCs w:val="13"/>
          <w:color w:val="auto"/>
        </w:rPr>
        <w:t>Our business activities contain elements of market risks. We consider our principal market risks to be fluctuations in interest rates and the valuations of our investment portfolio. Managing these risks is essential to our business. Accordingly, we have systems and procedures designed to identify and analyze our risks, to establish appropriate policies and thresholds and to continually monitor these risks and thresholds by means of administrative and information technology systems and other policies and processes.</w:t>
      </w:r>
    </w:p>
    <w:p>
      <w:pPr>
        <w:spacing w:after="0" w:line="15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Interest Rate Risk</w:t>
      </w:r>
    </w:p>
    <w:p>
      <w:pPr>
        <w:spacing w:after="0" w:line="105" w:lineRule="exact"/>
        <w:rPr>
          <w:sz w:val="20"/>
          <w:szCs w:val="20"/>
          <w:color w:val="auto"/>
        </w:rPr>
      </w:pPr>
    </w:p>
    <w:p>
      <w:pPr>
        <w:ind w:left="80" w:right="200" w:firstLine="348"/>
        <w:spacing w:after="0" w:line="262" w:lineRule="auto"/>
        <w:rPr>
          <w:sz w:val="20"/>
          <w:szCs w:val="20"/>
          <w:color w:val="auto"/>
        </w:rPr>
      </w:pPr>
      <w:r>
        <w:rPr>
          <w:rFonts w:ascii="Times New Roman" w:cs="Times New Roman" w:eastAsia="Times New Roman" w:hAnsi="Times New Roman"/>
          <w:sz w:val="13"/>
          <w:szCs w:val="13"/>
          <w:color w:val="auto"/>
        </w:rPr>
        <w:t>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interest-bearing debt and liabilities. Changes in interest rates can also affect, among other things, our ability to acquire and originate loans and securities and the value of our investment portfolio.</w:t>
      </w:r>
    </w:p>
    <w:p>
      <w:pPr>
        <w:spacing w:after="0" w:line="67" w:lineRule="exact"/>
        <w:rPr>
          <w:sz w:val="20"/>
          <w:szCs w:val="20"/>
          <w:color w:val="auto"/>
        </w:rPr>
      </w:pPr>
    </w:p>
    <w:p>
      <w:pPr>
        <w:ind w:left="80" w:firstLine="348"/>
        <w:spacing w:after="0" w:line="262" w:lineRule="auto"/>
        <w:rPr>
          <w:sz w:val="20"/>
          <w:szCs w:val="20"/>
          <w:color w:val="auto"/>
        </w:rPr>
      </w:pPr>
      <w:r>
        <w:rPr>
          <w:rFonts w:ascii="Times New Roman" w:cs="Times New Roman" w:eastAsia="Times New Roman" w:hAnsi="Times New Roman"/>
          <w:sz w:val="13"/>
          <w:szCs w:val="13"/>
          <w:color w:val="auto"/>
        </w:rPr>
        <w:t>Our investment income is affected by fluctuations in various interest rates, including SOFR and prime rates. As of December 31, 2024, approximately 90.1% of our Debt Securities Portfolio were either floating rate with a spread to an interest rate index such as SOFR or the prime rate. 89.8% of these floating rate loans contain floors ranging between 0.50% and 5.25%. We generally expect that future portfolio investments will predominately be floating rate investments. As of December 31, 2024, we had approximately $267.5 million (par value) of borrowings outstanding at a current weighted average interest rate of 6.2%, of which $108.0 million par value had a fixed rate and $159.5 million par value has a floating rate.</w:t>
      </w:r>
    </w:p>
    <w:p>
      <w:pPr>
        <w:spacing w:after="0" w:line="67" w:lineRule="exact"/>
        <w:rPr>
          <w:sz w:val="20"/>
          <w:szCs w:val="20"/>
          <w:color w:val="auto"/>
        </w:rPr>
      </w:pPr>
    </w:p>
    <w:p>
      <w:pPr>
        <w:ind w:left="80" w:right="20" w:firstLine="348"/>
        <w:spacing w:after="0" w:line="268" w:lineRule="auto"/>
        <w:rPr>
          <w:sz w:val="20"/>
          <w:szCs w:val="20"/>
          <w:color w:val="auto"/>
        </w:rPr>
      </w:pPr>
      <w:r>
        <w:rPr>
          <w:rFonts w:ascii="Times New Roman" w:cs="Times New Roman" w:eastAsia="Times New Roman" w:hAnsi="Times New Roman"/>
          <w:sz w:val="13"/>
          <w:szCs w:val="13"/>
          <w:color w:val="auto"/>
        </w:rPr>
        <w:t>Because we borrow money to make investments, our net investment income is dependent upon the difference between our borrowing rate and the rate we earn on the invested proceeds borrowed. In periods of rising or lowering interest rates, the cost of the portion of our debt associated with our fixed rate borrowings would remain the same, while the interest rate on borrowings under the Revolving Credit Facility would fluctuate with changes in interest rates.</w:t>
      </w:r>
    </w:p>
    <w:p>
      <w:pPr>
        <w:spacing w:after="0" w:line="63" w:lineRule="exact"/>
        <w:rPr>
          <w:sz w:val="20"/>
          <w:szCs w:val="20"/>
          <w:color w:val="auto"/>
        </w:rPr>
      </w:pPr>
    </w:p>
    <w:p>
      <w:pPr>
        <w:ind w:left="80" w:right="180" w:firstLine="348"/>
        <w:spacing w:after="0" w:line="286" w:lineRule="auto"/>
        <w:rPr>
          <w:sz w:val="20"/>
          <w:szCs w:val="20"/>
          <w:color w:val="auto"/>
        </w:rPr>
      </w:pPr>
      <w:r>
        <w:rPr>
          <w:rFonts w:ascii="Times New Roman" w:cs="Times New Roman" w:eastAsia="Times New Roman" w:hAnsi="Times New Roman"/>
          <w:sz w:val="13"/>
          <w:szCs w:val="13"/>
          <w:color w:val="auto"/>
        </w:rPr>
        <w:t>Generally, we would expect that an increase in the base rate index for our floating rate investment assets would increase our gross investment income and that a decrease in the base rate index for such assets would decrease our gross investment income (in either case, such increase/decrease may be limited by interest rate floors/minimums for certain investment assets).</w:t>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1"/>
          <w:szCs w:val="1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417830</wp:posOffset>
            </wp:positionV>
            <wp:extent cx="673290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80"/>
          </w:cols>
          <w:pgMar w:left="580" w:top="1440" w:right="640" w:bottom="1440" w:gutter="0" w:footer="0" w:header="0"/>
        </w:sectPr>
      </w:pPr>
    </w:p>
    <w:bookmarkStart w:id="50" w:name="page51"/>
    <w:bookmarkEnd w:id="50"/>
    <w:p>
      <w:pPr>
        <w:jc w:val="both"/>
        <w:ind w:left="80" w:right="80" w:firstLine="348"/>
        <w:spacing w:after="0" w:line="268" w:lineRule="auto"/>
        <w:rPr>
          <w:sz w:val="20"/>
          <w:szCs w:val="20"/>
          <w:color w:val="auto"/>
        </w:rPr>
      </w:pPr>
      <w:r>
        <w:rPr>
          <w:rFonts w:ascii="Times New Roman" w:cs="Times New Roman" w:eastAsia="Times New Roman" w:hAnsi="Times New Roman"/>
          <w:sz w:val="13"/>
          <w:szCs w:val="13"/>
          <w:color w:val="auto"/>
        </w:rPr>
        <w:t>We have analyzed the potential impact of changes in interest rates on interest income net of interest expense. Assuming that our consolidated statement of assets and liabilities at December 31, 2024 was to remain constant and no actions were taken to alter the existing interest rate sensitivity, the table below illustrates the impact on net investment income on our Debt Securities Portfolio for various hypothetical increases in interest rates:</w:t>
      </w:r>
    </w:p>
    <w:p>
      <w:pPr>
        <w:spacing w:after="0" w:line="97" w:lineRule="exact"/>
        <w:rPr>
          <w:sz w:val="20"/>
          <w:szCs w:val="20"/>
          <w:color w:val="auto"/>
        </w:rPr>
      </w:pPr>
    </w:p>
    <w:tbl>
      <w:tblPr>
        <w:tblLayout w:type="fixed"/>
        <w:tblInd w:w="80" w:type="dxa"/>
        <w:tblCellMar>
          <w:top w:w="0" w:type="dxa"/>
          <w:left w:w="0" w:type="dxa"/>
          <w:bottom w:w="0" w:type="dxa"/>
          <w:right w:w="0" w:type="dxa"/>
        </w:tblCellMar>
      </w:tblPr>
      <w:tr>
        <w:trPr>
          <w:trHeight w:val="156"/>
        </w:trPr>
        <w:tc>
          <w:tcPr>
            <w:tcW w:w="306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380" w:type="dxa"/>
            <w:vAlign w:val="bottom"/>
            <w:gridSpan w:val="2"/>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Impact on net investment income from</w:t>
            </w:r>
          </w:p>
        </w:tc>
        <w:tc>
          <w:tcPr>
            <w:tcW w:w="4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56"/>
        </w:trPr>
        <w:tc>
          <w:tcPr>
            <w:tcW w:w="306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40" w:type="dxa"/>
            <w:vAlign w:val="bottom"/>
          </w:tcPr>
          <w:p>
            <w:pPr>
              <w:jc w:val="center"/>
              <w:ind w:right="334"/>
              <w:spacing w:after="0"/>
              <w:rPr>
                <w:sz w:val="20"/>
                <w:szCs w:val="20"/>
                <w:color w:val="auto"/>
              </w:rPr>
            </w:pPr>
            <w:r>
              <w:rPr>
                <w:rFonts w:ascii="Times New Roman" w:cs="Times New Roman" w:eastAsia="Times New Roman" w:hAnsi="Times New Roman"/>
                <w:sz w:val="13"/>
                <w:szCs w:val="13"/>
                <w:b w:val="1"/>
                <w:bCs w:val="1"/>
                <w:color w:val="auto"/>
              </w:rPr>
              <w:t>a change in interest rates at:</w:t>
            </w:r>
          </w:p>
        </w:tc>
        <w:tc>
          <w:tcPr>
            <w:tcW w:w="4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70"/>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in thousands)</w:t>
            </w:r>
          </w:p>
        </w:tc>
        <w:tc>
          <w:tcPr>
            <w:tcW w:w="278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1%</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tcPr>
          <w:p>
            <w:pPr>
              <w:jc w:val="center"/>
              <w:ind w:right="334"/>
              <w:spacing w:after="0"/>
              <w:rPr>
                <w:sz w:val="20"/>
                <w:szCs w:val="20"/>
                <w:color w:val="auto"/>
              </w:rPr>
            </w:pPr>
            <w:r>
              <w:rPr>
                <w:rFonts w:ascii="Times New Roman" w:cs="Times New Roman" w:eastAsia="Times New Roman" w:hAnsi="Times New Roman"/>
                <w:sz w:val="13"/>
                <w:szCs w:val="13"/>
                <w:b w:val="1"/>
                <w:bCs w:val="1"/>
                <w:color w:val="auto"/>
              </w:rPr>
              <w:t>2%</w:t>
            </w:r>
          </w:p>
        </w:tc>
        <w:tc>
          <w:tcPr>
            <w:tcW w:w="480" w:type="dxa"/>
            <w:vAlign w:val="bottom"/>
          </w:tcPr>
          <w:p>
            <w:pPr>
              <w:spacing w:after="0"/>
              <w:rPr>
                <w:sz w:val="14"/>
                <w:szCs w:val="14"/>
                <w:color w:val="auto"/>
              </w:rPr>
            </w:pPr>
          </w:p>
        </w:tc>
        <w:tc>
          <w:tcPr>
            <w:tcW w:w="1220" w:type="dxa"/>
            <w:vAlign w:val="bottom"/>
          </w:tcPr>
          <w:p>
            <w:pPr>
              <w:jc w:val="right"/>
              <w:ind w:right="674"/>
              <w:spacing w:after="0"/>
              <w:rPr>
                <w:sz w:val="20"/>
                <w:szCs w:val="20"/>
                <w:color w:val="auto"/>
              </w:rPr>
            </w:pPr>
            <w:r>
              <w:rPr>
                <w:rFonts w:ascii="Times New Roman" w:cs="Times New Roman" w:eastAsia="Times New Roman" w:hAnsi="Times New Roman"/>
                <w:sz w:val="13"/>
                <w:szCs w:val="13"/>
                <w:b w:val="1"/>
                <w:bCs w:val="1"/>
                <w:color w:val="auto"/>
              </w:rPr>
              <w:t>3%</w:t>
            </w:r>
          </w:p>
        </w:tc>
      </w:tr>
      <w:tr>
        <w:trPr>
          <w:trHeight w:val="156"/>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Increase in interest rate</w:t>
            </w:r>
          </w:p>
        </w:tc>
        <w:tc>
          <w:tcPr>
            <w:tcW w:w="2780" w:type="dxa"/>
            <w:vAlign w:val="bottom"/>
            <w:shd w:val="clear" w:color="auto" w:fill="CFF0FC"/>
          </w:tcPr>
          <w:p>
            <w:pPr>
              <w:jc w:val="right"/>
              <w:ind w:right="894"/>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1,496</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40" w:type="dxa"/>
            <w:vAlign w:val="bottom"/>
            <w:shd w:val="clear" w:color="auto" w:fill="CFF0FC"/>
          </w:tcPr>
          <w:p>
            <w:pPr>
              <w:jc w:val="right"/>
              <w:ind w:right="214"/>
              <w:spacing w:after="0"/>
              <w:rPr>
                <w:sz w:val="20"/>
                <w:szCs w:val="20"/>
                <w:color w:val="auto"/>
              </w:rPr>
            </w:pPr>
            <w:r>
              <w:rPr>
                <w:rFonts w:ascii="Times New Roman" w:cs="Times New Roman" w:eastAsia="Times New Roman" w:hAnsi="Times New Roman"/>
                <w:sz w:val="13"/>
                <w:szCs w:val="13"/>
                <w:color w:val="auto"/>
              </w:rPr>
              <w:t>3,045</w:t>
            </w:r>
          </w:p>
        </w:tc>
        <w:tc>
          <w:tcPr>
            <w:tcW w:w="480" w:type="dxa"/>
            <w:vAlign w:val="bottom"/>
            <w:shd w:val="clear" w:color="auto" w:fill="CFF0FC"/>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4,595</w:t>
            </w:r>
          </w:p>
        </w:tc>
      </w:tr>
      <w:tr>
        <w:trPr>
          <w:trHeight w:val="172"/>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Decrease in interest rate</w:t>
            </w:r>
          </w:p>
        </w:tc>
        <w:tc>
          <w:tcPr>
            <w:tcW w:w="2780" w:type="dxa"/>
            <w:vAlign w:val="bottom"/>
          </w:tcPr>
          <w:p>
            <w:pPr>
              <w:jc w:val="right"/>
              <w:ind w:right="894"/>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(1,493 )</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4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(2,980 )</w:t>
            </w:r>
          </w:p>
        </w:tc>
        <w:tc>
          <w:tcPr>
            <w:tcW w:w="48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(4,271 )</w:t>
            </w:r>
          </w:p>
        </w:tc>
      </w:tr>
    </w:tbl>
    <w:p>
      <w:pPr>
        <w:spacing w:after="0" w:line="69" w:lineRule="exact"/>
        <w:rPr>
          <w:sz w:val="20"/>
          <w:szCs w:val="20"/>
          <w:color w:val="auto"/>
        </w:rPr>
      </w:pPr>
    </w:p>
    <w:p>
      <w:pPr>
        <w:ind w:left="80" w:right="500" w:firstLine="348"/>
        <w:spacing w:after="0" w:line="286" w:lineRule="auto"/>
        <w:rPr>
          <w:sz w:val="20"/>
          <w:szCs w:val="20"/>
          <w:color w:val="auto"/>
        </w:rPr>
      </w:pPr>
      <w:r>
        <w:rPr>
          <w:rFonts w:ascii="Times New Roman" w:cs="Times New Roman" w:eastAsia="Times New Roman" w:hAnsi="Times New Roman"/>
          <w:sz w:val="13"/>
          <w:szCs w:val="13"/>
          <w:color w:val="auto"/>
        </w:rPr>
        <w:t>As shown above, net investment income assuming a 1% increase in interest rates would increase by approximately $ 1.5 million on an annualized basis. If the increase in rates was more significant, such as 2% or 3%, the net effect on net investment income would be an increase of approximately $3.0 million and $4.6 million, respectively.</w:t>
      </w:r>
    </w:p>
    <w:p>
      <w:pPr>
        <w:spacing w:after="0" w:line="52" w:lineRule="exact"/>
        <w:rPr>
          <w:sz w:val="20"/>
          <w:szCs w:val="20"/>
          <w:color w:val="auto"/>
        </w:rPr>
      </w:pPr>
    </w:p>
    <w:p>
      <w:pPr>
        <w:ind w:left="80" w:firstLine="348"/>
        <w:spacing w:after="0" w:line="268" w:lineRule="auto"/>
        <w:rPr>
          <w:sz w:val="20"/>
          <w:szCs w:val="20"/>
          <w:color w:val="auto"/>
        </w:rPr>
      </w:pPr>
      <w:r>
        <w:rPr>
          <w:rFonts w:ascii="Times New Roman" w:cs="Times New Roman" w:eastAsia="Times New Roman" w:hAnsi="Times New Roman"/>
          <w:sz w:val="13"/>
          <w:szCs w:val="13"/>
          <w:color w:val="auto"/>
        </w:rPr>
        <w:t>On an annualized basis, a decrease in interest rates of 1% would result in a decrease in net investment income of approximately ($1.5) million. A decrease in interest rate of 2% and 3% would result in a decrease in net investment income of approximately ( $3.0) million and ($4.3) million, respectively. The effect on net investment income from declines in interest rates is impacted by interest rate floors on certain of our floating rate investments, as there is no floor on our floating rate debt facility.</w:t>
      </w:r>
    </w:p>
    <w:p>
      <w:pPr>
        <w:spacing w:after="0" w:line="63" w:lineRule="exact"/>
        <w:rPr>
          <w:sz w:val="20"/>
          <w:szCs w:val="20"/>
          <w:color w:val="auto"/>
        </w:rPr>
      </w:pPr>
    </w:p>
    <w:p>
      <w:pPr>
        <w:ind w:left="80" w:right="40" w:firstLine="348"/>
        <w:spacing w:after="0" w:line="268" w:lineRule="auto"/>
        <w:rPr>
          <w:sz w:val="20"/>
          <w:szCs w:val="20"/>
          <w:color w:val="auto"/>
        </w:rPr>
      </w:pPr>
      <w:r>
        <w:rPr>
          <w:rFonts w:ascii="Times New Roman" w:cs="Times New Roman" w:eastAsia="Times New Roman" w:hAnsi="Times New Roman"/>
          <w:sz w:val="13"/>
          <w:szCs w:val="13"/>
          <w:color w:val="auto"/>
        </w:rPr>
        <w:t>Although management believes that this measure is indicative of sensitivity to interest rate changes on our Debt Securities Portfolio, it does not adjust for potential changes in credit quality, size and composition of the assets on the consolidated statements of assets and liabilities and other business developments that could affect a net change in assets resulting from operations or net income. Accordingly, no assurances can be given that actual results would not materially differ from the potential outcome simulated by this estimate.</w:t>
      </w:r>
    </w:p>
    <w:p>
      <w:pPr>
        <w:spacing w:after="0" w:line="15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Portfolio Valuation</w:t>
      </w:r>
    </w:p>
    <w:p>
      <w:pPr>
        <w:spacing w:after="0" w:line="105" w:lineRule="exact"/>
        <w:rPr>
          <w:sz w:val="20"/>
          <w:szCs w:val="20"/>
          <w:color w:val="auto"/>
        </w:rPr>
      </w:pPr>
    </w:p>
    <w:p>
      <w:pPr>
        <w:ind w:left="80" w:right="40" w:firstLine="348"/>
        <w:spacing w:after="0" w:line="255" w:lineRule="auto"/>
        <w:rPr>
          <w:sz w:val="20"/>
          <w:szCs w:val="20"/>
          <w:color w:val="auto"/>
        </w:rPr>
      </w:pPr>
      <w:r>
        <w:rPr>
          <w:rFonts w:ascii="Times New Roman" w:cs="Times New Roman" w:eastAsia="Times New Roman" w:hAnsi="Times New Roman"/>
          <w:sz w:val="13"/>
          <w:szCs w:val="13"/>
          <w:color w:val="auto"/>
        </w:rPr>
        <w:t>We carry our investments at fair value, as determined in good faith by our Adviser pursuant to valuation procedures approved by our Board. Investments for which market quotations are generally readily available are generally valued at such market quotations. Investments for which there is not a readily available market value are valued at fair value as determined in good faith by our Adviser under a valuation policy and consistently applied valuation process. However, due to the inherent uncertainty of determining the fair value of investments that cannot be marked to market, the fair value of our investments may differ materially from the values that would have been used had a ready market existed for such investments. In addition, changes in the market environment and other events that may occur over the life of the investments may cause the value realized on these investments to be different than the valuations that are assigned. The types of factors that we may take into account in fair value pricing of our investments include, as relevant, the nature and realizable value of any collateral, third party valuations, the portfolio company’s ability to make payments and its earnings and discounted cash flow, the markets in which the portfolio company does business, comparison to publicly-traded securities, recent sales of or offers to buy comparable companies, and other relevant factors.</w:t>
      </w:r>
    </w:p>
    <w:p>
      <w:pPr>
        <w:spacing w:after="0" w:line="74" w:lineRule="exact"/>
        <w:rPr>
          <w:sz w:val="20"/>
          <w:szCs w:val="20"/>
          <w:color w:val="auto"/>
        </w:rPr>
      </w:pPr>
    </w:p>
    <w:p>
      <w:pPr>
        <w:ind w:left="80" w:right="100" w:firstLine="348"/>
        <w:spacing w:after="0" w:line="262" w:lineRule="auto"/>
        <w:rPr>
          <w:sz w:val="20"/>
          <w:szCs w:val="20"/>
          <w:color w:val="auto"/>
        </w:rPr>
      </w:pPr>
      <w:r>
        <w:rPr>
          <w:rFonts w:ascii="Times New Roman" w:cs="Times New Roman" w:eastAsia="Times New Roman" w:hAnsi="Times New Roman"/>
          <w:sz w:val="13"/>
          <w:szCs w:val="13"/>
          <w:color w:val="auto"/>
        </w:rPr>
        <w:t>The Adviser has engaged an independent valuation firm to provide third party valuation consulting services. Each quarter, the independent valuation firm will perform third-party valuations on the Company’s material investments in illiquid securities such that they are reviewed at least once during a trailing 12-month period. These third -party valuation estimates were considered as one of the relevant data inputs in the Adviser’s determination of fair value. The Adviser intends to continue to engage an independent valuation firm in the future to provide certain valuation services, including the review of certain portfolio assets, as part of the quarterly and annual year-end valuation process.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Item 8. </w:t>
      </w:r>
      <w:r>
        <w:rPr>
          <w:rFonts w:ascii="Times New Roman" w:cs="Times New Roman" w:eastAsia="Times New Roman" w:hAnsi="Times New Roman"/>
          <w:sz w:val="13"/>
          <w:szCs w:val="13"/>
          <w:b w:val="1"/>
          <w:bCs w:val="1"/>
          <w:i w:val="1"/>
          <w:iCs w:val="1"/>
          <w:color w:val="auto"/>
        </w:rPr>
        <w:t>Financial Statements and Supplementary Data</w:t>
      </w:r>
    </w:p>
    <w:p>
      <w:pPr>
        <w:spacing w:after="0" w:line="1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Our financial statements are annexed to this Annual Report beginning on page F-1.</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Item 9. </w:t>
      </w:r>
      <w:r>
        <w:rPr>
          <w:rFonts w:ascii="Times New Roman" w:cs="Times New Roman" w:eastAsia="Times New Roman" w:hAnsi="Times New Roman"/>
          <w:sz w:val="13"/>
          <w:szCs w:val="13"/>
          <w:b w:val="1"/>
          <w:bCs w:val="1"/>
          <w:i w:val="1"/>
          <w:iCs w:val="1"/>
          <w:color w:val="auto"/>
        </w:rPr>
        <w:t>Changes in and Disagreements with Accountants on Accounting and Financial Disclosure</w:t>
      </w:r>
    </w:p>
    <w:p>
      <w:pPr>
        <w:spacing w:after="0" w:line="1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None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Item 9A. </w:t>
      </w:r>
      <w:r>
        <w:rPr>
          <w:rFonts w:ascii="Times New Roman" w:cs="Times New Roman" w:eastAsia="Times New Roman" w:hAnsi="Times New Roman"/>
          <w:sz w:val="13"/>
          <w:szCs w:val="13"/>
          <w:b w:val="1"/>
          <w:bCs w:val="1"/>
          <w:i w:val="1"/>
          <w:iCs w:val="1"/>
          <w:color w:val="auto"/>
        </w:rPr>
        <w:t>Controls and Procedures</w:t>
      </w:r>
    </w:p>
    <w:p>
      <w:pPr>
        <w:spacing w:after="0" w:line="1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b w:val="1"/>
          <w:bCs w:val="1"/>
          <w:i w:val="1"/>
          <w:iCs w:val="1"/>
          <w:color w:val="auto"/>
        </w:rPr>
        <w:t>Evaluation of Disclosure Controls and Procedures.</w:t>
      </w:r>
    </w:p>
    <w:p>
      <w:pPr>
        <w:spacing w:after="0" w:line="107" w:lineRule="exact"/>
        <w:rPr>
          <w:sz w:val="20"/>
          <w:szCs w:val="20"/>
          <w:color w:val="auto"/>
        </w:rPr>
      </w:pPr>
    </w:p>
    <w:p>
      <w:pPr>
        <w:ind w:left="80" w:right="60" w:firstLine="348"/>
        <w:spacing w:after="0" w:line="257" w:lineRule="auto"/>
        <w:rPr>
          <w:sz w:val="20"/>
          <w:szCs w:val="20"/>
          <w:color w:val="auto"/>
        </w:rPr>
      </w:pPr>
      <w:r>
        <w:rPr>
          <w:rFonts w:ascii="Times New Roman" w:cs="Times New Roman" w:eastAsia="Times New Roman" w:hAnsi="Times New Roman"/>
          <w:sz w:val="13"/>
          <w:szCs w:val="13"/>
          <w:color w:val="auto"/>
        </w:rPr>
        <w:t>The Company’s management, under the supervision and with the participation of various members of management, including its Chief Executive Officer (“CEO”) and its Chief Financial Officer (“CFO”), has evaluated the effectiveness of its disclosure controls and procedures (as defined in Rule 13a-15(e) or Rule 15d- 15(e) of the Securities Exchange Act of 1934, as amended (the “Exchange Act”)) as of the end of the period covered by this report. Based upon that evaluation, the Company’s CEO and CFO have concluded that the Company’s disclosure controls and procedures are effective to ensure that information required to be disclosed by us in reports that we file or submit under the Exchange Act are recorded, processed, summarized, and reported within the time periods specified in the SEC’s rules and forms, and that information required to be disclosed by us in the reports that we file or submit under the Exchange Act is accumulated and communicated to our management, including our CEO and CFO, as appropriate to allow timely decisions regarding required disclosures as of the end of the period covered by this report.</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b w:val="1"/>
          <w:bCs w:val="1"/>
          <w:i w:val="1"/>
          <w:iCs w:val="1"/>
          <w:color w:val="auto"/>
        </w:rPr>
        <w:t>Management’s Report on Internal Control Over Financial Reporting.</w:t>
      </w:r>
    </w:p>
    <w:p>
      <w:pPr>
        <w:spacing w:after="0" w:line="105" w:lineRule="exact"/>
        <w:rPr>
          <w:sz w:val="20"/>
          <w:szCs w:val="20"/>
          <w:color w:val="auto"/>
        </w:rPr>
      </w:pPr>
    </w:p>
    <w:p>
      <w:pPr>
        <w:jc w:val="both"/>
        <w:ind w:left="80" w:right="100" w:firstLine="348"/>
        <w:spacing w:after="0" w:line="269" w:lineRule="auto"/>
        <w:rPr>
          <w:sz w:val="20"/>
          <w:szCs w:val="20"/>
          <w:color w:val="auto"/>
        </w:rPr>
      </w:pPr>
      <w:r>
        <w:rPr>
          <w:rFonts w:ascii="Times New Roman" w:cs="Times New Roman" w:eastAsia="Times New Roman" w:hAnsi="Times New Roman"/>
          <w:sz w:val="13"/>
          <w:szCs w:val="13"/>
          <w:i w:val="1"/>
          <w:iCs w:val="1"/>
          <w:color w:val="auto"/>
        </w:rPr>
        <w:t xml:space="preserve">General. </w:t>
      </w:r>
      <w:r>
        <w:rPr>
          <w:rFonts w:ascii="Times New Roman" w:cs="Times New Roman" w:eastAsia="Times New Roman" w:hAnsi="Times New Roman"/>
          <w:sz w:val="13"/>
          <w:szCs w:val="13"/>
          <w:color w:val="auto"/>
        </w:rPr>
        <w:t>The Company’s management is responsible for establishing and maintaining adequate internal control over financial reporting as defined in Rules 13a-15(f) of the Exchange Act.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Company’s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i w:val="1"/>
          <w:iCs w:val="1"/>
          <w:color w:val="auto"/>
        </w:rPr>
        <w:t xml:space="preserve">Scope of Management’s Report on Internal Control Over Financial Reporting. </w:t>
      </w:r>
      <w:r>
        <w:rPr>
          <w:rFonts w:ascii="Times New Roman" w:cs="Times New Roman" w:eastAsia="Times New Roman" w:hAnsi="Times New Roman"/>
          <w:sz w:val="13"/>
          <w:szCs w:val="13"/>
          <w:color w:val="auto"/>
        </w:rPr>
        <w:t>The Company’s internal control over financial reporting includes those policies and procedures that:</w:t>
      </w:r>
    </w:p>
    <w:p>
      <w:pPr>
        <w:spacing w:after="0" w:line="1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•Pertain to the maintenance of records that in reasonable detail accurately and fairly reflect the transactions and dispositions of the assets of the Company;</w:t>
      </w:r>
    </w:p>
    <w:p>
      <w:pPr>
        <w:spacing w:after="0" w:line="103" w:lineRule="exact"/>
        <w:rPr>
          <w:sz w:val="20"/>
          <w:szCs w:val="20"/>
          <w:color w:val="auto"/>
        </w:rPr>
      </w:pPr>
    </w:p>
    <w:p>
      <w:pPr>
        <w:ind w:left="440" w:right="440"/>
        <w:spacing w:after="0" w:line="286" w:lineRule="auto"/>
        <w:rPr>
          <w:sz w:val="20"/>
          <w:szCs w:val="20"/>
          <w:color w:val="auto"/>
        </w:rPr>
      </w:pPr>
      <w:r>
        <w:rPr>
          <w:rFonts w:ascii="Times New Roman" w:cs="Times New Roman" w:eastAsia="Times New Roman" w:hAnsi="Times New Roman"/>
          <w:sz w:val="13"/>
          <w:szCs w:val="13"/>
          <w:color w:val="auto"/>
        </w:rPr>
        <w:t>•Provide reasonable assurance that transactions are recorded as necessary to permit preparation of the consolidated financial statements in accordance with generally accepted accounting principles, and that the Company’s receipts and expenditures are being made only in accordance with authorizations of the Company’s management and directors; and</w:t>
      </w:r>
    </w:p>
    <w:p>
      <w:pPr>
        <w:spacing w:after="0" w:line="52" w:lineRule="exact"/>
        <w:rPr>
          <w:sz w:val="20"/>
          <w:szCs w:val="20"/>
          <w:color w:val="auto"/>
        </w:rPr>
      </w:pPr>
    </w:p>
    <w:p>
      <w:pPr>
        <w:ind w:left="440" w:right="580"/>
        <w:spacing w:after="0" w:line="286" w:lineRule="auto"/>
        <w:rPr>
          <w:sz w:val="20"/>
          <w:szCs w:val="20"/>
          <w:color w:val="auto"/>
        </w:rPr>
      </w:pPr>
      <w:r>
        <w:rPr>
          <w:rFonts w:ascii="Times New Roman" w:cs="Times New Roman" w:eastAsia="Times New Roman" w:hAnsi="Times New Roman"/>
          <w:sz w:val="13"/>
          <w:szCs w:val="13"/>
          <w:color w:val="auto"/>
        </w:rPr>
        <w:t>•Provide reasonable assurance regarding prevention or timely detection of unauthorized acquisition, use or disposition of the Company’s assets that could have a material effect on the Company’s consolidated financial statements.</w:t>
      </w:r>
    </w:p>
    <w:p>
      <w:pPr>
        <w:spacing w:after="0" w:line="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1"/>
          <w:szCs w:val="1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417830</wp:posOffset>
            </wp:positionV>
            <wp:extent cx="673290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60"/>
          </w:cols>
          <w:pgMar w:left="580" w:top="1386" w:right="660" w:bottom="1440" w:gutter="0" w:footer="0" w:header="0"/>
        </w:sectPr>
      </w:pPr>
    </w:p>
    <w:bookmarkStart w:id="51" w:name="page52"/>
    <w:bookmarkEnd w:id="51"/>
    <w:p>
      <w:pPr>
        <w:ind w:left="80" w:right="220" w:firstLine="348"/>
        <w:spacing w:after="0" w:line="286" w:lineRule="auto"/>
        <w:rPr>
          <w:sz w:val="20"/>
          <w:szCs w:val="20"/>
          <w:color w:val="auto"/>
        </w:rPr>
      </w:pPr>
      <w:r>
        <w:rPr>
          <w:rFonts w:ascii="Times New Roman" w:cs="Times New Roman" w:eastAsia="Times New Roman" w:hAnsi="Times New Roman"/>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0" w:lineRule="exact"/>
        <w:rPr>
          <w:sz w:val="20"/>
          <w:szCs w:val="20"/>
          <w:color w:val="auto"/>
        </w:rPr>
      </w:pPr>
    </w:p>
    <w:p>
      <w:pPr>
        <w:ind w:left="80" w:right="140" w:firstLine="348"/>
        <w:spacing w:after="0" w:line="263" w:lineRule="auto"/>
        <w:rPr>
          <w:sz w:val="20"/>
          <w:szCs w:val="20"/>
          <w:color w:val="auto"/>
        </w:rPr>
      </w:pPr>
      <w:r>
        <w:rPr>
          <w:rFonts w:ascii="Times New Roman" w:cs="Times New Roman" w:eastAsia="Times New Roman" w:hAnsi="Times New Roman"/>
          <w:sz w:val="13"/>
          <w:szCs w:val="13"/>
          <w:i w:val="1"/>
          <w:iCs w:val="1"/>
          <w:color w:val="auto"/>
        </w:rPr>
        <w:t xml:space="preserve">Conclusion. </w:t>
      </w:r>
      <w:r>
        <w:rPr>
          <w:rFonts w:ascii="Times New Roman" w:cs="Times New Roman" w:eastAsia="Times New Roman" w:hAnsi="Times New Roman"/>
          <w:sz w:val="13"/>
          <w:szCs w:val="13"/>
          <w:color w:val="auto"/>
        </w:rPr>
        <w:t>Management, including the Company’s CEO and CFO, assessed the effectiveness of the Company’s internal control over financial reporting as of December 31, 2024. In making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this assessment, management used the criteria established in the 2013 Internal Control-Integrated Framework issued by the Committee of Sponsoring Organizations of the Treadway Commission (COSO). Based on management’s assessment, management concluded, subject to the limitations described under “Scope of Management’s Report on Internal Control Over Financial Reporting” above, that the Company maintained effective internal control over financial reporting as of December 31, 2024.</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b w:val="1"/>
          <w:bCs w:val="1"/>
          <w:i w:val="1"/>
          <w:iCs w:val="1"/>
          <w:color w:val="auto"/>
        </w:rPr>
        <w:t>Attestation Report of the Independent Registered Public Accounting Firm.</w:t>
      </w:r>
    </w:p>
    <w:p>
      <w:pPr>
        <w:spacing w:after="0" w:line="107" w:lineRule="exact"/>
        <w:rPr>
          <w:sz w:val="20"/>
          <w:szCs w:val="20"/>
          <w:color w:val="auto"/>
        </w:rPr>
      </w:pPr>
    </w:p>
    <w:p>
      <w:pPr>
        <w:jc w:val="both"/>
        <w:ind w:left="80" w:right="260" w:firstLine="348"/>
        <w:spacing w:after="0" w:line="268" w:lineRule="auto"/>
        <w:rPr>
          <w:sz w:val="20"/>
          <w:szCs w:val="20"/>
          <w:color w:val="auto"/>
        </w:rPr>
      </w:pPr>
      <w:r>
        <w:rPr>
          <w:rFonts w:ascii="Times New Roman" w:cs="Times New Roman" w:eastAsia="Times New Roman" w:hAnsi="Times New Roman"/>
          <w:sz w:val="13"/>
          <w:szCs w:val="13"/>
          <w:color w:val="auto"/>
        </w:rPr>
        <w:t>This annual report on Form 10-K does not include an attestation report of our independent registered public accounting firm regarding internal control over financial reporting. We were not required to have, nor have we, engaged our independent registered public accounting firm to perform an audit of the Company’s internal control over financial reporting as of December 31, 2024 pursuant to the rules of the SEC that permit us to provide only management's report in this annual report on Form 10-K.</w:t>
      </w:r>
    </w:p>
    <w:p>
      <w:pPr>
        <w:spacing w:after="0" w:line="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b w:val="1"/>
          <w:bCs w:val="1"/>
          <w:i w:val="1"/>
          <w:iCs w:val="1"/>
          <w:color w:val="auto"/>
        </w:rPr>
        <w:t>Changes in Internal Control Over Financial Reporting.</w:t>
      </w:r>
    </w:p>
    <w:p>
      <w:pPr>
        <w:spacing w:after="0" w:line="107" w:lineRule="exact"/>
        <w:rPr>
          <w:sz w:val="20"/>
          <w:szCs w:val="20"/>
          <w:color w:val="auto"/>
        </w:rPr>
      </w:pPr>
    </w:p>
    <w:p>
      <w:pPr>
        <w:ind w:left="80" w:right="360" w:firstLine="348"/>
        <w:spacing w:after="0" w:line="286" w:lineRule="auto"/>
        <w:rPr>
          <w:sz w:val="20"/>
          <w:szCs w:val="20"/>
          <w:color w:val="auto"/>
        </w:rPr>
      </w:pPr>
      <w:r>
        <w:rPr>
          <w:rFonts w:ascii="Times New Roman" w:cs="Times New Roman" w:eastAsia="Times New Roman" w:hAnsi="Times New Roman"/>
          <w:sz w:val="13"/>
          <w:szCs w:val="13"/>
          <w:color w:val="auto"/>
        </w:rPr>
        <w:t>There have been no changes in our internal control over financial reporting during the fourth quarter of 2024 that have materially affected, or are reasonably likely to materially affect, our internal control over financial reporting.</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Item 9B. </w:t>
      </w:r>
      <w:r>
        <w:rPr>
          <w:rFonts w:ascii="Times New Roman" w:cs="Times New Roman" w:eastAsia="Times New Roman" w:hAnsi="Times New Roman"/>
          <w:sz w:val="13"/>
          <w:szCs w:val="13"/>
          <w:b w:val="1"/>
          <w:bCs w:val="1"/>
          <w:i w:val="1"/>
          <w:iCs w:val="1"/>
          <w:color w:val="auto"/>
        </w:rPr>
        <w:t>Other Information</w:t>
      </w:r>
    </w:p>
    <w:p>
      <w:pPr>
        <w:spacing w:after="0" w:line="20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RULE 10B5-1 TRADING PLANS</w:t>
      </w:r>
    </w:p>
    <w:p>
      <w:pPr>
        <w:spacing w:after="0" w:line="105" w:lineRule="exact"/>
        <w:rPr>
          <w:sz w:val="20"/>
          <w:szCs w:val="20"/>
          <w:color w:val="auto"/>
        </w:rPr>
      </w:pPr>
    </w:p>
    <w:p>
      <w:pPr>
        <w:ind w:left="80" w:right="720" w:firstLine="348"/>
        <w:spacing w:after="0" w:line="286" w:lineRule="auto"/>
        <w:rPr>
          <w:sz w:val="20"/>
          <w:szCs w:val="20"/>
          <w:color w:val="auto"/>
        </w:rPr>
      </w:pPr>
      <w:r>
        <w:rPr>
          <w:rFonts w:ascii="Times New Roman" w:cs="Times New Roman" w:eastAsia="Times New Roman" w:hAnsi="Times New Roman"/>
          <w:sz w:val="13"/>
          <w:szCs w:val="13"/>
          <w:color w:val="auto"/>
        </w:rPr>
        <w:t>During the three months ended December 31, 2024, no director or officer of the Company adopted or terminated a “Rule 10b5-1 trading arrangement” or “non-Rule 10b5-1 trading arrangement,” as each term is defined in Item 408(a) of Regulation S-K.</w:t>
      </w:r>
    </w:p>
    <w:p>
      <w:pPr>
        <w:spacing w:after="0" w:line="14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FEES AND EXPENSES</w:t>
      </w:r>
    </w:p>
    <w:p>
      <w:pPr>
        <w:spacing w:after="0" w:line="105" w:lineRule="exact"/>
        <w:rPr>
          <w:sz w:val="20"/>
          <w:szCs w:val="20"/>
          <w:color w:val="auto"/>
        </w:rPr>
      </w:pPr>
    </w:p>
    <w:p>
      <w:pPr>
        <w:ind w:left="80" w:right="100" w:firstLine="348"/>
        <w:spacing w:after="0" w:line="268" w:lineRule="auto"/>
        <w:rPr>
          <w:sz w:val="20"/>
          <w:szCs w:val="20"/>
          <w:color w:val="auto"/>
        </w:rPr>
      </w:pPr>
      <w:r>
        <w:rPr>
          <w:rFonts w:ascii="Times New Roman" w:cs="Times New Roman" w:eastAsia="Times New Roman" w:hAnsi="Times New Roman"/>
          <w:sz w:val="13"/>
          <w:szCs w:val="13"/>
          <w:color w:val="auto"/>
        </w:rPr>
        <w:t>The information in the following table is being provided to assist you in understanding the costs and expenses that an investor in our common stock will bear directly or indirectly. We caution you that some of the percentages indicated in the table below are estimates and may vary. Except where the context suggests otherwise, whenever this prospectus contains a reference to fees or expenses paid by “you,” “us” or “the Company,” or that “we” will pay fees or expenses, stockholders will indirectly bear such fees or expenses as investors in us.</w:t>
      </w:r>
    </w:p>
    <w:p>
      <w:pPr>
        <w:spacing w:after="0" w:line="205"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89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 Transaction Expenses</w:t>
            </w: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56"/>
        </w:trPr>
        <w:tc>
          <w:tcPr>
            <w:tcW w:w="8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Sales load (as a percentage of offering price)</w:t>
            </w:r>
          </w:p>
        </w:tc>
        <w:tc>
          <w:tcPr>
            <w:tcW w:w="440" w:type="dxa"/>
            <w:vAlign w:val="bottom"/>
            <w:shd w:val="clear" w:color="auto" w:fill="CCECFF"/>
          </w:tcPr>
          <w:p>
            <w:pPr>
              <w:spacing w:after="0"/>
              <w:rPr>
                <w:sz w:val="13"/>
                <w:szCs w:val="13"/>
                <w:color w:val="auto"/>
              </w:rPr>
            </w:pPr>
          </w:p>
        </w:tc>
        <w:tc>
          <w:tcPr>
            <w:tcW w:w="1160" w:type="dxa"/>
            <w:vAlign w:val="bottom"/>
            <w:gridSpan w:val="3"/>
            <w:shd w:val="clear" w:color="auto" w:fill="CCECFF"/>
          </w:tcPr>
          <w:p>
            <w:pPr>
              <w:jc w:val="right"/>
              <w:ind w:right="158"/>
              <w:spacing w:after="0" w:line="156" w:lineRule="exact"/>
              <w:rPr>
                <w:sz w:val="20"/>
                <w:szCs w:val="20"/>
                <w:color w:val="auto"/>
              </w:rPr>
            </w:pPr>
            <w:r>
              <w:rPr>
                <w:rFonts w:ascii="Times New Roman" w:cs="Times New Roman" w:eastAsia="Times New Roman" w:hAnsi="Times New Roman"/>
                <w:sz w:val="18"/>
                <w:szCs w:val="18"/>
                <w:color w:val="auto"/>
                <w:vertAlign w:val="subscript"/>
              </w:rPr>
              <w:t>— %</w:t>
            </w:r>
            <w:r>
              <w:rPr>
                <w:rFonts w:ascii="Times New Roman" w:cs="Times New Roman" w:eastAsia="Times New Roman" w:hAnsi="Times New Roman"/>
                <w:sz w:val="7"/>
                <w:szCs w:val="7"/>
                <w:color w:val="auto"/>
              </w:rPr>
              <w:t xml:space="preserve"> (1)</w:t>
            </w:r>
          </w:p>
        </w:tc>
      </w:tr>
      <w:tr>
        <w:trPr>
          <w:trHeight w:val="156"/>
        </w:trPr>
        <w:tc>
          <w:tcPr>
            <w:tcW w:w="8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Offering expenses (as a percentage of offering price)</w:t>
            </w:r>
          </w:p>
        </w:tc>
        <w:tc>
          <w:tcPr>
            <w:tcW w:w="440" w:type="dxa"/>
            <w:vAlign w:val="bottom"/>
          </w:tcPr>
          <w:p>
            <w:pPr>
              <w:spacing w:after="0"/>
              <w:rPr>
                <w:sz w:val="13"/>
                <w:szCs w:val="13"/>
                <w:color w:val="auto"/>
              </w:rPr>
            </w:pPr>
          </w:p>
        </w:tc>
        <w:tc>
          <w:tcPr>
            <w:tcW w:w="1160" w:type="dxa"/>
            <w:vAlign w:val="bottom"/>
            <w:gridSpan w:val="3"/>
          </w:tcPr>
          <w:p>
            <w:pPr>
              <w:jc w:val="right"/>
              <w:ind w:right="158"/>
              <w:spacing w:after="0" w:line="156" w:lineRule="exact"/>
              <w:rPr>
                <w:sz w:val="20"/>
                <w:szCs w:val="20"/>
                <w:color w:val="auto"/>
              </w:rPr>
            </w:pPr>
            <w:r>
              <w:rPr>
                <w:rFonts w:ascii="Times New Roman" w:cs="Times New Roman" w:eastAsia="Times New Roman" w:hAnsi="Times New Roman"/>
                <w:sz w:val="18"/>
                <w:szCs w:val="18"/>
                <w:color w:val="auto"/>
                <w:vertAlign w:val="subscript"/>
              </w:rPr>
              <w:t>— %</w:t>
            </w:r>
            <w:r>
              <w:rPr>
                <w:rFonts w:ascii="Times New Roman" w:cs="Times New Roman" w:eastAsia="Times New Roman" w:hAnsi="Times New Roman"/>
                <w:sz w:val="7"/>
                <w:szCs w:val="7"/>
                <w:color w:val="auto"/>
              </w:rPr>
              <w:t xml:space="preserve"> (2)</w:t>
            </w:r>
          </w:p>
        </w:tc>
      </w:tr>
      <w:tr>
        <w:trPr>
          <w:trHeight w:val="136"/>
        </w:trPr>
        <w:tc>
          <w:tcPr>
            <w:tcW w:w="8960" w:type="dxa"/>
            <w:vAlign w:val="bottom"/>
            <w:tcBorders>
              <w:bottom w:val="single" w:sz="8" w:color="CCECFF"/>
            </w:tcBorders>
            <w:shd w:val="clear" w:color="auto" w:fill="CCECFF"/>
          </w:tcPr>
          <w:p>
            <w:pPr>
              <w:ind w:left="20"/>
              <w:spacing w:after="0" w:line="136" w:lineRule="exact"/>
              <w:rPr>
                <w:sz w:val="20"/>
                <w:szCs w:val="20"/>
                <w:color w:val="auto"/>
              </w:rPr>
            </w:pPr>
            <w:r>
              <w:rPr>
                <w:rFonts w:ascii="Times New Roman" w:cs="Times New Roman" w:eastAsia="Times New Roman" w:hAnsi="Times New Roman"/>
                <w:sz w:val="13"/>
                <w:szCs w:val="13"/>
                <w:color w:val="auto"/>
              </w:rPr>
              <w:t>Dividend reinvestment plan expenses</w:t>
            </w:r>
          </w:p>
        </w:tc>
        <w:tc>
          <w:tcPr>
            <w:tcW w:w="440" w:type="dxa"/>
            <w:vAlign w:val="bottom"/>
            <w:tcBorders>
              <w:bottom w:val="single" w:sz="8" w:color="CCECFF"/>
            </w:tcBorders>
            <w:shd w:val="clear" w:color="auto" w:fill="CCECFF"/>
          </w:tcPr>
          <w:p>
            <w:pPr>
              <w:jc w:val="right"/>
              <w:ind w:right="29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CFF"/>
            </w:tcBorders>
            <w:shd w:val="clear" w:color="auto" w:fill="CCECFF"/>
          </w:tcPr>
          <w:p>
            <w:pPr>
              <w:jc w:val="right"/>
              <w:spacing w:after="0" w:line="136" w:lineRule="exact"/>
              <w:rPr>
                <w:sz w:val="20"/>
                <w:szCs w:val="20"/>
                <w:color w:val="auto"/>
              </w:rPr>
            </w:pPr>
            <w:r>
              <w:rPr>
                <w:rFonts w:ascii="Times New Roman" w:cs="Times New Roman" w:eastAsia="Times New Roman" w:hAnsi="Times New Roman"/>
                <w:sz w:val="13"/>
                <w:szCs w:val="13"/>
                <w:color w:val="auto"/>
              </w:rPr>
              <w:t>15.00</w:t>
            </w:r>
          </w:p>
        </w:tc>
        <w:tc>
          <w:tcPr>
            <w:tcW w:w="160" w:type="dxa"/>
            <w:vAlign w:val="bottom"/>
            <w:tcBorders>
              <w:bottom w:val="single" w:sz="8" w:color="CCECFF"/>
            </w:tcBorders>
            <w:shd w:val="clear" w:color="auto" w:fill="CCECFF"/>
          </w:tcPr>
          <w:p>
            <w:pPr>
              <w:spacing w:after="0"/>
              <w:rPr>
                <w:sz w:val="11"/>
                <w:szCs w:val="11"/>
                <w:color w:val="auto"/>
              </w:rPr>
            </w:pPr>
          </w:p>
        </w:tc>
        <w:tc>
          <w:tcPr>
            <w:tcW w:w="320" w:type="dxa"/>
            <w:vAlign w:val="bottom"/>
            <w:tcBorders>
              <w:bottom w:val="single" w:sz="8" w:color="CCECFF"/>
            </w:tcBorders>
            <w:shd w:val="clear" w:color="auto" w:fill="CCECFF"/>
          </w:tcPr>
          <w:p>
            <w:pPr>
              <w:jc w:val="right"/>
              <w:ind w:right="158"/>
              <w:spacing w:after="0"/>
              <w:rPr>
                <w:sz w:val="20"/>
                <w:szCs w:val="20"/>
                <w:color w:val="auto"/>
              </w:rPr>
            </w:pPr>
            <w:r>
              <w:rPr>
                <w:rFonts w:ascii="Times New Roman" w:cs="Times New Roman" w:eastAsia="Times New Roman" w:hAnsi="Times New Roman"/>
                <w:sz w:val="8"/>
                <w:szCs w:val="8"/>
                <w:color w:val="auto"/>
              </w:rPr>
              <w:t>(3)</w:t>
            </w:r>
          </w:p>
        </w:tc>
      </w:tr>
      <w:tr>
        <w:trPr>
          <w:trHeight w:val="180"/>
        </w:trPr>
        <w:tc>
          <w:tcPr>
            <w:tcW w:w="89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Stockholder Transaction Expenses (as a percentage of offering price)</w:t>
            </w:r>
          </w:p>
        </w:tc>
        <w:tc>
          <w:tcPr>
            <w:tcW w:w="440" w:type="dxa"/>
            <w:vAlign w:val="bottom"/>
          </w:tcPr>
          <w:p>
            <w:pPr>
              <w:spacing w:after="0"/>
              <w:rPr>
                <w:sz w:val="15"/>
                <w:szCs w:val="15"/>
                <w:color w:val="auto"/>
              </w:rPr>
            </w:pPr>
          </w:p>
        </w:tc>
        <w:tc>
          <w:tcPr>
            <w:tcW w:w="84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8"/>
                <w:szCs w:val="18"/>
                <w:b w:val="1"/>
                <w:bCs w:val="1"/>
                <w:color w:val="auto"/>
                <w:vertAlign w:val="subscript"/>
              </w:rPr>
              <w:t>%</w:t>
            </w:r>
          </w:p>
        </w:tc>
        <w:tc>
          <w:tcPr>
            <w:tcW w:w="320" w:type="dxa"/>
            <w:vAlign w:val="bottom"/>
          </w:tcPr>
          <w:p>
            <w:pPr>
              <w:spacing w:after="0"/>
              <w:rPr>
                <w:sz w:val="15"/>
                <w:szCs w:val="15"/>
                <w:color w:val="auto"/>
              </w:rPr>
            </w:pPr>
          </w:p>
        </w:tc>
      </w:tr>
      <w:tr>
        <w:trPr>
          <w:trHeight w:val="20"/>
        </w:trPr>
        <w:tc>
          <w:tcPr>
            <w:tcW w:w="89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2"/>
        </w:trPr>
        <w:tc>
          <w:tcPr>
            <w:tcW w:w="8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Annual Expenses (as percentage of net assets attributable to common stock):</w:t>
            </w:r>
          </w:p>
        </w:tc>
        <w:tc>
          <w:tcPr>
            <w:tcW w:w="440" w:type="dxa"/>
            <w:vAlign w:val="bottom"/>
            <w:shd w:val="clear" w:color="auto" w:fill="CCECFF"/>
          </w:tcPr>
          <w:p>
            <w:pPr>
              <w:spacing w:after="0"/>
              <w:rPr>
                <w:sz w:val="16"/>
                <w:szCs w:val="16"/>
                <w:color w:val="auto"/>
              </w:rPr>
            </w:pPr>
          </w:p>
        </w:tc>
        <w:tc>
          <w:tcPr>
            <w:tcW w:w="68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r>
      <w:tr>
        <w:trPr>
          <w:trHeight w:val="156"/>
        </w:trPr>
        <w:tc>
          <w:tcPr>
            <w:tcW w:w="8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Base management fee payable under the Investment Advisory Agreement</w:t>
            </w:r>
          </w:p>
        </w:tc>
        <w:tc>
          <w:tcPr>
            <w:tcW w:w="440" w:type="dxa"/>
            <w:vAlign w:val="bottom"/>
          </w:tcPr>
          <w:p>
            <w:pPr>
              <w:spacing w:after="0"/>
              <w:rPr>
                <w:sz w:val="13"/>
                <w:szCs w:val="13"/>
                <w:color w:val="auto"/>
              </w:rPr>
            </w:pPr>
          </w:p>
        </w:tc>
        <w:tc>
          <w:tcPr>
            <w:tcW w:w="1160" w:type="dxa"/>
            <w:vAlign w:val="bottom"/>
            <w:gridSpan w:val="3"/>
          </w:tcPr>
          <w:p>
            <w:pPr>
              <w:jc w:val="right"/>
              <w:ind w:right="158"/>
              <w:spacing w:after="0" w:line="156" w:lineRule="exact"/>
              <w:rPr>
                <w:sz w:val="20"/>
                <w:szCs w:val="20"/>
                <w:color w:val="auto"/>
              </w:rPr>
            </w:pPr>
            <w:r>
              <w:rPr>
                <w:rFonts w:ascii="Times New Roman" w:cs="Times New Roman" w:eastAsia="Times New Roman" w:hAnsi="Times New Roman"/>
                <w:sz w:val="13"/>
                <w:szCs w:val="13"/>
                <w:color w:val="auto"/>
              </w:rPr>
              <w:t xml:space="preserve">3.32 % </w:t>
            </w:r>
            <w:r>
              <w:rPr>
                <w:rFonts w:ascii="Times New Roman" w:cs="Times New Roman" w:eastAsia="Times New Roman" w:hAnsi="Times New Roman"/>
                <w:sz w:val="16"/>
                <w:szCs w:val="16"/>
                <w:color w:val="auto"/>
                <w:vertAlign w:val="superscript"/>
              </w:rPr>
              <w:t>(4)</w:t>
            </w:r>
          </w:p>
        </w:tc>
      </w:tr>
      <w:tr>
        <w:trPr>
          <w:trHeight w:val="144"/>
        </w:trPr>
        <w:tc>
          <w:tcPr>
            <w:tcW w:w="8960" w:type="dxa"/>
            <w:vAlign w:val="bottom"/>
            <w:shd w:val="clear" w:color="auto" w:fill="CCECFF"/>
          </w:tcPr>
          <w:p>
            <w:pPr>
              <w:ind w:left="20"/>
              <w:spacing w:after="0" w:line="144" w:lineRule="exact"/>
              <w:rPr>
                <w:sz w:val="20"/>
                <w:szCs w:val="20"/>
                <w:color w:val="auto"/>
              </w:rPr>
            </w:pPr>
            <w:r>
              <w:rPr>
                <w:rFonts w:ascii="Times New Roman" w:cs="Times New Roman" w:eastAsia="Times New Roman" w:hAnsi="Times New Roman"/>
                <w:sz w:val="13"/>
                <w:szCs w:val="13"/>
                <w:color w:val="auto"/>
              </w:rPr>
              <w:t>Incentive fee payable under the Investment Advisory Agreement (17.50% of net investment income and realized capital</w:t>
            </w:r>
          </w:p>
        </w:tc>
        <w:tc>
          <w:tcPr>
            <w:tcW w:w="4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r>
      <w:tr>
        <w:trPr>
          <w:trHeight w:val="168"/>
        </w:trPr>
        <w:tc>
          <w:tcPr>
            <w:tcW w:w="8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gains)</w:t>
            </w:r>
          </w:p>
        </w:tc>
        <w:tc>
          <w:tcPr>
            <w:tcW w:w="440" w:type="dxa"/>
            <w:vAlign w:val="bottom"/>
            <w:shd w:val="clear" w:color="auto" w:fill="CCECFF"/>
          </w:tcPr>
          <w:p>
            <w:pPr>
              <w:spacing w:after="0"/>
              <w:rPr>
                <w:sz w:val="14"/>
                <w:szCs w:val="14"/>
                <w:color w:val="auto"/>
              </w:rPr>
            </w:pPr>
          </w:p>
        </w:tc>
        <w:tc>
          <w:tcPr>
            <w:tcW w:w="1160" w:type="dxa"/>
            <w:vAlign w:val="bottom"/>
            <w:gridSpan w:val="3"/>
            <w:shd w:val="clear" w:color="auto" w:fill="CCECFF"/>
          </w:tcPr>
          <w:p>
            <w:pPr>
              <w:jc w:val="right"/>
              <w:ind w:right="158"/>
              <w:spacing w:after="0" w:line="168" w:lineRule="exact"/>
              <w:rPr>
                <w:sz w:val="20"/>
                <w:szCs w:val="20"/>
                <w:color w:val="auto"/>
              </w:rPr>
            </w:pPr>
            <w:r>
              <w:rPr>
                <w:rFonts w:ascii="Times New Roman" w:cs="Times New Roman" w:eastAsia="Times New Roman" w:hAnsi="Times New Roman"/>
                <w:sz w:val="13"/>
                <w:szCs w:val="13"/>
                <w:color w:val="auto"/>
              </w:rPr>
              <w:t xml:space="preserve">2.54 % </w:t>
            </w:r>
            <w:r>
              <w:rPr>
                <w:rFonts w:ascii="Times New Roman" w:cs="Times New Roman" w:eastAsia="Times New Roman" w:hAnsi="Times New Roman"/>
                <w:sz w:val="16"/>
                <w:szCs w:val="16"/>
                <w:color w:val="auto"/>
                <w:vertAlign w:val="superscript"/>
              </w:rPr>
              <w:t>(5)</w:t>
            </w:r>
          </w:p>
        </w:tc>
      </w:tr>
      <w:tr>
        <w:trPr>
          <w:trHeight w:val="156"/>
        </w:trPr>
        <w:tc>
          <w:tcPr>
            <w:tcW w:w="8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payments on borrowed funds</w:t>
            </w:r>
          </w:p>
        </w:tc>
        <w:tc>
          <w:tcPr>
            <w:tcW w:w="440" w:type="dxa"/>
            <w:vAlign w:val="bottom"/>
          </w:tcPr>
          <w:p>
            <w:pPr>
              <w:spacing w:after="0"/>
              <w:rPr>
                <w:sz w:val="13"/>
                <w:szCs w:val="13"/>
                <w:color w:val="auto"/>
              </w:rPr>
            </w:pPr>
          </w:p>
        </w:tc>
        <w:tc>
          <w:tcPr>
            <w:tcW w:w="1160" w:type="dxa"/>
            <w:vAlign w:val="bottom"/>
            <w:gridSpan w:val="3"/>
          </w:tcPr>
          <w:p>
            <w:pPr>
              <w:jc w:val="right"/>
              <w:ind w:right="158"/>
              <w:spacing w:after="0" w:line="156" w:lineRule="exact"/>
              <w:rPr>
                <w:sz w:val="20"/>
                <w:szCs w:val="20"/>
                <w:color w:val="auto"/>
              </w:rPr>
            </w:pPr>
            <w:r>
              <w:rPr>
                <w:rFonts w:ascii="Times New Roman" w:cs="Times New Roman" w:eastAsia="Times New Roman" w:hAnsi="Times New Roman"/>
                <w:sz w:val="13"/>
                <w:szCs w:val="13"/>
                <w:color w:val="auto"/>
              </w:rPr>
              <w:t xml:space="preserve">10.53 % </w:t>
            </w:r>
            <w:r>
              <w:rPr>
                <w:rFonts w:ascii="Times New Roman" w:cs="Times New Roman" w:eastAsia="Times New Roman" w:hAnsi="Times New Roman"/>
                <w:sz w:val="16"/>
                <w:szCs w:val="16"/>
                <w:color w:val="auto"/>
                <w:vertAlign w:val="superscript"/>
              </w:rPr>
              <w:t>(6)</w:t>
            </w:r>
          </w:p>
        </w:tc>
      </w:tr>
      <w:tr>
        <w:trPr>
          <w:trHeight w:val="156"/>
        </w:trPr>
        <w:tc>
          <w:tcPr>
            <w:tcW w:w="8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Other expenses</w:t>
            </w:r>
          </w:p>
        </w:tc>
        <w:tc>
          <w:tcPr>
            <w:tcW w:w="440" w:type="dxa"/>
            <w:vAlign w:val="bottom"/>
            <w:shd w:val="clear" w:color="auto" w:fill="CCECFF"/>
          </w:tcPr>
          <w:p>
            <w:pPr>
              <w:spacing w:after="0"/>
              <w:rPr>
                <w:sz w:val="13"/>
                <w:szCs w:val="13"/>
                <w:color w:val="auto"/>
              </w:rPr>
            </w:pPr>
          </w:p>
        </w:tc>
        <w:tc>
          <w:tcPr>
            <w:tcW w:w="1160" w:type="dxa"/>
            <w:vAlign w:val="bottom"/>
            <w:gridSpan w:val="3"/>
            <w:shd w:val="clear" w:color="auto" w:fill="CCECFF"/>
          </w:tcPr>
          <w:p>
            <w:pPr>
              <w:jc w:val="right"/>
              <w:ind w:right="158"/>
              <w:spacing w:after="0" w:line="156" w:lineRule="exact"/>
              <w:rPr>
                <w:sz w:val="20"/>
                <w:szCs w:val="20"/>
                <w:color w:val="auto"/>
              </w:rPr>
            </w:pPr>
            <w:r>
              <w:rPr>
                <w:rFonts w:ascii="Times New Roman" w:cs="Times New Roman" w:eastAsia="Times New Roman" w:hAnsi="Times New Roman"/>
                <w:sz w:val="13"/>
                <w:szCs w:val="13"/>
                <w:color w:val="auto"/>
              </w:rPr>
              <w:t xml:space="preserve">3.06 % </w:t>
            </w:r>
            <w:r>
              <w:rPr>
                <w:rFonts w:ascii="Times New Roman" w:cs="Times New Roman" w:eastAsia="Times New Roman" w:hAnsi="Times New Roman"/>
                <w:sz w:val="16"/>
                <w:szCs w:val="16"/>
                <w:color w:val="auto"/>
                <w:vertAlign w:val="superscript"/>
              </w:rPr>
              <w:t>(7)</w:t>
            </w:r>
          </w:p>
        </w:tc>
      </w:tr>
      <w:tr>
        <w:trPr>
          <w:trHeight w:val="156"/>
        </w:trPr>
        <w:tc>
          <w:tcPr>
            <w:tcW w:w="8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Acquired fund fees and expenses</w:t>
            </w:r>
          </w:p>
        </w:tc>
        <w:tc>
          <w:tcPr>
            <w:tcW w:w="440" w:type="dxa"/>
            <w:vAlign w:val="bottom"/>
          </w:tcPr>
          <w:p>
            <w:pPr>
              <w:spacing w:after="0"/>
              <w:rPr>
                <w:sz w:val="13"/>
                <w:szCs w:val="13"/>
                <w:color w:val="auto"/>
              </w:rPr>
            </w:pPr>
          </w:p>
        </w:tc>
        <w:tc>
          <w:tcPr>
            <w:tcW w:w="1160" w:type="dxa"/>
            <w:vAlign w:val="bottom"/>
            <w:gridSpan w:val="3"/>
          </w:tcPr>
          <w:p>
            <w:pPr>
              <w:jc w:val="right"/>
              <w:ind w:right="158"/>
              <w:spacing w:after="0" w:line="156" w:lineRule="exact"/>
              <w:rPr>
                <w:sz w:val="20"/>
                <w:szCs w:val="20"/>
                <w:color w:val="auto"/>
              </w:rPr>
            </w:pPr>
            <w:r>
              <w:rPr>
                <w:rFonts w:ascii="Times New Roman" w:cs="Times New Roman" w:eastAsia="Times New Roman" w:hAnsi="Times New Roman"/>
                <w:sz w:val="13"/>
                <w:szCs w:val="13"/>
                <w:color w:val="auto"/>
              </w:rPr>
              <w:t xml:space="preserve">6.79 % </w:t>
            </w:r>
            <w:r>
              <w:rPr>
                <w:rFonts w:ascii="Times New Roman" w:cs="Times New Roman" w:eastAsia="Times New Roman" w:hAnsi="Times New Roman"/>
                <w:sz w:val="16"/>
                <w:szCs w:val="16"/>
                <w:color w:val="auto"/>
                <w:vertAlign w:val="superscript"/>
              </w:rPr>
              <w:t>(8)</w:t>
            </w:r>
          </w:p>
        </w:tc>
      </w:tr>
      <w:tr>
        <w:trPr>
          <w:trHeight w:val="176"/>
        </w:trPr>
        <w:tc>
          <w:tcPr>
            <w:tcW w:w="8960" w:type="dxa"/>
            <w:vAlign w:val="bottom"/>
            <w:shd w:val="clear" w:color="auto" w:fill="CCECFF"/>
          </w:tcPr>
          <w:p>
            <w:pPr>
              <w:ind w:left="20"/>
              <w:spacing w:after="0" w:line="136" w:lineRule="exact"/>
              <w:rPr>
                <w:sz w:val="20"/>
                <w:szCs w:val="20"/>
                <w:color w:val="auto"/>
              </w:rPr>
            </w:pPr>
            <w:r>
              <w:rPr>
                <w:rFonts w:ascii="Times New Roman" w:cs="Times New Roman" w:eastAsia="Times New Roman" w:hAnsi="Times New Roman"/>
                <w:sz w:val="13"/>
                <w:szCs w:val="13"/>
                <w:b w:val="1"/>
                <w:bCs w:val="1"/>
                <w:color w:val="auto"/>
              </w:rPr>
              <w:t>Total annual expenses</w:t>
            </w:r>
          </w:p>
        </w:tc>
        <w:tc>
          <w:tcPr>
            <w:tcW w:w="440" w:type="dxa"/>
            <w:vAlign w:val="bottom"/>
            <w:shd w:val="clear" w:color="auto" w:fill="CCECFF"/>
          </w:tcPr>
          <w:p>
            <w:pPr>
              <w:spacing w:after="0"/>
              <w:rPr>
                <w:sz w:val="15"/>
                <w:szCs w:val="15"/>
                <w:color w:val="auto"/>
              </w:rPr>
            </w:pPr>
          </w:p>
        </w:tc>
        <w:tc>
          <w:tcPr>
            <w:tcW w:w="840" w:type="dxa"/>
            <w:vAlign w:val="bottom"/>
            <w:gridSpan w:val="2"/>
            <w:shd w:val="clear" w:color="auto" w:fill="CCECFF"/>
          </w:tcPr>
          <w:p>
            <w:pPr>
              <w:jc w:val="right"/>
              <w:ind w:right="20"/>
              <w:spacing w:after="0" w:line="136" w:lineRule="exact"/>
              <w:rPr>
                <w:sz w:val="20"/>
                <w:szCs w:val="20"/>
                <w:color w:val="auto"/>
              </w:rPr>
            </w:pPr>
            <w:r>
              <w:rPr>
                <w:rFonts w:ascii="Times New Roman" w:cs="Times New Roman" w:eastAsia="Times New Roman" w:hAnsi="Times New Roman"/>
                <w:sz w:val="9"/>
                <w:szCs w:val="9"/>
                <w:color w:val="auto"/>
              </w:rPr>
              <w:t xml:space="preserve">26.24 </w:t>
            </w:r>
            <w:r>
              <w:rPr>
                <w:rFonts w:ascii="Times New Roman" w:cs="Times New Roman" w:eastAsia="Times New Roman" w:hAnsi="Times New Roman"/>
                <w:sz w:val="15"/>
                <w:szCs w:val="15"/>
                <w:color w:val="auto"/>
                <w:vertAlign w:val="subscript"/>
              </w:rPr>
              <w:t>%</w:t>
            </w:r>
          </w:p>
        </w:tc>
        <w:tc>
          <w:tcPr>
            <w:tcW w:w="320" w:type="dxa"/>
            <w:vAlign w:val="bottom"/>
            <w:shd w:val="clear" w:color="auto" w:fill="CCECFF"/>
          </w:tcPr>
          <w:p>
            <w:pPr>
              <w:spacing w:after="0"/>
              <w:rPr>
                <w:sz w:val="15"/>
                <w:szCs w:val="15"/>
                <w:color w:val="auto"/>
              </w:rPr>
            </w:pPr>
          </w:p>
        </w:tc>
      </w:tr>
      <w:tr>
        <w:trPr>
          <w:trHeight w:val="20"/>
        </w:trPr>
        <w:tc>
          <w:tcPr>
            <w:tcW w:w="8960" w:type="dxa"/>
            <w:vAlign w:val="bottom"/>
            <w:tcBorders>
              <w:top w:val="single" w:sz="8" w:color="CCECFF"/>
            </w:tcBorders>
            <w:shd w:val="clear" w:color="auto" w:fill="CCEC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CFF"/>
            </w:tcBorders>
            <w:shd w:val="clear" w:color="auto" w:fill="CCECFF"/>
          </w:tcPr>
          <w:p>
            <w:pPr>
              <w:spacing w:after="0" w:line="20" w:lineRule="exact"/>
              <w:rPr>
                <w:sz w:val="1"/>
                <w:szCs w:val="1"/>
                <w:color w:val="auto"/>
              </w:rPr>
            </w:pPr>
          </w:p>
        </w:tc>
        <w:tc>
          <w:tcPr>
            <w:tcW w:w="320" w:type="dxa"/>
            <w:vAlign w:val="bottom"/>
            <w:tcBorders>
              <w:top w:val="single" w:sz="8" w:color="CCECFF"/>
            </w:tcBorders>
            <w:shd w:val="clear" w:color="auto" w:fill="CCECFF"/>
          </w:tcPr>
          <w:p>
            <w:pPr>
              <w:spacing w:after="0" w:line="20" w:lineRule="exact"/>
              <w:rPr>
                <w:sz w:val="1"/>
                <w:szCs w:val="1"/>
                <w:color w:val="auto"/>
              </w:rPr>
            </w:pPr>
          </w:p>
        </w:tc>
      </w:tr>
    </w:tbl>
    <w:p>
      <w:pPr>
        <w:spacing w:after="0" w:line="9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(1)In the event that the securities are sold to or through underwriters or agents, a corresponding prospectus or prospectus supplement will disclose the applicable sales load and other offering expenses to be borne by us and our stockholders.</w:t>
      </w:r>
    </w:p>
    <w:p>
      <w:pPr>
        <w:spacing w:after="0" w:line="10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(2)The prospectus supplement corresponding to each offering will disclose the applicable estimated amount of offering expenses, the offering price and the offering expenses borne by us as a percentage of the offering price.</w:t>
      </w:r>
    </w:p>
    <w:p>
      <w:pPr>
        <w:spacing w:after="0" w:line="102" w:lineRule="exact"/>
        <w:rPr>
          <w:sz w:val="20"/>
          <w:szCs w:val="20"/>
          <w:color w:val="auto"/>
        </w:rPr>
      </w:pPr>
    </w:p>
    <w:p>
      <w:pPr>
        <w:ind w:left="80" w:right="160"/>
        <w:spacing w:after="0" w:line="263" w:lineRule="auto"/>
        <w:rPr>
          <w:sz w:val="20"/>
          <w:szCs w:val="20"/>
          <w:color w:val="auto"/>
        </w:rPr>
      </w:pPr>
      <w:r>
        <w:rPr>
          <w:rFonts w:ascii="Times New Roman" w:cs="Times New Roman" w:eastAsia="Times New Roman" w:hAnsi="Times New Roman"/>
          <w:sz w:val="11"/>
          <w:szCs w:val="11"/>
          <w:color w:val="auto"/>
        </w:rPr>
        <w:t>(3)If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transaction fee of $15.00 plus a $0.10 per share brokerage commission from the proceeds. The expenses of the dividend reinvestment plan are included in “other expenses.” The plan administrator’s fees will be paid by us. There will be no brokerage charges or other charges to stockholders who participate in the plan.</w:t>
      </w:r>
    </w:p>
    <w:p>
      <w:pPr>
        <w:spacing w:after="0" w:line="76" w:lineRule="exact"/>
        <w:rPr>
          <w:sz w:val="20"/>
          <w:szCs w:val="20"/>
          <w:color w:val="auto"/>
        </w:rPr>
      </w:pPr>
    </w:p>
    <w:p>
      <w:pPr>
        <w:ind w:left="80" w:right="60"/>
        <w:spacing w:after="0" w:line="259" w:lineRule="auto"/>
        <w:rPr>
          <w:sz w:val="20"/>
          <w:szCs w:val="20"/>
          <w:color w:val="auto"/>
        </w:rPr>
      </w:pPr>
      <w:r>
        <w:rPr>
          <w:rFonts w:ascii="Times New Roman" w:cs="Times New Roman" w:eastAsia="Times New Roman" w:hAnsi="Times New Roman"/>
          <w:sz w:val="11"/>
          <w:szCs w:val="11"/>
          <w:color w:val="auto"/>
        </w:rPr>
        <w:t>(4)Our base management fee, payable quarterly in arrears, is calculated at an annual rate of 1.50% of the Company’s gross assets, excluding cash and cash equivalents, but including assets purchased with borrowed amounts; provided, however, that the base management fee will be 1.00% of the Company’s average gross assets, excluding cash and cash equivalents, but including assets purchased with borrowed amounts, that exceed the product of (i) 200% and (ii) the value of the Company’s net asset value at the end of the most recently completed calendar quarter. The management fee reflected in the table is calculated by determining the ratio that the management fee bears to the Company’s net assets attributable to common stock (rather than its gross assets). The base management fees referenced in the table above are based on the management fees incurred for the year ended December 31, 2024.</w:t>
      </w:r>
    </w:p>
    <w:p>
      <w:pPr>
        <w:spacing w:after="0" w:line="78" w:lineRule="exact"/>
        <w:rPr>
          <w:sz w:val="20"/>
          <w:szCs w:val="20"/>
          <w:color w:val="auto"/>
        </w:rPr>
      </w:pPr>
    </w:p>
    <w:p>
      <w:pPr>
        <w:ind w:left="80" w:right="20"/>
        <w:spacing w:after="0" w:line="259" w:lineRule="auto"/>
        <w:rPr>
          <w:sz w:val="20"/>
          <w:szCs w:val="20"/>
          <w:color w:val="auto"/>
        </w:rPr>
      </w:pPr>
      <w:r>
        <w:rPr>
          <w:rFonts w:ascii="Times New Roman" w:cs="Times New Roman" w:eastAsia="Times New Roman" w:hAnsi="Times New Roman"/>
          <w:sz w:val="11"/>
          <w:szCs w:val="11"/>
          <w:color w:val="auto"/>
        </w:rPr>
        <w:t>(5)Our incentive fee consists of two parts: (1) a portion based on our pre-incentive fee net investment income, or the Income-Based Fee, and (2) a portion based on the capital gains received on our portfolio of securities on a cumulative basis for each calendar year, net of all realized capital losses and all unrealized capital depreciation on a cumulative basis, less the aggregate amount of any previously paid capital gains fee, or the Capital Gains Fee. The Income-Based Fee is 17.50% of pre-incentive fee net investment income with a 7.00% hurdle rate. The Capital Gains Fee is 17.50% of capital gains computed net of all realized capital losses and gross unrealized capital depreciation. The incentive fees referenced in the table above are based on the incentive fees incurred for the year ended December 31, 2024</w:t>
      </w:r>
    </w:p>
    <w:p>
      <w:pPr>
        <w:spacing w:after="0" w:line="78" w:lineRule="exact"/>
        <w:rPr>
          <w:sz w:val="20"/>
          <w:szCs w:val="20"/>
          <w:color w:val="auto"/>
        </w:rPr>
      </w:pPr>
    </w:p>
    <w:p>
      <w:pPr>
        <w:jc w:val="both"/>
        <w:ind w:left="80" w:right="80"/>
        <w:spacing w:after="0" w:line="263" w:lineRule="auto"/>
        <w:rPr>
          <w:sz w:val="20"/>
          <w:szCs w:val="20"/>
          <w:color w:val="auto"/>
        </w:rPr>
      </w:pPr>
      <w:r>
        <w:rPr>
          <w:rFonts w:ascii="Times New Roman" w:cs="Times New Roman" w:eastAsia="Times New Roman" w:hAnsi="Times New Roman"/>
          <w:sz w:val="11"/>
          <w:szCs w:val="11"/>
          <w:color w:val="auto"/>
        </w:rPr>
        <w:t>(6)“Interest payments on borrowed funds” represent our annual interest payment, fees and credit facility expenses based on results of operations for the year ended December 31, 2024, including with respect to our revolving credit facility and outstanding unsecured notes. The costs associated with any outstanding indebtedness are indirectly borne by our common stockholders. The amount of leverage we employ at any particular time will depend on, among other things, the Board’s and our Adviser’s assessment of the market and other factors at the time at any proposed borrowing. We may also issue preferred stock, subject to our compliance with applicable requirements under the 1940 Act.</w:t>
      </w:r>
    </w:p>
    <w:p>
      <w:pPr>
        <w:spacing w:after="0" w:line="76" w:lineRule="exact"/>
        <w:rPr>
          <w:sz w:val="20"/>
          <w:szCs w:val="20"/>
          <w:color w:val="auto"/>
        </w:rPr>
      </w:pPr>
    </w:p>
    <w:p>
      <w:pPr>
        <w:ind w:left="80" w:right="20"/>
        <w:spacing w:after="0" w:line="276" w:lineRule="auto"/>
        <w:rPr>
          <w:sz w:val="20"/>
          <w:szCs w:val="20"/>
          <w:color w:val="auto"/>
        </w:rPr>
      </w:pPr>
      <w:r>
        <w:rPr>
          <w:rFonts w:ascii="Times New Roman" w:cs="Times New Roman" w:eastAsia="Times New Roman" w:hAnsi="Times New Roman"/>
          <w:sz w:val="11"/>
          <w:szCs w:val="11"/>
          <w:color w:val="auto"/>
        </w:rPr>
        <w:t>(7)“Other expenses” include our overhead expenses, including payments by us under the Administration Agreement based on the allocable portion of overhead and other expenses incurred by the Administrator in performing its obligations to us under the Administration Agreement, and expenses relating to the Dividend Reinvestment Plan, for the fiscal year ended December 31, 2024.</w:t>
      </w:r>
    </w:p>
    <w:p>
      <w:pPr>
        <w:spacing w:after="0" w:line="6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1"/>
          <w:szCs w:val="1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417830</wp:posOffset>
            </wp:positionV>
            <wp:extent cx="673290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580" w:top="1386" w:right="680" w:bottom="1440" w:gutter="0" w:footer="0" w:header="0"/>
        </w:sectPr>
      </w:pPr>
    </w:p>
    <w:bookmarkStart w:id="52" w:name="page53"/>
    <w:bookmarkEnd w:id="52"/>
    <w:p>
      <w:pPr>
        <w:ind w:right="40"/>
        <w:spacing w:after="0" w:line="263" w:lineRule="auto"/>
        <w:rPr>
          <w:sz w:val="20"/>
          <w:szCs w:val="20"/>
          <w:color w:val="auto"/>
        </w:rPr>
      </w:pPr>
      <w:r>
        <w:rPr>
          <w:rFonts w:ascii="Times New Roman" w:cs="Times New Roman" w:eastAsia="Times New Roman" w:hAnsi="Times New Roman"/>
          <w:sz w:val="11"/>
          <w:szCs w:val="11"/>
          <w:color w:val="auto"/>
        </w:rPr>
        <w:t>(8)“Acquired fund fees and expenses” are the indirect costs of investing in the Company’s joint ventures. The operating expenses in this fee table will not correlate to the expense ratio in the Company’s Financial Highlights because the financial statements include only the direct operating expenses incurred by the Company. Therefore, amounts may not agree with the Financial Highlights due to the inclusions in this table of Acquired Fund Fees and Expenses and certain other adjustments.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Example</w:t>
      </w:r>
    </w:p>
    <w:p>
      <w:pPr>
        <w:spacing w:after="0" w:line="105" w:lineRule="exact"/>
        <w:rPr>
          <w:sz w:val="20"/>
          <w:szCs w:val="20"/>
          <w:color w:val="auto"/>
        </w:rPr>
      </w:pPr>
    </w:p>
    <w:p>
      <w:pPr>
        <w:ind w:firstLine="348"/>
        <w:spacing w:after="0" w:line="286" w:lineRule="auto"/>
        <w:rPr>
          <w:sz w:val="20"/>
          <w:szCs w:val="20"/>
          <w:color w:val="auto"/>
        </w:rPr>
      </w:pPr>
      <w:r>
        <w:rPr>
          <w:rFonts w:ascii="Times New Roman" w:cs="Times New Roman" w:eastAsia="Times New Roman" w:hAnsi="Times New Roman"/>
          <w:sz w:val="13"/>
          <w:szCs w:val="13"/>
          <w:color w:val="auto"/>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1 Years</w:t>
            </w:r>
          </w:p>
        </w:tc>
        <w:tc>
          <w:tcPr>
            <w:tcW w:w="460" w:type="dxa"/>
            <w:vAlign w:val="bottom"/>
          </w:tcPr>
          <w:p>
            <w:pPr>
              <w:spacing w:after="0"/>
              <w:rPr>
                <w:sz w:val="14"/>
                <w:szCs w:val="14"/>
                <w:color w:val="auto"/>
              </w:rPr>
            </w:pPr>
          </w:p>
        </w:tc>
        <w:tc>
          <w:tcPr>
            <w:tcW w:w="1000" w:type="dxa"/>
            <w:vAlign w:val="bottom"/>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3 Years</w:t>
            </w:r>
          </w:p>
        </w:tc>
        <w:tc>
          <w:tcPr>
            <w:tcW w:w="460" w:type="dxa"/>
            <w:vAlign w:val="bottom"/>
          </w:tcPr>
          <w:p>
            <w:pPr>
              <w:spacing w:after="0"/>
              <w:rPr>
                <w:sz w:val="14"/>
                <w:szCs w:val="14"/>
                <w:color w:val="auto"/>
              </w:rPr>
            </w:pPr>
          </w:p>
        </w:tc>
        <w:tc>
          <w:tcPr>
            <w:tcW w:w="1000" w:type="dxa"/>
            <w:vAlign w:val="bottom"/>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5 Years</w:t>
            </w:r>
          </w:p>
        </w:tc>
        <w:tc>
          <w:tcPr>
            <w:tcW w:w="480" w:type="dxa"/>
            <w:vAlign w:val="bottom"/>
          </w:tcPr>
          <w:p>
            <w:pPr>
              <w:spacing w:after="0"/>
              <w:rPr>
                <w:sz w:val="14"/>
                <w:szCs w:val="14"/>
                <w:color w:val="auto"/>
              </w:rPr>
            </w:pPr>
          </w:p>
        </w:tc>
        <w:tc>
          <w:tcPr>
            <w:tcW w:w="82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10 Years</w:t>
            </w:r>
          </w:p>
        </w:tc>
      </w:tr>
      <w:tr>
        <w:trPr>
          <w:trHeight w:val="133"/>
        </w:trPr>
        <w:tc>
          <w:tcPr>
            <w:tcW w:w="5060" w:type="dxa"/>
            <w:vAlign w:val="bottom"/>
            <w:shd w:val="clear" w:color="auto" w:fill="CCECFF"/>
          </w:tcPr>
          <w:p>
            <w:pPr>
              <w:ind w:left="20"/>
              <w:spacing w:after="0" w:line="133" w:lineRule="exact"/>
              <w:rPr>
                <w:sz w:val="20"/>
                <w:szCs w:val="20"/>
                <w:color w:val="auto"/>
              </w:rPr>
            </w:pPr>
            <w:r>
              <w:rPr>
                <w:rFonts w:ascii="Times New Roman" w:cs="Times New Roman" w:eastAsia="Times New Roman" w:hAnsi="Times New Roman"/>
                <w:sz w:val="13"/>
                <w:szCs w:val="13"/>
                <w:color w:val="auto"/>
              </w:rPr>
              <w:t>You would pay the following expenses on a $1,000 investment, assuming a 5% annual</w:t>
            </w:r>
          </w:p>
        </w:tc>
        <w:tc>
          <w:tcPr>
            <w:tcW w:w="260" w:type="dxa"/>
            <w:vAlign w:val="bottom"/>
            <w:shd w:val="clear" w:color="auto" w:fill="CCECFF"/>
          </w:tcPr>
          <w:p>
            <w:pPr>
              <w:spacing w:after="0"/>
              <w:rPr>
                <w:sz w:val="11"/>
                <w:szCs w:val="11"/>
                <w:color w:val="auto"/>
              </w:rPr>
            </w:pPr>
          </w:p>
        </w:tc>
        <w:tc>
          <w:tcPr>
            <w:tcW w:w="1020" w:type="dxa"/>
            <w:vAlign w:val="bottom"/>
            <w:shd w:val="clear" w:color="auto" w:fill="CCECFF"/>
          </w:tcPr>
          <w:p>
            <w:pPr>
              <w:spacing w:after="0"/>
              <w:rPr>
                <w:sz w:val="11"/>
                <w:szCs w:val="11"/>
                <w:color w:val="auto"/>
              </w:rPr>
            </w:pPr>
          </w:p>
        </w:tc>
        <w:tc>
          <w:tcPr>
            <w:tcW w:w="460" w:type="dxa"/>
            <w:vAlign w:val="bottom"/>
            <w:shd w:val="clear" w:color="auto" w:fill="CCECFF"/>
          </w:tcPr>
          <w:p>
            <w:pPr>
              <w:spacing w:after="0"/>
              <w:rPr>
                <w:sz w:val="11"/>
                <w:szCs w:val="11"/>
                <w:color w:val="auto"/>
              </w:rPr>
            </w:pPr>
          </w:p>
        </w:tc>
        <w:tc>
          <w:tcPr>
            <w:tcW w:w="1000" w:type="dxa"/>
            <w:vAlign w:val="bottom"/>
            <w:shd w:val="clear" w:color="auto" w:fill="CCECFF"/>
          </w:tcPr>
          <w:p>
            <w:pPr>
              <w:spacing w:after="0"/>
              <w:rPr>
                <w:sz w:val="11"/>
                <w:szCs w:val="11"/>
                <w:color w:val="auto"/>
              </w:rPr>
            </w:pPr>
          </w:p>
        </w:tc>
        <w:tc>
          <w:tcPr>
            <w:tcW w:w="460" w:type="dxa"/>
            <w:vAlign w:val="bottom"/>
            <w:shd w:val="clear" w:color="auto" w:fill="CCECFF"/>
          </w:tcPr>
          <w:p>
            <w:pPr>
              <w:spacing w:after="0"/>
              <w:rPr>
                <w:sz w:val="11"/>
                <w:szCs w:val="11"/>
                <w:color w:val="auto"/>
              </w:rPr>
            </w:pPr>
          </w:p>
        </w:tc>
        <w:tc>
          <w:tcPr>
            <w:tcW w:w="100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r>
      <w:tr>
        <w:trPr>
          <w:trHeight w:val="179"/>
        </w:trPr>
        <w:tc>
          <w:tcPr>
            <w:tcW w:w="5060" w:type="dxa"/>
            <w:vAlign w:val="bottom"/>
            <w:shd w:val="clear" w:color="auto" w:fill="CCECFF"/>
          </w:tcPr>
          <w:p>
            <w:pPr>
              <w:ind w:left="20"/>
              <w:spacing w:after="0" w:line="179" w:lineRule="exact"/>
              <w:rPr>
                <w:sz w:val="20"/>
                <w:szCs w:val="20"/>
                <w:color w:val="auto"/>
              </w:rPr>
            </w:pPr>
            <w:r>
              <w:rPr>
                <w:rFonts w:ascii="Times New Roman" w:cs="Times New Roman" w:eastAsia="Times New Roman" w:hAnsi="Times New Roman"/>
                <w:sz w:val="13"/>
                <w:szCs w:val="13"/>
                <w:color w:val="auto"/>
              </w:rPr>
              <w:t>return</w:t>
            </w:r>
            <w:r>
              <w:rPr>
                <w:rFonts w:ascii="Times New Roman" w:cs="Times New Roman" w:eastAsia="Times New Roman" w:hAnsi="Times New Roman"/>
                <w:sz w:val="16"/>
                <w:szCs w:val="16"/>
                <w:color w:val="auto"/>
                <w:vertAlign w:val="superscript"/>
              </w:rPr>
              <w:t>(1)</w:t>
            </w:r>
          </w:p>
        </w:tc>
        <w:tc>
          <w:tcPr>
            <w:tcW w:w="260" w:type="dxa"/>
            <w:vAlign w:val="bottom"/>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CFF"/>
          </w:tcPr>
          <w:p>
            <w:pPr>
              <w:jc w:val="right"/>
              <w:ind w:right="274"/>
              <w:spacing w:after="0"/>
              <w:rPr>
                <w:sz w:val="20"/>
                <w:szCs w:val="20"/>
                <w:color w:val="auto"/>
              </w:rPr>
            </w:pPr>
            <w:r>
              <w:rPr>
                <w:rFonts w:ascii="Times New Roman" w:cs="Times New Roman" w:eastAsia="Times New Roman" w:hAnsi="Times New Roman"/>
                <w:sz w:val="13"/>
                <w:szCs w:val="13"/>
                <w:color w:val="auto"/>
              </w:rPr>
              <w:t>237</w:t>
            </w: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CFF"/>
          </w:tcPr>
          <w:p>
            <w:pPr>
              <w:jc w:val="right"/>
              <w:ind w:right="274"/>
              <w:spacing w:after="0"/>
              <w:rPr>
                <w:sz w:val="20"/>
                <w:szCs w:val="20"/>
                <w:color w:val="auto"/>
              </w:rPr>
            </w:pPr>
            <w:r>
              <w:rPr>
                <w:rFonts w:ascii="Times New Roman" w:cs="Times New Roman" w:eastAsia="Times New Roman" w:hAnsi="Times New Roman"/>
                <w:sz w:val="13"/>
                <w:szCs w:val="13"/>
                <w:color w:val="auto"/>
              </w:rPr>
              <w:t>586</w:t>
            </w: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CFF"/>
          </w:tcPr>
          <w:p>
            <w:pPr>
              <w:jc w:val="right"/>
              <w:ind w:right="294"/>
              <w:spacing w:after="0"/>
              <w:rPr>
                <w:sz w:val="20"/>
                <w:szCs w:val="20"/>
                <w:color w:val="auto"/>
              </w:rPr>
            </w:pPr>
            <w:r>
              <w:rPr>
                <w:rFonts w:ascii="Times New Roman" w:cs="Times New Roman" w:eastAsia="Times New Roman" w:hAnsi="Times New Roman"/>
                <w:sz w:val="13"/>
                <w:szCs w:val="13"/>
                <w:color w:val="auto"/>
              </w:rPr>
              <w:t>817</w:t>
            </w: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1,107</w:t>
            </w:r>
          </w:p>
        </w:tc>
      </w:tr>
      <w:tr>
        <w:trPr>
          <w:trHeight w:val="144"/>
        </w:trPr>
        <w:tc>
          <w:tcPr>
            <w:tcW w:w="506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You would pay the following expenses on a $1,000 investment, assuming a 5% annual return</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72"/>
        </w:trPr>
        <w:tc>
          <w:tcPr>
            <w:tcW w:w="5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entirely from realized gains</w:t>
            </w:r>
          </w:p>
        </w:tc>
        <w:tc>
          <w:tcPr>
            <w:tcW w:w="2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246</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602</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833</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1,113</w:t>
            </w:r>
          </w:p>
        </w:tc>
      </w:tr>
    </w:tbl>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(1)Assumes we will not realize any capital gains computed net of all realized capital losses and gross unrealized capital depreciation in any of the periods indicated.</w:t>
      </w:r>
    </w:p>
    <w:p>
      <w:pPr>
        <w:spacing w:after="0" w:line="90" w:lineRule="exact"/>
        <w:rPr>
          <w:sz w:val="20"/>
          <w:szCs w:val="20"/>
          <w:color w:val="auto"/>
        </w:rPr>
      </w:pPr>
    </w:p>
    <w:p>
      <w:pPr>
        <w:ind w:right="60" w:firstLine="348"/>
        <w:spacing w:after="0" w:line="268" w:lineRule="auto"/>
        <w:rPr>
          <w:sz w:val="20"/>
          <w:szCs w:val="20"/>
          <w:color w:val="auto"/>
        </w:rPr>
      </w:pPr>
      <w:r>
        <w:rPr>
          <w:rFonts w:ascii="Times New Roman" w:cs="Times New Roman" w:eastAsia="Times New Roman" w:hAnsi="Times New Roman"/>
          <w:sz w:val="13"/>
          <w:szCs w:val="13"/>
          <w:color w:val="auto"/>
        </w:rPr>
        <w:t>While the example assumes, as required by the SEC, a 5% annual return, our performance will vary and may result in a return greater or less than 5%. Assuming a 5% annual return, the income incentive fee under the Investment Advisory Agreement may not be earned or payable and is not included in the example. If we achieve sufficient returns on our investments to trigger an income incentive fee of a material amount, our expenses, and returns to our investors, would be higher.</w:t>
      </w:r>
    </w:p>
    <w:p>
      <w:pPr>
        <w:spacing w:after="0" w:line="63" w:lineRule="exact"/>
        <w:rPr>
          <w:sz w:val="20"/>
          <w:szCs w:val="20"/>
          <w:color w:val="auto"/>
        </w:rPr>
      </w:pPr>
    </w:p>
    <w:p>
      <w:pPr>
        <w:ind w:right="120" w:firstLine="348"/>
        <w:spacing w:after="0" w:line="262" w:lineRule="auto"/>
        <w:rPr>
          <w:sz w:val="20"/>
          <w:szCs w:val="20"/>
          <w:color w:val="auto"/>
        </w:rPr>
      </w:pPr>
      <w:r>
        <w:rPr>
          <w:rFonts w:ascii="Times New Roman" w:cs="Times New Roman" w:eastAsia="Times New Roman" w:hAnsi="Times New Roman"/>
          <w:sz w:val="13"/>
          <w:szCs w:val="13"/>
          <w:color w:val="auto"/>
        </w:rPr>
        <w:t>Further, while the example assumes reinvestment of all distributions at net asset value, participants in our dividend reinvestment plan will receive a number of shares of our common stock determined by dividing the total dollar amount of the distribution payable to a participant by (a) the market price per share of our common stock at the close of trading on the payment date fixed by the Board in the event that newly issued shares of our common stock are used to implement the dividend reinvestment plan or (b) the average purchase price of all shares of common stock purchased by the plan administrator in the event that shares are purchased in the open market to implement the requirements of the dividend reinvestment plan, which may be at, above or below net asset value.</w:t>
      </w:r>
    </w:p>
    <w:p>
      <w:pPr>
        <w:spacing w:after="0" w:line="67" w:lineRule="exact"/>
        <w:rPr>
          <w:sz w:val="20"/>
          <w:szCs w:val="20"/>
          <w:color w:val="auto"/>
        </w:rPr>
      </w:pPr>
    </w:p>
    <w:p>
      <w:pPr>
        <w:ind w:right="180" w:firstLine="348"/>
        <w:spacing w:after="0" w:line="286" w:lineRule="auto"/>
        <w:rPr>
          <w:sz w:val="20"/>
          <w:szCs w:val="20"/>
          <w:color w:val="auto"/>
        </w:rPr>
      </w:pPr>
      <w:r>
        <w:rPr>
          <w:rFonts w:ascii="Times New Roman" w:cs="Times New Roman" w:eastAsia="Times New Roman" w:hAnsi="Times New Roman"/>
          <w:sz w:val="13"/>
          <w:szCs w:val="13"/>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3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Financial Highlights</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43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The following tables contains financial highlights for the past ten years.</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1"/>
        </w:trPr>
        <w:tc>
          <w:tcPr>
            <w:tcW w:w="4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20" w:type="dxa"/>
            <w:vAlign w:val="bottom"/>
            <w:gridSpan w:val="6"/>
          </w:tcPr>
          <w:p>
            <w:pPr>
              <w:jc w:val="right"/>
              <w:ind w:right="65"/>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Per Share Data:</w:t>
            </w:r>
          </w:p>
        </w:tc>
        <w:tc>
          <w:tcPr>
            <w:tcW w:w="200" w:type="dxa"/>
            <w:vAlign w:val="bottom"/>
          </w:tcPr>
          <w:p>
            <w:pPr>
              <w:spacing w:after="0"/>
              <w:rPr>
                <w:sz w:val="19"/>
                <w:szCs w:val="19"/>
                <w:color w:val="auto"/>
              </w:rPr>
            </w:pPr>
          </w:p>
        </w:tc>
        <w:tc>
          <w:tcPr>
            <w:tcW w:w="84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2024</w:t>
            </w:r>
            <w:r>
              <w:rPr>
                <w:rFonts w:ascii="Times New Roman" w:cs="Times New Roman" w:eastAsia="Times New Roman" w:hAnsi="Times New Roman"/>
                <w:sz w:val="16"/>
                <w:szCs w:val="16"/>
                <w:b w:val="1"/>
                <w:bCs w:val="1"/>
                <w:color w:val="auto"/>
                <w:vertAlign w:val="superscript"/>
              </w:rPr>
              <w:t>(4)</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2023</w:t>
            </w:r>
            <w:r>
              <w:rPr>
                <w:rFonts w:ascii="Times New Roman" w:cs="Times New Roman" w:eastAsia="Times New Roman" w:hAnsi="Times New Roman"/>
                <w:sz w:val="16"/>
                <w:szCs w:val="16"/>
                <w:b w:val="1"/>
                <w:bCs w:val="1"/>
                <w:color w:val="auto"/>
                <w:vertAlign w:val="superscript"/>
              </w:rPr>
              <w:t>(4)</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2022</w:t>
            </w:r>
            <w:r>
              <w:rPr>
                <w:rFonts w:ascii="Times New Roman" w:cs="Times New Roman" w:eastAsia="Times New Roman" w:hAnsi="Times New Roman"/>
                <w:sz w:val="16"/>
                <w:szCs w:val="16"/>
                <w:b w:val="1"/>
                <w:bCs w:val="1"/>
                <w:color w:val="auto"/>
                <w:vertAlign w:val="superscript"/>
              </w:rPr>
              <w:t>(4)</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2021</w:t>
            </w:r>
            <w:r>
              <w:rPr>
                <w:rFonts w:ascii="Times New Roman" w:cs="Times New Roman" w:eastAsia="Times New Roman" w:hAnsi="Times New Roman"/>
                <w:sz w:val="16"/>
                <w:szCs w:val="16"/>
                <w:b w:val="1"/>
                <w:bCs w:val="1"/>
                <w:color w:val="auto"/>
                <w:vertAlign w:val="superscript"/>
              </w:rPr>
              <w:t>(4)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2020</w:t>
            </w:r>
            <w:r>
              <w:rPr>
                <w:rFonts w:ascii="Times New Roman" w:cs="Times New Roman" w:eastAsia="Times New Roman" w:hAnsi="Times New Roman"/>
                <w:sz w:val="16"/>
                <w:szCs w:val="16"/>
                <w:b w:val="1"/>
                <w:bCs w:val="1"/>
                <w:color w:val="auto"/>
                <w:vertAlign w:val="superscript"/>
              </w:rPr>
              <w:t>(4)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43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asset value, at beginning of period</w:t>
            </w:r>
          </w:p>
        </w:tc>
        <w:tc>
          <w:tcPr>
            <w:tcW w:w="2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22.76</w:t>
            </w:r>
          </w:p>
        </w:tc>
        <w:tc>
          <w:tcPr>
            <w:tcW w:w="34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24.23</w:t>
            </w:r>
          </w:p>
        </w:tc>
        <w:tc>
          <w:tcPr>
            <w:tcW w:w="34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28.88</w:t>
            </w:r>
          </w:p>
        </w:tc>
        <w:tc>
          <w:tcPr>
            <w:tcW w:w="34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28.77</w:t>
            </w: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33.95</w:t>
            </w:r>
          </w:p>
        </w:tc>
        <w:tc>
          <w:tcPr>
            <w:tcW w:w="1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380" w:type="dxa"/>
            <w:vAlign w:val="bottom"/>
          </w:tcPr>
          <w:p>
            <w:pPr>
              <w:ind w:left="180"/>
              <w:spacing w:after="0" w:line="156" w:lineRule="exact"/>
              <w:rPr>
                <w:sz w:val="20"/>
                <w:szCs w:val="20"/>
                <w:color w:val="auto"/>
              </w:rPr>
            </w:pPr>
            <w:r>
              <w:rPr>
                <w:rFonts w:ascii="Times New Roman" w:cs="Times New Roman" w:eastAsia="Times New Roman" w:hAnsi="Times New Roman"/>
                <w:sz w:val="13"/>
                <w:szCs w:val="13"/>
                <w:color w:val="auto"/>
              </w:rPr>
              <w:t>Net investment income</w:t>
            </w:r>
            <w:r>
              <w:rPr>
                <w:rFonts w:ascii="Times New Roman" w:cs="Times New Roman" w:eastAsia="Times New Roman" w:hAnsi="Times New Roman"/>
                <w:sz w:val="16"/>
                <w:szCs w:val="16"/>
                <w:color w:val="auto"/>
                <w:vertAlign w:val="superscript"/>
              </w:rPr>
              <w:t>(1)</w:t>
            </w:r>
          </w:p>
        </w:tc>
        <w:tc>
          <w:tcPr>
            <w:tcW w:w="200" w:type="dxa"/>
            <w:vAlign w:val="bottom"/>
          </w:tcPr>
          <w:p>
            <w:pPr>
              <w:spacing w:after="0"/>
              <w:rPr>
                <w:sz w:val="13"/>
                <w:szCs w:val="13"/>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2.59</w:t>
            </w:r>
          </w:p>
        </w:tc>
        <w:tc>
          <w:tcPr>
            <w:tcW w:w="200" w:type="dxa"/>
            <w:vAlign w:val="bottom"/>
          </w:tcPr>
          <w:p>
            <w:pPr>
              <w:spacing w:after="0"/>
              <w:rPr>
                <w:sz w:val="13"/>
                <w:szCs w:val="13"/>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3.66</w:t>
            </w:r>
          </w:p>
        </w:tc>
        <w:tc>
          <w:tcPr>
            <w:tcW w:w="180" w:type="dxa"/>
            <w:vAlign w:val="bottom"/>
          </w:tcPr>
          <w:p>
            <w:pPr>
              <w:spacing w:after="0"/>
              <w:rPr>
                <w:sz w:val="13"/>
                <w:szCs w:val="13"/>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3.00</w:t>
            </w:r>
          </w:p>
        </w:tc>
        <w:tc>
          <w:tcPr>
            <w:tcW w:w="160" w:type="dxa"/>
            <w:vAlign w:val="bottom"/>
          </w:tcPr>
          <w:p>
            <w:pPr>
              <w:spacing w:after="0"/>
              <w:rPr>
                <w:sz w:val="13"/>
                <w:szCs w:val="13"/>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4.92</w:t>
            </w:r>
          </w:p>
        </w:tc>
        <w:tc>
          <w:tcPr>
            <w:tcW w:w="18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3.40</w:t>
            </w:r>
          </w:p>
        </w:tc>
        <w:tc>
          <w:tcPr>
            <w:tcW w:w="0" w:type="dxa"/>
            <w:vAlign w:val="bottom"/>
          </w:tcPr>
          <w:p>
            <w:pPr>
              <w:spacing w:after="0"/>
              <w:rPr>
                <w:sz w:val="1"/>
                <w:szCs w:val="1"/>
                <w:color w:val="auto"/>
              </w:rPr>
            </w:pPr>
          </w:p>
        </w:tc>
      </w:tr>
      <w:tr>
        <w:trPr>
          <w:trHeight w:val="156"/>
        </w:trPr>
        <w:tc>
          <w:tcPr>
            <w:tcW w:w="4380" w:type="dxa"/>
            <w:vAlign w:val="bottom"/>
            <w:shd w:val="clear" w:color="auto" w:fill="CFF0FC"/>
          </w:tcPr>
          <w:p>
            <w:pPr>
              <w:ind w:left="180"/>
              <w:spacing w:after="0" w:line="156" w:lineRule="exact"/>
              <w:rPr>
                <w:sz w:val="20"/>
                <w:szCs w:val="20"/>
                <w:color w:val="auto"/>
              </w:rPr>
            </w:pPr>
            <w:r>
              <w:rPr>
                <w:rFonts w:ascii="Times New Roman" w:cs="Times New Roman" w:eastAsia="Times New Roman" w:hAnsi="Times New Roman"/>
                <w:sz w:val="13"/>
                <w:szCs w:val="13"/>
                <w:color w:val="auto"/>
              </w:rPr>
              <w:t>Net realized gains (losses) from investments</w:t>
            </w:r>
            <w:r>
              <w:rPr>
                <w:rFonts w:ascii="Times New Roman" w:cs="Times New Roman" w:eastAsia="Times New Roman" w:hAnsi="Times New Roman"/>
                <w:sz w:val="16"/>
                <w:szCs w:val="16"/>
                <w:color w:val="auto"/>
                <w:vertAlign w:val="superscript"/>
              </w:rPr>
              <w:t>(1)</w:t>
            </w:r>
          </w:p>
        </w:tc>
        <w:tc>
          <w:tcPr>
            <w:tcW w:w="20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(3.36)</w:t>
            </w:r>
          </w:p>
        </w:tc>
        <w:tc>
          <w:tcPr>
            <w:tcW w:w="2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(2.81)</w:t>
            </w:r>
          </w:p>
        </w:tc>
        <w:tc>
          <w:tcPr>
            <w:tcW w:w="1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(3.24)</w:t>
            </w:r>
          </w:p>
        </w:tc>
        <w:tc>
          <w:tcPr>
            <w:tcW w:w="1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(0.50)</w:t>
            </w: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1.52</w:t>
            </w:r>
          </w:p>
        </w:tc>
        <w:tc>
          <w:tcPr>
            <w:tcW w:w="0" w:type="dxa"/>
            <w:vAlign w:val="bottom"/>
          </w:tcPr>
          <w:p>
            <w:pPr>
              <w:spacing w:after="0"/>
              <w:rPr>
                <w:sz w:val="1"/>
                <w:szCs w:val="1"/>
                <w:color w:val="auto"/>
              </w:rPr>
            </w:pPr>
          </w:p>
        </w:tc>
      </w:tr>
      <w:tr>
        <w:trPr>
          <w:trHeight w:val="156"/>
        </w:trPr>
        <w:tc>
          <w:tcPr>
            <w:tcW w:w="4380" w:type="dxa"/>
            <w:vAlign w:val="bottom"/>
          </w:tcPr>
          <w:p>
            <w:pPr>
              <w:ind w:left="180"/>
              <w:spacing w:after="0" w:line="156" w:lineRule="exact"/>
              <w:rPr>
                <w:sz w:val="20"/>
                <w:szCs w:val="20"/>
                <w:color w:val="auto"/>
              </w:rPr>
            </w:pPr>
            <w:r>
              <w:rPr>
                <w:rFonts w:ascii="Times New Roman" w:cs="Times New Roman" w:eastAsia="Times New Roman" w:hAnsi="Times New Roman"/>
                <w:sz w:val="13"/>
                <w:szCs w:val="13"/>
                <w:color w:val="auto"/>
              </w:rPr>
              <w:t>Net change in unrealized (depreciation) appreciation on investments</w:t>
            </w:r>
            <w:r>
              <w:rPr>
                <w:rFonts w:ascii="Times New Roman" w:cs="Times New Roman" w:eastAsia="Times New Roman" w:hAnsi="Times New Roman"/>
                <w:sz w:val="16"/>
                <w:szCs w:val="16"/>
                <w:color w:val="auto"/>
                <w:vertAlign w:val="superscript"/>
              </w:rPr>
              <w:t>(1)</w:t>
            </w:r>
          </w:p>
        </w:tc>
        <w:tc>
          <w:tcPr>
            <w:tcW w:w="200" w:type="dxa"/>
            <w:vAlign w:val="bottom"/>
          </w:tcPr>
          <w:p>
            <w:pPr>
              <w:spacing w:after="0"/>
              <w:rPr>
                <w:sz w:val="13"/>
                <w:szCs w:val="13"/>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0.11</w:t>
            </w:r>
          </w:p>
        </w:tc>
        <w:tc>
          <w:tcPr>
            <w:tcW w:w="200" w:type="dxa"/>
            <w:vAlign w:val="bottom"/>
          </w:tcPr>
          <w:p>
            <w:pPr>
              <w:spacing w:after="0"/>
              <w:rPr>
                <w:sz w:val="13"/>
                <w:szCs w:val="13"/>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0.35</w:t>
            </w:r>
          </w:p>
        </w:tc>
        <w:tc>
          <w:tcPr>
            <w:tcW w:w="180" w:type="dxa"/>
            <w:vAlign w:val="bottom"/>
          </w:tcPr>
          <w:p>
            <w:pPr>
              <w:spacing w:after="0"/>
              <w:rPr>
                <w:sz w:val="13"/>
                <w:szCs w:val="13"/>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(1.86)</w:t>
            </w:r>
          </w:p>
        </w:tc>
        <w:tc>
          <w:tcPr>
            <w:tcW w:w="160" w:type="dxa"/>
            <w:vAlign w:val="bottom"/>
          </w:tcPr>
          <w:p>
            <w:pPr>
              <w:spacing w:after="0"/>
              <w:rPr>
                <w:sz w:val="13"/>
                <w:szCs w:val="1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(0.99)</w:t>
            </w:r>
          </w:p>
        </w:tc>
        <w:tc>
          <w:tcPr>
            <w:tcW w:w="18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1.36</w:t>
            </w:r>
          </w:p>
        </w:tc>
        <w:tc>
          <w:tcPr>
            <w:tcW w:w="0" w:type="dxa"/>
            <w:vAlign w:val="bottom"/>
          </w:tcPr>
          <w:p>
            <w:pPr>
              <w:spacing w:after="0"/>
              <w:rPr>
                <w:sz w:val="1"/>
                <w:szCs w:val="1"/>
                <w:color w:val="auto"/>
              </w:rPr>
            </w:pPr>
          </w:p>
        </w:tc>
      </w:tr>
      <w:tr>
        <w:trPr>
          <w:trHeight w:val="156"/>
        </w:trPr>
        <w:tc>
          <w:tcPr>
            <w:tcW w:w="4380" w:type="dxa"/>
            <w:vAlign w:val="bottom"/>
            <w:shd w:val="clear" w:color="auto" w:fill="CFF0FC"/>
          </w:tcPr>
          <w:p>
            <w:pPr>
              <w:ind w:left="180"/>
              <w:spacing w:after="0" w:line="156" w:lineRule="exact"/>
              <w:rPr>
                <w:sz w:val="20"/>
                <w:szCs w:val="20"/>
                <w:color w:val="auto"/>
              </w:rPr>
            </w:pPr>
            <w:r>
              <w:rPr>
                <w:rFonts w:ascii="Times New Roman" w:cs="Times New Roman" w:eastAsia="Times New Roman" w:hAnsi="Times New Roman"/>
                <w:sz w:val="13"/>
                <w:szCs w:val="13"/>
                <w:color w:val="auto"/>
              </w:rPr>
              <w:t>Realized gains (losses) from extinguishment of debt</w:t>
            </w:r>
            <w:r>
              <w:rPr>
                <w:rFonts w:ascii="Times New Roman" w:cs="Times New Roman" w:eastAsia="Times New Roman" w:hAnsi="Times New Roman"/>
                <w:sz w:val="16"/>
                <w:szCs w:val="16"/>
                <w:color w:val="auto"/>
                <w:vertAlign w:val="superscript"/>
              </w:rPr>
              <w:t>(1)</w:t>
            </w:r>
          </w:p>
        </w:tc>
        <w:tc>
          <w:tcPr>
            <w:tcW w:w="20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(0.07)</w:t>
            </w:r>
          </w:p>
        </w:tc>
        <w:tc>
          <w:tcPr>
            <w:tcW w:w="2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(0.04)</w:t>
            </w:r>
          </w:p>
        </w:tc>
        <w:tc>
          <w:tcPr>
            <w:tcW w:w="1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(0.21)</w:t>
            </w: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0.04</w:t>
            </w:r>
          </w:p>
        </w:tc>
        <w:tc>
          <w:tcPr>
            <w:tcW w:w="0" w:type="dxa"/>
            <w:vAlign w:val="bottom"/>
          </w:tcPr>
          <w:p>
            <w:pPr>
              <w:spacing w:after="0"/>
              <w:rPr>
                <w:sz w:val="1"/>
                <w:szCs w:val="1"/>
                <w:color w:val="auto"/>
              </w:rPr>
            </w:pPr>
          </w:p>
        </w:tc>
      </w:tr>
      <w:tr>
        <w:trPr>
          <w:trHeight w:val="133"/>
        </w:trPr>
        <w:tc>
          <w:tcPr>
            <w:tcW w:w="4380" w:type="dxa"/>
            <w:vAlign w:val="bottom"/>
          </w:tcPr>
          <w:p>
            <w:pPr>
              <w:ind w:left="180"/>
              <w:spacing w:after="0" w:line="133" w:lineRule="exact"/>
              <w:rPr>
                <w:sz w:val="20"/>
                <w:szCs w:val="20"/>
                <w:color w:val="auto"/>
              </w:rPr>
            </w:pPr>
            <w:r>
              <w:rPr>
                <w:rFonts w:ascii="Times New Roman" w:cs="Times New Roman" w:eastAsia="Times New Roman" w:hAnsi="Times New Roman"/>
                <w:sz w:val="13"/>
                <w:szCs w:val="13"/>
                <w:color w:val="auto"/>
              </w:rPr>
              <w:t>Tax (provision) benefit on realized and unrealized gains (losses) on</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4380" w:type="dxa"/>
            <w:vAlign w:val="bottom"/>
          </w:tcPr>
          <w:p>
            <w:pPr>
              <w:ind w:left="180"/>
              <w:spacing w:after="0" w:line="179" w:lineRule="exact"/>
              <w:rPr>
                <w:sz w:val="20"/>
                <w:szCs w:val="20"/>
                <w:color w:val="auto"/>
              </w:rPr>
            </w:pPr>
            <w:r>
              <w:rPr>
                <w:rFonts w:ascii="Times New Roman" w:cs="Times New Roman" w:eastAsia="Times New Roman" w:hAnsi="Times New Roman"/>
                <w:sz w:val="13"/>
                <w:szCs w:val="13"/>
                <w:color w:val="auto"/>
              </w:rPr>
              <w:t>investments</w:t>
            </w:r>
            <w:r>
              <w:rPr>
                <w:rFonts w:ascii="Times New Roman" w:cs="Times New Roman" w:eastAsia="Times New Roman" w:hAnsi="Times New Roman"/>
                <w:sz w:val="16"/>
                <w:szCs w:val="16"/>
                <w:color w:val="auto"/>
                <w:vertAlign w:val="superscript"/>
              </w:rPr>
              <w:t>(1)</w:t>
            </w:r>
          </w:p>
        </w:tc>
        <w:tc>
          <w:tcPr>
            <w:tcW w:w="200" w:type="dxa"/>
            <w:vAlign w:val="bottom"/>
          </w:tcPr>
          <w:p>
            <w:pPr>
              <w:spacing w:after="0"/>
              <w:rPr>
                <w:sz w:val="15"/>
                <w:szCs w:val="15"/>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0.09</w:t>
            </w:r>
          </w:p>
        </w:tc>
        <w:tc>
          <w:tcPr>
            <w:tcW w:w="200" w:type="dxa"/>
            <w:vAlign w:val="bottom"/>
          </w:tcPr>
          <w:p>
            <w:pPr>
              <w:spacing w:after="0"/>
              <w:rPr>
                <w:sz w:val="15"/>
                <w:szCs w:val="15"/>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0.04</w:t>
            </w:r>
          </w:p>
        </w:tc>
        <w:tc>
          <w:tcPr>
            <w:tcW w:w="180" w:type="dxa"/>
            <w:vAlign w:val="bottom"/>
          </w:tcPr>
          <w:p>
            <w:pPr>
              <w:spacing w:after="0"/>
              <w:rPr>
                <w:sz w:val="15"/>
                <w:szCs w:val="15"/>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(0.08)</w:t>
            </w:r>
          </w:p>
        </w:tc>
        <w:tc>
          <w:tcPr>
            <w:tcW w:w="16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(0.17)</w:t>
            </w:r>
          </w:p>
        </w:tc>
        <w:tc>
          <w:tcPr>
            <w:tcW w:w="1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43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Net (decrease) increase in net assets resulting from operations</w:t>
            </w:r>
          </w:p>
        </w:tc>
        <w:tc>
          <w:tcPr>
            <w:tcW w:w="2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(0.64)</w:t>
            </w:r>
          </w:p>
        </w:tc>
        <w:tc>
          <w:tcPr>
            <w:tcW w:w="2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3"/>
                <w:szCs w:val="13"/>
                <w:color w:val="auto"/>
              </w:rPr>
              <w:t>1.20</w:t>
            </w:r>
          </w:p>
        </w:tc>
        <w:tc>
          <w:tcPr>
            <w:tcW w:w="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(2.18)</w:t>
            </w:r>
          </w:p>
        </w:tc>
        <w:tc>
          <w:tcPr>
            <w:tcW w:w="1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3.05</w:t>
            </w:r>
          </w:p>
        </w:tc>
        <w:tc>
          <w:tcPr>
            <w:tcW w:w="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6.32</w:t>
            </w:r>
          </w:p>
        </w:tc>
        <w:tc>
          <w:tcPr>
            <w:tcW w:w="0" w:type="dxa"/>
            <w:vAlign w:val="bottom"/>
          </w:tcPr>
          <w:p>
            <w:pPr>
              <w:spacing w:after="0"/>
              <w:rPr>
                <w:sz w:val="1"/>
                <w:szCs w:val="1"/>
                <w:color w:val="auto"/>
              </w:rPr>
            </w:pPr>
          </w:p>
        </w:tc>
      </w:tr>
      <w:tr>
        <w:trPr>
          <w:trHeight w:val="156"/>
        </w:trPr>
        <w:tc>
          <w:tcPr>
            <w:tcW w:w="4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decrease in net assets resulting from distributions</w:t>
            </w:r>
          </w:p>
        </w:tc>
        <w:tc>
          <w:tcPr>
            <w:tcW w:w="200" w:type="dxa"/>
            <w:vAlign w:val="bottom"/>
          </w:tcPr>
          <w:p>
            <w:pPr>
              <w:spacing w:after="0"/>
              <w:rPr>
                <w:sz w:val="13"/>
                <w:szCs w:val="13"/>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(2.76)</w:t>
            </w:r>
          </w:p>
        </w:tc>
        <w:tc>
          <w:tcPr>
            <w:tcW w:w="200" w:type="dxa"/>
            <w:vAlign w:val="bottom"/>
          </w:tcPr>
          <w:p>
            <w:pPr>
              <w:spacing w:after="0"/>
              <w:rPr>
                <w:sz w:val="13"/>
                <w:szCs w:val="13"/>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(2.75)</w:t>
            </w:r>
          </w:p>
        </w:tc>
        <w:tc>
          <w:tcPr>
            <w:tcW w:w="180" w:type="dxa"/>
            <w:vAlign w:val="bottom"/>
          </w:tcPr>
          <w:p>
            <w:pPr>
              <w:spacing w:after="0"/>
              <w:rPr>
                <w:sz w:val="13"/>
                <w:szCs w:val="13"/>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(2.56)</w:t>
            </w:r>
          </w:p>
        </w:tc>
        <w:tc>
          <w:tcPr>
            <w:tcW w:w="160" w:type="dxa"/>
            <w:vAlign w:val="bottom"/>
          </w:tcPr>
          <w:p>
            <w:pPr>
              <w:spacing w:after="0"/>
              <w:rPr>
                <w:sz w:val="13"/>
                <w:szCs w:val="1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(2.42)</w:t>
            </w:r>
          </w:p>
        </w:tc>
        <w:tc>
          <w:tcPr>
            <w:tcW w:w="18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(2.40)</w:t>
            </w:r>
          </w:p>
        </w:tc>
        <w:tc>
          <w:tcPr>
            <w:tcW w:w="0" w:type="dxa"/>
            <w:vAlign w:val="bottom"/>
          </w:tcPr>
          <w:p>
            <w:pPr>
              <w:spacing w:after="0"/>
              <w:rPr>
                <w:sz w:val="1"/>
                <w:szCs w:val="1"/>
                <w:color w:val="auto"/>
              </w:rPr>
            </w:pPr>
          </w:p>
        </w:tc>
      </w:tr>
      <w:tr>
        <w:trPr>
          <w:trHeight w:val="156"/>
        </w:trPr>
        <w:tc>
          <w:tcPr>
            <w:tcW w:w="43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Accretive effect of common stock repurchases</w:t>
            </w:r>
            <w:r>
              <w:rPr>
                <w:rFonts w:ascii="Times New Roman" w:cs="Times New Roman" w:eastAsia="Times New Roman" w:hAnsi="Times New Roman"/>
                <w:sz w:val="16"/>
                <w:szCs w:val="16"/>
                <w:color w:val="auto"/>
                <w:vertAlign w:val="superscript"/>
              </w:rPr>
              <w:t>(1)</w:t>
            </w:r>
          </w:p>
        </w:tc>
        <w:tc>
          <w:tcPr>
            <w:tcW w:w="20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3"/>
                <w:szCs w:val="13"/>
                <w:color w:val="auto"/>
              </w:rPr>
              <w:t>0.07</w:t>
            </w:r>
          </w:p>
        </w:tc>
        <w:tc>
          <w:tcPr>
            <w:tcW w:w="2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438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Net increase (decrease) in net assets relating to stock-based transactions</w:t>
            </w:r>
            <w:r>
              <w:rPr>
                <w:rFonts w:ascii="Times New Roman" w:cs="Times New Roman" w:eastAsia="Times New Roman" w:hAnsi="Times New Roman"/>
                <w:sz w:val="16"/>
                <w:szCs w:val="16"/>
                <w:color w:val="auto"/>
                <w:vertAlign w:val="superscript"/>
              </w:rPr>
              <w:t>(6)</w:t>
            </w:r>
          </w:p>
        </w:tc>
        <w:tc>
          <w:tcPr>
            <w:tcW w:w="200" w:type="dxa"/>
            <w:vAlign w:val="bottom"/>
          </w:tcPr>
          <w:p>
            <w:pPr>
              <w:spacing w:after="0"/>
              <w:rPr>
                <w:sz w:val="13"/>
                <w:szCs w:val="13"/>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(0.02)</w:t>
            </w:r>
          </w:p>
        </w:tc>
        <w:tc>
          <w:tcPr>
            <w:tcW w:w="200" w:type="dxa"/>
            <w:vAlign w:val="bottom"/>
          </w:tcPr>
          <w:p>
            <w:pPr>
              <w:spacing w:after="0"/>
              <w:rPr>
                <w:sz w:val="13"/>
                <w:szCs w:val="13"/>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0.08</w:t>
            </w:r>
          </w:p>
        </w:tc>
        <w:tc>
          <w:tcPr>
            <w:tcW w:w="180" w:type="dxa"/>
            <w:vAlign w:val="bottom"/>
          </w:tcPr>
          <w:p>
            <w:pPr>
              <w:spacing w:after="0"/>
              <w:rPr>
                <w:sz w:val="13"/>
                <w:szCs w:val="13"/>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0.09</w:t>
            </w:r>
          </w:p>
        </w:tc>
        <w:tc>
          <w:tcPr>
            <w:tcW w:w="160" w:type="dxa"/>
            <w:vAlign w:val="bottom"/>
          </w:tcPr>
          <w:p>
            <w:pPr>
              <w:spacing w:after="0"/>
              <w:rPr>
                <w:sz w:val="13"/>
                <w:szCs w:val="1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(0.52)</w:t>
            </w:r>
          </w:p>
        </w:tc>
        <w:tc>
          <w:tcPr>
            <w:tcW w:w="18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(9.10)</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asset value, end of period</w:t>
            </w:r>
          </w:p>
        </w:tc>
        <w:tc>
          <w:tcPr>
            <w:tcW w:w="20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19.41</w:t>
            </w:r>
          </w:p>
        </w:tc>
        <w:tc>
          <w:tcPr>
            <w:tcW w:w="3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22.76</w:t>
            </w:r>
          </w:p>
        </w:tc>
        <w:tc>
          <w:tcPr>
            <w:tcW w:w="3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24.23</w:t>
            </w:r>
          </w:p>
        </w:tc>
        <w:tc>
          <w:tcPr>
            <w:tcW w:w="3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28.88</w:t>
            </w:r>
          </w:p>
        </w:tc>
        <w:tc>
          <w:tcPr>
            <w:tcW w:w="2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28.77</w:t>
            </w:r>
          </w:p>
        </w:tc>
        <w:tc>
          <w:tcPr>
            <w:tcW w:w="1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4380" w:type="dxa"/>
            <w:vAlign w:val="bottom"/>
          </w:tcPr>
          <w:p>
            <w:pPr>
              <w:ind w:left="20"/>
              <w:spacing w:after="0" w:line="132" w:lineRule="exact"/>
              <w:rPr>
                <w:sz w:val="20"/>
                <w:szCs w:val="20"/>
                <w:color w:val="auto"/>
              </w:rPr>
            </w:pPr>
            <w:r>
              <w:rPr>
                <w:rFonts w:ascii="Times New Roman" w:cs="Times New Roman" w:eastAsia="Times New Roman" w:hAnsi="Times New Roman"/>
                <w:sz w:val="12"/>
                <w:szCs w:val="12"/>
                <w:color w:val="auto"/>
              </w:rPr>
              <w:t>Total net asset value return</w:t>
            </w:r>
            <w:r>
              <w:rPr>
                <w:rFonts w:ascii="Times New Roman" w:cs="Times New Roman" w:eastAsia="Times New Roman" w:hAnsi="Times New Roman"/>
                <w:sz w:val="15"/>
                <w:szCs w:val="15"/>
                <w:color w:val="auto"/>
                <w:vertAlign w:val="superscript"/>
              </w:rPr>
              <w:t>(2)(8)</w:t>
            </w:r>
          </w:p>
        </w:tc>
        <w:tc>
          <w:tcPr>
            <w:tcW w:w="200" w:type="dxa"/>
            <w:vAlign w:val="bottom"/>
          </w:tcPr>
          <w:p>
            <w:pPr>
              <w:spacing w:after="0"/>
              <w:rPr>
                <w:sz w:val="11"/>
                <w:szCs w:val="11"/>
                <w:color w:val="auto"/>
              </w:rPr>
            </w:pPr>
          </w:p>
        </w:tc>
        <w:tc>
          <w:tcPr>
            <w:tcW w:w="118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(1.41)%</w:t>
            </w:r>
          </w:p>
        </w:tc>
        <w:tc>
          <w:tcPr>
            <w:tcW w:w="200" w:type="dxa"/>
            <w:vAlign w:val="bottom"/>
          </w:tcPr>
          <w:p>
            <w:pPr>
              <w:spacing w:after="0"/>
              <w:rPr>
                <w:sz w:val="11"/>
                <w:szCs w:val="11"/>
                <w:color w:val="auto"/>
              </w:rPr>
            </w:pPr>
          </w:p>
        </w:tc>
        <w:tc>
          <w:tcPr>
            <w:tcW w:w="114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8.27%</w:t>
            </w:r>
          </w:p>
        </w:tc>
        <w:tc>
          <w:tcPr>
            <w:tcW w:w="180" w:type="dxa"/>
            <w:vAlign w:val="bottom"/>
          </w:tcPr>
          <w:p>
            <w:pPr>
              <w:spacing w:after="0"/>
              <w:rPr>
                <w:sz w:val="11"/>
                <w:szCs w:val="11"/>
                <w:color w:val="auto"/>
              </w:rPr>
            </w:pPr>
          </w:p>
        </w:tc>
        <w:tc>
          <w:tcPr>
            <w:tcW w:w="10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(6.23)%</w:t>
            </w:r>
          </w:p>
        </w:tc>
        <w:tc>
          <w:tcPr>
            <w:tcW w:w="160" w:type="dxa"/>
            <w:vAlign w:val="bottom"/>
          </w:tcPr>
          <w:p>
            <w:pPr>
              <w:spacing w:after="0"/>
              <w:rPr>
                <w:sz w:val="11"/>
                <w:szCs w:val="11"/>
                <w:color w:val="auto"/>
              </w:rPr>
            </w:pPr>
          </w:p>
        </w:tc>
        <w:tc>
          <w:tcPr>
            <w:tcW w:w="102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11.23%</w:t>
            </w:r>
          </w:p>
        </w:tc>
        <w:tc>
          <w:tcPr>
            <w:tcW w:w="180" w:type="dxa"/>
            <w:vAlign w:val="bottom"/>
          </w:tcPr>
          <w:p>
            <w:pPr>
              <w:spacing w:after="0"/>
              <w:rPr>
                <w:sz w:val="11"/>
                <w:szCs w:val="11"/>
                <w:color w:val="auto"/>
              </w:rPr>
            </w:pPr>
          </w:p>
        </w:tc>
        <w:tc>
          <w:tcPr>
            <w:tcW w:w="8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(8.30)%</w:t>
            </w:r>
          </w:p>
        </w:tc>
        <w:tc>
          <w:tcPr>
            <w:tcW w:w="0" w:type="dxa"/>
            <w:vAlign w:val="bottom"/>
          </w:tcPr>
          <w:p>
            <w:pPr>
              <w:spacing w:after="0"/>
              <w:rPr>
                <w:sz w:val="1"/>
                <w:szCs w:val="1"/>
                <w:color w:val="auto"/>
              </w:rPr>
            </w:pPr>
          </w:p>
        </w:tc>
      </w:tr>
      <w:tr>
        <w:trPr>
          <w:trHeight w:val="156"/>
        </w:trPr>
        <w:tc>
          <w:tcPr>
            <w:tcW w:w="43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Total market return</w:t>
            </w:r>
            <w:r>
              <w:rPr>
                <w:rFonts w:ascii="Times New Roman" w:cs="Times New Roman" w:eastAsia="Times New Roman" w:hAnsi="Times New Roman"/>
                <w:sz w:val="16"/>
                <w:szCs w:val="16"/>
                <w:color w:val="auto"/>
                <w:vertAlign w:val="superscript"/>
              </w:rPr>
              <w:t>(3)</w:t>
            </w:r>
          </w:p>
        </w:tc>
        <w:tc>
          <w:tcPr>
            <w:tcW w:w="20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3.87%</w:t>
            </w:r>
          </w:p>
        </w:tc>
        <w:tc>
          <w:tcPr>
            <w:tcW w:w="2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(8.82)%</w:t>
            </w:r>
          </w:p>
        </w:tc>
        <w:tc>
          <w:tcPr>
            <w:tcW w:w="1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3.84%</w:t>
            </w:r>
          </w:p>
        </w:tc>
        <w:tc>
          <w:tcPr>
            <w:tcW w:w="1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43.64%</w:t>
            </w: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1.42%</w:t>
            </w:r>
          </w:p>
        </w:tc>
        <w:tc>
          <w:tcPr>
            <w:tcW w:w="0" w:type="dxa"/>
            <w:vAlign w:val="bottom"/>
          </w:tcPr>
          <w:p>
            <w:pPr>
              <w:spacing w:after="0"/>
              <w:rPr>
                <w:sz w:val="1"/>
                <w:szCs w:val="1"/>
                <w:color w:val="auto"/>
              </w:rPr>
            </w:pPr>
          </w:p>
        </w:tc>
      </w:tr>
      <w:tr>
        <w:trPr>
          <w:trHeight w:val="156"/>
        </w:trPr>
        <w:tc>
          <w:tcPr>
            <w:tcW w:w="43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Ratio/Supplemental Data:</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Per share market value at beginning of period</w:t>
            </w:r>
          </w:p>
        </w:tc>
        <w:tc>
          <w:tcPr>
            <w:tcW w:w="200" w:type="dxa"/>
            <w:vAlign w:val="bottom"/>
            <w:vMerge w:val="restart"/>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18.19</w:t>
            </w:r>
          </w:p>
        </w:tc>
        <w:tc>
          <w:tcPr>
            <w:tcW w:w="340" w:type="dxa"/>
            <w:vAlign w:val="bottom"/>
            <w:shd w:val="clear" w:color="auto" w:fill="CFF0FC"/>
          </w:tcPr>
          <w:p>
            <w:pPr>
              <w:spacing w:after="0"/>
              <w:rPr>
                <w:sz w:val="14"/>
                <w:szCs w:val="14"/>
                <w:color w:val="auto"/>
              </w:rPr>
            </w:pPr>
          </w:p>
        </w:tc>
        <w:tc>
          <w:tcPr>
            <w:tcW w:w="200" w:type="dxa"/>
            <w:vAlign w:val="bottom"/>
            <w:vMerge w:val="restart"/>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23.00</w:t>
            </w:r>
          </w:p>
        </w:tc>
        <w:tc>
          <w:tcPr>
            <w:tcW w:w="340" w:type="dxa"/>
            <w:vAlign w:val="bottom"/>
            <w:shd w:val="clear" w:color="auto" w:fill="CFF0FC"/>
          </w:tcPr>
          <w:p>
            <w:pPr>
              <w:spacing w:after="0"/>
              <w:rPr>
                <w:sz w:val="14"/>
                <w:szCs w:val="14"/>
                <w:color w:val="auto"/>
              </w:rPr>
            </w:pPr>
          </w:p>
        </w:tc>
        <w:tc>
          <w:tcPr>
            <w:tcW w:w="180" w:type="dxa"/>
            <w:vAlign w:val="bottom"/>
            <w:vMerge w:val="restart"/>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24.76</w:t>
            </w:r>
          </w:p>
        </w:tc>
        <w:tc>
          <w:tcPr>
            <w:tcW w:w="340" w:type="dxa"/>
            <w:vAlign w:val="bottom"/>
            <w:shd w:val="clear" w:color="auto" w:fill="CFF0FC"/>
          </w:tcPr>
          <w:p>
            <w:pPr>
              <w:spacing w:after="0"/>
              <w:rPr>
                <w:sz w:val="14"/>
                <w:szCs w:val="14"/>
                <w:color w:val="auto"/>
              </w:rPr>
            </w:pPr>
          </w:p>
        </w:tc>
        <w:tc>
          <w:tcPr>
            <w:tcW w:w="160" w:type="dxa"/>
            <w:vAlign w:val="bottom"/>
            <w:vMerge w:val="restart"/>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19.10</w:t>
            </w:r>
          </w:p>
        </w:tc>
        <w:tc>
          <w:tcPr>
            <w:tcW w:w="280" w:type="dxa"/>
            <w:vAlign w:val="bottom"/>
            <w:shd w:val="clear" w:color="auto" w:fill="CFF0FC"/>
          </w:tcPr>
          <w:p>
            <w:pPr>
              <w:spacing w:after="0"/>
              <w:rPr>
                <w:sz w:val="14"/>
                <w:szCs w:val="14"/>
                <w:color w:val="auto"/>
              </w:rPr>
            </w:pPr>
          </w:p>
        </w:tc>
        <w:tc>
          <w:tcPr>
            <w:tcW w:w="180" w:type="dxa"/>
            <w:vAlign w:val="bottom"/>
            <w:vMerge w:val="restart"/>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21.20</w:t>
            </w:r>
          </w:p>
        </w:tc>
        <w:tc>
          <w:tcPr>
            <w:tcW w:w="1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380" w:type="dxa"/>
            <w:vAlign w:val="bottom"/>
            <w:shd w:val="clear" w:color="auto" w:fill="CFF0FC"/>
          </w:tcPr>
          <w:p>
            <w:pPr>
              <w:spacing w:after="0"/>
              <w:rPr>
                <w:sz w:val="10"/>
                <w:szCs w:val="10"/>
                <w:color w:val="auto"/>
              </w:rPr>
            </w:pPr>
          </w:p>
        </w:tc>
        <w:tc>
          <w:tcPr>
            <w:tcW w:w="200" w:type="dxa"/>
            <w:vAlign w:val="bottom"/>
            <w:vMerge w:val="continue"/>
            <w:shd w:val="clear" w:color="auto" w:fill="CFF0FC"/>
          </w:tcPr>
          <w:p>
            <w:pPr>
              <w:spacing w:after="0"/>
              <w:rPr>
                <w:sz w:val="10"/>
                <w:szCs w:val="10"/>
                <w:color w:val="auto"/>
              </w:rPr>
            </w:pPr>
          </w:p>
        </w:tc>
        <w:tc>
          <w:tcPr>
            <w:tcW w:w="840" w:type="dxa"/>
            <w:vAlign w:val="bottom"/>
            <w:vMerge w:val="continue"/>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00" w:type="dxa"/>
            <w:vAlign w:val="bottom"/>
            <w:vMerge w:val="continue"/>
            <w:shd w:val="clear" w:color="auto" w:fill="CFF0FC"/>
          </w:tcPr>
          <w:p>
            <w:pPr>
              <w:spacing w:after="0"/>
              <w:rPr>
                <w:sz w:val="10"/>
                <w:szCs w:val="10"/>
                <w:color w:val="auto"/>
              </w:rPr>
            </w:pPr>
          </w:p>
        </w:tc>
        <w:tc>
          <w:tcPr>
            <w:tcW w:w="800" w:type="dxa"/>
            <w:vAlign w:val="bottom"/>
            <w:vMerge w:val="continue"/>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80" w:type="dxa"/>
            <w:vAlign w:val="bottom"/>
            <w:vMerge w:val="continue"/>
            <w:shd w:val="clear" w:color="auto" w:fill="CFF0FC"/>
          </w:tcPr>
          <w:p>
            <w:pPr>
              <w:spacing w:after="0"/>
              <w:rPr>
                <w:sz w:val="10"/>
                <w:szCs w:val="10"/>
                <w:color w:val="auto"/>
              </w:rPr>
            </w:pPr>
          </w:p>
        </w:tc>
        <w:tc>
          <w:tcPr>
            <w:tcW w:w="700" w:type="dxa"/>
            <w:vAlign w:val="bottom"/>
            <w:vMerge w:val="continue"/>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60" w:type="dxa"/>
            <w:vAlign w:val="bottom"/>
            <w:vMerge w:val="continue"/>
            <w:shd w:val="clear" w:color="auto" w:fill="CFF0FC"/>
          </w:tcPr>
          <w:p>
            <w:pPr>
              <w:spacing w:after="0"/>
              <w:rPr>
                <w:sz w:val="10"/>
                <w:szCs w:val="10"/>
                <w:color w:val="auto"/>
              </w:rPr>
            </w:pPr>
          </w:p>
        </w:tc>
        <w:tc>
          <w:tcPr>
            <w:tcW w:w="740" w:type="dxa"/>
            <w:vAlign w:val="bottom"/>
            <w:vMerge w:val="continue"/>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80" w:type="dxa"/>
            <w:vAlign w:val="bottom"/>
            <w:vMerge w:val="continue"/>
            <w:shd w:val="clear" w:color="auto" w:fill="CFF0FC"/>
          </w:tcPr>
          <w:p>
            <w:pPr>
              <w:spacing w:after="0"/>
              <w:rPr>
                <w:sz w:val="10"/>
                <w:szCs w:val="10"/>
                <w:color w:val="auto"/>
              </w:rPr>
            </w:pPr>
          </w:p>
        </w:tc>
        <w:tc>
          <w:tcPr>
            <w:tcW w:w="720" w:type="dxa"/>
            <w:vAlign w:val="bottom"/>
            <w:vMerge w:val="continue"/>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4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Per share market value at end of period</w:t>
            </w: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16.34</w:t>
            </w:r>
          </w:p>
        </w:tc>
        <w:tc>
          <w:tcPr>
            <w:tcW w:w="340" w:type="dxa"/>
            <w:vAlign w:val="bottom"/>
          </w:tcPr>
          <w:p>
            <w:pPr>
              <w:spacing w:after="0"/>
              <w:rPr>
                <w:sz w:val="13"/>
                <w:szCs w:val="13"/>
                <w:color w:val="auto"/>
              </w:rPr>
            </w:pP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18.19</w:t>
            </w:r>
          </w:p>
        </w:tc>
        <w:tc>
          <w:tcPr>
            <w:tcW w:w="340" w:type="dxa"/>
            <w:vAlign w:val="bottom"/>
          </w:tcPr>
          <w:p>
            <w:pPr>
              <w:spacing w:after="0"/>
              <w:rPr>
                <w:sz w:val="13"/>
                <w:szCs w:val="13"/>
                <w:color w:val="auto"/>
              </w:rPr>
            </w:pP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23.00</w:t>
            </w:r>
          </w:p>
        </w:tc>
        <w:tc>
          <w:tcPr>
            <w:tcW w:w="340" w:type="dxa"/>
            <w:vAlign w:val="bottom"/>
          </w:tcPr>
          <w:p>
            <w:pPr>
              <w:spacing w:after="0"/>
              <w:rPr>
                <w:sz w:val="13"/>
                <w:szCs w:val="13"/>
                <w:color w:val="auto"/>
              </w:rPr>
            </w:pP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24.76</w:t>
            </w:r>
          </w:p>
        </w:tc>
        <w:tc>
          <w:tcPr>
            <w:tcW w:w="280" w:type="dxa"/>
            <w:vAlign w:val="bottom"/>
          </w:tcPr>
          <w:p>
            <w:pPr>
              <w:spacing w:after="0"/>
              <w:rPr>
                <w:sz w:val="13"/>
                <w:szCs w:val="13"/>
                <w:color w:val="auto"/>
              </w:rPr>
            </w:pP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Shares outstanding at end of period</w:t>
            </w: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9,198,175</w:t>
            </w:r>
          </w:p>
        </w:tc>
        <w:tc>
          <w:tcPr>
            <w:tcW w:w="3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9,383,132</w:t>
            </w:r>
          </w:p>
        </w:tc>
        <w:tc>
          <w:tcPr>
            <w:tcW w:w="3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9,581,536</w:t>
            </w:r>
          </w:p>
        </w:tc>
        <w:tc>
          <w:tcPr>
            <w:tcW w:w="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9,699,695</w:t>
            </w: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7,516,423</w:t>
            </w:r>
          </w:p>
        </w:tc>
        <w:tc>
          <w:tcPr>
            <w:tcW w:w="1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assets at end of period</w:t>
            </w: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178,493</w:t>
            </w:r>
          </w:p>
        </w:tc>
        <w:tc>
          <w:tcPr>
            <w:tcW w:w="340" w:type="dxa"/>
            <w:vAlign w:val="bottom"/>
          </w:tcPr>
          <w:p>
            <w:pPr>
              <w:spacing w:after="0"/>
              <w:rPr>
                <w:sz w:val="13"/>
                <w:szCs w:val="13"/>
                <w:color w:val="auto"/>
              </w:rPr>
            </w:pP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213,518</w:t>
            </w:r>
          </w:p>
        </w:tc>
        <w:tc>
          <w:tcPr>
            <w:tcW w:w="340" w:type="dxa"/>
            <w:vAlign w:val="bottom"/>
          </w:tcPr>
          <w:p>
            <w:pPr>
              <w:spacing w:after="0"/>
              <w:rPr>
                <w:sz w:val="13"/>
                <w:szCs w:val="13"/>
                <w:color w:val="auto"/>
              </w:rPr>
            </w:pP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232,123</w:t>
            </w:r>
          </w:p>
        </w:tc>
        <w:tc>
          <w:tcPr>
            <w:tcW w:w="340" w:type="dxa"/>
            <w:vAlign w:val="bottom"/>
          </w:tcPr>
          <w:p>
            <w:pPr>
              <w:spacing w:after="0"/>
              <w:rPr>
                <w:sz w:val="13"/>
                <w:szCs w:val="13"/>
                <w:color w:val="auto"/>
              </w:rPr>
            </w:pP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280,122</w:t>
            </w:r>
          </w:p>
        </w:tc>
        <w:tc>
          <w:tcPr>
            <w:tcW w:w="280" w:type="dxa"/>
            <w:vAlign w:val="bottom"/>
          </w:tcPr>
          <w:p>
            <w:pPr>
              <w:spacing w:after="0"/>
              <w:rPr>
                <w:sz w:val="13"/>
                <w:szCs w:val="13"/>
                <w:color w:val="auto"/>
              </w:rPr>
            </w:pP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216,264</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3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Portfolio turnover rate</w:t>
            </w:r>
            <w:r>
              <w:rPr>
                <w:rFonts w:ascii="Times New Roman" w:cs="Times New Roman" w:eastAsia="Times New Roman" w:hAnsi="Times New Roman"/>
                <w:sz w:val="16"/>
                <w:szCs w:val="16"/>
                <w:color w:val="auto"/>
                <w:vertAlign w:val="superscript"/>
              </w:rPr>
              <w:t>(5)</w:t>
            </w:r>
          </w:p>
        </w:tc>
        <w:tc>
          <w:tcPr>
            <w:tcW w:w="20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17.76%</w:t>
            </w:r>
          </w:p>
        </w:tc>
        <w:tc>
          <w:tcPr>
            <w:tcW w:w="2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9.29%</w:t>
            </w:r>
          </w:p>
        </w:tc>
        <w:tc>
          <w:tcPr>
            <w:tcW w:w="1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28.26%</w:t>
            </w:r>
          </w:p>
        </w:tc>
        <w:tc>
          <w:tcPr>
            <w:tcW w:w="1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63.49%</w:t>
            </w: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55.70%</w:t>
            </w:r>
          </w:p>
        </w:tc>
        <w:tc>
          <w:tcPr>
            <w:tcW w:w="0" w:type="dxa"/>
            <w:vAlign w:val="bottom"/>
          </w:tcPr>
          <w:p>
            <w:pPr>
              <w:spacing w:after="0"/>
              <w:rPr>
                <w:sz w:val="1"/>
                <w:szCs w:val="1"/>
                <w:color w:val="auto"/>
              </w:rPr>
            </w:pPr>
          </w:p>
        </w:tc>
      </w:tr>
      <w:tr>
        <w:trPr>
          <w:trHeight w:val="156"/>
        </w:trPr>
        <w:tc>
          <w:tcPr>
            <w:tcW w:w="4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Asset coverage ratio</w:t>
            </w:r>
          </w:p>
        </w:tc>
        <w:tc>
          <w:tcPr>
            <w:tcW w:w="20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166.73%</w:t>
            </w:r>
          </w:p>
        </w:tc>
        <w:tc>
          <w:tcPr>
            <w:tcW w:w="20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164.55%</w:t>
            </w:r>
          </w:p>
        </w:tc>
        <w:tc>
          <w:tcPr>
            <w:tcW w:w="1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160.10%</w:t>
            </w:r>
          </w:p>
        </w:tc>
        <w:tc>
          <w:tcPr>
            <w:tcW w:w="16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178.00%</w:t>
            </w:r>
          </w:p>
        </w:tc>
        <w:tc>
          <w:tcPr>
            <w:tcW w:w="18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156.00%</w:t>
            </w:r>
          </w:p>
        </w:tc>
        <w:tc>
          <w:tcPr>
            <w:tcW w:w="0" w:type="dxa"/>
            <w:vAlign w:val="bottom"/>
          </w:tcPr>
          <w:p>
            <w:pPr>
              <w:spacing w:after="0"/>
              <w:rPr>
                <w:sz w:val="1"/>
                <w:szCs w:val="1"/>
                <w:color w:val="auto"/>
              </w:rPr>
            </w:pPr>
          </w:p>
        </w:tc>
      </w:tr>
      <w:tr>
        <w:trPr>
          <w:trHeight w:val="156"/>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Ratio of net investment income to average net assets</w:t>
            </w:r>
          </w:p>
        </w:tc>
        <w:tc>
          <w:tcPr>
            <w:tcW w:w="20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12.18%</w:t>
            </w:r>
          </w:p>
        </w:tc>
        <w:tc>
          <w:tcPr>
            <w:tcW w:w="2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15.80%</w:t>
            </w:r>
          </w:p>
        </w:tc>
        <w:tc>
          <w:tcPr>
            <w:tcW w:w="1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11.08%</w:t>
            </w:r>
          </w:p>
        </w:tc>
        <w:tc>
          <w:tcPr>
            <w:tcW w:w="1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16.72%</w:t>
            </w: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9.20%</w:t>
            </w:r>
          </w:p>
        </w:tc>
        <w:tc>
          <w:tcPr>
            <w:tcW w:w="0" w:type="dxa"/>
            <w:vAlign w:val="bottom"/>
          </w:tcPr>
          <w:p>
            <w:pPr>
              <w:spacing w:after="0"/>
              <w:rPr>
                <w:sz w:val="1"/>
                <w:szCs w:val="1"/>
                <w:color w:val="auto"/>
              </w:rPr>
            </w:pPr>
          </w:p>
        </w:tc>
      </w:tr>
      <w:tr>
        <w:trPr>
          <w:trHeight w:val="156"/>
        </w:trPr>
        <w:tc>
          <w:tcPr>
            <w:tcW w:w="438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Ratio of total expenses to average net assets</w:t>
            </w:r>
            <w:r>
              <w:rPr>
                <w:rFonts w:ascii="Times New Roman" w:cs="Times New Roman" w:eastAsia="Times New Roman" w:hAnsi="Times New Roman"/>
                <w:sz w:val="16"/>
                <w:szCs w:val="16"/>
                <w:color w:val="auto"/>
                <w:vertAlign w:val="superscript"/>
              </w:rPr>
              <w:t>(7)(8)</w:t>
            </w:r>
          </w:p>
        </w:tc>
        <w:tc>
          <w:tcPr>
            <w:tcW w:w="20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19.45%</w:t>
            </w:r>
          </w:p>
        </w:tc>
        <w:tc>
          <w:tcPr>
            <w:tcW w:w="20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18.87%</w:t>
            </w:r>
          </w:p>
        </w:tc>
        <w:tc>
          <w:tcPr>
            <w:tcW w:w="1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15.62%</w:t>
            </w:r>
          </w:p>
        </w:tc>
        <w:tc>
          <w:tcPr>
            <w:tcW w:w="16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15.16%</w:t>
            </w:r>
          </w:p>
        </w:tc>
        <w:tc>
          <w:tcPr>
            <w:tcW w:w="18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14.00%</w:t>
            </w:r>
          </w:p>
        </w:tc>
        <w:tc>
          <w:tcPr>
            <w:tcW w:w="0" w:type="dxa"/>
            <w:vAlign w:val="bottom"/>
          </w:tcPr>
          <w:p>
            <w:pPr>
              <w:spacing w:after="0"/>
              <w:rPr>
                <w:sz w:val="1"/>
                <w:szCs w:val="1"/>
                <w:color w:val="auto"/>
              </w:rPr>
            </w:pPr>
          </w:p>
        </w:tc>
      </w:tr>
      <w:tr>
        <w:trPr>
          <w:trHeight w:val="156"/>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Ratio of interest expense to average net assets</w:t>
            </w:r>
          </w:p>
        </w:tc>
        <w:tc>
          <w:tcPr>
            <w:tcW w:w="20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10.53%</w:t>
            </w:r>
          </w:p>
        </w:tc>
        <w:tc>
          <w:tcPr>
            <w:tcW w:w="2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11.50%</w:t>
            </w:r>
          </w:p>
        </w:tc>
        <w:tc>
          <w:tcPr>
            <w:tcW w:w="1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6.79%</w:t>
            </w:r>
          </w:p>
        </w:tc>
        <w:tc>
          <w:tcPr>
            <w:tcW w:w="1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5.43%</w:t>
            </w: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5.60%</w:t>
            </w:r>
          </w:p>
        </w:tc>
        <w:tc>
          <w:tcPr>
            <w:tcW w:w="0" w:type="dxa"/>
            <w:vAlign w:val="bottom"/>
          </w:tcPr>
          <w:p>
            <w:pPr>
              <w:spacing w:after="0"/>
              <w:rPr>
                <w:sz w:val="1"/>
                <w:szCs w:val="1"/>
                <w:color w:val="auto"/>
              </w:rPr>
            </w:pPr>
          </w:p>
        </w:tc>
      </w:tr>
      <w:tr>
        <w:trPr>
          <w:trHeight w:val="219"/>
        </w:trPr>
        <w:tc>
          <w:tcPr>
            <w:tcW w:w="4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Ratio of non-interest expenses to average net assets</w:t>
            </w:r>
            <w:r>
              <w:rPr>
                <w:rFonts w:ascii="Times New Roman" w:cs="Times New Roman" w:eastAsia="Times New Roman" w:hAnsi="Times New Roman"/>
                <w:sz w:val="16"/>
                <w:szCs w:val="16"/>
                <w:color w:val="auto"/>
                <w:vertAlign w:val="superscript"/>
              </w:rPr>
              <w:t>(7)(8)</w:t>
            </w: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8.92%</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7.38%</w:t>
            </w:r>
          </w:p>
        </w:tc>
        <w:tc>
          <w:tcPr>
            <w:tcW w:w="1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8.83%</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9.73%</w:t>
            </w:r>
          </w:p>
        </w:tc>
        <w:tc>
          <w:tcPr>
            <w:tcW w:w="1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8.40%</w:t>
            </w:r>
          </w:p>
        </w:tc>
        <w:tc>
          <w:tcPr>
            <w:tcW w:w="0" w:type="dxa"/>
            <w:vAlign w:val="bottom"/>
          </w:tcPr>
          <w:p>
            <w:pPr>
              <w:spacing w:after="0"/>
              <w:rPr>
                <w:sz w:val="1"/>
                <w:szCs w:val="1"/>
                <w:color w:val="auto"/>
              </w:rPr>
            </w:pPr>
          </w:p>
        </w:tc>
      </w:tr>
      <w:tr>
        <w:trPr>
          <w:trHeight w:val="353"/>
        </w:trPr>
        <w:tc>
          <w:tcPr>
            <w:tcW w:w="4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1"/>
                <w:szCs w:val="11"/>
                <w:color w:val="auto"/>
              </w:rPr>
              <w:t>49</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6"/>
        </w:trPr>
        <w:tc>
          <w:tcPr>
            <w:tcW w:w="438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84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80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70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74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72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98" w:right="660" w:bottom="1440" w:gutter="0" w:footer="0" w:header="0"/>
        </w:sectPr>
      </w:pPr>
    </w:p>
    <w:bookmarkStart w:id="53" w:name="page54"/>
    <w:bookmarkEnd w:id="53"/>
    <w:tbl>
      <w:tblPr>
        <w:tblLayout w:type="fixed"/>
        <w:tblInd w:w="80" w:type="dxa"/>
        <w:tblCellMar>
          <w:top w:w="0" w:type="dxa"/>
          <w:left w:w="0" w:type="dxa"/>
          <w:bottom w:w="0" w:type="dxa"/>
          <w:right w:w="0" w:type="dxa"/>
        </w:tblCellMar>
      </w:tblPr>
      <w:tr>
        <w:trPr>
          <w:trHeight w:val="174"/>
        </w:trPr>
        <w:tc>
          <w:tcPr>
            <w:tcW w:w="4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40" w:type="dxa"/>
            <w:vAlign w:val="bottom"/>
            <w:gridSpan w:val="6"/>
          </w:tcPr>
          <w:p>
            <w:pPr>
              <w:jc w:val="right"/>
              <w:ind w:right="85"/>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12"/>
        </w:trPr>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2019</w:t>
            </w:r>
            <w:r>
              <w:rPr>
                <w:rFonts w:ascii="Times New Roman" w:cs="Times New Roman" w:eastAsia="Times New Roman" w:hAnsi="Times New Roman"/>
                <w:sz w:val="16"/>
                <w:szCs w:val="16"/>
                <w:b w:val="1"/>
                <w:bCs w:val="1"/>
                <w:color w:val="auto"/>
                <w:vertAlign w:val="superscript"/>
              </w:rPr>
              <w:t>(4)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2018</w:t>
            </w:r>
            <w:r>
              <w:rPr>
                <w:rFonts w:ascii="Times New Roman" w:cs="Times New Roman" w:eastAsia="Times New Roman" w:hAnsi="Times New Roman"/>
                <w:sz w:val="16"/>
                <w:szCs w:val="16"/>
                <w:b w:val="1"/>
                <w:bCs w:val="1"/>
                <w:color w:val="auto"/>
                <w:vertAlign w:val="superscript"/>
              </w:rPr>
              <w:t>(4)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2017</w:t>
            </w:r>
            <w:r>
              <w:rPr>
                <w:rFonts w:ascii="Times New Roman" w:cs="Times New Roman" w:eastAsia="Times New Roman" w:hAnsi="Times New Roman"/>
                <w:sz w:val="16"/>
                <w:szCs w:val="16"/>
                <w:b w:val="1"/>
                <w:bCs w:val="1"/>
                <w:color w:val="auto"/>
                <w:vertAlign w:val="superscript"/>
              </w:rPr>
              <w:t>(4)</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2016</w:t>
            </w:r>
            <w:r>
              <w:rPr>
                <w:rFonts w:ascii="Times New Roman" w:cs="Times New Roman" w:eastAsia="Times New Roman" w:hAnsi="Times New Roman"/>
                <w:sz w:val="16"/>
                <w:szCs w:val="16"/>
                <w:b w:val="1"/>
                <w:bCs w:val="1"/>
                <w:color w:val="auto"/>
                <w:vertAlign w:val="superscript"/>
              </w:rPr>
              <w:t>(4)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2015</w:t>
            </w:r>
            <w:r>
              <w:rPr>
                <w:rFonts w:ascii="Times New Roman" w:cs="Times New Roman" w:eastAsia="Times New Roman" w:hAnsi="Times New Roman"/>
                <w:sz w:val="16"/>
                <w:szCs w:val="16"/>
                <w:b w:val="1"/>
                <w:bCs w:val="1"/>
                <w:color w:val="auto"/>
                <w:vertAlign w:val="superscript"/>
              </w:rPr>
              <w:t>(4)</w:t>
            </w:r>
          </w:p>
        </w:tc>
        <w:tc>
          <w:tcPr>
            <w:tcW w:w="180" w:type="dxa"/>
            <w:vAlign w:val="bottom"/>
          </w:tcPr>
          <w:p>
            <w:pPr>
              <w:spacing w:after="0"/>
              <w:rPr>
                <w:sz w:val="18"/>
                <w:szCs w:val="18"/>
                <w:color w:val="auto"/>
              </w:rPr>
            </w:pPr>
          </w:p>
        </w:tc>
      </w:tr>
      <w:tr>
        <w:trPr>
          <w:trHeight w:val="156"/>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Per Share Data:</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r>
      <w:tr>
        <w:trPr>
          <w:trHeight w:val="156"/>
        </w:trPr>
        <w:tc>
          <w:tcPr>
            <w:tcW w:w="43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asset value, at beginning of period</w:t>
            </w: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42.33</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48.69</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52.43</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58.25</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69.43</w:t>
            </w:r>
          </w:p>
        </w:tc>
        <w:tc>
          <w:tcPr>
            <w:tcW w:w="180" w:type="dxa"/>
            <w:vAlign w:val="bottom"/>
          </w:tcPr>
          <w:p>
            <w:pPr>
              <w:spacing w:after="0"/>
              <w:rPr>
                <w:sz w:val="13"/>
                <w:szCs w:val="13"/>
                <w:color w:val="auto"/>
              </w:rPr>
            </w:pPr>
          </w:p>
        </w:tc>
      </w:tr>
      <w:tr>
        <w:trPr>
          <w:trHeight w:val="156"/>
        </w:trPr>
        <w:tc>
          <w:tcPr>
            <w:tcW w:w="4360" w:type="dxa"/>
            <w:vAlign w:val="bottom"/>
            <w:shd w:val="clear" w:color="auto" w:fill="CFF0FC"/>
          </w:tcPr>
          <w:p>
            <w:pPr>
              <w:ind w:left="180"/>
              <w:spacing w:after="0" w:line="156" w:lineRule="exact"/>
              <w:rPr>
                <w:sz w:val="20"/>
                <w:szCs w:val="20"/>
                <w:color w:val="auto"/>
              </w:rPr>
            </w:pPr>
            <w:r>
              <w:rPr>
                <w:rFonts w:ascii="Times New Roman" w:cs="Times New Roman" w:eastAsia="Times New Roman" w:hAnsi="Times New Roman"/>
                <w:sz w:val="13"/>
                <w:szCs w:val="13"/>
                <w:color w:val="auto"/>
              </w:rPr>
              <w:t>Net investment income</w:t>
            </w:r>
            <w:r>
              <w:rPr>
                <w:rFonts w:ascii="Times New Roman" w:cs="Times New Roman" w:eastAsia="Times New Roman" w:hAnsi="Times New Roman"/>
                <w:sz w:val="16"/>
                <w:szCs w:val="16"/>
                <w:color w:val="auto"/>
                <w:vertAlign w:val="superscript"/>
              </w:rPr>
              <w:t>(1)</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0.82</w:t>
            </w:r>
          </w:p>
        </w:tc>
        <w:tc>
          <w:tcPr>
            <w:tcW w:w="3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3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4.99</w:t>
            </w: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6.54</w:t>
            </w:r>
          </w:p>
        </w:tc>
        <w:tc>
          <w:tcPr>
            <w:tcW w:w="180" w:type="dxa"/>
            <w:vAlign w:val="bottom"/>
            <w:shd w:val="clear" w:color="auto" w:fill="CFF0FC"/>
          </w:tcPr>
          <w:p>
            <w:pPr>
              <w:spacing w:after="0"/>
              <w:rPr>
                <w:sz w:val="13"/>
                <w:szCs w:val="13"/>
                <w:color w:val="auto"/>
              </w:rPr>
            </w:pPr>
          </w:p>
        </w:tc>
      </w:tr>
      <w:tr>
        <w:trPr>
          <w:trHeight w:val="156"/>
        </w:trPr>
        <w:tc>
          <w:tcPr>
            <w:tcW w:w="4360" w:type="dxa"/>
            <w:vAlign w:val="bottom"/>
          </w:tcPr>
          <w:p>
            <w:pPr>
              <w:ind w:left="180"/>
              <w:spacing w:after="0" w:line="156" w:lineRule="exact"/>
              <w:rPr>
                <w:sz w:val="20"/>
                <w:szCs w:val="20"/>
                <w:color w:val="auto"/>
              </w:rPr>
            </w:pPr>
            <w:r>
              <w:rPr>
                <w:rFonts w:ascii="Times New Roman" w:cs="Times New Roman" w:eastAsia="Times New Roman" w:hAnsi="Times New Roman"/>
                <w:sz w:val="13"/>
                <w:szCs w:val="13"/>
                <w:color w:val="auto"/>
              </w:rPr>
              <w:t>Net realized gains (losses) from investments</w:t>
            </w:r>
            <w:r>
              <w:rPr>
                <w:rFonts w:ascii="Times New Roman" w:cs="Times New Roman" w:eastAsia="Times New Roman" w:hAnsi="Times New Roman"/>
                <w:sz w:val="16"/>
                <w:szCs w:val="16"/>
                <w:color w:val="auto"/>
                <w:vertAlign w:val="superscript"/>
              </w:rPr>
              <w:t>(1)</w:t>
            </w:r>
          </w:p>
        </w:tc>
        <w:tc>
          <w:tcPr>
            <w:tcW w:w="220" w:type="dxa"/>
            <w:vAlign w:val="bottom"/>
          </w:tcPr>
          <w:p>
            <w:pPr>
              <w:spacing w:after="0"/>
              <w:rPr>
                <w:sz w:val="13"/>
                <w:szCs w:val="13"/>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(4.16 )</w:t>
            </w:r>
          </w:p>
        </w:tc>
        <w:tc>
          <w:tcPr>
            <w:tcW w:w="200" w:type="dxa"/>
            <w:vAlign w:val="bottom"/>
          </w:tcPr>
          <w:p>
            <w:pPr>
              <w:spacing w:after="0"/>
              <w:rPr>
                <w:sz w:val="13"/>
                <w:szCs w:val="13"/>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(4.40 )</w:t>
            </w:r>
          </w:p>
        </w:tc>
        <w:tc>
          <w:tcPr>
            <w:tcW w:w="160" w:type="dxa"/>
            <w:vAlign w:val="bottom"/>
          </w:tcPr>
          <w:p>
            <w:pPr>
              <w:spacing w:after="0"/>
              <w:rPr>
                <w:sz w:val="13"/>
                <w:szCs w:val="13"/>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(1.87 )</w:t>
            </w:r>
          </w:p>
        </w:tc>
        <w:tc>
          <w:tcPr>
            <w:tcW w:w="160" w:type="dxa"/>
            <w:vAlign w:val="bottom"/>
          </w:tcPr>
          <w:p>
            <w:pPr>
              <w:spacing w:after="0"/>
              <w:rPr>
                <w:sz w:val="13"/>
                <w:szCs w:val="1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(1.66 )</w:t>
            </w:r>
          </w:p>
        </w:tc>
        <w:tc>
          <w:tcPr>
            <w:tcW w:w="18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(1.66 )</w:t>
            </w:r>
          </w:p>
        </w:tc>
      </w:tr>
      <w:tr>
        <w:trPr>
          <w:trHeight w:val="156"/>
        </w:trPr>
        <w:tc>
          <w:tcPr>
            <w:tcW w:w="4360" w:type="dxa"/>
            <w:vAlign w:val="bottom"/>
            <w:shd w:val="clear" w:color="auto" w:fill="CFF0FC"/>
          </w:tcPr>
          <w:p>
            <w:pPr>
              <w:ind w:left="180"/>
              <w:spacing w:after="0" w:line="156" w:lineRule="exact"/>
              <w:rPr>
                <w:sz w:val="20"/>
                <w:szCs w:val="20"/>
                <w:color w:val="auto"/>
              </w:rPr>
            </w:pPr>
            <w:r>
              <w:rPr>
                <w:rFonts w:ascii="Times New Roman" w:cs="Times New Roman" w:eastAsia="Times New Roman" w:hAnsi="Times New Roman"/>
                <w:sz w:val="13"/>
                <w:szCs w:val="13"/>
                <w:color w:val="auto"/>
              </w:rPr>
              <w:t>Net change in unrealized (depreciation) appreciation on investments</w:t>
            </w:r>
            <w:r>
              <w:rPr>
                <w:rFonts w:ascii="Times New Roman" w:cs="Times New Roman" w:eastAsia="Times New Roman" w:hAnsi="Times New Roman"/>
                <w:sz w:val="16"/>
                <w:szCs w:val="16"/>
                <w:color w:val="auto"/>
                <w:vertAlign w:val="superscript"/>
              </w:rPr>
              <w:t>(1)</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0.30</w:t>
            </w:r>
          </w:p>
        </w:tc>
        <w:tc>
          <w:tcPr>
            <w:tcW w:w="3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(0.81 )</w:t>
            </w: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0.90</w:t>
            </w:r>
          </w:p>
        </w:tc>
        <w:tc>
          <w:tcPr>
            <w:tcW w:w="3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(3.62 )</w:t>
            </w: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(9.74 )</w:t>
            </w:r>
          </w:p>
        </w:tc>
      </w:tr>
      <w:tr>
        <w:trPr>
          <w:trHeight w:val="156"/>
        </w:trPr>
        <w:tc>
          <w:tcPr>
            <w:tcW w:w="4360" w:type="dxa"/>
            <w:vAlign w:val="bottom"/>
          </w:tcPr>
          <w:p>
            <w:pPr>
              <w:ind w:left="180"/>
              <w:spacing w:after="0" w:line="156" w:lineRule="exact"/>
              <w:rPr>
                <w:sz w:val="20"/>
                <w:szCs w:val="20"/>
                <w:color w:val="auto"/>
              </w:rPr>
            </w:pPr>
            <w:r>
              <w:rPr>
                <w:rFonts w:ascii="Times New Roman" w:cs="Times New Roman" w:eastAsia="Times New Roman" w:hAnsi="Times New Roman"/>
                <w:sz w:val="13"/>
                <w:szCs w:val="13"/>
                <w:color w:val="auto"/>
              </w:rPr>
              <w:t>Realized gains (losses) from extinguishment of debt</w:t>
            </w:r>
            <w:r>
              <w:rPr>
                <w:rFonts w:ascii="Times New Roman" w:cs="Times New Roman" w:eastAsia="Times New Roman" w:hAnsi="Times New Roman"/>
                <w:sz w:val="16"/>
                <w:szCs w:val="16"/>
                <w:color w:val="auto"/>
                <w:vertAlign w:val="superscript"/>
              </w:rPr>
              <w:t>(1)</w:t>
            </w:r>
          </w:p>
        </w:tc>
        <w:tc>
          <w:tcPr>
            <w:tcW w:w="220" w:type="dxa"/>
            <w:vAlign w:val="bottom"/>
          </w:tcPr>
          <w:p>
            <w:pPr>
              <w:spacing w:after="0"/>
              <w:rPr>
                <w:sz w:val="13"/>
                <w:szCs w:val="13"/>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(0.30 )</w:t>
            </w:r>
          </w:p>
        </w:tc>
        <w:tc>
          <w:tcPr>
            <w:tcW w:w="200" w:type="dxa"/>
            <w:vAlign w:val="bottom"/>
          </w:tcPr>
          <w:p>
            <w:pPr>
              <w:spacing w:after="0"/>
              <w:rPr>
                <w:sz w:val="13"/>
                <w:szCs w:val="13"/>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(0.05 )</w:t>
            </w:r>
          </w:p>
        </w:tc>
        <w:tc>
          <w:tcPr>
            <w:tcW w:w="160" w:type="dxa"/>
            <w:vAlign w:val="bottom"/>
          </w:tcPr>
          <w:p>
            <w:pPr>
              <w:spacing w:after="0"/>
              <w:rPr>
                <w:sz w:val="13"/>
                <w:szCs w:val="13"/>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(1.12 )</w:t>
            </w:r>
          </w:p>
        </w:tc>
        <w:tc>
          <w:tcPr>
            <w:tcW w:w="160" w:type="dxa"/>
            <w:vAlign w:val="bottom"/>
          </w:tcPr>
          <w:p>
            <w:pPr>
              <w:spacing w:after="0"/>
              <w:rPr>
                <w:sz w:val="13"/>
                <w:szCs w:val="13"/>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(0.12 )</w:t>
            </w:r>
          </w:p>
        </w:tc>
      </w:tr>
      <w:tr>
        <w:trPr>
          <w:trHeight w:val="133"/>
        </w:trPr>
        <w:tc>
          <w:tcPr>
            <w:tcW w:w="4360" w:type="dxa"/>
            <w:vAlign w:val="bottom"/>
            <w:shd w:val="clear" w:color="auto" w:fill="CFF0FC"/>
          </w:tcPr>
          <w:p>
            <w:pPr>
              <w:ind w:left="180"/>
              <w:spacing w:after="0" w:line="133" w:lineRule="exact"/>
              <w:rPr>
                <w:sz w:val="20"/>
                <w:szCs w:val="20"/>
                <w:color w:val="auto"/>
              </w:rPr>
            </w:pPr>
            <w:r>
              <w:rPr>
                <w:rFonts w:ascii="Times New Roman" w:cs="Times New Roman" w:eastAsia="Times New Roman" w:hAnsi="Times New Roman"/>
                <w:sz w:val="13"/>
                <w:szCs w:val="13"/>
                <w:color w:val="auto"/>
              </w:rPr>
              <w:t>Tax (provision) benefit on realized and unrealized gains (losses) on</w:t>
            </w: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r>
      <w:tr>
        <w:trPr>
          <w:trHeight w:val="179"/>
        </w:trPr>
        <w:tc>
          <w:tcPr>
            <w:tcW w:w="4360" w:type="dxa"/>
            <w:vAlign w:val="bottom"/>
            <w:shd w:val="clear" w:color="auto" w:fill="CFF0FC"/>
          </w:tcPr>
          <w:p>
            <w:pPr>
              <w:ind w:left="180"/>
              <w:spacing w:after="0" w:line="179" w:lineRule="exact"/>
              <w:rPr>
                <w:sz w:val="20"/>
                <w:szCs w:val="20"/>
                <w:color w:val="auto"/>
              </w:rPr>
            </w:pPr>
            <w:r>
              <w:rPr>
                <w:rFonts w:ascii="Times New Roman" w:cs="Times New Roman" w:eastAsia="Times New Roman" w:hAnsi="Times New Roman"/>
                <w:sz w:val="13"/>
                <w:szCs w:val="13"/>
                <w:color w:val="auto"/>
              </w:rPr>
              <w:t>investments</w:t>
            </w:r>
            <w:r>
              <w:rPr>
                <w:rFonts w:ascii="Times New Roman" w:cs="Times New Roman" w:eastAsia="Times New Roman" w:hAnsi="Times New Roman"/>
                <w:sz w:val="16"/>
                <w:szCs w:val="16"/>
                <w:color w:val="auto"/>
                <w:vertAlign w:val="superscript"/>
              </w:rPr>
              <w:t>(1)</w:t>
            </w:r>
          </w:p>
        </w:tc>
        <w:tc>
          <w:tcPr>
            <w:tcW w:w="2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43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(decrease) increase in net assets resulting from operations</w:t>
            </w: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(3.34 )</w:t>
            </w: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(2.56 )</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0.86</w:t>
            </w:r>
          </w:p>
        </w:tc>
        <w:tc>
          <w:tcPr>
            <w:tcW w:w="360" w:type="dxa"/>
            <w:vAlign w:val="bottom"/>
          </w:tcPr>
          <w:p>
            <w:pPr>
              <w:spacing w:after="0"/>
              <w:rPr>
                <w:sz w:val="13"/>
                <w:szCs w:val="13"/>
                <w:color w:val="auto"/>
              </w:rPr>
            </w:pP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(0.29 )</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(4.98 )</w:t>
            </w:r>
          </w:p>
        </w:tc>
      </w:tr>
      <w:tr>
        <w:trPr>
          <w:trHeight w:val="156"/>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decrease in net assets resulting from distributions</w:t>
            </w:r>
          </w:p>
        </w:tc>
        <w:tc>
          <w:tcPr>
            <w:tcW w:w="22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(3.20 )</w:t>
            </w:r>
          </w:p>
        </w:tc>
        <w:tc>
          <w:tcPr>
            <w:tcW w:w="20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(4.00 )</w:t>
            </w:r>
          </w:p>
        </w:tc>
        <w:tc>
          <w:tcPr>
            <w:tcW w:w="16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(4.80 )</w:t>
            </w:r>
          </w:p>
        </w:tc>
        <w:tc>
          <w:tcPr>
            <w:tcW w:w="1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(5.93 )</w:t>
            </w: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(6.30 )</w:t>
            </w:r>
          </w:p>
        </w:tc>
      </w:tr>
      <w:tr>
        <w:trPr>
          <w:trHeight w:val="156"/>
        </w:trPr>
        <w:tc>
          <w:tcPr>
            <w:tcW w:w="436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Net increase (decrease) in net assets relating to stock-based transactions</w:t>
            </w:r>
            <w:r>
              <w:rPr>
                <w:rFonts w:ascii="Times New Roman" w:cs="Times New Roman" w:eastAsia="Times New Roman" w:hAnsi="Times New Roman"/>
                <w:sz w:val="16"/>
                <w:szCs w:val="16"/>
                <w:color w:val="auto"/>
                <w:vertAlign w:val="superscript"/>
              </w:rPr>
              <w:t>(6)</w:t>
            </w:r>
          </w:p>
        </w:tc>
        <w:tc>
          <w:tcPr>
            <w:tcW w:w="220" w:type="dxa"/>
            <w:vAlign w:val="bottom"/>
          </w:tcPr>
          <w:p>
            <w:pPr>
              <w:spacing w:after="0"/>
              <w:rPr>
                <w:sz w:val="13"/>
                <w:szCs w:val="13"/>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(1.84 )</w:t>
            </w:r>
          </w:p>
        </w:tc>
        <w:tc>
          <w:tcPr>
            <w:tcW w:w="2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0.20</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0.20</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0.40</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0.10</w:t>
            </w:r>
          </w:p>
        </w:tc>
        <w:tc>
          <w:tcPr>
            <w:tcW w:w="180" w:type="dxa"/>
            <w:vAlign w:val="bottom"/>
          </w:tcPr>
          <w:p>
            <w:pPr>
              <w:spacing w:after="0"/>
              <w:rPr>
                <w:sz w:val="13"/>
                <w:szCs w:val="13"/>
                <w:color w:val="auto"/>
              </w:rPr>
            </w:pPr>
          </w:p>
        </w:tc>
      </w:tr>
      <w:tr>
        <w:trPr>
          <w:trHeight w:val="196"/>
        </w:trPr>
        <w:tc>
          <w:tcPr>
            <w:tcW w:w="4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asset value, end of period</w:t>
            </w:r>
          </w:p>
        </w:tc>
        <w:tc>
          <w:tcPr>
            <w:tcW w:w="220" w:type="dxa"/>
            <w:vAlign w:val="bottom"/>
            <w:tcBorders>
              <w:bottom w:val="single" w:sz="8" w:color="auto"/>
            </w:tcBorders>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33.95</w:t>
            </w:r>
          </w:p>
        </w:tc>
        <w:tc>
          <w:tcPr>
            <w:tcW w:w="3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42.33</w:t>
            </w:r>
          </w:p>
        </w:tc>
        <w:tc>
          <w:tcPr>
            <w:tcW w:w="3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48.69</w:t>
            </w:r>
          </w:p>
        </w:tc>
        <w:tc>
          <w:tcPr>
            <w:tcW w:w="3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52.43</w:t>
            </w:r>
          </w:p>
        </w:tc>
        <w:tc>
          <w:tcPr>
            <w:tcW w:w="3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58.25</w:t>
            </w:r>
          </w:p>
        </w:tc>
        <w:tc>
          <w:tcPr>
            <w:tcW w:w="180" w:type="dxa"/>
            <w:vAlign w:val="bottom"/>
            <w:tcBorders>
              <w:bottom w:val="single" w:sz="8" w:color="CFF0FC"/>
            </w:tcBorders>
            <w:shd w:val="clear" w:color="auto" w:fill="CFF0FC"/>
          </w:tcPr>
          <w:p>
            <w:pPr>
              <w:spacing w:after="0"/>
              <w:rPr>
                <w:sz w:val="17"/>
                <w:szCs w:val="17"/>
                <w:color w:val="auto"/>
              </w:rPr>
            </w:pPr>
          </w:p>
        </w:tc>
      </w:tr>
      <w:tr>
        <w:trPr>
          <w:trHeight w:val="132"/>
        </w:trPr>
        <w:tc>
          <w:tcPr>
            <w:tcW w:w="4360" w:type="dxa"/>
            <w:vAlign w:val="bottom"/>
          </w:tcPr>
          <w:p>
            <w:pPr>
              <w:ind w:left="20"/>
              <w:spacing w:after="0" w:line="132" w:lineRule="exact"/>
              <w:rPr>
                <w:sz w:val="20"/>
                <w:szCs w:val="20"/>
                <w:color w:val="auto"/>
              </w:rPr>
            </w:pPr>
            <w:r>
              <w:rPr>
                <w:rFonts w:ascii="Times New Roman" w:cs="Times New Roman" w:eastAsia="Times New Roman" w:hAnsi="Times New Roman"/>
                <w:sz w:val="12"/>
                <w:szCs w:val="12"/>
                <w:color w:val="auto"/>
              </w:rPr>
              <w:t>Total net asset value return</w:t>
            </w:r>
            <w:r>
              <w:rPr>
                <w:rFonts w:ascii="Times New Roman" w:cs="Times New Roman" w:eastAsia="Times New Roman" w:hAnsi="Times New Roman"/>
                <w:sz w:val="15"/>
                <w:szCs w:val="15"/>
                <w:color w:val="auto"/>
                <w:vertAlign w:val="superscript"/>
              </w:rPr>
              <w:t>(2)(8)</w:t>
            </w:r>
          </w:p>
        </w:tc>
        <w:tc>
          <w:tcPr>
            <w:tcW w:w="220" w:type="dxa"/>
            <w:vAlign w:val="bottom"/>
          </w:tcPr>
          <w:p>
            <w:pPr>
              <w:spacing w:after="0"/>
              <w:rPr>
                <w:sz w:val="11"/>
                <w:szCs w:val="11"/>
                <w:color w:val="auto"/>
              </w:rPr>
            </w:pPr>
          </w:p>
        </w:tc>
        <w:tc>
          <w:tcPr>
            <w:tcW w:w="116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(12.10 )%</w:t>
            </w:r>
          </w:p>
        </w:tc>
        <w:tc>
          <w:tcPr>
            <w:tcW w:w="200" w:type="dxa"/>
            <w:vAlign w:val="bottom"/>
          </w:tcPr>
          <w:p>
            <w:pPr>
              <w:spacing w:after="0"/>
              <w:rPr>
                <w:sz w:val="11"/>
                <w:szCs w:val="11"/>
                <w:color w:val="auto"/>
              </w:rPr>
            </w:pPr>
          </w:p>
        </w:tc>
        <w:tc>
          <w:tcPr>
            <w:tcW w:w="116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(4.70 )%</w:t>
            </w:r>
          </w:p>
        </w:tc>
        <w:tc>
          <w:tcPr>
            <w:tcW w:w="160" w:type="dxa"/>
            <w:vAlign w:val="bottom"/>
          </w:tcPr>
          <w:p>
            <w:pPr>
              <w:spacing w:after="0"/>
              <w:rPr>
                <w:sz w:val="11"/>
                <w:szCs w:val="11"/>
                <w:color w:val="auto"/>
              </w:rPr>
            </w:pPr>
          </w:p>
        </w:tc>
        <w:tc>
          <w:tcPr>
            <w:tcW w:w="106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3"/>
                <w:szCs w:val="13"/>
                <w:color w:val="auto"/>
              </w:rPr>
              <w:t>2.00 %</w:t>
            </w:r>
          </w:p>
        </w:tc>
        <w:tc>
          <w:tcPr>
            <w:tcW w:w="160" w:type="dxa"/>
            <w:vAlign w:val="bottom"/>
          </w:tcPr>
          <w:p>
            <w:pPr>
              <w:spacing w:after="0"/>
              <w:rPr>
                <w:sz w:val="11"/>
                <w:szCs w:val="11"/>
                <w:color w:val="auto"/>
              </w:rPr>
            </w:pPr>
          </w:p>
        </w:tc>
        <w:tc>
          <w:tcPr>
            <w:tcW w:w="102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0.20 %</w:t>
            </w:r>
          </w:p>
        </w:tc>
        <w:tc>
          <w:tcPr>
            <w:tcW w:w="180" w:type="dxa"/>
            <w:vAlign w:val="bottom"/>
          </w:tcPr>
          <w:p>
            <w:pPr>
              <w:spacing w:after="0"/>
              <w:rPr>
                <w:sz w:val="11"/>
                <w:szCs w:val="11"/>
                <w:color w:val="auto"/>
              </w:rPr>
            </w:pPr>
          </w:p>
        </w:tc>
        <w:tc>
          <w:tcPr>
            <w:tcW w:w="8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(7.20 )%</w:t>
            </w:r>
          </w:p>
        </w:tc>
      </w:tr>
      <w:tr>
        <w:trPr>
          <w:trHeight w:val="156"/>
        </w:trPr>
        <w:tc>
          <w:tcPr>
            <w:tcW w:w="43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Total market return</w:t>
            </w:r>
            <w:r>
              <w:rPr>
                <w:rFonts w:ascii="Times New Roman" w:cs="Times New Roman" w:eastAsia="Times New Roman" w:hAnsi="Times New Roman"/>
                <w:sz w:val="16"/>
                <w:szCs w:val="16"/>
                <w:color w:val="auto"/>
                <w:vertAlign w:val="superscript"/>
              </w:rPr>
              <w:t>(3)</w:t>
            </w:r>
          </w:p>
        </w:tc>
        <w:tc>
          <w:tcPr>
            <w:tcW w:w="22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(29.48 )%</w:t>
            </w:r>
          </w:p>
        </w:tc>
        <w:tc>
          <w:tcPr>
            <w:tcW w:w="20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13.20 %</w:t>
            </w:r>
          </w:p>
        </w:tc>
        <w:tc>
          <w:tcPr>
            <w:tcW w:w="16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(2.30 )%</w:t>
            </w:r>
          </w:p>
        </w:tc>
        <w:tc>
          <w:tcPr>
            <w:tcW w:w="1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12.30 %</w:t>
            </w: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(31.20 )%</w:t>
            </w:r>
          </w:p>
        </w:tc>
      </w:tr>
      <w:tr>
        <w:trPr>
          <w:trHeight w:val="156"/>
        </w:trPr>
        <w:tc>
          <w:tcPr>
            <w:tcW w:w="4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Ratio/Supplemental Data:</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56"/>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Per share market value at beginning of period</w:t>
            </w:r>
          </w:p>
        </w:tc>
        <w:tc>
          <w:tcPr>
            <w:tcW w:w="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34.60</w:t>
            </w:r>
          </w:p>
        </w:tc>
        <w:tc>
          <w:tcPr>
            <w:tcW w:w="34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34.10</w:t>
            </w:r>
          </w:p>
        </w:tc>
        <w:tc>
          <w:tcPr>
            <w:tcW w:w="34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39.80</w:t>
            </w:r>
          </w:p>
        </w:tc>
        <w:tc>
          <w:tcPr>
            <w:tcW w:w="36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40.70</w:t>
            </w: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68.20</w:t>
            </w:r>
          </w:p>
        </w:tc>
        <w:tc>
          <w:tcPr>
            <w:tcW w:w="180" w:type="dxa"/>
            <w:vAlign w:val="bottom"/>
            <w:shd w:val="clear" w:color="auto" w:fill="CFF0FC"/>
          </w:tcPr>
          <w:p>
            <w:pPr>
              <w:spacing w:after="0"/>
              <w:rPr>
                <w:sz w:val="13"/>
                <w:szCs w:val="13"/>
                <w:color w:val="auto"/>
              </w:rPr>
            </w:pPr>
          </w:p>
        </w:tc>
      </w:tr>
      <w:tr>
        <w:trPr>
          <w:trHeight w:val="156"/>
        </w:trPr>
        <w:tc>
          <w:tcPr>
            <w:tcW w:w="4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Per share market value at end of period</w:t>
            </w: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21.20</w:t>
            </w:r>
          </w:p>
        </w:tc>
        <w:tc>
          <w:tcPr>
            <w:tcW w:w="340" w:type="dxa"/>
            <w:vAlign w:val="bottom"/>
          </w:tcPr>
          <w:p>
            <w:pPr>
              <w:spacing w:after="0"/>
              <w:rPr>
                <w:sz w:val="13"/>
                <w:szCs w:val="13"/>
                <w:color w:val="auto"/>
              </w:rPr>
            </w:pP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34.60</w:t>
            </w:r>
          </w:p>
        </w:tc>
        <w:tc>
          <w:tcPr>
            <w:tcW w:w="340" w:type="dxa"/>
            <w:vAlign w:val="bottom"/>
          </w:tcPr>
          <w:p>
            <w:pPr>
              <w:spacing w:after="0"/>
              <w:rPr>
                <w:sz w:val="13"/>
                <w:szCs w:val="13"/>
                <w:color w:val="auto"/>
              </w:rPr>
            </w:pP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34.10</w:t>
            </w:r>
          </w:p>
        </w:tc>
        <w:tc>
          <w:tcPr>
            <w:tcW w:w="360" w:type="dxa"/>
            <w:vAlign w:val="bottom"/>
          </w:tcPr>
          <w:p>
            <w:pPr>
              <w:spacing w:after="0"/>
              <w:rPr>
                <w:sz w:val="13"/>
                <w:szCs w:val="13"/>
                <w:color w:val="auto"/>
              </w:rPr>
            </w:pP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39.80</w:t>
            </w:r>
          </w:p>
        </w:tc>
        <w:tc>
          <w:tcPr>
            <w:tcW w:w="300" w:type="dxa"/>
            <w:vAlign w:val="bottom"/>
          </w:tcPr>
          <w:p>
            <w:pPr>
              <w:spacing w:after="0"/>
              <w:rPr>
                <w:sz w:val="13"/>
                <w:szCs w:val="13"/>
                <w:color w:val="auto"/>
              </w:rPr>
            </w:pP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40.70</w:t>
            </w:r>
          </w:p>
        </w:tc>
        <w:tc>
          <w:tcPr>
            <w:tcW w:w="180" w:type="dxa"/>
            <w:vAlign w:val="bottom"/>
          </w:tcPr>
          <w:p>
            <w:pPr>
              <w:spacing w:after="0"/>
              <w:rPr>
                <w:sz w:val="13"/>
                <w:szCs w:val="13"/>
                <w:color w:val="auto"/>
              </w:rPr>
            </w:pPr>
          </w:p>
        </w:tc>
      </w:tr>
      <w:tr>
        <w:trPr>
          <w:trHeight w:val="156"/>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Shares outstanding at end of period</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4,482,968</w:t>
            </w:r>
          </w:p>
        </w:tc>
        <w:tc>
          <w:tcPr>
            <w:tcW w:w="3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3,732,685</w:t>
            </w:r>
          </w:p>
        </w:tc>
        <w:tc>
          <w:tcPr>
            <w:tcW w:w="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3,733,922</w:t>
            </w:r>
          </w:p>
        </w:tc>
        <w:tc>
          <w:tcPr>
            <w:tcW w:w="3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3,717,829</w:t>
            </w: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3,710,001</w:t>
            </w:r>
          </w:p>
        </w:tc>
        <w:tc>
          <w:tcPr>
            <w:tcW w:w="180" w:type="dxa"/>
            <w:vAlign w:val="bottom"/>
            <w:shd w:val="clear" w:color="auto" w:fill="CFF0FC"/>
          </w:tcPr>
          <w:p>
            <w:pPr>
              <w:spacing w:after="0"/>
              <w:rPr>
                <w:sz w:val="13"/>
                <w:szCs w:val="13"/>
                <w:color w:val="auto"/>
              </w:rPr>
            </w:pPr>
          </w:p>
        </w:tc>
      </w:tr>
      <w:tr>
        <w:trPr>
          <w:trHeight w:val="156"/>
        </w:trPr>
        <w:tc>
          <w:tcPr>
            <w:tcW w:w="4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assets at end of period</w:t>
            </w: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152,199</w:t>
            </w:r>
          </w:p>
        </w:tc>
        <w:tc>
          <w:tcPr>
            <w:tcW w:w="340" w:type="dxa"/>
            <w:vAlign w:val="bottom"/>
          </w:tcPr>
          <w:p>
            <w:pPr>
              <w:spacing w:after="0"/>
              <w:rPr>
                <w:sz w:val="13"/>
                <w:szCs w:val="13"/>
                <w:color w:val="auto"/>
              </w:rPr>
            </w:pP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158,021</w:t>
            </w:r>
          </w:p>
        </w:tc>
        <w:tc>
          <w:tcPr>
            <w:tcW w:w="340" w:type="dxa"/>
            <w:vAlign w:val="bottom"/>
          </w:tcPr>
          <w:p>
            <w:pPr>
              <w:spacing w:after="0"/>
              <w:rPr>
                <w:sz w:val="13"/>
                <w:szCs w:val="13"/>
                <w:color w:val="auto"/>
              </w:rPr>
            </w:pP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181,805</w:t>
            </w:r>
          </w:p>
        </w:tc>
        <w:tc>
          <w:tcPr>
            <w:tcW w:w="360" w:type="dxa"/>
            <w:vAlign w:val="bottom"/>
          </w:tcPr>
          <w:p>
            <w:pPr>
              <w:spacing w:after="0"/>
              <w:rPr>
                <w:sz w:val="13"/>
                <w:szCs w:val="13"/>
                <w:color w:val="auto"/>
              </w:rPr>
            </w:pP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194,925</w:t>
            </w:r>
          </w:p>
        </w:tc>
        <w:tc>
          <w:tcPr>
            <w:tcW w:w="300" w:type="dxa"/>
            <w:vAlign w:val="bottom"/>
          </w:tcPr>
          <w:p>
            <w:pPr>
              <w:spacing w:after="0"/>
              <w:rPr>
                <w:sz w:val="13"/>
                <w:szCs w:val="13"/>
                <w:color w:val="auto"/>
              </w:rPr>
            </w:pP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216,100</w:t>
            </w:r>
          </w:p>
        </w:tc>
        <w:tc>
          <w:tcPr>
            <w:tcW w:w="180" w:type="dxa"/>
            <w:vAlign w:val="bottom"/>
          </w:tcPr>
          <w:p>
            <w:pPr>
              <w:spacing w:after="0"/>
              <w:rPr>
                <w:sz w:val="13"/>
                <w:szCs w:val="13"/>
                <w:color w:val="auto"/>
              </w:rPr>
            </w:pPr>
          </w:p>
        </w:tc>
      </w:tr>
      <w:tr>
        <w:trPr>
          <w:trHeight w:val="156"/>
        </w:trPr>
        <w:tc>
          <w:tcPr>
            <w:tcW w:w="43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Portfolio turnover rate</w:t>
            </w:r>
            <w:r>
              <w:rPr>
                <w:rFonts w:ascii="Times New Roman" w:cs="Times New Roman" w:eastAsia="Times New Roman" w:hAnsi="Times New Roman"/>
                <w:sz w:val="16"/>
                <w:szCs w:val="16"/>
                <w:color w:val="auto"/>
                <w:vertAlign w:val="superscript"/>
              </w:rPr>
              <w:t>(5)</w:t>
            </w:r>
          </w:p>
        </w:tc>
        <w:tc>
          <w:tcPr>
            <w:tcW w:w="22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51.70 %</w:t>
            </w:r>
          </w:p>
        </w:tc>
        <w:tc>
          <w:tcPr>
            <w:tcW w:w="20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38.30 %</w:t>
            </w:r>
          </w:p>
        </w:tc>
        <w:tc>
          <w:tcPr>
            <w:tcW w:w="16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100.50 %</w:t>
            </w:r>
          </w:p>
        </w:tc>
        <w:tc>
          <w:tcPr>
            <w:tcW w:w="1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34.30 %</w:t>
            </w: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32.50 %</w:t>
            </w:r>
          </w:p>
        </w:tc>
      </w:tr>
      <w:tr>
        <w:trPr>
          <w:trHeight w:val="156"/>
        </w:trPr>
        <w:tc>
          <w:tcPr>
            <w:tcW w:w="4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Asset coverage ratio</w:t>
            </w:r>
          </w:p>
        </w:tc>
        <w:tc>
          <w:tcPr>
            <w:tcW w:w="22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195.00 %</w:t>
            </w:r>
          </w:p>
        </w:tc>
        <w:tc>
          <w:tcPr>
            <w:tcW w:w="20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249.00 %</w:t>
            </w:r>
          </w:p>
        </w:tc>
        <w:tc>
          <w:tcPr>
            <w:tcW w:w="16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271.00 %</w:t>
            </w:r>
          </w:p>
        </w:tc>
        <w:tc>
          <w:tcPr>
            <w:tcW w:w="160" w:type="dxa"/>
            <w:vAlign w:val="bottom"/>
          </w:tcPr>
          <w:p>
            <w:pPr>
              <w:spacing w:after="0"/>
              <w:rPr>
                <w:sz w:val="13"/>
                <w:szCs w:val="13"/>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205.00 %</w:t>
            </w:r>
          </w:p>
        </w:tc>
        <w:tc>
          <w:tcPr>
            <w:tcW w:w="18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202.00 %</w:t>
            </w:r>
          </w:p>
        </w:tc>
      </w:tr>
      <w:tr>
        <w:trPr>
          <w:trHeight w:val="156"/>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Ratio of net investment income to average net assets</w:t>
            </w:r>
          </w:p>
        </w:tc>
        <w:tc>
          <w:tcPr>
            <w:tcW w:w="22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2.00 %</w:t>
            </w:r>
          </w:p>
        </w:tc>
        <w:tc>
          <w:tcPr>
            <w:tcW w:w="20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5.90 %</w:t>
            </w:r>
          </w:p>
        </w:tc>
        <w:tc>
          <w:tcPr>
            <w:tcW w:w="16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5.80 %</w:t>
            </w:r>
          </w:p>
        </w:tc>
        <w:tc>
          <w:tcPr>
            <w:tcW w:w="1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9.00 %</w:t>
            </w: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9.80 %</w:t>
            </w:r>
          </w:p>
        </w:tc>
      </w:tr>
      <w:tr>
        <w:trPr>
          <w:trHeight w:val="156"/>
        </w:trPr>
        <w:tc>
          <w:tcPr>
            <w:tcW w:w="436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Ratio of total expenses to average net assets</w:t>
            </w:r>
            <w:r>
              <w:rPr>
                <w:rFonts w:ascii="Times New Roman" w:cs="Times New Roman" w:eastAsia="Times New Roman" w:hAnsi="Times New Roman"/>
                <w:sz w:val="16"/>
                <w:szCs w:val="16"/>
                <w:color w:val="auto"/>
                <w:vertAlign w:val="superscript"/>
              </w:rPr>
              <w:t>(7)(8)</w:t>
            </w:r>
          </w:p>
        </w:tc>
        <w:tc>
          <w:tcPr>
            <w:tcW w:w="22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15.10 %</w:t>
            </w:r>
          </w:p>
        </w:tc>
        <w:tc>
          <w:tcPr>
            <w:tcW w:w="20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10.10 %</w:t>
            </w:r>
          </w:p>
        </w:tc>
        <w:tc>
          <w:tcPr>
            <w:tcW w:w="16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9.20 %</w:t>
            </w:r>
          </w:p>
        </w:tc>
        <w:tc>
          <w:tcPr>
            <w:tcW w:w="160" w:type="dxa"/>
            <w:vAlign w:val="bottom"/>
          </w:tcPr>
          <w:p>
            <w:pPr>
              <w:spacing w:after="0"/>
              <w:rPr>
                <w:sz w:val="13"/>
                <w:szCs w:val="13"/>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8.60 %</w:t>
            </w:r>
          </w:p>
        </w:tc>
        <w:tc>
          <w:tcPr>
            <w:tcW w:w="18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8.60 %</w:t>
            </w:r>
          </w:p>
        </w:tc>
      </w:tr>
      <w:tr>
        <w:trPr>
          <w:trHeight w:val="156"/>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Ratio of interest expense to average net assets</w:t>
            </w:r>
          </w:p>
        </w:tc>
        <w:tc>
          <w:tcPr>
            <w:tcW w:w="22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5.30 %</w:t>
            </w:r>
          </w:p>
        </w:tc>
        <w:tc>
          <w:tcPr>
            <w:tcW w:w="20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4.40 %</w:t>
            </w:r>
          </w:p>
        </w:tc>
        <w:tc>
          <w:tcPr>
            <w:tcW w:w="16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4.10 %</w:t>
            </w:r>
          </w:p>
        </w:tc>
        <w:tc>
          <w:tcPr>
            <w:tcW w:w="1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4.30 %</w:t>
            </w: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4.70 %</w:t>
            </w:r>
          </w:p>
        </w:tc>
      </w:tr>
      <w:tr>
        <w:trPr>
          <w:trHeight w:val="219"/>
        </w:trPr>
        <w:tc>
          <w:tcPr>
            <w:tcW w:w="4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Ratio of non-interest expenses to average net assets</w:t>
            </w:r>
            <w:r>
              <w:rPr>
                <w:rFonts w:ascii="Times New Roman" w:cs="Times New Roman" w:eastAsia="Times New Roman" w:hAnsi="Times New Roman"/>
                <w:sz w:val="16"/>
                <w:szCs w:val="16"/>
                <w:color w:val="auto"/>
                <w:vertAlign w:val="superscript"/>
              </w:rPr>
              <w:t>(7)(8)</w:t>
            </w: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9.80 %</w:t>
            </w: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5.70 %</w:t>
            </w:r>
          </w:p>
        </w:tc>
        <w:tc>
          <w:tcPr>
            <w:tcW w:w="16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5.10 %</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4.20 %</w:t>
            </w:r>
          </w:p>
        </w:tc>
        <w:tc>
          <w:tcPr>
            <w:tcW w:w="1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3.90 %</w:t>
            </w:r>
          </w:p>
        </w:tc>
      </w:tr>
    </w:tbl>
    <w:p>
      <w:pPr>
        <w:spacing w:after="0" w:line="3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(1)Based on weighted average number of common shares outstanding for the period.</w:t>
      </w:r>
    </w:p>
    <w:p>
      <w:pPr>
        <w:spacing w:after="0" w:line="102" w:lineRule="exact"/>
        <w:rPr>
          <w:sz w:val="20"/>
          <w:szCs w:val="20"/>
          <w:color w:val="auto"/>
        </w:rPr>
      </w:pPr>
    </w:p>
    <w:p>
      <w:pPr>
        <w:ind w:left="80" w:right="160"/>
        <w:spacing w:after="0" w:line="276" w:lineRule="auto"/>
        <w:rPr>
          <w:sz w:val="20"/>
          <w:szCs w:val="20"/>
          <w:color w:val="auto"/>
        </w:rPr>
      </w:pPr>
      <w:r>
        <w:rPr>
          <w:rFonts w:ascii="Times New Roman" w:cs="Times New Roman" w:eastAsia="Times New Roman" w:hAnsi="Times New Roman"/>
          <w:sz w:val="11"/>
          <w:szCs w:val="11"/>
          <w:color w:val="auto"/>
        </w:rPr>
        <w:t>(2)Total net asset value return equals the change in the ending of period net asset value per share over the beginning of period net asset value per share plus distributions (including any return of capital), divided by the beginning of period net asset value per share.</w:t>
      </w:r>
    </w:p>
    <w:p>
      <w:pPr>
        <w:spacing w:after="0" w:line="6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0"/>
          <w:szCs w:val="10"/>
          <w:color w:val="auto"/>
        </w:rPr>
        <w:t>(3)Total market return equals the change in the ending of period market price per share over the beginning of period price per share plus distributions (including any return of capital), divided by the beginning of period market price per share.</w:t>
      </w:r>
    </w:p>
    <w:p>
      <w:pPr>
        <w:spacing w:after="0" w:line="11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(4)Totals may not sum due to rounding.</w:t>
      </w:r>
    </w:p>
    <w:p>
      <w:pPr>
        <w:spacing w:after="0" w:line="10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(5)Portfolio turnover rate equals the year-to-date sales and paydowns over the average of the invested assets at fair value.</w:t>
      </w:r>
    </w:p>
    <w:p>
      <w:pPr>
        <w:spacing w:after="0" w:line="102" w:lineRule="exact"/>
        <w:rPr>
          <w:sz w:val="20"/>
          <w:szCs w:val="20"/>
          <w:color w:val="auto"/>
        </w:rPr>
      </w:pPr>
    </w:p>
    <w:p>
      <w:pPr>
        <w:ind w:left="80" w:right="120"/>
        <w:spacing w:after="0" w:line="276" w:lineRule="auto"/>
        <w:rPr>
          <w:sz w:val="20"/>
          <w:szCs w:val="20"/>
          <w:color w:val="auto"/>
        </w:rPr>
      </w:pPr>
      <w:r>
        <w:rPr>
          <w:rFonts w:ascii="Times New Roman" w:cs="Times New Roman" w:eastAsia="Times New Roman" w:hAnsi="Times New Roman"/>
          <w:sz w:val="11"/>
          <w:szCs w:val="11"/>
          <w:color w:val="auto"/>
        </w:rPr>
        <w:t>(6)Includes the effects of the share issuance (at net asset value) from the acquisitions of OHAI, GARS, and HCAP while utilizing different share counts in calculating the other elements, as well as includes the accretive (dilutive) effects of the share issuance (at net asset value or in accordance with the DRIP).</w:t>
      </w:r>
    </w:p>
    <w:p>
      <w:pPr>
        <w:spacing w:after="0" w:line="69" w:lineRule="exact"/>
        <w:rPr>
          <w:sz w:val="20"/>
          <w:szCs w:val="20"/>
          <w:color w:val="auto"/>
        </w:rPr>
      </w:pPr>
    </w:p>
    <w:p>
      <w:pPr>
        <w:ind w:left="80" w:right="20"/>
        <w:spacing w:after="0" w:line="263" w:lineRule="auto"/>
        <w:rPr>
          <w:sz w:val="20"/>
          <w:szCs w:val="20"/>
          <w:color w:val="auto"/>
        </w:rPr>
      </w:pPr>
      <w:r>
        <w:rPr>
          <w:rFonts w:ascii="Times New Roman" w:cs="Times New Roman" w:eastAsia="Times New Roman" w:hAnsi="Times New Roman"/>
          <w:sz w:val="11"/>
          <w:szCs w:val="11"/>
          <w:color w:val="auto"/>
        </w:rPr>
        <w:t>(7)Incentive fees earned during the years ended December 31, 2024, December 31, 2023, December 31, 2022, and December 31, 2021 were approximately $5.0 million, $7.4 million, $6.1 million, and $7.1 million, respectively, none of which was waived pursuant to the Externalization Agreement. Incentive fees earned during the year ended December 31, 2020, were approximately $4.9 million, of which $0.6 million was waived pursuant to the Externalization Agreement. Excluding the waiver, for the year ended December 31, 2020, ratio of total expenses to average net assets was 14.3% and the ratio of non-interest expenses to average net assets was 8.7%.</w:t>
      </w:r>
    </w:p>
    <w:p>
      <w:pPr>
        <w:spacing w:after="0" w:line="76" w:lineRule="exact"/>
        <w:rPr>
          <w:sz w:val="20"/>
          <w:szCs w:val="20"/>
          <w:color w:val="auto"/>
        </w:rPr>
      </w:pPr>
    </w:p>
    <w:p>
      <w:pPr>
        <w:ind w:left="80" w:right="100"/>
        <w:spacing w:after="0" w:line="276" w:lineRule="auto"/>
        <w:rPr>
          <w:sz w:val="20"/>
          <w:szCs w:val="20"/>
          <w:color w:val="auto"/>
        </w:rPr>
      </w:pPr>
      <w:r>
        <w:rPr>
          <w:rFonts w:ascii="Times New Roman" w:cs="Times New Roman" w:eastAsia="Times New Roman" w:hAnsi="Times New Roman"/>
          <w:sz w:val="11"/>
          <w:szCs w:val="11"/>
          <w:color w:val="auto"/>
        </w:rPr>
        <w:t>(8)Excluding the impact of the expense reimbursement of approximately $5.3 million during the year ended December 31, 2023, the ratio of total expenses to average net assets and the ratio of non-interest expenses to average net assets would have been 20.9% and 9.4%, respectively. In addition, the total net asset value return would have been 6.1%. excluding the expense reimbursement.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Item 9C. </w:t>
      </w:r>
      <w:r>
        <w:rPr>
          <w:rFonts w:ascii="Times New Roman" w:cs="Times New Roman" w:eastAsia="Times New Roman" w:hAnsi="Times New Roman"/>
          <w:sz w:val="13"/>
          <w:szCs w:val="13"/>
          <w:b w:val="1"/>
          <w:bCs w:val="1"/>
          <w:i w:val="1"/>
          <w:iCs w:val="1"/>
          <w:color w:val="auto"/>
        </w:rPr>
        <w:t>Disclosure Regarding Foreign Jurisdictions that Prevent Inspections</w:t>
      </w:r>
    </w:p>
    <w:p>
      <w:pPr>
        <w:spacing w:after="0" w:line="1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Not applicable.</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1"/>
          <w:szCs w:val="1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417830</wp:posOffset>
            </wp:positionV>
            <wp:extent cx="673290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580" w:top="1372" w:right="680" w:bottom="1440" w:gutter="0" w:footer="0" w:header="0"/>
        </w:sectPr>
      </w:pPr>
    </w:p>
    <w:bookmarkStart w:id="54" w:name="page55"/>
    <w:bookmarkEnd w:id="54"/>
    <w:p>
      <w:pPr>
        <w:jc w:val="center"/>
        <w:ind w:right="-299"/>
        <w:spacing w:after="0"/>
        <w:rPr>
          <w:sz w:val="20"/>
          <w:szCs w:val="20"/>
          <w:color w:val="auto"/>
        </w:rPr>
      </w:pPr>
      <w:r>
        <w:rPr>
          <w:rFonts w:ascii="Times New Roman" w:cs="Times New Roman" w:eastAsia="Times New Roman" w:hAnsi="Times New Roman"/>
          <w:sz w:val="13"/>
          <w:szCs w:val="13"/>
          <w:b w:val="1"/>
          <w:bCs w:val="1"/>
          <w:color w:val="auto"/>
        </w:rPr>
        <w:t>PART III</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Item 10. </w:t>
      </w:r>
      <w:r>
        <w:rPr>
          <w:rFonts w:ascii="Times New Roman" w:cs="Times New Roman" w:eastAsia="Times New Roman" w:hAnsi="Times New Roman"/>
          <w:sz w:val="13"/>
          <w:szCs w:val="13"/>
          <w:b w:val="1"/>
          <w:bCs w:val="1"/>
          <w:i w:val="1"/>
          <w:iCs w:val="1"/>
          <w:color w:val="auto"/>
        </w:rPr>
        <w:t>Directors, Executive Officers and Corporate Governance</w:t>
      </w:r>
    </w:p>
    <w:p>
      <w:pPr>
        <w:spacing w:after="0" w:line="1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The information required by Item 10 is hereby incorporated by reference from our definitive Proxy Statement relating to our 2025 Annual</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Meeting of Stockholders, to be filed with the SEC within 120 days following the end of our fiscal year.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Item 11. </w:t>
      </w:r>
      <w:r>
        <w:rPr>
          <w:rFonts w:ascii="Times New Roman" w:cs="Times New Roman" w:eastAsia="Times New Roman" w:hAnsi="Times New Roman"/>
          <w:sz w:val="13"/>
          <w:szCs w:val="13"/>
          <w:b w:val="1"/>
          <w:bCs w:val="1"/>
          <w:i w:val="1"/>
          <w:iCs w:val="1"/>
          <w:color w:val="auto"/>
        </w:rPr>
        <w:t>Executive Compensation</w:t>
      </w:r>
    </w:p>
    <w:p>
      <w:pPr>
        <w:spacing w:after="0" w:line="107" w:lineRule="exact"/>
        <w:rPr>
          <w:sz w:val="20"/>
          <w:szCs w:val="20"/>
          <w:color w:val="auto"/>
        </w:rPr>
      </w:pPr>
    </w:p>
    <w:p>
      <w:pPr>
        <w:ind w:left="80" w:firstLine="348"/>
        <w:spacing w:after="0" w:line="286" w:lineRule="auto"/>
        <w:rPr>
          <w:sz w:val="20"/>
          <w:szCs w:val="20"/>
          <w:color w:val="auto"/>
        </w:rPr>
      </w:pPr>
      <w:r>
        <w:rPr>
          <w:rFonts w:ascii="Times New Roman" w:cs="Times New Roman" w:eastAsia="Times New Roman" w:hAnsi="Times New Roman"/>
          <w:sz w:val="13"/>
          <w:szCs w:val="13"/>
          <w:color w:val="auto"/>
        </w:rPr>
        <w:t>The information required by Item 11 is hereby incorporated by reference from our definitive Proxy Statement relating to our 2025 Annual Meeting of Stockholders, to be filed with the SEC within 120 days following the end of our fiscal year.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Item 12. </w:t>
      </w:r>
      <w:r>
        <w:rPr>
          <w:rFonts w:ascii="Times New Roman" w:cs="Times New Roman" w:eastAsia="Times New Roman" w:hAnsi="Times New Roman"/>
          <w:sz w:val="13"/>
          <w:szCs w:val="13"/>
          <w:b w:val="1"/>
          <w:bCs w:val="1"/>
          <w:i w:val="1"/>
          <w:iCs w:val="1"/>
          <w:color w:val="auto"/>
        </w:rPr>
        <w:t>Security Ownership of Certain Beneficial Owners and Management and Related Stockholder Matters</w:t>
      </w:r>
    </w:p>
    <w:p>
      <w:pPr>
        <w:spacing w:after="0" w:line="107" w:lineRule="exact"/>
        <w:rPr>
          <w:sz w:val="20"/>
          <w:szCs w:val="20"/>
          <w:color w:val="auto"/>
        </w:rPr>
      </w:pPr>
    </w:p>
    <w:p>
      <w:pPr>
        <w:ind w:left="80" w:right="20" w:firstLine="348"/>
        <w:spacing w:after="0" w:line="286" w:lineRule="auto"/>
        <w:rPr>
          <w:sz w:val="20"/>
          <w:szCs w:val="20"/>
          <w:color w:val="auto"/>
        </w:rPr>
      </w:pPr>
      <w:r>
        <w:rPr>
          <w:rFonts w:ascii="Times New Roman" w:cs="Times New Roman" w:eastAsia="Times New Roman" w:hAnsi="Times New Roman"/>
          <w:sz w:val="13"/>
          <w:szCs w:val="13"/>
          <w:color w:val="auto"/>
        </w:rPr>
        <w:t>The information required by Item 12 is hereby incorporated by reference from our definitive Proxy Statement relating to our 2025 Annual Meeting of Stockholders, to be filed with the SEC within 120 days following the end of our fiscal year.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Item 13. </w:t>
      </w:r>
      <w:r>
        <w:rPr>
          <w:rFonts w:ascii="Times New Roman" w:cs="Times New Roman" w:eastAsia="Times New Roman" w:hAnsi="Times New Roman"/>
          <w:sz w:val="13"/>
          <w:szCs w:val="13"/>
          <w:b w:val="1"/>
          <w:bCs w:val="1"/>
          <w:i w:val="1"/>
          <w:iCs w:val="1"/>
          <w:color w:val="auto"/>
        </w:rPr>
        <w:t>Certain Relationships and Related Transactions, and Director Independence</w:t>
      </w:r>
    </w:p>
    <w:p>
      <w:pPr>
        <w:spacing w:after="0" w:line="107" w:lineRule="exact"/>
        <w:rPr>
          <w:sz w:val="20"/>
          <w:szCs w:val="20"/>
          <w:color w:val="auto"/>
        </w:rPr>
      </w:pPr>
    </w:p>
    <w:p>
      <w:pPr>
        <w:ind w:left="80" w:right="20" w:firstLine="348"/>
        <w:spacing w:after="0" w:line="286" w:lineRule="auto"/>
        <w:rPr>
          <w:sz w:val="20"/>
          <w:szCs w:val="20"/>
          <w:color w:val="auto"/>
        </w:rPr>
      </w:pPr>
      <w:r>
        <w:rPr>
          <w:rFonts w:ascii="Times New Roman" w:cs="Times New Roman" w:eastAsia="Times New Roman" w:hAnsi="Times New Roman"/>
          <w:sz w:val="13"/>
          <w:szCs w:val="13"/>
          <w:color w:val="auto"/>
        </w:rPr>
        <w:t>The information required by Item 13 is hereby incorporated by reference from our definitive Proxy Statement relating to our 2025 Annual Meeting of Stockholders, to be filed with the SEC within 120 days following the end of our fiscal year.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Item 14. </w:t>
      </w:r>
      <w:r>
        <w:rPr>
          <w:rFonts w:ascii="Times New Roman" w:cs="Times New Roman" w:eastAsia="Times New Roman" w:hAnsi="Times New Roman"/>
          <w:sz w:val="13"/>
          <w:szCs w:val="13"/>
          <w:b w:val="1"/>
          <w:bCs w:val="1"/>
          <w:i w:val="1"/>
          <w:iCs w:val="1"/>
          <w:color w:val="auto"/>
        </w:rPr>
        <w:t>Principal Accountant Fees and Services</w:t>
      </w:r>
    </w:p>
    <w:p>
      <w:pPr>
        <w:spacing w:after="0" w:line="107" w:lineRule="exact"/>
        <w:rPr>
          <w:sz w:val="20"/>
          <w:szCs w:val="20"/>
          <w:color w:val="auto"/>
        </w:rPr>
      </w:pPr>
    </w:p>
    <w:p>
      <w:pPr>
        <w:ind w:left="80" w:right="20" w:firstLine="348"/>
        <w:spacing w:after="0" w:line="286" w:lineRule="auto"/>
        <w:rPr>
          <w:sz w:val="20"/>
          <w:szCs w:val="20"/>
          <w:color w:val="auto"/>
        </w:rPr>
      </w:pPr>
      <w:r>
        <w:rPr>
          <w:rFonts w:ascii="Times New Roman" w:cs="Times New Roman" w:eastAsia="Times New Roman" w:hAnsi="Times New Roman"/>
          <w:sz w:val="13"/>
          <w:szCs w:val="13"/>
          <w:color w:val="auto"/>
        </w:rPr>
        <w:t>The information required by Item 14 is hereby incorporated by reference from our definitive Proxy Statement relating to our 2025 Annual Meeting of Stockholders, to be filed with the SEC within 120 days following the end of our fiscal year.</w:t>
      </w:r>
    </w:p>
    <w:p>
      <w:pPr>
        <w:spacing w:after="0" w:line="24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1"/>
          <w:szCs w:val="1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417830</wp:posOffset>
            </wp:positionV>
            <wp:extent cx="673290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20"/>
          </w:cols>
          <w:pgMar w:left="580" w:top="1288" w:right="900" w:bottom="1440" w:gutter="0" w:footer="0" w:header="0"/>
        </w:sectPr>
      </w:pPr>
    </w:p>
    <w:bookmarkStart w:id="55" w:name="page56"/>
    <w:bookmarkEnd w:id="55"/>
    <w:p>
      <w:pPr>
        <w:jc w:val="center"/>
        <w:ind w:right="-279"/>
        <w:spacing w:after="0"/>
        <w:rPr>
          <w:sz w:val="20"/>
          <w:szCs w:val="20"/>
          <w:color w:val="auto"/>
        </w:rPr>
      </w:pPr>
      <w:r>
        <w:rPr>
          <w:rFonts w:ascii="Times New Roman" w:cs="Times New Roman" w:eastAsia="Times New Roman" w:hAnsi="Times New Roman"/>
          <w:sz w:val="13"/>
          <w:szCs w:val="13"/>
          <w:b w:val="1"/>
          <w:bCs w:val="1"/>
          <w:color w:val="auto"/>
        </w:rPr>
        <w:t>PART IV</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Item 15. </w:t>
      </w:r>
      <w:r>
        <w:rPr>
          <w:rFonts w:ascii="Times New Roman" w:cs="Times New Roman" w:eastAsia="Times New Roman" w:hAnsi="Times New Roman"/>
          <w:sz w:val="13"/>
          <w:szCs w:val="13"/>
          <w:b w:val="1"/>
          <w:bCs w:val="1"/>
          <w:i w:val="1"/>
          <w:iCs w:val="1"/>
          <w:color w:val="auto"/>
        </w:rPr>
        <w:t>Exhibits and Financial Statement Schedules</w:t>
      </w:r>
    </w:p>
    <w:p>
      <w:pPr>
        <w:spacing w:after="0" w:line="105" w:lineRule="exact"/>
        <w:rPr>
          <w:sz w:val="20"/>
          <w:szCs w:val="20"/>
          <w:color w:val="auto"/>
        </w:rPr>
      </w:pPr>
    </w:p>
    <w:p>
      <w:pPr>
        <w:ind w:left="620" w:hanging="186"/>
        <w:spacing w:after="0"/>
        <w:tabs>
          <w:tab w:leader="none" w:pos="620" w:val="left"/>
        </w:tabs>
        <w:numPr>
          <w:ilvl w:val="0"/>
          <w:numId w:val="9"/>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Documents filed as part of this report:</w:t>
      </w:r>
    </w:p>
    <w:p>
      <w:pPr>
        <w:spacing w:after="0" w:line="104" w:lineRule="exact"/>
        <w:rPr>
          <w:rFonts w:ascii="Times New Roman" w:cs="Times New Roman" w:eastAsia="Times New Roman" w:hAnsi="Times New Roman"/>
          <w:sz w:val="13"/>
          <w:szCs w:val="13"/>
          <w:i w:val="1"/>
          <w:iCs w:val="1"/>
          <w:color w:val="auto"/>
        </w:rPr>
      </w:pPr>
    </w:p>
    <w:p>
      <w:pPr>
        <w:ind w:left="920" w:hanging="138"/>
        <w:spacing w:after="0"/>
        <w:tabs>
          <w:tab w:leader="none" w:pos="920" w:val="left"/>
        </w:tabs>
        <w:numPr>
          <w:ilvl w:val="1"/>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a list of the consolidated financial information included herein, see Index to the Consolidated Financial Statements on page F-1.</w:t>
      </w:r>
    </w:p>
    <w:p>
      <w:pPr>
        <w:spacing w:after="0" w:line="102" w:lineRule="exact"/>
        <w:rPr>
          <w:rFonts w:ascii="Times New Roman" w:cs="Times New Roman" w:eastAsia="Times New Roman" w:hAnsi="Times New Roman"/>
          <w:sz w:val="13"/>
          <w:szCs w:val="13"/>
          <w:color w:val="auto"/>
        </w:rPr>
      </w:pPr>
    </w:p>
    <w:p>
      <w:pPr>
        <w:ind w:left="920" w:hanging="138"/>
        <w:spacing w:after="0"/>
        <w:tabs>
          <w:tab w:leader="none" w:pos="920" w:val="left"/>
        </w:tabs>
        <w:numPr>
          <w:ilvl w:val="1"/>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a list of other exhibits included herein, see Exhibit List on page E-1.</w:t>
      </w:r>
    </w:p>
    <w:p>
      <w:pPr>
        <w:spacing w:after="0" w:line="100" w:lineRule="exact"/>
        <w:rPr>
          <w:rFonts w:ascii="Times New Roman" w:cs="Times New Roman" w:eastAsia="Times New Roman" w:hAnsi="Times New Roman"/>
          <w:sz w:val="13"/>
          <w:szCs w:val="13"/>
          <w:color w:val="auto"/>
        </w:rPr>
      </w:pPr>
    </w:p>
    <w:p>
      <w:pPr>
        <w:ind w:left="80" w:right="340" w:firstLine="354"/>
        <w:spacing w:after="0" w:line="289" w:lineRule="auto"/>
        <w:tabs>
          <w:tab w:leader="none" w:pos="615" w:val="left"/>
        </w:tabs>
        <w:numPr>
          <w:ilvl w:val="0"/>
          <w:numId w:val="9"/>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 xml:space="preserve">Exhibits required by Item 601 of Regulation S-K. </w:t>
      </w:r>
      <w:r>
        <w:rPr>
          <w:rFonts w:ascii="Times New Roman" w:cs="Times New Roman" w:eastAsia="Times New Roman" w:hAnsi="Times New Roman"/>
          <w:sz w:val="13"/>
          <w:szCs w:val="13"/>
          <w:color w:val="auto"/>
        </w:rPr>
        <w:t>Reference is made to the Exhibit List filed as a part of this report beginning on page E-1. Each of such exhibits is incorporated by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reference herein.</w:t>
      </w:r>
    </w:p>
    <w:p>
      <w:pPr>
        <w:spacing w:after="0" w:line="48" w:lineRule="exact"/>
        <w:rPr>
          <w:rFonts w:ascii="Times New Roman" w:cs="Times New Roman" w:eastAsia="Times New Roman" w:hAnsi="Times New Roman"/>
          <w:sz w:val="13"/>
          <w:szCs w:val="13"/>
          <w:i w:val="1"/>
          <w:iCs w:val="1"/>
          <w:color w:val="auto"/>
        </w:rPr>
      </w:pPr>
    </w:p>
    <w:p>
      <w:pPr>
        <w:ind w:left="80" w:firstLine="354"/>
        <w:spacing w:after="0" w:line="289" w:lineRule="auto"/>
        <w:tabs>
          <w:tab w:leader="none" w:pos="607" w:val="left"/>
        </w:tabs>
        <w:numPr>
          <w:ilvl w:val="0"/>
          <w:numId w:val="9"/>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 xml:space="preserve">Other financial statements and financial statement schedules. </w:t>
      </w:r>
      <w:r>
        <w:rPr>
          <w:rFonts w:ascii="Times New Roman" w:cs="Times New Roman" w:eastAsia="Times New Roman" w:hAnsi="Times New Roman"/>
          <w:sz w:val="13"/>
          <w:szCs w:val="13"/>
          <w:color w:val="auto"/>
        </w:rPr>
        <w:t>Reference is made to the Index to Other Financial Statements and Financial Statement Schedules on page S-1. Each of such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documents is incorporated by reference herein.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16. Form 10-K Summary</w:t>
      </w:r>
    </w:p>
    <w:p>
      <w:pPr>
        <w:spacing w:after="0" w:line="1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None.</w:t>
      </w:r>
    </w:p>
    <w:p>
      <w:pPr>
        <w:spacing w:after="0" w:line="1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1"/>
          <w:szCs w:val="1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417830</wp:posOffset>
            </wp:positionV>
            <wp:extent cx="673290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60"/>
          </w:cols>
          <w:pgMar w:left="580" w:top="1288" w:right="860"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640" w:type="dxa"/>
            <w:vAlign w:val="bottom"/>
            <w:gridSpan w:val="2"/>
          </w:tcPr>
          <w:p>
            <w:pPr>
              <w:ind w:left="3540"/>
              <w:spacing w:after="0"/>
              <w:rPr>
                <w:sz w:val="20"/>
                <w:szCs w:val="20"/>
                <w:color w:val="auto"/>
              </w:rPr>
            </w:pPr>
            <w:r>
              <w:rPr>
                <w:rFonts w:ascii="Times New Roman" w:cs="Times New Roman" w:eastAsia="Times New Roman" w:hAnsi="Times New Roman"/>
                <w:sz w:val="13"/>
                <w:szCs w:val="13"/>
                <w:b w:val="1"/>
                <w:bCs w:val="1"/>
                <w:color w:val="auto"/>
              </w:rPr>
              <w:t>INDEX TO CONSOLIDATED FINANCIAL STATEMENTS</w:t>
            </w: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8640" w:type="dxa"/>
            <w:vAlign w:val="bottom"/>
            <w:gridSpan w:val="2"/>
          </w:tcPr>
          <w:p>
            <w:pPr>
              <w:spacing w:after="0"/>
              <w:rPr>
                <w:rFonts w:ascii="Times New Roman" w:cs="Times New Roman" w:eastAsia="Times New Roman" w:hAnsi="Times New Roman"/>
                <w:sz w:val="13"/>
                <w:szCs w:val="13"/>
                <w:color w:val="auto"/>
              </w:rPr>
            </w:pPr>
            <w:hyperlink w:anchor="page58">
              <w:r>
                <w:rPr>
                  <w:rFonts w:ascii="Times New Roman" w:cs="Times New Roman" w:eastAsia="Times New Roman" w:hAnsi="Times New Roman"/>
                  <w:sz w:val="13"/>
                  <w:szCs w:val="13"/>
                  <w:color w:val="auto"/>
                </w:rPr>
                <w:t>Report of Independent Registered Public Accounting Firm (PCAOB ID No 34)</w:t>
              </w:r>
            </w:hyperlink>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F-2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shd w:val="clear" w:color="auto" w:fill="0000EE"/>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F-4</w:t>
            </w: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8640" w:type="dxa"/>
            <w:vAlign w:val="bottom"/>
            <w:gridSpan w:val="2"/>
          </w:tcPr>
          <w:p>
            <w:pPr>
              <w:spacing w:after="0" w:line="149" w:lineRule="exact"/>
              <w:rPr>
                <w:sz w:val="20"/>
                <w:szCs w:val="20"/>
                <w:color w:val="auto"/>
              </w:rPr>
            </w:pPr>
            <w:r>
              <w:rPr>
                <w:rFonts w:ascii="Times New Roman" w:cs="Times New Roman" w:eastAsia="Times New Roman" w:hAnsi="Times New Roman"/>
                <w:sz w:val="13"/>
                <w:szCs w:val="13"/>
                <w:color w:val="auto"/>
              </w:rPr>
              <w:t>Consolidated Statements of Assets and Liabilities as of December 31, 2024 and 2023</w:t>
            </w:r>
          </w:p>
        </w:tc>
        <w:tc>
          <w:tcPr>
            <w:tcW w:w="1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Consolidated Statements of Operations for the years ended December 31, 2024, 2023 and 2022</w:t>
            </w: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F-5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Consolidated Statements of Changes in Net Assets for the years ended December 31, 2024, 2023 and 2022</w:t>
            </w: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F-6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Consolidated Statements of Cash Flows for the years ended December 31, 2024, 2023 and 2022</w:t>
            </w: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F-7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Consolidated Schedules of Investments as of December 31, 2024 and 2023</w:t>
            </w: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F-8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Financial Highlights for the years ended December 31, 2024, 2023, 2022, 2021 and 2020</w:t>
            </w: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F-17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Notes to Consolidated Financial Statements</w:t>
            </w: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F-18</w:t>
            </w: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8640" w:type="dxa"/>
            <w:vAlign w:val="bottom"/>
            <w:gridSpan w:val="2"/>
          </w:tcPr>
          <w:p>
            <w:pPr>
              <w:ind w:left="4020"/>
              <w:spacing w:after="0"/>
              <w:rPr>
                <w:sz w:val="20"/>
                <w:szCs w:val="20"/>
                <w:color w:val="auto"/>
              </w:rPr>
            </w:pPr>
            <w:r>
              <w:rPr>
                <w:rFonts w:ascii="Times New Roman" w:cs="Times New Roman" w:eastAsia="Times New Roman" w:hAnsi="Times New Roman"/>
                <w:sz w:val="11"/>
                <w:szCs w:val="11"/>
                <w:color w:val="auto"/>
              </w:rPr>
              <w:t>F-1</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6"/>
        </w:trPr>
        <w:tc>
          <w:tcPr>
            <w:tcW w:w="20" w:type="dxa"/>
            <w:vAlign w:val="bottom"/>
            <w:tcBorders>
              <w:bottom w:val="single" w:sz="8" w:color="EEEEEE"/>
            </w:tcBorders>
          </w:tcPr>
          <w:p>
            <w:pPr>
              <w:spacing w:after="0"/>
              <w:rPr>
                <w:sz w:val="24"/>
                <w:szCs w:val="24"/>
                <w:color w:val="auto"/>
              </w:rPr>
            </w:pPr>
          </w:p>
        </w:tc>
        <w:tc>
          <w:tcPr>
            <w:tcW w:w="4180" w:type="dxa"/>
            <w:vAlign w:val="bottom"/>
            <w:tcBorders>
              <w:bottom w:val="single" w:sz="8" w:color="EEEEEE"/>
            </w:tcBorders>
          </w:tcPr>
          <w:p>
            <w:pPr>
              <w:spacing w:after="0"/>
              <w:rPr>
                <w:sz w:val="24"/>
                <w:szCs w:val="24"/>
                <w:color w:val="auto"/>
              </w:rPr>
            </w:pPr>
          </w:p>
        </w:tc>
        <w:tc>
          <w:tcPr>
            <w:tcW w:w="4460" w:type="dxa"/>
            <w:vAlign w:val="bottom"/>
            <w:tcBorders>
              <w:bottom w:val="single" w:sz="8" w:color="EEEEEE"/>
            </w:tcBorders>
          </w:tcPr>
          <w:p>
            <w:pPr>
              <w:spacing w:after="0"/>
              <w:rPr>
                <w:sz w:val="24"/>
                <w:szCs w:val="24"/>
                <w:color w:val="auto"/>
              </w:rPr>
            </w:pPr>
          </w:p>
        </w:tc>
        <w:tc>
          <w:tcPr>
            <w:tcW w:w="19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36" w:right="680"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REPORT OF INDEPENDENT REGISTERED PUBLIC ACCOUNTING FIRM</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the shareholders and the Board of Directors of Portman Ridge Finance Corporation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Opinion on the Consolidated Financial Statements and Financial Highlights</w:t>
      </w:r>
    </w:p>
    <w:p>
      <w:pPr>
        <w:spacing w:after="0" w:line="10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3"/>
          <w:szCs w:val="13"/>
          <w:color w:val="auto"/>
        </w:rPr>
        <w:t>We have audited the accompanying consolidated statements of assets and liabilities of Portman Ridge Finance Corporation and subsidiaries (the "Company"), including the consolidated schedules of investments, as of December 31, 2024 and 2023, the related consolidated statements of operations, cash flows, and changes in net assets for each of the three years in the period then ended, the financial highlights for each of the four years in the period then ended, and the related notes (collectively referred to as “financial statements and financial highlights”). In our opinion, the financial statements and financial highlights present fairly, in all material respects, the financial position of the Company as of December 31, 2024 and 2023, and the results of its operations, changes in net assets, and cash flows for each of the three years in the period then ended, and the financial highlights for each of the four years in the period then ended in conformity with accounting principles generally accepted in the United States of America. The financial highlights for the year ended December 31, 2020 were audited by other auditors whose report dated March 11, 2021, expressed an unqualified opinion on such financial highlights.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Basis for Opinion</w:t>
      </w:r>
    </w:p>
    <w:p>
      <w:pPr>
        <w:spacing w:after="0" w:line="105"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3"/>
          <w:szCs w:val="13"/>
          <w:color w:val="auto"/>
        </w:rPr>
        <w:t>These financial statements and financial highlights are the responsibility of the Company's management. Our responsibility is to express an opinion on the Company's financial statements and financial highlights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3"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3"/>
          <w:szCs w:val="13"/>
          <w:color w:val="auto"/>
        </w:rPr>
        <w:t>We conducted our audits in accordance with the standards of the PCAOB. Those standards require that we plan and perform the audit to obtain reasonable assurance about whether the financial statements and financial highlights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67" w:lineRule="exact"/>
        <w:rPr>
          <w:sz w:val="20"/>
          <w:szCs w:val="20"/>
          <w:color w:val="auto"/>
        </w:rPr>
      </w:pPr>
    </w:p>
    <w:p>
      <w:pPr>
        <w:jc w:val="both"/>
        <w:ind w:right="180"/>
        <w:spacing w:after="0" w:line="259" w:lineRule="auto"/>
        <w:rPr>
          <w:sz w:val="20"/>
          <w:szCs w:val="20"/>
          <w:color w:val="auto"/>
        </w:rPr>
      </w:pPr>
      <w:r>
        <w:rPr>
          <w:rFonts w:ascii="Times New Roman" w:cs="Times New Roman" w:eastAsia="Times New Roman" w:hAnsi="Times New Roman"/>
          <w:sz w:val="13"/>
          <w:szCs w:val="13"/>
          <w:color w:val="auto"/>
        </w:rPr>
        <w:t>Our audits included performing procedures to assess the risks of material misstatement of the financial statements and financial highlights, whether due to error or fraud, and performing procedures that respond to those risks. Such procedures included examining, on a test basis, evidence regarding the amounts and disclosures in the financial statements and financial highlights. Our audits also included evaluating the accounting principles used and significant estimates made by management, as well as evaluating the overall presentation of the financial statements and financial highlights. Our procedures included confirmation of investments owned as of December 31, 2024 and 2023, by correspondence with the custodian, loan agents, and borrowers; when replies were not received, we performed other auditing procedures. We believe that our audits provide a reasonable basis for our opinion.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Critical Audit Matters</w:t>
      </w:r>
    </w:p>
    <w:p>
      <w:pPr>
        <w:spacing w:after="0" w:line="81"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3"/>
          <w:szCs w:val="13"/>
          <w:color w:val="auto"/>
        </w:rPr>
        <w:t>The critical audit matter communicated below is a matter arising from the current-period audit of the financial statements and financial highlights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Fair Value of Level III Investments — Refer to Notes 2 and 4 to the financial statements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Critical Audit Matter Description</w:t>
      </w:r>
    </w:p>
    <w:p>
      <w:pPr>
        <w:spacing w:after="0" w:line="26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3"/>
          <w:szCs w:val="13"/>
          <w:color w:val="auto"/>
        </w:rPr>
        <w:t>The Company held investments classified as Level III investments under accounting principles generally accepted in the United States of America. These investments included debt and equity securities with unique contract terms and conditions and/or complexity that considers a combination of multiple levels of market and asset specific inputs. The valuation techniques used in estimating the fair value of these investments vary and certain significant inputs used were unobservable.</w:t>
      </w:r>
    </w:p>
    <w:p>
      <w:pPr>
        <w:spacing w:after="0" w:line="63"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3"/>
          <w:szCs w:val="13"/>
          <w:color w:val="auto"/>
        </w:rPr>
        <w:t>We identified the valuation of Level III investments as a critical audit matter because of the judgments necessary for management to select valuation techniques and to use significant unobservable inputs to estimate the fair value, including discount rates utilized. This required a high degree of auditor judgement and extensive audit effort to audit management’s estimate of fair value of Level III investments, including the need to involve fair value specialists possessing relevant valuation experience to evaluate the appropriateness of the valuation techniques and the significant unobservable inputs used in the valuation of certain investments.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How the Critical Audit Matter Was Addressed in the Audit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Our audit procedures related to the valuation of certain Level III investments included the following, among other factors:</w:t>
      </w:r>
    </w:p>
    <w:p>
      <w:pPr>
        <w:spacing w:after="0" w:line="103" w:lineRule="exact"/>
        <w:rPr>
          <w:sz w:val="20"/>
          <w:szCs w:val="20"/>
          <w:color w:val="auto"/>
        </w:rPr>
      </w:pPr>
    </w:p>
    <w:p>
      <w:pPr>
        <w:ind w:left="480"/>
        <w:spacing w:after="0" w:line="286" w:lineRule="auto"/>
        <w:rPr>
          <w:sz w:val="20"/>
          <w:szCs w:val="20"/>
          <w:color w:val="auto"/>
        </w:rPr>
      </w:pPr>
      <w:r>
        <w:rPr>
          <w:rFonts w:ascii="Times New Roman" w:cs="Times New Roman" w:eastAsia="Times New Roman" w:hAnsi="Times New Roman"/>
          <w:sz w:val="13"/>
          <w:szCs w:val="13"/>
          <w:color w:val="auto"/>
        </w:rPr>
        <w:t>1.We evaluated the design and implementation of controls over the Company’s valuation of Level III investments, including those related to valuation techniques and significant unobservable inputs.</w:t>
      </w:r>
    </w:p>
    <w:p>
      <w:pPr>
        <w:spacing w:after="0" w:line="52" w:lineRule="exact"/>
        <w:rPr>
          <w:sz w:val="20"/>
          <w:szCs w:val="20"/>
          <w:color w:val="auto"/>
        </w:rPr>
      </w:pPr>
    </w:p>
    <w:p>
      <w:pPr>
        <w:ind w:left="480" w:right="280"/>
        <w:spacing w:after="0" w:line="286" w:lineRule="auto"/>
        <w:rPr>
          <w:sz w:val="20"/>
          <w:szCs w:val="20"/>
          <w:color w:val="auto"/>
        </w:rPr>
      </w:pPr>
      <w:r>
        <w:rPr>
          <w:rFonts w:ascii="Times New Roman" w:cs="Times New Roman" w:eastAsia="Times New Roman" w:hAnsi="Times New Roman"/>
          <w:sz w:val="13"/>
          <w:szCs w:val="13"/>
          <w:color w:val="auto"/>
        </w:rPr>
        <w:t>2.We evaluated the appropriateness of the valuation techniques used for Level III investments and tested the related significant unobservable inputs by comparing these inputs to external sources.</w:t>
      </w:r>
    </w:p>
    <w:p>
      <w:pPr>
        <w:spacing w:after="0" w:line="52" w:lineRule="exact"/>
        <w:rPr>
          <w:sz w:val="20"/>
          <w:szCs w:val="20"/>
          <w:color w:val="auto"/>
        </w:rPr>
      </w:pPr>
    </w:p>
    <w:p>
      <w:pPr>
        <w:ind w:left="480" w:right="80"/>
        <w:spacing w:after="0" w:line="286" w:lineRule="auto"/>
        <w:rPr>
          <w:sz w:val="20"/>
          <w:szCs w:val="20"/>
          <w:color w:val="auto"/>
        </w:rPr>
      </w:pPr>
      <w:r>
        <w:rPr>
          <w:rFonts w:ascii="Times New Roman" w:cs="Times New Roman" w:eastAsia="Times New Roman" w:hAnsi="Times New Roman"/>
          <w:sz w:val="13"/>
          <w:szCs w:val="13"/>
          <w:color w:val="auto"/>
        </w:rPr>
        <w:t>3.For certain Level III investments, we performed procedures with the assistance of internal fair value specialists to evaluate the valuation techniques and significant unobservable inputs and assumptions utilized.</w:t>
      </w:r>
    </w:p>
    <w:p>
      <w:pPr>
        <w:spacing w:after="0" w:line="52" w:lineRule="exact"/>
        <w:rPr>
          <w:sz w:val="20"/>
          <w:szCs w:val="20"/>
          <w:color w:val="auto"/>
        </w:rPr>
      </w:pPr>
    </w:p>
    <w:p>
      <w:pPr>
        <w:ind w:left="480" w:right="100"/>
        <w:spacing w:after="0" w:line="286" w:lineRule="auto"/>
        <w:rPr>
          <w:sz w:val="20"/>
          <w:szCs w:val="20"/>
          <w:color w:val="auto"/>
        </w:rPr>
      </w:pPr>
      <w:r>
        <w:rPr>
          <w:rFonts w:ascii="Times New Roman" w:cs="Times New Roman" w:eastAsia="Times New Roman" w:hAnsi="Times New Roman"/>
          <w:sz w:val="13"/>
          <w:szCs w:val="13"/>
          <w:color w:val="auto"/>
        </w:rPr>
        <w:t>4.We evaluated management’s ability to estimate fair value by comparing management’s historical estimates to subsequent transactions, taking into account changes in market or investment specific conditions, and performing back testing, where applicable.</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Deloitte &amp; Touche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New York, New York</w:t>
      </w:r>
    </w:p>
    <w:p>
      <w:pPr>
        <w:spacing w:after="0" w:line="10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1"/>
          <w:szCs w:val="11"/>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88" w:right="68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3"/>
          <w:szCs w:val="13"/>
          <w:color w:val="auto"/>
        </w:rPr>
        <w:t>March 13, 2025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have served as the Company’s auditor since 2021.</w:t>
      </w:r>
    </w:p>
    <w:p>
      <w:pPr>
        <w:spacing w:after="0" w:line="100" w:lineRule="exact"/>
        <w:rPr>
          <w:sz w:val="20"/>
          <w:szCs w:val="20"/>
          <w:color w:val="auto"/>
        </w:rPr>
      </w:pPr>
    </w:p>
    <w:p>
      <w:pPr>
        <w:jc w:val="right"/>
        <w:ind w:right="5620"/>
        <w:spacing w:after="0"/>
        <w:rPr>
          <w:sz w:val="20"/>
          <w:szCs w:val="20"/>
          <w:color w:val="auto"/>
        </w:rPr>
      </w:pPr>
      <w:r>
        <w:rPr>
          <w:rFonts w:ascii="Times New Roman" w:cs="Times New Roman" w:eastAsia="Times New Roman" w:hAnsi="Times New Roman"/>
          <w:sz w:val="11"/>
          <w:szCs w:val="11"/>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660" w:top="1290" w:right="1440"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PORTMAN RIDGE FINANCE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ASSETS AND LIABILITIES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20" w:type="dxa"/>
            <w:vAlign w:val="bottom"/>
          </w:tcPr>
          <w:p>
            <w:pPr>
              <w:spacing w:after="0"/>
              <w:rPr>
                <w:sz w:val="14"/>
                <w:szCs w:val="14"/>
                <w:color w:val="auto"/>
              </w:rPr>
            </w:pPr>
          </w:p>
        </w:tc>
        <w:tc>
          <w:tcPr>
            <w:tcW w:w="142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20" w:type="dxa"/>
            <w:vAlign w:val="bottom"/>
          </w:tcPr>
          <w:p>
            <w:pPr>
              <w:spacing w:after="0"/>
              <w:rPr>
                <w:sz w:val="14"/>
                <w:szCs w:val="14"/>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56"/>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4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6"/>
        </w:trPr>
        <w:tc>
          <w:tcPr>
            <w:tcW w:w="7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Investments at fair value:</w:t>
            </w: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7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Non-controlled/non-affiliated investments (amortized cost of $358,153 and $426,630, respectively)</w:t>
            </w:r>
          </w:p>
        </w:tc>
        <w:tc>
          <w:tcPr>
            <w:tcW w:w="400" w:type="dxa"/>
            <w:vAlign w:val="bottom"/>
            <w:shd w:val="clear" w:color="auto" w:fill="CFF0FC"/>
          </w:tcPr>
          <w:p>
            <w:pPr>
              <w:jc w:val="right"/>
              <w:ind w:right="254"/>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327,622</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398,325</w:t>
            </w:r>
          </w:p>
        </w:tc>
        <w:tc>
          <w:tcPr>
            <w:tcW w:w="80" w:type="dxa"/>
            <w:vAlign w:val="bottom"/>
            <w:shd w:val="clear" w:color="auto" w:fill="CFF0FC"/>
          </w:tcPr>
          <w:p>
            <w:pPr>
              <w:spacing w:after="0"/>
              <w:rPr>
                <w:sz w:val="13"/>
                <w:szCs w:val="13"/>
                <w:color w:val="auto"/>
              </w:rPr>
            </w:pPr>
          </w:p>
        </w:tc>
      </w:tr>
      <w:tr>
        <w:trPr>
          <w:trHeight w:val="156"/>
        </w:trPr>
        <w:tc>
          <w:tcPr>
            <w:tcW w:w="7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Non-controlled affiliated investments (amortized cost of $68,858 and $55,611, respectively)</w:t>
            </w:r>
          </w:p>
        </w:tc>
        <w:tc>
          <w:tcPr>
            <w:tcW w:w="40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64,384</w:t>
            </w:r>
          </w:p>
        </w:tc>
        <w:tc>
          <w:tcPr>
            <w:tcW w:w="120" w:type="dxa"/>
            <w:vAlign w:val="bottom"/>
          </w:tcPr>
          <w:p>
            <w:pPr>
              <w:spacing w:after="0"/>
              <w:rPr>
                <w:sz w:val="13"/>
                <w:szCs w:val="13"/>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55,222</w:t>
            </w:r>
          </w:p>
        </w:tc>
      </w:tr>
      <w:tr>
        <w:trPr>
          <w:trHeight w:val="196"/>
        </w:trPr>
        <w:tc>
          <w:tcPr>
            <w:tcW w:w="76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Controlled affiliated investments (amortized cost of $49,421 and $58,041, respectively)</w:t>
            </w:r>
          </w:p>
        </w:tc>
        <w:tc>
          <w:tcPr>
            <w:tcW w:w="4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13,015</w:t>
            </w:r>
          </w:p>
        </w:tc>
        <w:tc>
          <w:tcPr>
            <w:tcW w:w="12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14,318</w:t>
            </w:r>
          </w:p>
        </w:tc>
      </w:tr>
      <w:tr>
        <w:trPr>
          <w:trHeight w:val="156"/>
        </w:trPr>
        <w:tc>
          <w:tcPr>
            <w:tcW w:w="7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Investments at fair value (amortized cost of $476,432 and $540,282, respectively)</w:t>
            </w:r>
          </w:p>
        </w:tc>
        <w:tc>
          <w:tcPr>
            <w:tcW w:w="40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405,021</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467,865</w:t>
            </w:r>
          </w:p>
        </w:tc>
        <w:tc>
          <w:tcPr>
            <w:tcW w:w="80" w:type="dxa"/>
            <w:vAlign w:val="bottom"/>
          </w:tcPr>
          <w:p>
            <w:pPr>
              <w:spacing w:after="0"/>
              <w:rPr>
                <w:sz w:val="13"/>
                <w:szCs w:val="13"/>
                <w:color w:val="auto"/>
              </w:rPr>
            </w:pPr>
          </w:p>
        </w:tc>
      </w:tr>
      <w:tr>
        <w:trPr>
          <w:trHeight w:val="156"/>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40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17,532</w:t>
            </w:r>
          </w:p>
        </w:tc>
        <w:tc>
          <w:tcPr>
            <w:tcW w:w="12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26,912</w:t>
            </w:r>
          </w:p>
        </w:tc>
      </w:tr>
      <w:tr>
        <w:trPr>
          <w:trHeight w:val="156"/>
        </w:trPr>
        <w:tc>
          <w:tcPr>
            <w:tcW w:w="7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Restricted cash</w:t>
            </w:r>
          </w:p>
        </w:tc>
        <w:tc>
          <w:tcPr>
            <w:tcW w:w="40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22,421</w:t>
            </w:r>
          </w:p>
        </w:tc>
        <w:tc>
          <w:tcPr>
            <w:tcW w:w="120" w:type="dxa"/>
            <w:vAlign w:val="bottom"/>
          </w:tcPr>
          <w:p>
            <w:pPr>
              <w:spacing w:after="0"/>
              <w:rPr>
                <w:sz w:val="13"/>
                <w:szCs w:val="13"/>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44,652</w:t>
            </w:r>
          </w:p>
        </w:tc>
      </w:tr>
      <w:tr>
        <w:trPr>
          <w:trHeight w:val="156"/>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Interest receivable</w:t>
            </w:r>
          </w:p>
        </w:tc>
        <w:tc>
          <w:tcPr>
            <w:tcW w:w="4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6,088</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5,162</w:t>
            </w:r>
          </w:p>
        </w:tc>
        <w:tc>
          <w:tcPr>
            <w:tcW w:w="80" w:type="dxa"/>
            <w:vAlign w:val="bottom"/>
            <w:shd w:val="clear" w:color="auto" w:fill="CFF0FC"/>
          </w:tcPr>
          <w:p>
            <w:pPr>
              <w:spacing w:after="0"/>
              <w:rPr>
                <w:sz w:val="13"/>
                <w:szCs w:val="13"/>
                <w:color w:val="auto"/>
              </w:rPr>
            </w:pPr>
          </w:p>
        </w:tc>
      </w:tr>
      <w:tr>
        <w:trPr>
          <w:trHeight w:val="156"/>
        </w:trPr>
        <w:tc>
          <w:tcPr>
            <w:tcW w:w="7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Receivable for unsettled trades</w:t>
            </w:r>
          </w:p>
        </w:tc>
        <w:tc>
          <w:tcPr>
            <w:tcW w:w="40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w:t>
            </w:r>
          </w:p>
        </w:tc>
        <w:tc>
          <w:tcPr>
            <w:tcW w:w="80" w:type="dxa"/>
            <w:vAlign w:val="bottom"/>
          </w:tcPr>
          <w:p>
            <w:pPr>
              <w:spacing w:after="0"/>
              <w:rPr>
                <w:sz w:val="13"/>
                <w:szCs w:val="13"/>
                <w:color w:val="auto"/>
              </w:rPr>
            </w:pPr>
          </w:p>
        </w:tc>
      </w:tr>
      <w:tr>
        <w:trPr>
          <w:trHeight w:val="156"/>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Due from affiliates</w:t>
            </w:r>
          </w:p>
        </w:tc>
        <w:tc>
          <w:tcPr>
            <w:tcW w:w="4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1,367</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1,534</w:t>
            </w:r>
          </w:p>
        </w:tc>
        <w:tc>
          <w:tcPr>
            <w:tcW w:w="80" w:type="dxa"/>
            <w:vAlign w:val="bottom"/>
            <w:shd w:val="clear" w:color="auto" w:fill="CFF0FC"/>
          </w:tcPr>
          <w:p>
            <w:pPr>
              <w:spacing w:after="0"/>
              <w:rPr>
                <w:sz w:val="13"/>
                <w:szCs w:val="13"/>
                <w:color w:val="auto"/>
              </w:rPr>
            </w:pPr>
          </w:p>
        </w:tc>
      </w:tr>
      <w:tr>
        <w:trPr>
          <w:trHeight w:val="156"/>
        </w:trPr>
        <w:tc>
          <w:tcPr>
            <w:tcW w:w="7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assets</w:t>
            </w:r>
          </w:p>
        </w:tc>
        <w:tc>
          <w:tcPr>
            <w:tcW w:w="4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2,541</w:t>
            </w:r>
          </w:p>
        </w:tc>
        <w:tc>
          <w:tcPr>
            <w:tcW w:w="80" w:type="dxa"/>
            <w:vAlign w:val="bottom"/>
          </w:tcPr>
          <w:p>
            <w:pPr>
              <w:spacing w:after="0"/>
              <w:rPr>
                <w:sz w:val="13"/>
                <w:szCs w:val="13"/>
                <w:color w:val="auto"/>
              </w:rPr>
            </w:pPr>
          </w:p>
        </w:tc>
      </w:tr>
      <w:tr>
        <w:trPr>
          <w:trHeight w:val="196"/>
        </w:trPr>
        <w:tc>
          <w:tcPr>
            <w:tcW w:w="7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400" w:type="dxa"/>
            <w:vAlign w:val="bottom"/>
            <w:tcBorders>
              <w:bottom w:val="single" w:sz="8" w:color="auto"/>
            </w:tcBorders>
            <w:shd w:val="clear" w:color="auto" w:fill="CFF0FC"/>
          </w:tcPr>
          <w:p>
            <w:pPr>
              <w:jc w:val="right"/>
              <w:ind w:right="254"/>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453,634</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549,239</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32"/>
        </w:trPr>
        <w:tc>
          <w:tcPr>
            <w:tcW w:w="76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LIABILITIES</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6"/>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2018-2 Secured Notes (net of original issue discount of $- and $712, respectively)</w:t>
            </w:r>
          </w:p>
        </w:tc>
        <w:tc>
          <w:tcPr>
            <w:tcW w:w="400" w:type="dxa"/>
            <w:vAlign w:val="bottom"/>
            <w:shd w:val="clear" w:color="auto" w:fill="CFF0FC"/>
          </w:tcPr>
          <w:p>
            <w:pPr>
              <w:jc w:val="right"/>
              <w:ind w:right="25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124,971</w:t>
            </w:r>
          </w:p>
        </w:tc>
        <w:tc>
          <w:tcPr>
            <w:tcW w:w="80" w:type="dxa"/>
            <w:vAlign w:val="bottom"/>
            <w:shd w:val="clear" w:color="auto" w:fill="CFF0FC"/>
          </w:tcPr>
          <w:p>
            <w:pPr>
              <w:spacing w:after="0"/>
              <w:rPr>
                <w:sz w:val="13"/>
                <w:szCs w:val="13"/>
                <w:color w:val="auto"/>
              </w:rPr>
            </w:pPr>
          </w:p>
        </w:tc>
      </w:tr>
      <w:tr>
        <w:trPr>
          <w:trHeight w:val="156"/>
        </w:trPr>
        <w:tc>
          <w:tcPr>
            <w:tcW w:w="7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4.875% Notes Due 2026 (net of deferred financing costs and original issue discount of $1,017 and $1,786, respectively)</w:t>
            </w:r>
          </w:p>
        </w:tc>
        <w:tc>
          <w:tcPr>
            <w:tcW w:w="4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106,983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106,214</w:t>
            </w:r>
          </w:p>
        </w:tc>
        <w:tc>
          <w:tcPr>
            <w:tcW w:w="80" w:type="dxa"/>
            <w:vAlign w:val="bottom"/>
          </w:tcPr>
          <w:p>
            <w:pPr>
              <w:spacing w:after="0"/>
              <w:rPr>
                <w:sz w:val="13"/>
                <w:szCs w:val="13"/>
                <w:color w:val="auto"/>
              </w:rPr>
            </w:pPr>
          </w:p>
        </w:tc>
      </w:tr>
      <w:tr>
        <w:trPr>
          <w:trHeight w:val="156"/>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Great Lakes Portman Ridge Funding LLC Revolving Credit Facility (net of deferred financing costs of $1,322 and $775, respectively)</w:t>
            </w:r>
          </w:p>
        </w:tc>
        <w:tc>
          <w:tcPr>
            <w:tcW w:w="4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158,157</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91,225</w:t>
            </w:r>
          </w:p>
        </w:tc>
      </w:tr>
      <w:tr>
        <w:trPr>
          <w:trHeight w:val="156"/>
        </w:trPr>
        <w:tc>
          <w:tcPr>
            <w:tcW w:w="7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Payable for unsettled trades</w:t>
            </w:r>
          </w:p>
        </w:tc>
        <w:tc>
          <w:tcPr>
            <w:tcW w:w="40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520</w:t>
            </w:r>
          </w:p>
        </w:tc>
        <w:tc>
          <w:tcPr>
            <w:tcW w:w="80" w:type="dxa"/>
            <w:vAlign w:val="bottom"/>
          </w:tcPr>
          <w:p>
            <w:pPr>
              <w:spacing w:after="0"/>
              <w:rPr>
                <w:sz w:val="13"/>
                <w:szCs w:val="13"/>
                <w:color w:val="auto"/>
              </w:rPr>
            </w:pPr>
          </w:p>
        </w:tc>
      </w:tr>
      <w:tr>
        <w:trPr>
          <w:trHeight w:val="156"/>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Accounts payable, accrued expenses and other liabilities</w:t>
            </w:r>
          </w:p>
        </w:tc>
        <w:tc>
          <w:tcPr>
            <w:tcW w:w="4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3,007</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4,252</w:t>
            </w:r>
          </w:p>
        </w:tc>
        <w:tc>
          <w:tcPr>
            <w:tcW w:w="80" w:type="dxa"/>
            <w:vAlign w:val="bottom"/>
            <w:shd w:val="clear" w:color="auto" w:fill="CFF0FC"/>
          </w:tcPr>
          <w:p>
            <w:pPr>
              <w:spacing w:after="0"/>
              <w:rPr>
                <w:sz w:val="13"/>
                <w:szCs w:val="13"/>
                <w:color w:val="auto"/>
              </w:rPr>
            </w:pPr>
          </w:p>
        </w:tc>
      </w:tr>
      <w:tr>
        <w:trPr>
          <w:trHeight w:val="156"/>
        </w:trPr>
        <w:tc>
          <w:tcPr>
            <w:tcW w:w="7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Accrued interest payable</w:t>
            </w:r>
          </w:p>
        </w:tc>
        <w:tc>
          <w:tcPr>
            <w:tcW w:w="4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3,646</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3,928</w:t>
            </w:r>
          </w:p>
        </w:tc>
        <w:tc>
          <w:tcPr>
            <w:tcW w:w="80" w:type="dxa"/>
            <w:vAlign w:val="bottom"/>
          </w:tcPr>
          <w:p>
            <w:pPr>
              <w:spacing w:after="0"/>
              <w:rPr>
                <w:sz w:val="13"/>
                <w:szCs w:val="13"/>
                <w:color w:val="auto"/>
              </w:rPr>
            </w:pPr>
          </w:p>
        </w:tc>
      </w:tr>
      <w:tr>
        <w:trPr>
          <w:trHeight w:val="156"/>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Due to affiliates</w:t>
            </w:r>
          </w:p>
        </w:tc>
        <w:tc>
          <w:tcPr>
            <w:tcW w:w="4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635</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458</w:t>
            </w:r>
          </w:p>
        </w:tc>
        <w:tc>
          <w:tcPr>
            <w:tcW w:w="80" w:type="dxa"/>
            <w:vAlign w:val="bottom"/>
            <w:shd w:val="clear" w:color="auto" w:fill="CFF0FC"/>
          </w:tcPr>
          <w:p>
            <w:pPr>
              <w:spacing w:after="0"/>
              <w:rPr>
                <w:sz w:val="13"/>
                <w:szCs w:val="13"/>
                <w:color w:val="auto"/>
              </w:rPr>
            </w:pPr>
          </w:p>
        </w:tc>
      </w:tr>
      <w:tr>
        <w:trPr>
          <w:trHeight w:val="156"/>
        </w:trPr>
        <w:tc>
          <w:tcPr>
            <w:tcW w:w="7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Management and incentive fees payable</w:t>
            </w:r>
          </w:p>
        </w:tc>
        <w:tc>
          <w:tcPr>
            <w:tcW w:w="4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4,153</w:t>
            </w:r>
          </w:p>
        </w:tc>
        <w:tc>
          <w:tcPr>
            <w:tcW w:w="80" w:type="dxa"/>
            <w:vAlign w:val="bottom"/>
          </w:tcPr>
          <w:p>
            <w:pPr>
              <w:spacing w:after="0"/>
              <w:rPr>
                <w:sz w:val="13"/>
                <w:szCs w:val="13"/>
                <w:color w:val="auto"/>
              </w:rPr>
            </w:pPr>
          </w:p>
        </w:tc>
      </w:tr>
      <w:tr>
        <w:trPr>
          <w:trHeight w:val="196"/>
        </w:trPr>
        <w:tc>
          <w:tcPr>
            <w:tcW w:w="7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400" w:type="dxa"/>
            <w:vAlign w:val="bottom"/>
            <w:tcBorders>
              <w:bottom w:val="single" w:sz="8" w:color="CFF0FC"/>
            </w:tcBorders>
            <w:shd w:val="clear" w:color="auto" w:fill="CFF0FC"/>
          </w:tcPr>
          <w:p>
            <w:pPr>
              <w:jc w:val="right"/>
              <w:ind w:right="254"/>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275,141</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335,721</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56"/>
        </w:trPr>
        <w:tc>
          <w:tcPr>
            <w:tcW w:w="7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COMMITMENTS AND CONTINGENCIES (NOTE 8)</w:t>
            </w: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NET ASSETS</w:t>
            </w:r>
          </w:p>
        </w:tc>
        <w:tc>
          <w:tcPr>
            <w:tcW w:w="4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44"/>
        </w:trPr>
        <w:tc>
          <w:tcPr>
            <w:tcW w:w="762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Common stock, par value $0.01 per share, 20,000,000 common shares authorized; 9,960,785 issued, and 9,198,175 outstanding at December</w:t>
            </w: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8"/>
        </w:trPr>
        <w:tc>
          <w:tcPr>
            <w:tcW w:w="7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31, 2024, and 9,943,385 issued, and 9,383,132 outstanding at December 31, 2023</w:t>
            </w:r>
          </w:p>
        </w:tc>
        <w:tc>
          <w:tcPr>
            <w:tcW w:w="40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80" w:type="dxa"/>
            <w:vAlign w:val="bottom"/>
          </w:tcPr>
          <w:p>
            <w:pPr>
              <w:spacing w:after="0"/>
              <w:rPr>
                <w:sz w:val="14"/>
                <w:szCs w:val="14"/>
                <w:color w:val="auto"/>
              </w:rPr>
            </w:pPr>
          </w:p>
        </w:tc>
      </w:tr>
      <w:tr>
        <w:trPr>
          <w:trHeight w:val="156"/>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Capital in excess of par value</w:t>
            </w:r>
          </w:p>
        </w:tc>
        <w:tc>
          <w:tcPr>
            <w:tcW w:w="4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714,331</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717,835</w:t>
            </w:r>
          </w:p>
        </w:tc>
        <w:tc>
          <w:tcPr>
            <w:tcW w:w="80" w:type="dxa"/>
            <w:vAlign w:val="bottom"/>
            <w:shd w:val="clear" w:color="auto" w:fill="CFF0FC"/>
          </w:tcPr>
          <w:p>
            <w:pPr>
              <w:spacing w:after="0"/>
              <w:rPr>
                <w:sz w:val="13"/>
                <w:szCs w:val="13"/>
                <w:color w:val="auto"/>
              </w:rPr>
            </w:pPr>
          </w:p>
        </w:tc>
      </w:tr>
      <w:tr>
        <w:trPr>
          <w:trHeight w:val="156"/>
        </w:trPr>
        <w:tc>
          <w:tcPr>
            <w:tcW w:w="7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distributable (loss) earnings</w:t>
            </w:r>
          </w:p>
        </w:tc>
        <w:tc>
          <w:tcPr>
            <w:tcW w:w="4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(535,930)</w:t>
            </w:r>
          </w:p>
        </w:tc>
        <w:tc>
          <w:tcPr>
            <w:tcW w:w="120" w:type="dxa"/>
            <w:vAlign w:val="bottom"/>
          </w:tcPr>
          <w:p>
            <w:pPr>
              <w:spacing w:after="0"/>
              <w:rPr>
                <w:sz w:val="13"/>
                <w:szCs w:val="13"/>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(504,411)</w:t>
            </w:r>
          </w:p>
        </w:tc>
      </w:tr>
      <w:tr>
        <w:trPr>
          <w:trHeight w:val="156"/>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Net Assets</w:t>
            </w:r>
          </w:p>
        </w:tc>
        <w:tc>
          <w:tcPr>
            <w:tcW w:w="400" w:type="dxa"/>
            <w:vAlign w:val="bottom"/>
            <w:shd w:val="clear" w:color="auto" w:fill="CFF0FC"/>
          </w:tcPr>
          <w:p>
            <w:pPr>
              <w:jc w:val="right"/>
              <w:ind w:right="254"/>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178,493</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213,518</w:t>
            </w:r>
          </w:p>
        </w:tc>
        <w:tc>
          <w:tcPr>
            <w:tcW w:w="80" w:type="dxa"/>
            <w:vAlign w:val="bottom"/>
            <w:shd w:val="clear" w:color="auto" w:fill="CFF0FC"/>
          </w:tcPr>
          <w:p>
            <w:pPr>
              <w:spacing w:after="0"/>
              <w:rPr>
                <w:sz w:val="13"/>
                <w:szCs w:val="13"/>
                <w:color w:val="auto"/>
              </w:rPr>
            </w:pPr>
          </w:p>
        </w:tc>
      </w:tr>
      <w:tr>
        <w:trPr>
          <w:trHeight w:val="156"/>
        </w:trPr>
        <w:tc>
          <w:tcPr>
            <w:tcW w:w="7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 and Net Assets</w:t>
            </w:r>
          </w:p>
        </w:tc>
        <w:tc>
          <w:tcPr>
            <w:tcW w:w="4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453,634</w:t>
            </w:r>
          </w:p>
        </w:tc>
        <w:tc>
          <w:tcPr>
            <w:tcW w:w="22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549,239</w:t>
            </w:r>
          </w:p>
        </w:tc>
        <w:tc>
          <w:tcPr>
            <w:tcW w:w="80" w:type="dxa"/>
            <w:vAlign w:val="bottom"/>
          </w:tcPr>
          <w:p>
            <w:pPr>
              <w:spacing w:after="0"/>
              <w:rPr>
                <w:sz w:val="13"/>
                <w:szCs w:val="13"/>
                <w:color w:val="auto"/>
              </w:rPr>
            </w:pPr>
          </w:p>
        </w:tc>
      </w:tr>
      <w:tr>
        <w:trPr>
          <w:trHeight w:val="20"/>
        </w:trPr>
        <w:tc>
          <w:tcPr>
            <w:tcW w:w="7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2"/>
        </w:trPr>
        <w:tc>
          <w:tcPr>
            <w:tcW w:w="7620" w:type="dxa"/>
            <w:vAlign w:val="bottom"/>
            <w:tcBorders>
              <w:bottom w:val="single" w:sz="8" w:color="CFF0FC"/>
            </w:tcBorders>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Net Asset Value Per Common Share</w:t>
            </w:r>
          </w:p>
        </w:tc>
        <w:tc>
          <w:tcPr>
            <w:tcW w:w="400" w:type="dxa"/>
            <w:vAlign w:val="bottom"/>
            <w:tcBorders>
              <w:bottom w:val="single" w:sz="8" w:color="auto"/>
            </w:tcBorders>
            <w:shd w:val="clear" w:color="auto" w:fill="CFF0FC"/>
          </w:tcPr>
          <w:p>
            <w:pPr>
              <w:jc w:val="right"/>
              <w:ind w:right="25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19.41</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22.76</w:t>
            </w:r>
          </w:p>
        </w:tc>
        <w:tc>
          <w:tcPr>
            <w:tcW w:w="80" w:type="dxa"/>
            <w:vAlign w:val="bottom"/>
            <w:tcBorders>
              <w:bottom w:val="single" w:sz="8" w:color="CFF0FC"/>
            </w:tcBorders>
            <w:shd w:val="clear" w:color="auto" w:fill="CFF0FC"/>
          </w:tcPr>
          <w:p>
            <w:pPr>
              <w:spacing w:after="0"/>
              <w:rPr>
                <w:sz w:val="14"/>
                <w:szCs w:val="14"/>
                <w:color w:val="auto"/>
              </w:rPr>
            </w:pPr>
          </w:p>
        </w:tc>
      </w:tr>
    </w:tbl>
    <w:p>
      <w:pPr>
        <w:spacing w:after="0" w:line="36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1"/>
          <w:szCs w:val="11"/>
          <w:color w:val="auto"/>
        </w:rPr>
        <w:t>See accompanying notes to consolidated financial statements.</w:t>
      </w:r>
    </w:p>
    <w:p>
      <w:pPr>
        <w:spacing w:after="0" w:line="10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1"/>
          <w:szCs w:val="11"/>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PORTMAN RIDGE FINANCE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OPERATIONS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40" w:type="dxa"/>
            <w:vAlign w:val="bottom"/>
            <w:gridSpan w:val="5"/>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2022</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INCOME</w:t>
            </w:r>
          </w:p>
        </w:tc>
        <w:tc>
          <w:tcPr>
            <w:tcW w:w="3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Non-controlled/non-affiliated investments</w:t>
            </w:r>
          </w:p>
        </w:tc>
        <w:tc>
          <w:tcPr>
            <w:tcW w:w="32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45,036</w:t>
            </w: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55,675</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51,090</w:t>
            </w: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Non-controlled affiliated investments</w:t>
            </w: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1,859</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2,728</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3,150</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Total interest income</w:t>
            </w:r>
          </w:p>
        </w:tc>
        <w:tc>
          <w:tcPr>
            <w:tcW w:w="32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46,895</w:t>
            </w: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58,403</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54,240</w:t>
            </w: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Payment-in-kind income:</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0" w:type="dxa"/>
            <w:vAlign w:val="bottom"/>
            <w:shd w:val="clear" w:color="auto" w:fill="CFF0FC"/>
          </w:tcPr>
          <w:p>
            <w:pPr>
              <w:ind w:left="180"/>
              <w:spacing w:after="0" w:line="156" w:lineRule="exact"/>
              <w:rPr>
                <w:sz w:val="20"/>
                <w:szCs w:val="20"/>
                <w:color w:val="auto"/>
              </w:rPr>
            </w:pPr>
            <w:r>
              <w:rPr>
                <w:rFonts w:ascii="Times New Roman" w:cs="Times New Roman" w:eastAsia="Times New Roman" w:hAnsi="Times New Roman"/>
                <w:sz w:val="13"/>
                <w:szCs w:val="13"/>
                <w:color w:val="auto"/>
              </w:rPr>
              <w:t>Non-controlled/non-affiliated investments</w:t>
            </w:r>
            <w:r>
              <w:rPr>
                <w:rFonts w:ascii="Times New Roman" w:cs="Times New Roman" w:eastAsia="Times New Roman" w:hAnsi="Times New Roman"/>
                <w:sz w:val="16"/>
                <w:szCs w:val="16"/>
                <w:color w:val="auto"/>
                <w:vertAlign w:val="superscript"/>
              </w:rPr>
              <w:t>(1)</w:t>
            </w:r>
          </w:p>
        </w:tc>
        <w:tc>
          <w:tcPr>
            <w:tcW w:w="32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7,472</w:t>
            </w: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6,662</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4,950</w:t>
            </w: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Non-controlled affiliated investments</w:t>
            </w: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714</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406</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Controlled affiliated investments</w:t>
            </w:r>
          </w:p>
        </w:tc>
        <w:tc>
          <w:tcPr>
            <w:tcW w:w="32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payment-in-kind income</w:t>
            </w: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8,186</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7,068</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5,608</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Dividend income:</w:t>
            </w:r>
          </w:p>
        </w:tc>
        <w:tc>
          <w:tcPr>
            <w:tcW w:w="3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64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Non-controlled affiliated investments</w:t>
            </w:r>
          </w:p>
        </w:tc>
        <w:tc>
          <w:tcPr>
            <w:tcW w:w="3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6,576</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6,764</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4,450</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6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6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Controlled affiliated investments</w:t>
            </w:r>
          </w:p>
        </w:tc>
        <w:tc>
          <w:tcPr>
            <w:tcW w:w="32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2,184</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4,141</w:t>
            </w: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dividend income</w:t>
            </w: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6,576</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8,948</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8,591</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Fees and other income:</w:t>
            </w:r>
          </w:p>
        </w:tc>
        <w:tc>
          <w:tcPr>
            <w:tcW w:w="3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Non-controlled/non-affiliated investments</w:t>
            </w: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775</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1,882</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1,135</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Non-controlled affiliated investments</w:t>
            </w:r>
          </w:p>
        </w:tc>
        <w:tc>
          <w:tcPr>
            <w:tcW w:w="32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fees and other income</w:t>
            </w: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775</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1,896</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1,175</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Total investment income</w:t>
            </w:r>
          </w:p>
        </w:tc>
        <w:tc>
          <w:tcPr>
            <w:tcW w:w="32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62,432</w:t>
            </w: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76,315</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69,614</w:t>
            </w: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Management fees</w:t>
            </w:r>
          </w:p>
        </w:tc>
        <w:tc>
          <w:tcPr>
            <w:tcW w:w="32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6,559</w:t>
            </w: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7,452</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8,349</w:t>
            </w: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Performance-based incentive fees</w:t>
            </w: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5,012</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7,374</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6,126</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Interest and amortization of debt issuance costs</w:t>
            </w:r>
          </w:p>
        </w:tc>
        <w:tc>
          <w:tcPr>
            <w:tcW w:w="32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20,782</w:t>
            </w: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25,306</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17,701</w:t>
            </w: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64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Professional fees</w:t>
            </w:r>
          </w:p>
        </w:tc>
        <w:tc>
          <w:tcPr>
            <w:tcW w:w="3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1,873</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1,999</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2,768</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6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Administrative services expense</w:t>
            </w:r>
          </w:p>
        </w:tc>
        <w:tc>
          <w:tcPr>
            <w:tcW w:w="32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1,771</w:t>
            </w: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2,377</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3,364</w:t>
            </w: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Directors' expense</w:t>
            </w: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610</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632</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Other general and administrative expenses</w:t>
            </w:r>
          </w:p>
        </w:tc>
        <w:tc>
          <w:tcPr>
            <w:tcW w:w="32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1,781</w:t>
            </w: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1,713</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1,784</w:t>
            </w: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expenses</w:t>
            </w:r>
          </w:p>
        </w:tc>
        <w:tc>
          <w:tcPr>
            <w:tcW w:w="3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38,388</w:t>
            </w:r>
          </w:p>
        </w:tc>
        <w:tc>
          <w:tcPr>
            <w:tcW w:w="320" w:type="dxa"/>
            <w:vAlign w:val="bottom"/>
          </w:tcPr>
          <w:p>
            <w:pPr>
              <w:spacing w:after="0"/>
              <w:rPr>
                <w:sz w:val="13"/>
                <w:szCs w:val="13"/>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46,851</w:t>
            </w:r>
          </w:p>
        </w:tc>
        <w:tc>
          <w:tcPr>
            <w:tcW w:w="260" w:type="dxa"/>
            <w:vAlign w:val="bottom"/>
          </w:tcPr>
          <w:p>
            <w:pPr>
              <w:spacing w:after="0"/>
              <w:rPr>
                <w:sz w:val="13"/>
                <w:szCs w:val="13"/>
                <w:color w:val="auto"/>
              </w:rPr>
            </w:pP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40,724</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Expense reimbursement</w:t>
            </w:r>
          </w:p>
        </w:tc>
        <w:tc>
          <w:tcPr>
            <w:tcW w:w="32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(5,309 )</w:t>
            </w:r>
          </w:p>
        </w:tc>
        <w:tc>
          <w:tcPr>
            <w:tcW w:w="2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64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expenses</w:t>
            </w: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38,388</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41,542</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40,724</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NET INVESTMENT INCOME</w:t>
            </w:r>
          </w:p>
        </w:tc>
        <w:tc>
          <w:tcPr>
            <w:tcW w:w="32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24,044</w:t>
            </w: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34,773</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28,890</w:t>
            </w: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REALIZED AND UNREALIZED GAINS (LOSSES) ON INVESTMENTS:</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realized gains (losses) from investment transactions</w:t>
            </w:r>
          </w:p>
        </w:tc>
        <w:tc>
          <w:tcPr>
            <w:tcW w:w="3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Non-controlled/non-affiliated investments</w:t>
            </w:r>
          </w:p>
        </w:tc>
        <w:tc>
          <w:tcPr>
            <w:tcW w:w="3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(23,205 )</w:t>
            </w: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(26,334 )</w:t>
            </w: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(28,893 )</w:t>
            </w:r>
          </w:p>
        </w:tc>
        <w:tc>
          <w:tcPr>
            <w:tcW w:w="0" w:type="dxa"/>
            <w:vAlign w:val="bottom"/>
          </w:tcPr>
          <w:p>
            <w:pPr>
              <w:spacing w:after="0"/>
              <w:rPr>
                <w:sz w:val="1"/>
                <w:szCs w:val="1"/>
                <w:color w:val="auto"/>
              </w:rPr>
            </w:pPr>
          </w:p>
        </w:tc>
      </w:tr>
      <w:tr>
        <w:trPr>
          <w:trHeight w:val="156"/>
        </w:trPr>
        <w:tc>
          <w:tcPr>
            <w:tcW w:w="6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Non-controlled affiliated investments</w:t>
            </w:r>
          </w:p>
        </w:tc>
        <w:tc>
          <w:tcPr>
            <w:tcW w:w="32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(1,334 )</w:t>
            </w:r>
          </w:p>
        </w:tc>
        <w:tc>
          <w:tcPr>
            <w:tcW w:w="22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(399 )</w:t>
            </w:r>
          </w:p>
        </w:tc>
        <w:tc>
          <w:tcPr>
            <w:tcW w:w="2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(197 )</w:t>
            </w:r>
          </w:p>
        </w:tc>
        <w:tc>
          <w:tcPr>
            <w:tcW w:w="0" w:type="dxa"/>
            <w:vAlign w:val="bottom"/>
          </w:tcPr>
          <w:p>
            <w:pPr>
              <w:spacing w:after="0"/>
              <w:rPr>
                <w:sz w:val="1"/>
                <w:szCs w:val="1"/>
                <w:color w:val="auto"/>
              </w:rPr>
            </w:pPr>
          </w:p>
        </w:tc>
      </w:tr>
      <w:tr>
        <w:trPr>
          <w:trHeight w:val="156"/>
        </w:trPr>
        <w:tc>
          <w:tcPr>
            <w:tcW w:w="64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Controlled affiliated investments</w:t>
            </w:r>
          </w:p>
        </w:tc>
        <w:tc>
          <w:tcPr>
            <w:tcW w:w="320" w:type="dxa"/>
            <w:vAlign w:val="bottom"/>
          </w:tcPr>
          <w:p>
            <w:pPr>
              <w:spacing w:after="0"/>
              <w:rPr>
                <w:sz w:val="13"/>
                <w:szCs w:val="13"/>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(6,644 )</w:t>
            </w:r>
          </w:p>
        </w:tc>
        <w:tc>
          <w:tcPr>
            <w:tcW w:w="220" w:type="dxa"/>
            <w:vAlign w:val="bottom"/>
          </w:tcPr>
          <w:p>
            <w:pPr>
              <w:spacing w:after="0"/>
              <w:rPr>
                <w:sz w:val="13"/>
                <w:szCs w:val="1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(33 )</w:t>
            </w:r>
          </w:p>
        </w:tc>
        <w:tc>
          <w:tcPr>
            <w:tcW w:w="2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6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Derivatives</w:t>
            </w:r>
          </w:p>
        </w:tc>
        <w:tc>
          <w:tcPr>
            <w:tcW w:w="32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(2,095 )</w:t>
            </w:r>
          </w:p>
        </w:tc>
        <w:tc>
          <w:tcPr>
            <w:tcW w:w="0" w:type="dxa"/>
            <w:vAlign w:val="bottom"/>
          </w:tcPr>
          <w:p>
            <w:pPr>
              <w:spacing w:after="0"/>
              <w:rPr>
                <w:sz w:val="1"/>
                <w:szCs w:val="1"/>
                <w:color w:val="auto"/>
              </w:rPr>
            </w:pPr>
          </w:p>
        </w:tc>
      </w:tr>
      <w:tr>
        <w:trPr>
          <w:trHeight w:val="156"/>
        </w:trPr>
        <w:tc>
          <w:tcPr>
            <w:tcW w:w="64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320" w:type="dxa"/>
            <w:vAlign w:val="bottom"/>
          </w:tcPr>
          <w:p>
            <w:pPr>
              <w:spacing w:after="0"/>
              <w:rPr>
                <w:sz w:val="13"/>
                <w:szCs w:val="13"/>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(31,183 )</w:t>
            </w:r>
          </w:p>
        </w:tc>
        <w:tc>
          <w:tcPr>
            <w:tcW w:w="220" w:type="dxa"/>
            <w:vAlign w:val="bottom"/>
          </w:tcPr>
          <w:p>
            <w:pPr>
              <w:spacing w:after="0"/>
              <w:rPr>
                <w:sz w:val="13"/>
                <w:szCs w:val="1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(26,766 )</w:t>
            </w:r>
          </w:p>
        </w:tc>
        <w:tc>
          <w:tcPr>
            <w:tcW w:w="200" w:type="dxa"/>
            <w:vAlign w:val="bottom"/>
          </w:tcPr>
          <w:p>
            <w:pPr>
              <w:spacing w:after="0"/>
              <w:rPr>
                <w:sz w:val="13"/>
                <w:szCs w:val="13"/>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(31,185 )</w:t>
            </w:r>
          </w:p>
        </w:tc>
        <w:tc>
          <w:tcPr>
            <w:tcW w:w="0" w:type="dxa"/>
            <w:vAlign w:val="bottom"/>
          </w:tcPr>
          <w:p>
            <w:pPr>
              <w:spacing w:after="0"/>
              <w:rPr>
                <w:sz w:val="1"/>
                <w:szCs w:val="1"/>
                <w:color w:val="auto"/>
              </w:rPr>
            </w:pPr>
          </w:p>
        </w:tc>
      </w:tr>
      <w:tr>
        <w:trPr>
          <w:trHeight w:val="156"/>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change in unrealized appreciation (depreciation) on:</w:t>
            </w:r>
          </w:p>
        </w:tc>
        <w:tc>
          <w:tcPr>
            <w:tcW w:w="3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Non-controlled/non-affiliated investments</w:t>
            </w:r>
          </w:p>
        </w:tc>
        <w:tc>
          <w:tcPr>
            <w:tcW w:w="320" w:type="dxa"/>
            <w:vAlign w:val="bottom"/>
          </w:tcPr>
          <w:p>
            <w:pPr>
              <w:spacing w:after="0"/>
              <w:rPr>
                <w:sz w:val="13"/>
                <w:szCs w:val="13"/>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(2,446 )</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6,696</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(8,298 )</w:t>
            </w:r>
          </w:p>
        </w:tc>
        <w:tc>
          <w:tcPr>
            <w:tcW w:w="0" w:type="dxa"/>
            <w:vAlign w:val="bottom"/>
          </w:tcPr>
          <w:p>
            <w:pPr>
              <w:spacing w:after="0"/>
              <w:rPr>
                <w:sz w:val="1"/>
                <w:szCs w:val="1"/>
                <w:color w:val="auto"/>
              </w:rPr>
            </w:pPr>
          </w:p>
        </w:tc>
      </w:tr>
      <w:tr>
        <w:trPr>
          <w:trHeight w:val="156"/>
        </w:trPr>
        <w:tc>
          <w:tcPr>
            <w:tcW w:w="6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Non-controlled affiliated investments</w:t>
            </w:r>
          </w:p>
        </w:tc>
        <w:tc>
          <w:tcPr>
            <w:tcW w:w="32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(4,085 )</w:t>
            </w: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980</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(1,428 )</w:t>
            </w:r>
          </w:p>
        </w:tc>
        <w:tc>
          <w:tcPr>
            <w:tcW w:w="0" w:type="dxa"/>
            <w:vAlign w:val="bottom"/>
          </w:tcPr>
          <w:p>
            <w:pPr>
              <w:spacing w:after="0"/>
              <w:rPr>
                <w:sz w:val="1"/>
                <w:szCs w:val="1"/>
                <w:color w:val="auto"/>
              </w:rPr>
            </w:pPr>
          </w:p>
        </w:tc>
      </w:tr>
      <w:tr>
        <w:trPr>
          <w:trHeight w:val="156"/>
        </w:trPr>
        <w:tc>
          <w:tcPr>
            <w:tcW w:w="64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Controlled affiliated investments</w:t>
            </w: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7,317</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(4,354 )</w:t>
            </w:r>
          </w:p>
        </w:tc>
        <w:tc>
          <w:tcPr>
            <w:tcW w:w="200" w:type="dxa"/>
            <w:vAlign w:val="bottom"/>
          </w:tcPr>
          <w:p>
            <w:pPr>
              <w:spacing w:after="0"/>
              <w:rPr>
                <w:sz w:val="13"/>
                <w:szCs w:val="13"/>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(10,601 )</w:t>
            </w:r>
          </w:p>
        </w:tc>
        <w:tc>
          <w:tcPr>
            <w:tcW w:w="0" w:type="dxa"/>
            <w:vAlign w:val="bottom"/>
          </w:tcPr>
          <w:p>
            <w:pPr>
              <w:spacing w:after="0"/>
              <w:rPr>
                <w:sz w:val="1"/>
                <w:szCs w:val="1"/>
                <w:color w:val="auto"/>
              </w:rPr>
            </w:pPr>
          </w:p>
        </w:tc>
      </w:tr>
      <w:tr>
        <w:trPr>
          <w:trHeight w:val="156"/>
        </w:trPr>
        <w:tc>
          <w:tcPr>
            <w:tcW w:w="6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Derivatives</w:t>
            </w:r>
          </w:p>
        </w:tc>
        <w:tc>
          <w:tcPr>
            <w:tcW w:w="32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2,412</w:t>
            </w: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change in unrealized gain (loss) on investments</w:t>
            </w: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1,006</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3,322</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(17,915 )</w:t>
            </w:r>
          </w:p>
        </w:tc>
        <w:tc>
          <w:tcPr>
            <w:tcW w:w="0" w:type="dxa"/>
            <w:vAlign w:val="bottom"/>
          </w:tcPr>
          <w:p>
            <w:pPr>
              <w:spacing w:after="0"/>
              <w:rPr>
                <w:sz w:val="1"/>
                <w:szCs w:val="1"/>
                <w:color w:val="auto"/>
              </w:rPr>
            </w:pPr>
          </w:p>
        </w:tc>
      </w:tr>
      <w:tr>
        <w:trPr>
          <w:trHeight w:val="156"/>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Tax (provision) benefit on realized and unrealized (gains) losses on investments</w:t>
            </w:r>
          </w:p>
        </w:tc>
        <w:tc>
          <w:tcPr>
            <w:tcW w:w="32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853</w:t>
            </w: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414</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(786 )</w:t>
            </w:r>
          </w:p>
        </w:tc>
        <w:tc>
          <w:tcPr>
            <w:tcW w:w="0" w:type="dxa"/>
            <w:vAlign w:val="bottom"/>
          </w:tcPr>
          <w:p>
            <w:pPr>
              <w:spacing w:after="0"/>
              <w:rPr>
                <w:sz w:val="1"/>
                <w:szCs w:val="1"/>
                <w:color w:val="auto"/>
              </w:rPr>
            </w:pPr>
          </w:p>
        </w:tc>
      </w:tr>
      <w:tr>
        <w:trPr>
          <w:trHeight w:val="156"/>
        </w:trPr>
        <w:tc>
          <w:tcPr>
            <w:tcW w:w="64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realized and unrealized appreciation (depreciation) on investments, net of taxes</w:t>
            </w:r>
          </w:p>
        </w:tc>
        <w:tc>
          <w:tcPr>
            <w:tcW w:w="320" w:type="dxa"/>
            <w:vAlign w:val="bottom"/>
          </w:tcPr>
          <w:p>
            <w:pPr>
              <w:spacing w:after="0"/>
              <w:rPr>
                <w:sz w:val="13"/>
                <w:szCs w:val="13"/>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(29,324 )</w:t>
            </w:r>
          </w:p>
        </w:tc>
        <w:tc>
          <w:tcPr>
            <w:tcW w:w="220" w:type="dxa"/>
            <w:vAlign w:val="bottom"/>
          </w:tcPr>
          <w:p>
            <w:pPr>
              <w:spacing w:after="0"/>
              <w:rPr>
                <w:sz w:val="13"/>
                <w:szCs w:val="1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(23,030 )</w:t>
            </w:r>
          </w:p>
        </w:tc>
        <w:tc>
          <w:tcPr>
            <w:tcW w:w="200" w:type="dxa"/>
            <w:vAlign w:val="bottom"/>
          </w:tcPr>
          <w:p>
            <w:pPr>
              <w:spacing w:after="0"/>
              <w:rPr>
                <w:sz w:val="13"/>
                <w:szCs w:val="13"/>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(49,886 )</w:t>
            </w:r>
          </w:p>
        </w:tc>
        <w:tc>
          <w:tcPr>
            <w:tcW w:w="0" w:type="dxa"/>
            <w:vAlign w:val="bottom"/>
          </w:tcPr>
          <w:p>
            <w:pPr>
              <w:spacing w:after="0"/>
              <w:rPr>
                <w:sz w:val="1"/>
                <w:szCs w:val="1"/>
                <w:color w:val="auto"/>
              </w:rPr>
            </w:pPr>
          </w:p>
        </w:tc>
      </w:tr>
      <w:tr>
        <w:trPr>
          <w:trHeight w:val="156"/>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Realized gains (losses) on extinguishment of debt</w:t>
            </w:r>
          </w:p>
        </w:tc>
        <w:tc>
          <w:tcPr>
            <w:tcW w:w="32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(655 )</w:t>
            </w:r>
          </w:p>
        </w:tc>
        <w:tc>
          <w:tcPr>
            <w:tcW w:w="22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(362 )</w:t>
            </w:r>
          </w:p>
        </w:tc>
        <w:tc>
          <w:tcPr>
            <w:tcW w:w="2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64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b w:val="1"/>
                <w:bCs w:val="1"/>
                <w:color w:val="auto"/>
              </w:rPr>
              <w:t>NET INCREASE (DECREASE) IN NET ASSETS RESULTING FROM OPERATIONS</w:t>
            </w:r>
          </w:p>
        </w:tc>
        <w:tc>
          <w:tcPr>
            <w:tcW w:w="320" w:type="dxa"/>
            <w:vAlign w:val="bottom"/>
          </w:tcPr>
          <w:p>
            <w:pPr>
              <w:jc w:val="right"/>
              <w:ind w:right="17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gridSpan w:val="2"/>
          </w:tcPr>
          <w:p>
            <w:pPr>
              <w:jc w:val="right"/>
              <w:ind w:right="260"/>
              <w:spacing w:after="0" w:line="136" w:lineRule="exact"/>
              <w:rPr>
                <w:sz w:val="20"/>
                <w:szCs w:val="20"/>
                <w:color w:val="auto"/>
              </w:rPr>
            </w:pPr>
            <w:r>
              <w:rPr>
                <w:rFonts w:ascii="Times New Roman" w:cs="Times New Roman" w:eastAsia="Times New Roman" w:hAnsi="Times New Roman"/>
                <w:sz w:val="9"/>
                <w:szCs w:val="9"/>
                <w:color w:val="auto"/>
              </w:rPr>
              <w:t xml:space="preserve">(5,935 </w:t>
            </w:r>
            <w:r>
              <w:rPr>
                <w:rFonts w:ascii="Times New Roman" w:cs="Times New Roman" w:eastAsia="Times New Roman" w:hAnsi="Times New Roman"/>
                <w:sz w:val="15"/>
                <w:szCs w:val="15"/>
                <w:color w:val="auto"/>
                <w:vertAlign w:val="subscript"/>
              </w:rPr>
              <w:t>)</w:t>
            </w:r>
          </w:p>
        </w:tc>
        <w:tc>
          <w:tcPr>
            <w:tcW w:w="220" w:type="dxa"/>
            <w:vAlign w:val="bottom"/>
          </w:tcPr>
          <w:p>
            <w:pPr>
              <w:jc w:val="right"/>
              <w:ind w:right="7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11,381</w:t>
            </w:r>
          </w:p>
        </w:tc>
        <w:tc>
          <w:tcPr>
            <w:tcW w:w="260" w:type="dxa"/>
            <w:vAlign w:val="bottom"/>
          </w:tcPr>
          <w:p>
            <w:pPr>
              <w:spacing w:after="0"/>
              <w:rPr>
                <w:sz w:val="13"/>
                <w:szCs w:val="13"/>
                <w:color w:val="auto"/>
              </w:rPr>
            </w:pPr>
          </w:p>
        </w:tc>
        <w:tc>
          <w:tcPr>
            <w:tcW w:w="200" w:type="dxa"/>
            <w:vAlign w:val="bottom"/>
          </w:tcPr>
          <w:p>
            <w:pPr>
              <w:jc w:val="right"/>
              <w:ind w:right="5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ind w:right="240"/>
              <w:spacing w:after="0" w:line="136" w:lineRule="exact"/>
              <w:rPr>
                <w:sz w:val="20"/>
                <w:szCs w:val="20"/>
                <w:color w:val="auto"/>
              </w:rPr>
            </w:pPr>
            <w:r>
              <w:rPr>
                <w:rFonts w:ascii="Times New Roman" w:cs="Times New Roman" w:eastAsia="Times New Roman" w:hAnsi="Times New Roman"/>
                <w:sz w:val="9"/>
                <w:szCs w:val="9"/>
                <w:color w:val="auto"/>
              </w:rPr>
              <w:t xml:space="preserve">(20,996 </w:t>
            </w:r>
            <w:r>
              <w:rPr>
                <w:rFonts w:ascii="Times New Roman" w:cs="Times New Roman" w:eastAsia="Times New Roman" w:hAnsi="Times New Roman"/>
                <w:sz w:val="15"/>
                <w:szCs w:val="15"/>
                <w:color w:val="auto"/>
                <w:vertAlign w:val="subscript"/>
              </w:rPr>
              <w:t>)</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400" w:type="dxa"/>
            <w:vAlign w:val="bottom"/>
            <w:shd w:val="clear" w:color="auto" w:fill="CFF0FC"/>
          </w:tcPr>
          <w:p>
            <w:pPr>
              <w:ind w:left="180"/>
              <w:spacing w:after="0" w:line="133" w:lineRule="exact"/>
              <w:rPr>
                <w:sz w:val="20"/>
                <w:szCs w:val="20"/>
                <w:color w:val="auto"/>
              </w:rPr>
            </w:pPr>
            <w:r>
              <w:rPr>
                <w:rFonts w:ascii="Times New Roman" w:cs="Times New Roman" w:eastAsia="Times New Roman" w:hAnsi="Times New Roman"/>
                <w:sz w:val="13"/>
                <w:szCs w:val="13"/>
                <w:color w:val="auto"/>
              </w:rPr>
              <w:t>Net Increase (Decrease) In Net Assets Resulting from Operations per Common Share:</w:t>
            </w:r>
          </w:p>
        </w:tc>
        <w:tc>
          <w:tcPr>
            <w:tcW w:w="3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4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Basic and Diluted:</w:t>
            </w:r>
          </w:p>
        </w:tc>
        <w:tc>
          <w:tcPr>
            <w:tcW w:w="3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(0.64 )</w:t>
            </w: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260" w:type="dxa"/>
            <w:vAlign w:val="bottom"/>
          </w:tcPr>
          <w:p>
            <w:pPr>
              <w:spacing w:after="0"/>
              <w:rPr>
                <w:sz w:val="13"/>
                <w:szCs w:val="13"/>
                <w:color w:val="auto"/>
              </w:rPr>
            </w:pP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(2.18 )</w:t>
            </w:r>
          </w:p>
        </w:tc>
        <w:tc>
          <w:tcPr>
            <w:tcW w:w="0" w:type="dxa"/>
            <w:vAlign w:val="bottom"/>
          </w:tcPr>
          <w:p>
            <w:pPr>
              <w:spacing w:after="0"/>
              <w:rPr>
                <w:sz w:val="1"/>
                <w:szCs w:val="1"/>
                <w:color w:val="auto"/>
              </w:rPr>
            </w:pPr>
          </w:p>
        </w:tc>
      </w:tr>
      <w:tr>
        <w:trPr>
          <w:trHeight w:val="156"/>
        </w:trPr>
        <w:tc>
          <w:tcPr>
            <w:tcW w:w="6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Net Investment Income Per Common Share:</w:t>
            </w:r>
          </w:p>
        </w:tc>
        <w:tc>
          <w:tcPr>
            <w:tcW w:w="3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Basic and Diluted:</w:t>
            </w:r>
          </w:p>
        </w:tc>
        <w:tc>
          <w:tcPr>
            <w:tcW w:w="3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w:t>
            </w:r>
          </w:p>
        </w:tc>
        <w:tc>
          <w:tcPr>
            <w:tcW w:w="320" w:type="dxa"/>
            <w:vAlign w:val="bottom"/>
          </w:tcPr>
          <w:p>
            <w:pPr>
              <w:spacing w:after="0"/>
              <w:rPr>
                <w:sz w:val="13"/>
                <w:szCs w:val="13"/>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w:t>
            </w:r>
          </w:p>
        </w:tc>
        <w:tc>
          <w:tcPr>
            <w:tcW w:w="260" w:type="dxa"/>
            <w:vAlign w:val="bottom"/>
          </w:tcPr>
          <w:p>
            <w:pPr>
              <w:spacing w:after="0"/>
              <w:rPr>
                <w:sz w:val="13"/>
                <w:szCs w:val="13"/>
                <w:color w:val="auto"/>
              </w:rPr>
            </w:pP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Weighted Average Shares of Common Stock Outstanding—Basic and Diluted</w:t>
            </w:r>
          </w:p>
        </w:tc>
        <w:tc>
          <w:tcPr>
            <w:tcW w:w="32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9,272,809</w:t>
            </w: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9,509,396</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9,634,468</w:t>
            </w: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right="60"/>
        <w:spacing w:after="0" w:line="300" w:lineRule="auto"/>
        <w:rPr>
          <w:sz w:val="20"/>
          <w:szCs w:val="20"/>
          <w:color w:val="auto"/>
        </w:rPr>
      </w:pPr>
      <w:r>
        <w:rPr>
          <w:rFonts w:ascii="Times New Roman" w:cs="Times New Roman" w:eastAsia="Times New Roman" w:hAnsi="Times New Roman"/>
          <w:sz w:val="11"/>
          <w:szCs w:val="11"/>
          <w:color w:val="auto"/>
        </w:rPr>
        <w:t>(1)During the years ended December 31, 2024, December 31, 2023 and December 31, 2022, the Company received $0.1 million, $0.6 million and $</w:t>
      </w:r>
      <w:r>
        <w:rPr>
          <w:rFonts w:ascii="Times New Roman" w:cs="Times New Roman" w:eastAsia="Times New Roman" w:hAnsi="Times New Roman"/>
          <w:sz w:val="13"/>
          <w:szCs w:val="13"/>
          <w:color w:val="auto"/>
        </w:rPr>
        <w:t>—</w:t>
      </w:r>
      <w:r>
        <w:rPr>
          <w:rFonts w:ascii="Times New Roman" w:cs="Times New Roman" w:eastAsia="Times New Roman" w:hAnsi="Times New Roman"/>
          <w:sz w:val="11"/>
          <w:szCs w:val="11"/>
          <w:color w:val="auto"/>
        </w:rPr>
        <w:t xml:space="preserve"> million, respectively, of non-recurring fee income that was paid in-kind and included in this financial statement line item.</w:t>
      </w:r>
    </w:p>
    <w:p>
      <w:pPr>
        <w:spacing w:after="0" w:line="26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1"/>
          <w:szCs w:val="11"/>
          <w:color w:val="auto"/>
        </w:rPr>
        <w:t>See accompanying notes to consolidated financial statements.</w:t>
      </w:r>
    </w:p>
    <w:p>
      <w:pPr>
        <w:spacing w:after="0" w:line="10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1"/>
          <w:szCs w:val="11"/>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PORTMAN RIDGE FINANCE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CHANGES IN NET ASSETS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80" w:type="dxa"/>
            <w:vAlign w:val="bottom"/>
            <w:gridSpan w:val="5"/>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0"/>
        </w:trPr>
        <w:tc>
          <w:tcPr>
            <w:tcW w:w="6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rPr>
              <w:t>2023</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4"/>
                <w:szCs w:val="14"/>
                <w:color w:val="auto"/>
              </w:rPr>
            </w:pPr>
          </w:p>
        </w:tc>
      </w:tr>
      <w:tr>
        <w:trPr>
          <w:trHeight w:val="156"/>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Operations:</w:t>
            </w:r>
          </w:p>
        </w:tc>
        <w:tc>
          <w:tcPr>
            <w:tcW w:w="2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6"/>
        </w:trPr>
        <w:tc>
          <w:tcPr>
            <w:tcW w:w="62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investment income</w:t>
            </w: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24,044</w:t>
            </w:r>
          </w:p>
        </w:tc>
        <w:tc>
          <w:tcPr>
            <w:tcW w:w="3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34,773</w:t>
            </w:r>
          </w:p>
        </w:tc>
        <w:tc>
          <w:tcPr>
            <w:tcW w:w="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28,890</w:t>
            </w:r>
          </w:p>
        </w:tc>
      </w:tr>
      <w:tr>
        <w:trPr>
          <w:trHeight w:val="156"/>
        </w:trPr>
        <w:tc>
          <w:tcPr>
            <w:tcW w:w="6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Net realized gains (losses) from investment transactions</w:t>
            </w:r>
          </w:p>
        </w:tc>
        <w:tc>
          <w:tcPr>
            <w:tcW w:w="28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(31,183)</w:t>
            </w:r>
          </w:p>
        </w:tc>
        <w:tc>
          <w:tcPr>
            <w:tcW w:w="3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(26,766)</w:t>
            </w:r>
          </w:p>
        </w:tc>
        <w:tc>
          <w:tcPr>
            <w:tcW w:w="2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(31,185)</w:t>
            </w:r>
          </w:p>
        </w:tc>
      </w:tr>
      <w:tr>
        <w:trPr>
          <w:trHeight w:val="156"/>
        </w:trPr>
        <w:tc>
          <w:tcPr>
            <w:tcW w:w="62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Realized gains (losses) from extinguishment of debt</w:t>
            </w:r>
          </w:p>
        </w:tc>
        <w:tc>
          <w:tcPr>
            <w:tcW w:w="280" w:type="dxa"/>
            <w:vAlign w:val="bottom"/>
          </w:tcPr>
          <w:p>
            <w:pPr>
              <w:spacing w:after="0"/>
              <w:rPr>
                <w:sz w:val="13"/>
                <w:szCs w:val="13"/>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(655 )</w:t>
            </w:r>
          </w:p>
        </w:tc>
        <w:tc>
          <w:tcPr>
            <w:tcW w:w="320" w:type="dxa"/>
            <w:vAlign w:val="bottom"/>
          </w:tcPr>
          <w:p>
            <w:pPr>
              <w:spacing w:after="0"/>
              <w:rPr>
                <w:sz w:val="13"/>
                <w:szCs w:val="1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(362 )</w:t>
            </w:r>
          </w:p>
        </w:tc>
        <w:tc>
          <w:tcPr>
            <w:tcW w:w="24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6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tc>
        <w:tc>
          <w:tcPr>
            <w:tcW w:w="28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1,006</w:t>
            </w: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3,322</w:t>
            </w: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(17,915)</w:t>
            </w:r>
          </w:p>
        </w:tc>
      </w:tr>
      <w:tr>
        <w:trPr>
          <w:trHeight w:val="156"/>
        </w:trPr>
        <w:tc>
          <w:tcPr>
            <w:tcW w:w="62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Tax (provision) benefit on realized and unrealized gains (losses) on investments</w:t>
            </w: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853</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(786 )</w:t>
            </w:r>
          </w:p>
        </w:tc>
      </w:tr>
      <w:tr>
        <w:trPr>
          <w:trHeight w:val="156"/>
        </w:trPr>
        <w:tc>
          <w:tcPr>
            <w:tcW w:w="6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Net increase (decrease) in net assets resulting from operations</w:t>
            </w:r>
          </w:p>
        </w:tc>
        <w:tc>
          <w:tcPr>
            <w:tcW w:w="2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(5,935)</w:t>
            </w:r>
          </w:p>
        </w:tc>
        <w:tc>
          <w:tcPr>
            <w:tcW w:w="32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11,381</w:t>
            </w:r>
          </w:p>
        </w:tc>
        <w:tc>
          <w:tcPr>
            <w:tcW w:w="2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(20,996)</w:t>
            </w:r>
          </w:p>
        </w:tc>
      </w:tr>
      <w:tr>
        <w:trPr>
          <w:trHeight w:val="156"/>
        </w:trPr>
        <w:tc>
          <w:tcPr>
            <w:tcW w:w="6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 distributions:</w:t>
            </w:r>
          </w:p>
        </w:tc>
        <w:tc>
          <w:tcPr>
            <w:tcW w:w="2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6"/>
        </w:trPr>
        <w:tc>
          <w:tcPr>
            <w:tcW w:w="62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Distributions of ordinary income</w:t>
            </w: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(25,582)</w:t>
            </w:r>
          </w:p>
        </w:tc>
        <w:tc>
          <w:tcPr>
            <w:tcW w:w="3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(26,147)</w:t>
            </w:r>
          </w:p>
        </w:tc>
        <w:tc>
          <w:tcPr>
            <w:tcW w:w="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(24,661)</w:t>
            </w:r>
          </w:p>
        </w:tc>
      </w:tr>
      <w:tr>
        <w:trPr>
          <w:trHeight w:val="156"/>
        </w:trPr>
        <w:tc>
          <w:tcPr>
            <w:tcW w:w="6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Net decrease in net assets resulting from stockholder distributions</w:t>
            </w:r>
          </w:p>
        </w:tc>
        <w:tc>
          <w:tcPr>
            <w:tcW w:w="2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(25,582)</w:t>
            </w:r>
          </w:p>
        </w:tc>
        <w:tc>
          <w:tcPr>
            <w:tcW w:w="32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(26,147)</w:t>
            </w:r>
          </w:p>
        </w:tc>
        <w:tc>
          <w:tcPr>
            <w:tcW w:w="2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(24,661)</w:t>
            </w:r>
          </w:p>
        </w:tc>
      </w:tr>
      <w:tr>
        <w:trPr>
          <w:trHeight w:val="156"/>
        </w:trPr>
        <w:tc>
          <w:tcPr>
            <w:tcW w:w="6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Capital share transactions:</w:t>
            </w:r>
          </w:p>
        </w:tc>
        <w:tc>
          <w:tcPr>
            <w:tcW w:w="2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6"/>
        </w:trPr>
        <w:tc>
          <w:tcPr>
            <w:tcW w:w="62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Issuance of common stock for:</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6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Distribution reinvestment plan</w:t>
            </w:r>
          </w:p>
        </w:tc>
        <w:tc>
          <w:tcPr>
            <w:tcW w:w="2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516</w:t>
            </w: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1,111</w:t>
            </w:r>
          </w:p>
        </w:tc>
        <w:tc>
          <w:tcPr>
            <w:tcW w:w="80" w:type="dxa"/>
            <w:vAlign w:val="bottom"/>
            <w:shd w:val="clear" w:color="auto" w:fill="CFF0FC"/>
          </w:tcPr>
          <w:p>
            <w:pPr>
              <w:spacing w:after="0"/>
              <w:rPr>
                <w:sz w:val="13"/>
                <w:szCs w:val="13"/>
                <w:color w:val="auto"/>
              </w:rPr>
            </w:pPr>
          </w:p>
        </w:tc>
      </w:tr>
      <w:tr>
        <w:trPr>
          <w:trHeight w:val="156"/>
        </w:trPr>
        <w:tc>
          <w:tcPr>
            <w:tcW w:w="62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Stock repurchases</w:t>
            </w:r>
          </w:p>
        </w:tc>
        <w:tc>
          <w:tcPr>
            <w:tcW w:w="280" w:type="dxa"/>
            <w:vAlign w:val="bottom"/>
          </w:tcPr>
          <w:p>
            <w:pPr>
              <w:spacing w:after="0"/>
              <w:rPr>
                <w:sz w:val="13"/>
                <w:szCs w:val="13"/>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(3,832)</w:t>
            </w:r>
          </w:p>
        </w:tc>
        <w:tc>
          <w:tcPr>
            <w:tcW w:w="320" w:type="dxa"/>
            <w:vAlign w:val="bottom"/>
          </w:tcPr>
          <w:p>
            <w:pPr>
              <w:spacing w:after="0"/>
              <w:rPr>
                <w:sz w:val="13"/>
                <w:szCs w:val="1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(4,355)</w:t>
            </w:r>
          </w:p>
        </w:tc>
        <w:tc>
          <w:tcPr>
            <w:tcW w:w="240" w:type="dxa"/>
            <w:vAlign w:val="bottom"/>
          </w:tcPr>
          <w:p>
            <w:pPr>
              <w:spacing w:after="0"/>
              <w:rPr>
                <w:sz w:val="13"/>
                <w:szCs w:val="13"/>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(3,831)</w:t>
            </w:r>
          </w:p>
        </w:tc>
      </w:tr>
      <w:tr>
        <w:trPr>
          <w:trHeight w:val="156"/>
        </w:trPr>
        <w:tc>
          <w:tcPr>
            <w:tcW w:w="6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Private placement and other</w:t>
            </w:r>
          </w:p>
        </w:tc>
        <w:tc>
          <w:tcPr>
            <w:tcW w:w="28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378</w:t>
            </w:r>
          </w:p>
        </w:tc>
        <w:tc>
          <w:tcPr>
            <w:tcW w:w="80" w:type="dxa"/>
            <w:vAlign w:val="bottom"/>
            <w:shd w:val="clear" w:color="auto" w:fill="CFF0FC"/>
          </w:tcPr>
          <w:p>
            <w:pPr>
              <w:spacing w:after="0"/>
              <w:rPr>
                <w:sz w:val="13"/>
                <w:szCs w:val="13"/>
                <w:color w:val="auto"/>
              </w:rPr>
            </w:pPr>
          </w:p>
        </w:tc>
      </w:tr>
      <w:tr>
        <w:trPr>
          <w:trHeight w:val="156"/>
        </w:trPr>
        <w:tc>
          <w:tcPr>
            <w:tcW w:w="62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increase (decrease) in net assets resulting from capital share transactions</w:t>
            </w: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(3,508)</w:t>
            </w:r>
          </w:p>
        </w:tc>
        <w:tc>
          <w:tcPr>
            <w:tcW w:w="3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(3,839)</w:t>
            </w:r>
          </w:p>
        </w:tc>
        <w:tc>
          <w:tcPr>
            <w:tcW w:w="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(2,342)</w:t>
            </w:r>
          </w:p>
        </w:tc>
      </w:tr>
      <w:tr>
        <w:trPr>
          <w:trHeight w:val="156"/>
        </w:trPr>
        <w:tc>
          <w:tcPr>
            <w:tcW w:w="6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6"/>
        </w:trPr>
        <w:tc>
          <w:tcPr>
            <w:tcW w:w="6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assets at beginning of period</w:t>
            </w: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213,518</w:t>
            </w:r>
          </w:p>
        </w:tc>
        <w:tc>
          <w:tcPr>
            <w:tcW w:w="240" w:type="dxa"/>
            <w:vAlign w:val="bottom"/>
          </w:tcPr>
          <w:p>
            <w:pPr>
              <w:spacing w:after="0"/>
              <w:rPr>
                <w:sz w:val="13"/>
                <w:szCs w:val="13"/>
                <w:color w:val="auto"/>
              </w:rPr>
            </w:pPr>
          </w:p>
        </w:tc>
        <w:tc>
          <w:tcPr>
            <w:tcW w:w="3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232,123</w:t>
            </w:r>
          </w:p>
        </w:tc>
        <w:tc>
          <w:tcPr>
            <w:tcW w:w="280" w:type="dxa"/>
            <w:vAlign w:val="bottom"/>
          </w:tcPr>
          <w:p>
            <w:pPr>
              <w:spacing w:after="0"/>
              <w:rPr>
                <w:sz w:val="13"/>
                <w:szCs w:val="13"/>
                <w:color w:val="auto"/>
              </w:rPr>
            </w:pPr>
          </w:p>
        </w:tc>
        <w:tc>
          <w:tcPr>
            <w:tcW w:w="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280,122</w:t>
            </w:r>
          </w:p>
        </w:tc>
        <w:tc>
          <w:tcPr>
            <w:tcW w:w="80" w:type="dxa"/>
            <w:vAlign w:val="bottom"/>
          </w:tcPr>
          <w:p>
            <w:pPr>
              <w:spacing w:after="0"/>
              <w:rPr>
                <w:sz w:val="13"/>
                <w:szCs w:val="13"/>
                <w:color w:val="auto"/>
              </w:rPr>
            </w:pPr>
          </w:p>
        </w:tc>
      </w:tr>
      <w:tr>
        <w:trPr>
          <w:trHeight w:val="196"/>
        </w:trPr>
        <w:tc>
          <w:tcPr>
            <w:tcW w:w="6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assets at end of period</w:t>
            </w:r>
          </w:p>
        </w:tc>
        <w:tc>
          <w:tcPr>
            <w:tcW w:w="280" w:type="dxa"/>
            <w:vAlign w:val="bottom"/>
            <w:tcBorders>
              <w:bottom w:val="single" w:sz="8" w:color="auto"/>
            </w:tcBorders>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178,493</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213,518</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232,123</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32"/>
        </w:trPr>
        <w:tc>
          <w:tcPr>
            <w:tcW w:w="624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Net asset value per common share</w:t>
            </w:r>
          </w:p>
        </w:tc>
        <w:tc>
          <w:tcPr>
            <w:tcW w:w="280" w:type="dxa"/>
            <w:vAlign w:val="bottom"/>
          </w:tcPr>
          <w:p>
            <w:pPr>
              <w:jc w:val="right"/>
              <w:ind w:right="13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19.41</w:t>
            </w:r>
          </w:p>
        </w:tc>
        <w:tc>
          <w:tcPr>
            <w:tcW w:w="240" w:type="dxa"/>
            <w:vAlign w:val="bottom"/>
          </w:tcPr>
          <w:p>
            <w:pPr>
              <w:spacing w:after="0"/>
              <w:rPr>
                <w:sz w:val="11"/>
                <w:szCs w:val="11"/>
                <w:color w:val="auto"/>
              </w:rPr>
            </w:pPr>
          </w:p>
        </w:tc>
        <w:tc>
          <w:tcPr>
            <w:tcW w:w="320" w:type="dxa"/>
            <w:vAlign w:val="bottom"/>
          </w:tcPr>
          <w:p>
            <w:pPr>
              <w:jc w:val="right"/>
              <w:ind w:right="17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22.76</w:t>
            </w:r>
          </w:p>
        </w:tc>
        <w:tc>
          <w:tcPr>
            <w:tcW w:w="280" w:type="dxa"/>
            <w:vAlign w:val="bottom"/>
          </w:tcPr>
          <w:p>
            <w:pPr>
              <w:spacing w:after="0"/>
              <w:rPr>
                <w:sz w:val="11"/>
                <w:szCs w:val="11"/>
                <w:color w:val="auto"/>
              </w:rPr>
            </w:pPr>
          </w:p>
        </w:tc>
        <w:tc>
          <w:tcPr>
            <w:tcW w:w="240" w:type="dxa"/>
            <w:vAlign w:val="bottom"/>
          </w:tcPr>
          <w:p>
            <w:pPr>
              <w:jc w:val="right"/>
              <w:ind w:right="9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24.23</w:t>
            </w:r>
          </w:p>
        </w:tc>
        <w:tc>
          <w:tcPr>
            <w:tcW w:w="80" w:type="dxa"/>
            <w:vAlign w:val="bottom"/>
          </w:tcPr>
          <w:p>
            <w:pPr>
              <w:spacing w:after="0"/>
              <w:rPr>
                <w:sz w:val="11"/>
                <w:szCs w:val="11"/>
                <w:color w:val="auto"/>
              </w:rPr>
            </w:pPr>
          </w:p>
        </w:tc>
      </w:tr>
      <w:tr>
        <w:trPr>
          <w:trHeight w:val="156"/>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Common shares outstanding at end of period</w:t>
            </w:r>
          </w:p>
        </w:tc>
        <w:tc>
          <w:tcPr>
            <w:tcW w:w="28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9,198,175</w:t>
            </w: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9,383,132</w:t>
            </w: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9,581,536</w:t>
            </w:r>
          </w:p>
        </w:tc>
        <w:tc>
          <w:tcPr>
            <w:tcW w:w="80" w:type="dxa"/>
            <w:vAlign w:val="bottom"/>
            <w:shd w:val="clear" w:color="auto" w:fill="CFF0FC"/>
          </w:tcPr>
          <w:p>
            <w:pPr>
              <w:spacing w:after="0"/>
              <w:rPr>
                <w:sz w:val="13"/>
                <w:szCs w:val="13"/>
                <w:color w:val="auto"/>
              </w:rPr>
            </w:pPr>
          </w:p>
        </w:tc>
      </w:tr>
    </w:tbl>
    <w:p>
      <w:pPr>
        <w:spacing w:after="0" w:line="26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1"/>
          <w:szCs w:val="11"/>
          <w:color w:val="auto"/>
        </w:rPr>
        <w:t>See accompanying notes to consolidated financial statements.</w:t>
      </w:r>
    </w:p>
    <w:p>
      <w:pPr>
        <w:spacing w:after="0" w:line="10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1"/>
          <w:szCs w:val="11"/>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PORTMAN RIDGE FINANCE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20" w:type="dxa"/>
            <w:vAlign w:val="bottom"/>
            <w:gridSpan w:val="6"/>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OPERATING ACTIVITIES:</w:t>
            </w:r>
          </w:p>
        </w:tc>
        <w:tc>
          <w:tcPr>
            <w:tcW w:w="3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increase (decrease) in net assets resulting from operations</w:t>
            </w: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(5,935)</w:t>
            </w: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11,381</w:t>
            </w:r>
          </w:p>
        </w:tc>
        <w:tc>
          <w:tcPr>
            <w:tcW w:w="3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(20,996)</w:t>
            </w:r>
          </w:p>
        </w:tc>
        <w:tc>
          <w:tcPr>
            <w:tcW w:w="0" w:type="dxa"/>
            <w:vAlign w:val="bottom"/>
          </w:tcPr>
          <w:p>
            <w:pPr>
              <w:spacing w:after="0"/>
              <w:rPr>
                <w:sz w:val="1"/>
                <w:szCs w:val="1"/>
                <w:color w:val="auto"/>
              </w:rPr>
            </w:pPr>
          </w:p>
        </w:tc>
      </w:tr>
      <w:tr>
        <w:trPr>
          <w:trHeight w:val="144"/>
        </w:trPr>
        <w:tc>
          <w:tcPr>
            <w:tcW w:w="6180" w:type="dxa"/>
            <w:vAlign w:val="bottom"/>
            <w:shd w:val="clear" w:color="auto" w:fill="CFF0FC"/>
          </w:tcPr>
          <w:p>
            <w:pPr>
              <w:ind w:left="180"/>
              <w:spacing w:after="0" w:line="144" w:lineRule="exact"/>
              <w:rPr>
                <w:sz w:val="20"/>
                <w:szCs w:val="20"/>
                <w:color w:val="auto"/>
              </w:rPr>
            </w:pPr>
            <w:r>
              <w:rPr>
                <w:rFonts w:ascii="Times New Roman" w:cs="Times New Roman" w:eastAsia="Times New Roman" w:hAnsi="Times New Roman"/>
                <w:sz w:val="13"/>
                <w:szCs w:val="13"/>
                <w:color w:val="auto"/>
              </w:rPr>
              <w:t>Adjustments to reconcile net increase (decrease) in stockholders' equity resulting from operations to net cash</w:t>
            </w:r>
          </w:p>
        </w:tc>
        <w:tc>
          <w:tcPr>
            <w:tcW w:w="3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6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(used in) provided by in operations:</w:t>
            </w: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1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Net realized (gains) losses on investment transactions</w:t>
            </w:r>
          </w:p>
        </w:tc>
        <w:tc>
          <w:tcPr>
            <w:tcW w:w="300" w:type="dxa"/>
            <w:vAlign w:val="bottom"/>
          </w:tcPr>
          <w:p>
            <w:pPr>
              <w:spacing w:after="0"/>
              <w:rPr>
                <w:sz w:val="13"/>
                <w:szCs w:val="13"/>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31,183</w:t>
            </w:r>
          </w:p>
        </w:tc>
        <w:tc>
          <w:tcPr>
            <w:tcW w:w="280" w:type="dxa"/>
            <w:vAlign w:val="bottom"/>
          </w:tcPr>
          <w:p>
            <w:pPr>
              <w:spacing w:after="0"/>
              <w:rPr>
                <w:sz w:val="13"/>
                <w:szCs w:val="13"/>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26,896</w:t>
            </w:r>
          </w:p>
        </w:tc>
        <w:tc>
          <w:tcPr>
            <w:tcW w:w="320" w:type="dxa"/>
            <w:vAlign w:val="bottom"/>
          </w:tcPr>
          <w:p>
            <w:pPr>
              <w:spacing w:after="0"/>
              <w:rPr>
                <w:sz w:val="13"/>
                <w:szCs w:val="13"/>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31,185</w:t>
            </w:r>
          </w:p>
        </w:tc>
        <w:tc>
          <w:tcPr>
            <w:tcW w:w="0" w:type="dxa"/>
            <w:vAlign w:val="bottom"/>
          </w:tcPr>
          <w:p>
            <w:pPr>
              <w:spacing w:after="0"/>
              <w:rPr>
                <w:sz w:val="1"/>
                <w:szCs w:val="1"/>
                <w:color w:val="auto"/>
              </w:rPr>
            </w:pPr>
          </w:p>
        </w:tc>
      </w:tr>
      <w:tr>
        <w:trPr>
          <w:trHeight w:val="156"/>
        </w:trPr>
        <w:tc>
          <w:tcPr>
            <w:tcW w:w="61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Net change in unrealized (appreciation) depreciation from investments</w:t>
            </w:r>
          </w:p>
        </w:tc>
        <w:tc>
          <w:tcPr>
            <w:tcW w:w="30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(1,006)</w:t>
            </w:r>
          </w:p>
        </w:tc>
        <w:tc>
          <w:tcPr>
            <w:tcW w:w="28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(3,322)</w:t>
            </w:r>
          </w:p>
        </w:tc>
        <w:tc>
          <w:tcPr>
            <w:tcW w:w="3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17,915</w:t>
            </w:r>
          </w:p>
        </w:tc>
        <w:tc>
          <w:tcPr>
            <w:tcW w:w="0" w:type="dxa"/>
            <w:vAlign w:val="bottom"/>
          </w:tcPr>
          <w:p>
            <w:pPr>
              <w:spacing w:after="0"/>
              <w:rPr>
                <w:sz w:val="1"/>
                <w:szCs w:val="1"/>
                <w:color w:val="auto"/>
              </w:rPr>
            </w:pPr>
          </w:p>
        </w:tc>
      </w:tr>
      <w:tr>
        <w:trPr>
          <w:trHeight w:val="156"/>
        </w:trPr>
        <w:tc>
          <w:tcPr>
            <w:tcW w:w="61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Tax provision (benefit) on realized and unrealized gains (losses) on investments</w:t>
            </w:r>
          </w:p>
        </w:tc>
        <w:tc>
          <w:tcPr>
            <w:tcW w:w="30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(853 )</w:t>
            </w:r>
          </w:p>
        </w:tc>
        <w:tc>
          <w:tcPr>
            <w:tcW w:w="280" w:type="dxa"/>
            <w:vAlign w:val="bottom"/>
          </w:tcPr>
          <w:p>
            <w:pPr>
              <w:spacing w:after="0"/>
              <w:rPr>
                <w:sz w:val="13"/>
                <w:szCs w:val="13"/>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3"/>
                <w:szCs w:val="13"/>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61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Purchases of investments</w:t>
            </w:r>
          </w:p>
        </w:tc>
        <w:tc>
          <w:tcPr>
            <w:tcW w:w="300" w:type="dxa"/>
            <w:vAlign w:val="bottom"/>
            <w:shd w:val="clear" w:color="auto" w:fill="CFF0FC"/>
          </w:tcPr>
          <w:p>
            <w:pPr>
              <w:spacing w:after="0"/>
              <w:rPr>
                <w:sz w:val="14"/>
                <w:szCs w:val="14"/>
                <w:color w:val="auto"/>
              </w:rPr>
            </w:pPr>
          </w:p>
        </w:tc>
        <w:tc>
          <w:tcPr>
            <w:tcW w:w="12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(78,421)</w:t>
            </w:r>
          </w:p>
        </w:tc>
        <w:tc>
          <w:tcPr>
            <w:tcW w:w="280" w:type="dxa"/>
            <w:vAlign w:val="bottom"/>
            <w:shd w:val="clear" w:color="auto" w:fill="CFF0FC"/>
          </w:tcPr>
          <w:p>
            <w:pPr>
              <w:spacing w:after="0"/>
              <w:rPr>
                <w:sz w:val="14"/>
                <w:szCs w:val="14"/>
                <w:color w:val="auto"/>
              </w:rPr>
            </w:pPr>
          </w:p>
        </w:tc>
        <w:tc>
          <w:tcPr>
            <w:tcW w:w="11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(48,188)</w:t>
            </w:r>
          </w:p>
        </w:tc>
        <w:tc>
          <w:tcPr>
            <w:tcW w:w="320" w:type="dxa"/>
            <w:vAlign w:val="bottom"/>
            <w:shd w:val="clear" w:color="auto" w:fill="CFF0FC"/>
          </w:tcPr>
          <w:p>
            <w:pPr>
              <w:spacing w:after="0"/>
              <w:rPr>
                <w:sz w:val="14"/>
                <w:szCs w:val="14"/>
                <w:color w:val="auto"/>
              </w:rPr>
            </w:pPr>
          </w:p>
        </w:tc>
        <w:tc>
          <w:tcPr>
            <w:tcW w:w="10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(222,202)</w:t>
            </w:r>
          </w:p>
        </w:tc>
        <w:tc>
          <w:tcPr>
            <w:tcW w:w="0" w:type="dxa"/>
            <w:vAlign w:val="bottom"/>
          </w:tcPr>
          <w:p>
            <w:pPr>
              <w:spacing w:after="0"/>
              <w:rPr>
                <w:sz w:val="1"/>
                <w:szCs w:val="1"/>
                <w:color w:val="auto"/>
              </w:rPr>
            </w:pPr>
          </w:p>
        </w:tc>
      </w:tr>
      <w:tr>
        <w:trPr>
          <w:trHeight w:val="104"/>
        </w:trPr>
        <w:tc>
          <w:tcPr>
            <w:tcW w:w="618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260" w:type="dxa"/>
            <w:vAlign w:val="bottom"/>
            <w:gridSpan w:val="2"/>
            <w:vMerge w:val="continue"/>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06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61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Proceeds from sales and redemptions of investments</w:t>
            </w: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125,695</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146,945</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160,964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1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Net accretion of investments</w:t>
            </w:r>
          </w:p>
        </w:tc>
        <w:tc>
          <w:tcPr>
            <w:tcW w:w="30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(4,618)</w:t>
            </w:r>
          </w:p>
        </w:tc>
        <w:tc>
          <w:tcPr>
            <w:tcW w:w="28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(6,982)</w:t>
            </w:r>
          </w:p>
        </w:tc>
        <w:tc>
          <w:tcPr>
            <w:tcW w:w="3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(10,648)</w:t>
            </w:r>
          </w:p>
        </w:tc>
        <w:tc>
          <w:tcPr>
            <w:tcW w:w="0" w:type="dxa"/>
            <w:vAlign w:val="bottom"/>
          </w:tcPr>
          <w:p>
            <w:pPr>
              <w:spacing w:after="0"/>
              <w:rPr>
                <w:sz w:val="1"/>
                <w:szCs w:val="1"/>
                <w:color w:val="auto"/>
              </w:rPr>
            </w:pPr>
          </w:p>
        </w:tc>
      </w:tr>
      <w:tr>
        <w:trPr>
          <w:trHeight w:val="156"/>
        </w:trPr>
        <w:tc>
          <w:tcPr>
            <w:tcW w:w="61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Amortization of debt issuance costs</w:t>
            </w: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1,231</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1,219</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1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Net realized (gain) loss on extinguishment of debt</w:t>
            </w:r>
          </w:p>
        </w:tc>
        <w:tc>
          <w:tcPr>
            <w:tcW w:w="30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655</w:t>
            </w: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362</w:t>
            </w:r>
          </w:p>
        </w:tc>
        <w:tc>
          <w:tcPr>
            <w:tcW w:w="1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61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Payment-in-kind interest income</w:t>
            </w:r>
          </w:p>
        </w:tc>
        <w:tc>
          <w:tcPr>
            <w:tcW w:w="30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(8,186)</w:t>
            </w:r>
          </w:p>
        </w:tc>
        <w:tc>
          <w:tcPr>
            <w:tcW w:w="280" w:type="dxa"/>
            <w:vAlign w:val="bottom"/>
          </w:tcPr>
          <w:p>
            <w:pPr>
              <w:spacing w:after="0"/>
              <w:rPr>
                <w:sz w:val="13"/>
                <w:szCs w:val="13"/>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(7,068)</w:t>
            </w:r>
          </w:p>
        </w:tc>
        <w:tc>
          <w:tcPr>
            <w:tcW w:w="320" w:type="dxa"/>
            <w:vAlign w:val="bottom"/>
          </w:tcPr>
          <w:p>
            <w:pPr>
              <w:spacing w:after="0"/>
              <w:rPr>
                <w:sz w:val="13"/>
                <w:szCs w:val="13"/>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(5,608)</w:t>
            </w:r>
          </w:p>
        </w:tc>
        <w:tc>
          <w:tcPr>
            <w:tcW w:w="0" w:type="dxa"/>
            <w:vAlign w:val="bottom"/>
          </w:tcPr>
          <w:p>
            <w:pPr>
              <w:spacing w:after="0"/>
              <w:rPr>
                <w:sz w:val="1"/>
                <w:szCs w:val="1"/>
                <w:color w:val="auto"/>
              </w:rPr>
            </w:pPr>
          </w:p>
        </w:tc>
      </w:tr>
      <w:tr>
        <w:trPr>
          <w:trHeight w:val="156"/>
        </w:trPr>
        <w:tc>
          <w:tcPr>
            <w:tcW w:w="6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Change in operating assets and liabilities:</w:t>
            </w:r>
          </w:p>
        </w:tc>
        <w:tc>
          <w:tcPr>
            <w:tcW w:w="3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1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(Increase) decrease in receivable for unsettled trades</w:t>
            </w: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822</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18,798</w:t>
            </w:r>
          </w:p>
        </w:tc>
        <w:tc>
          <w:tcPr>
            <w:tcW w:w="0" w:type="dxa"/>
            <w:vAlign w:val="bottom"/>
          </w:tcPr>
          <w:p>
            <w:pPr>
              <w:spacing w:after="0"/>
              <w:rPr>
                <w:sz w:val="1"/>
                <w:szCs w:val="1"/>
                <w:color w:val="auto"/>
              </w:rPr>
            </w:pPr>
          </w:p>
        </w:tc>
      </w:tr>
      <w:tr>
        <w:trPr>
          <w:trHeight w:val="156"/>
        </w:trPr>
        <w:tc>
          <w:tcPr>
            <w:tcW w:w="61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(Increase) decrease in interest receivable</w:t>
            </w:r>
          </w:p>
        </w:tc>
        <w:tc>
          <w:tcPr>
            <w:tcW w:w="30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(926 )</w:t>
            </w:r>
          </w:p>
        </w:tc>
        <w:tc>
          <w:tcPr>
            <w:tcW w:w="28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(1 )</w:t>
            </w:r>
          </w:p>
        </w:tc>
        <w:tc>
          <w:tcPr>
            <w:tcW w:w="32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1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(Increase) decrease in due from affiliates</w:t>
            </w: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(604 )</w:t>
            </w:r>
          </w:p>
        </w:tc>
        <w:tc>
          <w:tcPr>
            <w:tcW w:w="320" w:type="dxa"/>
            <w:vAlign w:val="bottom"/>
          </w:tcPr>
          <w:p>
            <w:pPr>
              <w:spacing w:after="0"/>
              <w:rPr>
                <w:sz w:val="13"/>
                <w:szCs w:val="13"/>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(423 )</w:t>
            </w:r>
          </w:p>
        </w:tc>
        <w:tc>
          <w:tcPr>
            <w:tcW w:w="0" w:type="dxa"/>
            <w:vAlign w:val="bottom"/>
          </w:tcPr>
          <w:p>
            <w:pPr>
              <w:spacing w:after="0"/>
              <w:rPr>
                <w:sz w:val="1"/>
                <w:szCs w:val="1"/>
                <w:color w:val="auto"/>
              </w:rPr>
            </w:pPr>
          </w:p>
        </w:tc>
      </w:tr>
      <w:tr>
        <w:trPr>
          <w:trHeight w:val="156"/>
        </w:trPr>
        <w:tc>
          <w:tcPr>
            <w:tcW w:w="61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(Increase) decrease in other assets</w:t>
            </w:r>
          </w:p>
        </w:tc>
        <w:tc>
          <w:tcPr>
            <w:tcW w:w="30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(678 )</w:t>
            </w: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1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528</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1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Increase (decrease) in payable for unsettled trades</w:t>
            </w:r>
          </w:p>
        </w:tc>
        <w:tc>
          <w:tcPr>
            <w:tcW w:w="30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(520 )</w:t>
            </w:r>
          </w:p>
        </w:tc>
        <w:tc>
          <w:tcPr>
            <w:tcW w:w="280" w:type="dxa"/>
            <w:vAlign w:val="bottom"/>
          </w:tcPr>
          <w:p>
            <w:pPr>
              <w:spacing w:after="0"/>
              <w:rPr>
                <w:sz w:val="13"/>
                <w:szCs w:val="13"/>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(756 )</w:t>
            </w:r>
          </w:p>
        </w:tc>
        <w:tc>
          <w:tcPr>
            <w:tcW w:w="320" w:type="dxa"/>
            <w:vAlign w:val="bottom"/>
          </w:tcPr>
          <w:p>
            <w:pPr>
              <w:spacing w:after="0"/>
              <w:rPr>
                <w:sz w:val="13"/>
                <w:szCs w:val="13"/>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(4,121)</w:t>
            </w:r>
          </w:p>
        </w:tc>
        <w:tc>
          <w:tcPr>
            <w:tcW w:w="0" w:type="dxa"/>
            <w:vAlign w:val="bottom"/>
          </w:tcPr>
          <w:p>
            <w:pPr>
              <w:spacing w:after="0"/>
              <w:rPr>
                <w:sz w:val="1"/>
                <w:szCs w:val="1"/>
                <w:color w:val="auto"/>
              </w:rPr>
            </w:pPr>
          </w:p>
        </w:tc>
      </w:tr>
      <w:tr>
        <w:trPr>
          <w:trHeight w:val="156"/>
        </w:trPr>
        <w:tc>
          <w:tcPr>
            <w:tcW w:w="61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Increase (decrease) in accrued interest payable</w:t>
            </w:r>
          </w:p>
        </w:tc>
        <w:tc>
          <w:tcPr>
            <w:tcW w:w="30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(282 )</w:t>
            </w: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1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1,702</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1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Increase (decrease) in management and incentive fees payable</w:t>
            </w:r>
          </w:p>
        </w:tc>
        <w:tc>
          <w:tcPr>
            <w:tcW w:w="30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(1,440)</w:t>
            </w: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610</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(998 )</w:t>
            </w:r>
          </w:p>
        </w:tc>
        <w:tc>
          <w:tcPr>
            <w:tcW w:w="0" w:type="dxa"/>
            <w:vAlign w:val="bottom"/>
          </w:tcPr>
          <w:p>
            <w:pPr>
              <w:spacing w:after="0"/>
              <w:rPr>
                <w:sz w:val="1"/>
                <w:szCs w:val="1"/>
                <w:color w:val="auto"/>
              </w:rPr>
            </w:pPr>
          </w:p>
        </w:tc>
      </w:tr>
      <w:tr>
        <w:trPr>
          <w:trHeight w:val="156"/>
        </w:trPr>
        <w:tc>
          <w:tcPr>
            <w:tcW w:w="61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Increase (decrease) in due to affiliates</w:t>
            </w:r>
          </w:p>
        </w:tc>
        <w:tc>
          <w:tcPr>
            <w:tcW w:w="30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(442 )</w:t>
            </w:r>
          </w:p>
        </w:tc>
        <w:tc>
          <w:tcPr>
            <w:tcW w:w="3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(899 )</w:t>
            </w:r>
          </w:p>
        </w:tc>
        <w:tc>
          <w:tcPr>
            <w:tcW w:w="0" w:type="dxa"/>
            <w:vAlign w:val="bottom"/>
          </w:tcPr>
          <w:p>
            <w:pPr>
              <w:spacing w:after="0"/>
              <w:rPr>
                <w:sz w:val="1"/>
                <w:szCs w:val="1"/>
                <w:color w:val="auto"/>
              </w:rPr>
            </w:pPr>
          </w:p>
        </w:tc>
      </w:tr>
      <w:tr>
        <w:trPr>
          <w:trHeight w:val="156"/>
        </w:trPr>
        <w:tc>
          <w:tcPr>
            <w:tcW w:w="61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Increase (decrease) in accounts payable and accrued expenses</w:t>
            </w:r>
          </w:p>
        </w:tc>
        <w:tc>
          <w:tcPr>
            <w:tcW w:w="30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(182 )</w:t>
            </w:r>
          </w:p>
        </w:tc>
        <w:tc>
          <w:tcPr>
            <w:tcW w:w="280" w:type="dxa"/>
            <w:vAlign w:val="bottom"/>
          </w:tcPr>
          <w:p>
            <w:pPr>
              <w:spacing w:after="0"/>
              <w:rPr>
                <w:sz w:val="13"/>
                <w:szCs w:val="13"/>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(362 )</w:t>
            </w:r>
          </w:p>
        </w:tc>
        <w:tc>
          <w:tcPr>
            <w:tcW w:w="320" w:type="dxa"/>
            <w:vAlign w:val="bottom"/>
          </w:tcPr>
          <w:p>
            <w:pPr>
              <w:spacing w:after="0"/>
              <w:rPr>
                <w:sz w:val="13"/>
                <w:szCs w:val="13"/>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(205 )</w:t>
            </w:r>
          </w:p>
        </w:tc>
        <w:tc>
          <w:tcPr>
            <w:tcW w:w="0" w:type="dxa"/>
            <w:vAlign w:val="bottom"/>
          </w:tcPr>
          <w:p>
            <w:pPr>
              <w:spacing w:after="0"/>
              <w:rPr>
                <w:sz w:val="1"/>
                <w:szCs w:val="1"/>
                <w:color w:val="auto"/>
              </w:rPr>
            </w:pPr>
          </w:p>
        </w:tc>
      </w:tr>
      <w:tr>
        <w:trPr>
          <w:trHeight w:val="156"/>
        </w:trPr>
        <w:tc>
          <w:tcPr>
            <w:tcW w:w="61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Net cash (used in) provided by operating activities</w:t>
            </w:r>
          </w:p>
        </w:tc>
        <w:tc>
          <w:tcPr>
            <w:tcW w:w="3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56,634</w:t>
            </w:r>
          </w:p>
        </w:tc>
        <w:tc>
          <w:tcPr>
            <w:tcW w:w="2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120,899</w:t>
            </w:r>
          </w:p>
        </w:tc>
        <w:tc>
          <w:tcPr>
            <w:tcW w:w="18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(33,099)</w:t>
            </w:r>
          </w:p>
        </w:tc>
        <w:tc>
          <w:tcPr>
            <w:tcW w:w="0" w:type="dxa"/>
            <w:vAlign w:val="bottom"/>
          </w:tcPr>
          <w:p>
            <w:pPr>
              <w:spacing w:after="0"/>
              <w:rPr>
                <w:sz w:val="1"/>
                <w:szCs w:val="1"/>
                <w:color w:val="auto"/>
              </w:rPr>
            </w:pPr>
          </w:p>
        </w:tc>
      </w:tr>
      <w:tr>
        <w:trPr>
          <w:trHeight w:val="156"/>
        </w:trPr>
        <w:tc>
          <w:tcPr>
            <w:tcW w:w="6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FINANCING ACTIVITIES:</w:t>
            </w: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1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Debt issuance costs</w:t>
            </w:r>
          </w:p>
        </w:tc>
        <w:tc>
          <w:tcPr>
            <w:tcW w:w="3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(951 )</w:t>
            </w:r>
          </w:p>
        </w:tc>
        <w:tc>
          <w:tcPr>
            <w:tcW w:w="2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(836 )</w:t>
            </w:r>
          </w:p>
        </w:tc>
        <w:tc>
          <w:tcPr>
            <w:tcW w:w="0" w:type="dxa"/>
            <w:vAlign w:val="bottom"/>
          </w:tcPr>
          <w:p>
            <w:pPr>
              <w:spacing w:after="0"/>
              <w:rPr>
                <w:sz w:val="1"/>
                <w:szCs w:val="1"/>
                <w:color w:val="auto"/>
              </w:rPr>
            </w:pPr>
          </w:p>
        </w:tc>
      </w:tr>
      <w:tr>
        <w:trPr>
          <w:trHeight w:val="156"/>
        </w:trPr>
        <w:tc>
          <w:tcPr>
            <w:tcW w:w="61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Private placement and other</w:t>
            </w:r>
          </w:p>
        </w:tc>
        <w:tc>
          <w:tcPr>
            <w:tcW w:w="300" w:type="dxa"/>
            <w:vAlign w:val="bottom"/>
          </w:tcPr>
          <w:p>
            <w:pPr>
              <w:spacing w:after="0"/>
              <w:rPr>
                <w:sz w:val="13"/>
                <w:szCs w:val="13"/>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1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Stock repurchase program</w:t>
            </w:r>
          </w:p>
        </w:tc>
        <w:tc>
          <w:tcPr>
            <w:tcW w:w="30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(3,832)</w:t>
            </w:r>
          </w:p>
        </w:tc>
        <w:tc>
          <w:tcPr>
            <w:tcW w:w="28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(4,355)</w:t>
            </w:r>
          </w:p>
        </w:tc>
        <w:tc>
          <w:tcPr>
            <w:tcW w:w="3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(3,831)</w:t>
            </w:r>
          </w:p>
        </w:tc>
        <w:tc>
          <w:tcPr>
            <w:tcW w:w="0" w:type="dxa"/>
            <w:vAlign w:val="bottom"/>
          </w:tcPr>
          <w:p>
            <w:pPr>
              <w:spacing w:after="0"/>
              <w:rPr>
                <w:sz w:val="1"/>
                <w:szCs w:val="1"/>
                <w:color w:val="auto"/>
              </w:rPr>
            </w:pPr>
          </w:p>
        </w:tc>
      </w:tr>
      <w:tr>
        <w:trPr>
          <w:trHeight w:val="156"/>
        </w:trPr>
        <w:tc>
          <w:tcPr>
            <w:tcW w:w="61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Distributions to stockholders</w:t>
            </w:r>
          </w:p>
        </w:tc>
        <w:tc>
          <w:tcPr>
            <w:tcW w:w="30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(25,258)</w:t>
            </w:r>
          </w:p>
        </w:tc>
        <w:tc>
          <w:tcPr>
            <w:tcW w:w="280" w:type="dxa"/>
            <w:vAlign w:val="bottom"/>
          </w:tcPr>
          <w:p>
            <w:pPr>
              <w:spacing w:after="0"/>
              <w:rPr>
                <w:sz w:val="13"/>
                <w:szCs w:val="13"/>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(25,631)</w:t>
            </w:r>
          </w:p>
        </w:tc>
        <w:tc>
          <w:tcPr>
            <w:tcW w:w="320" w:type="dxa"/>
            <w:vAlign w:val="bottom"/>
          </w:tcPr>
          <w:p>
            <w:pPr>
              <w:spacing w:after="0"/>
              <w:rPr>
                <w:sz w:val="13"/>
                <w:szCs w:val="13"/>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(23,550)</w:t>
            </w:r>
          </w:p>
        </w:tc>
        <w:tc>
          <w:tcPr>
            <w:tcW w:w="0" w:type="dxa"/>
            <w:vAlign w:val="bottom"/>
          </w:tcPr>
          <w:p>
            <w:pPr>
              <w:spacing w:after="0"/>
              <w:rPr>
                <w:sz w:val="1"/>
                <w:szCs w:val="1"/>
                <w:color w:val="auto"/>
              </w:rPr>
            </w:pPr>
          </w:p>
        </w:tc>
      </w:tr>
      <w:tr>
        <w:trPr>
          <w:trHeight w:val="156"/>
        </w:trPr>
        <w:tc>
          <w:tcPr>
            <w:tcW w:w="61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Issuance of 2018-2 Secured Notes</w:t>
            </w:r>
          </w:p>
        </w:tc>
        <w:tc>
          <w:tcPr>
            <w:tcW w:w="30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14,300</w:t>
            </w:r>
          </w:p>
        </w:tc>
        <w:tc>
          <w:tcPr>
            <w:tcW w:w="0" w:type="dxa"/>
            <w:vAlign w:val="bottom"/>
          </w:tcPr>
          <w:p>
            <w:pPr>
              <w:spacing w:after="0"/>
              <w:rPr>
                <w:sz w:val="1"/>
                <w:szCs w:val="1"/>
                <w:color w:val="auto"/>
              </w:rPr>
            </w:pPr>
          </w:p>
        </w:tc>
      </w:tr>
      <w:tr>
        <w:trPr>
          <w:trHeight w:val="156"/>
        </w:trPr>
        <w:tc>
          <w:tcPr>
            <w:tcW w:w="61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Repayment of 2018-2 Secured Notes</w:t>
            </w:r>
          </w:p>
        </w:tc>
        <w:tc>
          <w:tcPr>
            <w:tcW w:w="30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(125,683)</w:t>
            </w:r>
          </w:p>
        </w:tc>
        <w:tc>
          <w:tcPr>
            <w:tcW w:w="280" w:type="dxa"/>
            <w:vAlign w:val="bottom"/>
          </w:tcPr>
          <w:p>
            <w:pPr>
              <w:spacing w:after="0"/>
              <w:rPr>
                <w:sz w:val="13"/>
                <w:szCs w:val="13"/>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(52,480)</w:t>
            </w:r>
          </w:p>
        </w:tc>
        <w:tc>
          <w:tcPr>
            <w:tcW w:w="320" w:type="dxa"/>
            <w:vAlign w:val="bottom"/>
          </w:tcPr>
          <w:p>
            <w:pPr>
              <w:spacing w:after="0"/>
              <w:rPr>
                <w:sz w:val="13"/>
                <w:szCs w:val="13"/>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61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Borrowings from Revolving Credit Facilities</w:t>
            </w:r>
          </w:p>
        </w:tc>
        <w:tc>
          <w:tcPr>
            <w:tcW w:w="30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77,479</w:t>
            </w:r>
          </w:p>
        </w:tc>
        <w:tc>
          <w:tcPr>
            <w:tcW w:w="28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55,500</w:t>
            </w:r>
          </w:p>
        </w:tc>
        <w:tc>
          <w:tcPr>
            <w:tcW w:w="3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16,500</w:t>
            </w:r>
          </w:p>
        </w:tc>
        <w:tc>
          <w:tcPr>
            <w:tcW w:w="0" w:type="dxa"/>
            <w:vAlign w:val="bottom"/>
          </w:tcPr>
          <w:p>
            <w:pPr>
              <w:spacing w:after="0"/>
              <w:rPr>
                <w:sz w:val="1"/>
                <w:szCs w:val="1"/>
                <w:color w:val="auto"/>
              </w:rPr>
            </w:pPr>
          </w:p>
        </w:tc>
      </w:tr>
      <w:tr>
        <w:trPr>
          <w:trHeight w:val="156"/>
        </w:trPr>
        <w:tc>
          <w:tcPr>
            <w:tcW w:w="61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Repayment of Revolving Credit Facilities</w:t>
            </w:r>
          </w:p>
        </w:tc>
        <w:tc>
          <w:tcPr>
            <w:tcW w:w="30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(10,000)</w:t>
            </w:r>
          </w:p>
        </w:tc>
        <w:tc>
          <w:tcPr>
            <w:tcW w:w="280" w:type="dxa"/>
            <w:vAlign w:val="bottom"/>
          </w:tcPr>
          <w:p>
            <w:pPr>
              <w:spacing w:after="0"/>
              <w:rPr>
                <w:sz w:val="13"/>
                <w:szCs w:val="13"/>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(55,500)</w:t>
            </w:r>
          </w:p>
        </w:tc>
        <w:tc>
          <w:tcPr>
            <w:tcW w:w="320" w:type="dxa"/>
            <w:vAlign w:val="bottom"/>
          </w:tcPr>
          <w:p>
            <w:pPr>
              <w:spacing w:after="0"/>
              <w:rPr>
                <w:sz w:val="13"/>
                <w:szCs w:val="13"/>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(5,071)</w:t>
            </w:r>
          </w:p>
        </w:tc>
        <w:tc>
          <w:tcPr>
            <w:tcW w:w="0" w:type="dxa"/>
            <w:vAlign w:val="bottom"/>
          </w:tcPr>
          <w:p>
            <w:pPr>
              <w:spacing w:after="0"/>
              <w:rPr>
                <w:sz w:val="1"/>
                <w:szCs w:val="1"/>
                <w:color w:val="auto"/>
              </w:rPr>
            </w:pPr>
          </w:p>
        </w:tc>
      </w:tr>
      <w:tr>
        <w:trPr>
          <w:trHeight w:val="156"/>
        </w:trPr>
        <w:tc>
          <w:tcPr>
            <w:tcW w:w="61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Net cash (used in) provided by financing activities</w:t>
            </w:r>
          </w:p>
        </w:tc>
        <w:tc>
          <w:tcPr>
            <w:tcW w:w="3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(88,245)</w:t>
            </w:r>
          </w:p>
        </w:tc>
        <w:tc>
          <w:tcPr>
            <w:tcW w:w="2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(82,466)</w:t>
            </w:r>
          </w:p>
        </w:tc>
        <w:tc>
          <w:tcPr>
            <w:tcW w:w="32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(2,110)</w:t>
            </w:r>
          </w:p>
        </w:tc>
        <w:tc>
          <w:tcPr>
            <w:tcW w:w="0" w:type="dxa"/>
            <w:vAlign w:val="bottom"/>
          </w:tcPr>
          <w:p>
            <w:pPr>
              <w:spacing w:after="0"/>
              <w:rPr>
                <w:sz w:val="1"/>
                <w:szCs w:val="1"/>
                <w:color w:val="auto"/>
              </w:rPr>
            </w:pPr>
          </w:p>
        </w:tc>
      </w:tr>
      <w:tr>
        <w:trPr>
          <w:trHeight w:val="156"/>
        </w:trPr>
        <w:tc>
          <w:tcPr>
            <w:tcW w:w="6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CHANGE IN CASH AND RESTRICTED CASH</w:t>
            </w: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(31,611)</w:t>
            </w: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38,433</w:t>
            </w:r>
          </w:p>
        </w:tc>
        <w:tc>
          <w:tcPr>
            <w:tcW w:w="3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(35,209)</w:t>
            </w:r>
          </w:p>
        </w:tc>
        <w:tc>
          <w:tcPr>
            <w:tcW w:w="0" w:type="dxa"/>
            <w:vAlign w:val="bottom"/>
          </w:tcPr>
          <w:p>
            <w:pPr>
              <w:spacing w:after="0"/>
              <w:rPr>
                <w:sz w:val="1"/>
                <w:szCs w:val="1"/>
                <w:color w:val="auto"/>
              </w:rPr>
            </w:pPr>
          </w:p>
        </w:tc>
      </w:tr>
      <w:tr>
        <w:trPr>
          <w:trHeight w:val="156"/>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CASH AND RESTRICTED CASH, BEGINNING OF YEAR</w:t>
            </w:r>
          </w:p>
        </w:tc>
        <w:tc>
          <w:tcPr>
            <w:tcW w:w="30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71,564</w:t>
            </w:r>
          </w:p>
        </w:tc>
        <w:tc>
          <w:tcPr>
            <w:tcW w:w="28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33,131</w:t>
            </w:r>
          </w:p>
        </w:tc>
        <w:tc>
          <w:tcPr>
            <w:tcW w:w="3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68,340</w:t>
            </w:r>
          </w:p>
        </w:tc>
        <w:tc>
          <w:tcPr>
            <w:tcW w:w="0" w:type="dxa"/>
            <w:vAlign w:val="bottom"/>
          </w:tcPr>
          <w:p>
            <w:pPr>
              <w:spacing w:after="0"/>
              <w:rPr>
                <w:sz w:val="1"/>
                <w:szCs w:val="1"/>
                <w:color w:val="auto"/>
              </w:rPr>
            </w:pPr>
          </w:p>
        </w:tc>
      </w:tr>
      <w:tr>
        <w:trPr>
          <w:trHeight w:val="156"/>
        </w:trPr>
        <w:tc>
          <w:tcPr>
            <w:tcW w:w="6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RESTRICTED CASH, END OF YEAR</w:t>
            </w: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39,953</w:t>
            </w: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71,564</w:t>
            </w:r>
          </w:p>
        </w:tc>
        <w:tc>
          <w:tcPr>
            <w:tcW w:w="3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33,131</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18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Amounts per statements of assets and liabilities:</w:t>
            </w:r>
          </w:p>
        </w:tc>
        <w:tc>
          <w:tcPr>
            <w:tcW w:w="3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1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17,532</w:t>
            </w: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26,912</w:t>
            </w:r>
          </w:p>
        </w:tc>
        <w:tc>
          <w:tcPr>
            <w:tcW w:w="3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1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Restricted cash</w:t>
            </w:r>
          </w:p>
        </w:tc>
        <w:tc>
          <w:tcPr>
            <w:tcW w:w="30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22,421</w:t>
            </w:r>
          </w:p>
        </w:tc>
        <w:tc>
          <w:tcPr>
            <w:tcW w:w="28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44,652</w:t>
            </w:r>
          </w:p>
        </w:tc>
        <w:tc>
          <w:tcPr>
            <w:tcW w:w="3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27,983</w:t>
            </w:r>
          </w:p>
        </w:tc>
        <w:tc>
          <w:tcPr>
            <w:tcW w:w="0" w:type="dxa"/>
            <w:vAlign w:val="bottom"/>
          </w:tcPr>
          <w:p>
            <w:pPr>
              <w:spacing w:after="0"/>
              <w:rPr>
                <w:sz w:val="1"/>
                <w:szCs w:val="1"/>
                <w:color w:val="auto"/>
              </w:rPr>
            </w:pPr>
          </w:p>
        </w:tc>
      </w:tr>
      <w:tr>
        <w:trPr>
          <w:trHeight w:val="156"/>
        </w:trPr>
        <w:tc>
          <w:tcPr>
            <w:tcW w:w="61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 Cash and Restricted cash</w:t>
            </w: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39,953</w:t>
            </w: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71,564</w:t>
            </w:r>
          </w:p>
        </w:tc>
        <w:tc>
          <w:tcPr>
            <w:tcW w:w="3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33,131</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18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Supplemental Information and non-cash activities:</w:t>
            </w:r>
          </w:p>
        </w:tc>
        <w:tc>
          <w:tcPr>
            <w:tcW w:w="3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1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Cash paid for interest during the period</w:t>
            </w: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19,833</w:t>
            </w: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23,881</w:t>
            </w:r>
          </w:p>
        </w:tc>
        <w:tc>
          <w:tcPr>
            <w:tcW w:w="3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14,776</w:t>
            </w:r>
          </w:p>
        </w:tc>
        <w:tc>
          <w:tcPr>
            <w:tcW w:w="0" w:type="dxa"/>
            <w:vAlign w:val="bottom"/>
          </w:tcPr>
          <w:p>
            <w:pPr>
              <w:spacing w:after="0"/>
              <w:rPr>
                <w:sz w:val="1"/>
                <w:szCs w:val="1"/>
                <w:color w:val="auto"/>
              </w:rPr>
            </w:pPr>
          </w:p>
        </w:tc>
      </w:tr>
      <w:tr>
        <w:trPr>
          <w:trHeight w:val="156"/>
        </w:trPr>
        <w:tc>
          <w:tcPr>
            <w:tcW w:w="61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Reinvestment of distributions</w:t>
            </w:r>
          </w:p>
        </w:tc>
        <w:tc>
          <w:tcPr>
            <w:tcW w:w="3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516</w:t>
            </w:r>
          </w:p>
        </w:tc>
        <w:tc>
          <w:tcPr>
            <w:tcW w:w="18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1,111</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1"/>
          <w:szCs w:val="11"/>
          <w:color w:val="auto"/>
        </w:rPr>
        <w:t>See accompanying notes to consolidated financial statements.</w:t>
      </w:r>
    </w:p>
    <w:p>
      <w:pPr>
        <w:spacing w:after="0" w:line="10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1"/>
          <w:szCs w:val="11"/>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PORTMAN RIDGE FINANCE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As of December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1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b w:val="1"/>
                <w:bCs w:val="1"/>
                <w:color w:val="auto"/>
                <w:w w:val="96"/>
              </w:rPr>
              <w:t>Interest Rate</w:t>
            </w:r>
          </w:p>
        </w:tc>
        <w:tc>
          <w:tcPr>
            <w:tcW w:w="100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4"/>
              </w:rPr>
              <w:t>Reference Rate</w:t>
            </w: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Par/Shares</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1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Investment (2), (4), (12), (14), (23), (24)</w:t>
            </w:r>
          </w:p>
        </w:tc>
        <w:tc>
          <w:tcPr>
            <w:tcW w:w="1960" w:type="dxa"/>
            <w:vAlign w:val="bottom"/>
          </w:tcPr>
          <w:p>
            <w:pPr>
              <w:ind w:left="940"/>
              <w:spacing w:after="0"/>
              <w:rPr>
                <w:sz w:val="20"/>
                <w:szCs w:val="20"/>
                <w:color w:val="auto"/>
              </w:rPr>
            </w:pPr>
            <w:r>
              <w:rPr>
                <w:rFonts w:ascii="Times New Roman" w:cs="Times New Roman" w:eastAsia="Times New Roman" w:hAnsi="Times New Roman"/>
                <w:sz w:val="10"/>
                <w:szCs w:val="10"/>
                <w:b w:val="1"/>
                <w:bCs w:val="1"/>
                <w:color w:val="auto"/>
              </w:rPr>
              <w:t>Industry</w:t>
            </w:r>
          </w:p>
        </w:tc>
        <w:tc>
          <w:tcPr>
            <w:tcW w:w="780" w:type="dxa"/>
            <w:vAlign w:val="bottom"/>
          </w:tcPr>
          <w:p>
            <w:pPr>
              <w:jc w:val="center"/>
              <w:ind w:left="132"/>
              <w:spacing w:after="0"/>
              <w:rPr>
                <w:sz w:val="20"/>
                <w:szCs w:val="20"/>
                <w:color w:val="auto"/>
              </w:rPr>
            </w:pPr>
            <w:r>
              <w:rPr>
                <w:rFonts w:ascii="Times New Roman" w:cs="Times New Roman" w:eastAsia="Times New Roman" w:hAnsi="Times New Roman"/>
                <w:sz w:val="10"/>
                <w:szCs w:val="10"/>
                <w:b w:val="1"/>
                <w:bCs w:val="1"/>
                <w:color w:val="auto"/>
              </w:rPr>
              <w:t>(1)</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and Spread (1)</w:t>
            </w: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rPr>
              <w:t>Floor (1)</w:t>
            </w:r>
          </w:p>
        </w:tc>
        <w:tc>
          <w:tcPr>
            <w:tcW w:w="5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Maturity</w:t>
            </w:r>
          </w:p>
        </w:tc>
        <w:tc>
          <w:tcPr>
            <w:tcW w:w="600" w:type="dxa"/>
            <w:vAlign w:val="bottom"/>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Pr>
          <w:p>
            <w:pPr>
              <w:spacing w:after="0"/>
              <w:rPr>
                <w:sz w:val="10"/>
                <w:szCs w:val="10"/>
                <w:color w:val="auto"/>
              </w:rPr>
            </w:pPr>
          </w:p>
        </w:tc>
        <w:tc>
          <w:tcPr>
            <w:tcW w:w="520" w:type="dxa"/>
            <w:vAlign w:val="bottom"/>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00" w:type="dxa"/>
            <w:vAlign w:val="bottom"/>
          </w:tcPr>
          <w:p>
            <w:pPr>
              <w:spacing w:after="0"/>
              <w:rPr>
                <w:sz w:val="10"/>
                <w:szCs w:val="10"/>
                <w:color w:val="auto"/>
              </w:rPr>
            </w:pPr>
          </w:p>
        </w:tc>
        <w:tc>
          <w:tcPr>
            <w:tcW w:w="680" w:type="dxa"/>
            <w:vAlign w:val="bottom"/>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58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Footnotes</w:t>
            </w:r>
          </w:p>
        </w:tc>
        <w:tc>
          <w:tcPr>
            <w:tcW w:w="0" w:type="dxa"/>
            <w:vAlign w:val="bottom"/>
          </w:tcPr>
          <w:p>
            <w:pPr>
              <w:spacing w:after="0"/>
              <w:rPr>
                <w:sz w:val="1"/>
                <w:szCs w:val="1"/>
                <w:color w:val="auto"/>
              </w:rPr>
            </w:pPr>
          </w:p>
        </w:tc>
      </w:tr>
      <w:tr>
        <w:trPr>
          <w:trHeight w:val="120"/>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w w:val="98"/>
              </w:rPr>
              <w:t>Investments in Non-Control, Non-Affiliate Portfolio Companies - 183.5%</w:t>
            </w:r>
          </w:p>
        </w:tc>
        <w:tc>
          <w:tcPr>
            <w:tcW w:w="19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Lien/Senior Secured Debt - 158.1%</w:t>
            </w:r>
          </w:p>
        </w:tc>
        <w:tc>
          <w:tcPr>
            <w:tcW w:w="1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Accordion Partners LLC</w:t>
            </w:r>
          </w:p>
        </w:tc>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Finance</w:t>
            </w:r>
          </w:p>
        </w:tc>
        <w:tc>
          <w:tcPr>
            <w:tcW w:w="780" w:type="dxa"/>
            <w:vAlign w:val="bottom"/>
            <w:shd w:val="clear" w:color="auto" w:fill="CFF0FC"/>
          </w:tcPr>
          <w:p>
            <w:pPr>
              <w:jc w:val="center"/>
              <w:ind w:left="112"/>
              <w:spacing w:after="0"/>
              <w:rPr>
                <w:sz w:val="20"/>
                <w:szCs w:val="20"/>
                <w:color w:val="auto"/>
              </w:rPr>
            </w:pPr>
            <w:r>
              <w:rPr>
                <w:rFonts w:ascii="Times New Roman" w:cs="Times New Roman" w:eastAsia="Times New Roman" w:hAnsi="Times New Roman"/>
                <w:sz w:val="10"/>
                <w:szCs w:val="10"/>
                <w:color w:val="auto"/>
              </w:rPr>
              <w:t>9.58%</w:t>
            </w:r>
          </w:p>
        </w:tc>
        <w:tc>
          <w:tcPr>
            <w:tcW w:w="1000" w:type="dxa"/>
            <w:vAlign w:val="bottom"/>
            <w:shd w:val="clear" w:color="auto" w:fill="CFF0FC"/>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SOFR + 5.25%</w:t>
            </w:r>
          </w:p>
        </w:tc>
        <w:tc>
          <w:tcPr>
            <w:tcW w:w="5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0.75%</w:t>
            </w:r>
          </w:p>
        </w:tc>
        <w:tc>
          <w:tcPr>
            <w:tcW w:w="5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0"/>
                <w:szCs w:val="10"/>
                <w:color w:val="auto"/>
                <w:w w:val="95"/>
              </w:rPr>
              <w:t>11/17/31</w:t>
            </w: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4,464</w:t>
            </w:r>
          </w:p>
        </w:tc>
        <w:tc>
          <w:tcPr>
            <w:tcW w:w="1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4,437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4,436</w:t>
            </w:r>
          </w:p>
        </w:tc>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(13)(20)</w:t>
            </w:r>
          </w:p>
        </w:tc>
        <w:tc>
          <w:tcPr>
            <w:tcW w:w="0" w:type="dxa"/>
            <w:vAlign w:val="bottom"/>
          </w:tcPr>
          <w:p>
            <w:pPr>
              <w:spacing w:after="0"/>
              <w:rPr>
                <w:sz w:val="1"/>
                <w:szCs w:val="1"/>
                <w:color w:val="auto"/>
              </w:rPr>
            </w:pPr>
          </w:p>
        </w:tc>
      </w:tr>
      <w:tr>
        <w:trPr>
          <w:trHeight w:val="120"/>
        </w:trPr>
        <w:tc>
          <w:tcPr>
            <w:tcW w:w="3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Accordion Partners LLC (Revolver)</w:t>
            </w:r>
          </w:p>
        </w:tc>
        <w:tc>
          <w:tcPr>
            <w:tcW w:w="19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Finance</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9"/>
              </w:rPr>
              <w:t>—</w:t>
            </w:r>
          </w:p>
        </w:tc>
        <w:tc>
          <w:tcPr>
            <w:tcW w:w="100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SOFR + 5.25%</w:t>
            </w:r>
          </w:p>
        </w:tc>
        <w:tc>
          <w:tcPr>
            <w:tcW w:w="5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0.75%</w:t>
            </w:r>
          </w:p>
        </w:tc>
        <w:tc>
          <w:tcPr>
            <w:tcW w:w="5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5"/>
              </w:rPr>
              <w:t>11/17/31</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10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(15)(20)</w:t>
            </w:r>
          </w:p>
        </w:tc>
        <w:tc>
          <w:tcPr>
            <w:tcW w:w="0" w:type="dxa"/>
            <w:vAlign w:val="bottom"/>
          </w:tcPr>
          <w:p>
            <w:pPr>
              <w:spacing w:after="0"/>
              <w:rPr>
                <w:sz w:val="1"/>
                <w:szCs w:val="1"/>
                <w:color w:val="auto"/>
              </w:rPr>
            </w:pPr>
          </w:p>
        </w:tc>
      </w:tr>
      <w:tr>
        <w:trPr>
          <w:trHeight w:val="120"/>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Accurate Background, LLC</w:t>
            </w:r>
          </w:p>
        </w:tc>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Services: Business</w:t>
            </w:r>
          </w:p>
        </w:tc>
        <w:tc>
          <w:tcPr>
            <w:tcW w:w="780" w:type="dxa"/>
            <w:vAlign w:val="bottom"/>
            <w:shd w:val="clear" w:color="auto" w:fill="CFF0FC"/>
          </w:tcPr>
          <w:p>
            <w:pPr>
              <w:jc w:val="center"/>
              <w:ind w:left="112"/>
              <w:spacing w:after="0"/>
              <w:rPr>
                <w:sz w:val="20"/>
                <w:szCs w:val="20"/>
                <w:color w:val="auto"/>
              </w:rPr>
            </w:pPr>
            <w:r>
              <w:rPr>
                <w:rFonts w:ascii="Times New Roman" w:cs="Times New Roman" w:eastAsia="Times New Roman" w:hAnsi="Times New Roman"/>
                <w:sz w:val="10"/>
                <w:szCs w:val="10"/>
                <w:color w:val="auto"/>
                <w:w w:val="97"/>
              </w:rPr>
              <w:t>10.59%</w:t>
            </w:r>
          </w:p>
        </w:tc>
        <w:tc>
          <w:tcPr>
            <w:tcW w:w="1000" w:type="dxa"/>
            <w:vAlign w:val="bottom"/>
            <w:shd w:val="clear" w:color="auto" w:fill="CFF0FC"/>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SOFR + 6.00%</w:t>
            </w:r>
          </w:p>
        </w:tc>
        <w:tc>
          <w:tcPr>
            <w:tcW w:w="5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1.00%</w:t>
            </w:r>
          </w:p>
        </w:tc>
        <w:tc>
          <w:tcPr>
            <w:tcW w:w="5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0"/>
                <w:szCs w:val="10"/>
                <w:color w:val="auto"/>
                <w:w w:val="95"/>
              </w:rPr>
              <w:t>03/26/29</w:t>
            </w: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4,367</w:t>
            </w:r>
          </w:p>
        </w:tc>
        <w:tc>
          <w:tcPr>
            <w:tcW w:w="16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4,177</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4,329</w:t>
            </w:r>
          </w:p>
        </w:tc>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3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Advantage Capital Holdings LLC</w:t>
            </w:r>
          </w:p>
        </w:tc>
        <w:tc>
          <w:tcPr>
            <w:tcW w:w="19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Banking, Finance, Insurance &amp; Real Estate</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7"/>
              </w:rPr>
              <w:t>13.00%</w:t>
            </w:r>
          </w:p>
        </w:tc>
        <w:tc>
          <w:tcPr>
            <w:tcW w:w="100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13.00%, 5.00% PIK</w:t>
            </w:r>
          </w:p>
        </w:tc>
        <w:tc>
          <w:tcPr>
            <w:tcW w:w="56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5"/>
              </w:rPr>
              <w:t>04/14/27</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14,754</w:t>
            </w:r>
          </w:p>
        </w:tc>
        <w:tc>
          <w:tcPr>
            <w:tcW w:w="16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14,752</w:t>
            </w:r>
          </w:p>
        </w:tc>
        <w:tc>
          <w:tcPr>
            <w:tcW w:w="100" w:type="dxa"/>
            <w:vAlign w:val="bottom"/>
          </w:tcPr>
          <w:p>
            <w:pPr>
              <w:spacing w:after="0"/>
              <w:rPr>
                <w:sz w:val="10"/>
                <w:szCs w:val="10"/>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13,649</w:t>
            </w:r>
          </w:p>
        </w:tc>
        <w:tc>
          <w:tcPr>
            <w:tcW w:w="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AIDC IntermediateCo 2, LLC (Peak Technologies)</w:t>
            </w:r>
          </w:p>
        </w:tc>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Services: Business</w:t>
            </w:r>
          </w:p>
        </w:tc>
        <w:tc>
          <w:tcPr>
            <w:tcW w:w="780" w:type="dxa"/>
            <w:vAlign w:val="bottom"/>
            <w:shd w:val="clear" w:color="auto" w:fill="CFF0FC"/>
          </w:tcPr>
          <w:p>
            <w:pPr>
              <w:jc w:val="center"/>
              <w:ind w:left="112"/>
              <w:spacing w:after="0"/>
              <w:rPr>
                <w:sz w:val="20"/>
                <w:szCs w:val="20"/>
                <w:color w:val="auto"/>
              </w:rPr>
            </w:pPr>
            <w:r>
              <w:rPr>
                <w:rFonts w:ascii="Times New Roman" w:cs="Times New Roman" w:eastAsia="Times New Roman" w:hAnsi="Times New Roman"/>
                <w:sz w:val="10"/>
                <w:szCs w:val="10"/>
                <w:color w:val="auto"/>
              </w:rPr>
              <w:t>9.59%</w:t>
            </w:r>
          </w:p>
        </w:tc>
        <w:tc>
          <w:tcPr>
            <w:tcW w:w="1000" w:type="dxa"/>
            <w:vAlign w:val="bottom"/>
            <w:shd w:val="clear" w:color="auto" w:fill="CFF0FC"/>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SOFR + 5.25%</w:t>
            </w:r>
          </w:p>
        </w:tc>
        <w:tc>
          <w:tcPr>
            <w:tcW w:w="5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1.00%</w:t>
            </w:r>
          </w:p>
        </w:tc>
        <w:tc>
          <w:tcPr>
            <w:tcW w:w="5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0"/>
                <w:szCs w:val="10"/>
                <w:color w:val="auto"/>
                <w:w w:val="95"/>
              </w:rPr>
              <w:t>07/22/27</w:t>
            </w: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980</w:t>
            </w:r>
          </w:p>
        </w:tc>
        <w:tc>
          <w:tcPr>
            <w:tcW w:w="16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971</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979</w:t>
            </w:r>
          </w:p>
        </w:tc>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1"/>
        </w:trPr>
        <w:tc>
          <w:tcPr>
            <w:tcW w:w="3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AMCP Pet Holdings, Inc.</w:t>
            </w:r>
          </w:p>
        </w:tc>
        <w:tc>
          <w:tcPr>
            <w:tcW w:w="19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Beverage, Food and Tobacco</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7"/>
              </w:rPr>
              <w:t>11.74%</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SOFR + 7.00%, 3.00%</w:t>
            </w:r>
          </w:p>
        </w:tc>
        <w:tc>
          <w:tcPr>
            <w:tcW w:w="5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1.00%</w:t>
            </w:r>
          </w:p>
        </w:tc>
        <w:tc>
          <w:tcPr>
            <w:tcW w:w="5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5"/>
              </w:rPr>
              <w:t>10/06/26</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4,875</w:t>
            </w:r>
          </w:p>
        </w:tc>
        <w:tc>
          <w:tcPr>
            <w:tcW w:w="16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4,838</w:t>
            </w:r>
          </w:p>
        </w:tc>
        <w:tc>
          <w:tcPr>
            <w:tcW w:w="100" w:type="dxa"/>
            <w:vAlign w:val="bottom"/>
          </w:tcPr>
          <w:p>
            <w:pPr>
              <w:spacing w:after="0"/>
              <w:rPr>
                <w:sz w:val="10"/>
                <w:szCs w:val="10"/>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4,785</w:t>
            </w:r>
          </w:p>
        </w:tc>
        <w:tc>
          <w:tcPr>
            <w:tcW w:w="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31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PIK</w:t>
            </w: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AMCP Pet Holdings, Inc. (Revolver)</w:t>
            </w:r>
          </w:p>
        </w:tc>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Beverage, Food and Tobacco</w:t>
            </w:r>
          </w:p>
        </w:tc>
        <w:tc>
          <w:tcPr>
            <w:tcW w:w="780" w:type="dxa"/>
            <w:vAlign w:val="bottom"/>
            <w:shd w:val="clear" w:color="auto" w:fill="CFF0FC"/>
          </w:tcPr>
          <w:p>
            <w:pPr>
              <w:jc w:val="center"/>
              <w:ind w:left="112"/>
              <w:spacing w:after="0"/>
              <w:rPr>
                <w:sz w:val="20"/>
                <w:szCs w:val="20"/>
                <w:color w:val="auto"/>
              </w:rPr>
            </w:pPr>
            <w:r>
              <w:rPr>
                <w:rFonts w:ascii="Times New Roman" w:cs="Times New Roman" w:eastAsia="Times New Roman" w:hAnsi="Times New Roman"/>
                <w:sz w:val="10"/>
                <w:szCs w:val="10"/>
                <w:color w:val="auto"/>
                <w:w w:val="97"/>
              </w:rPr>
              <w:t>11.80%</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5"/>
              </w:rPr>
              <w:t>SOFR + 7.00%, 3.00%</w:t>
            </w:r>
          </w:p>
        </w:tc>
        <w:tc>
          <w:tcPr>
            <w:tcW w:w="5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1.00%</w:t>
            </w:r>
          </w:p>
        </w:tc>
        <w:tc>
          <w:tcPr>
            <w:tcW w:w="5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0"/>
                <w:szCs w:val="10"/>
                <w:color w:val="auto"/>
                <w:w w:val="95"/>
              </w:rPr>
              <w:t>10/06/26</w:t>
            </w: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1,012</w:t>
            </w:r>
          </w:p>
        </w:tc>
        <w:tc>
          <w:tcPr>
            <w:tcW w:w="16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1,006</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994</w:t>
            </w:r>
          </w:p>
        </w:tc>
        <w:tc>
          <w:tcPr>
            <w:tcW w:w="5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00" w:type="dxa"/>
            <w:vAlign w:val="bottom"/>
            <w:shd w:val="clear" w:color="auto" w:fill="CFF0FC"/>
          </w:tcPr>
          <w:p>
            <w:pPr>
              <w:spacing w:after="0"/>
              <w:rPr>
                <w:sz w:val="10"/>
                <w:szCs w:val="10"/>
                <w:color w:val="auto"/>
              </w:rPr>
            </w:pPr>
          </w:p>
        </w:tc>
        <w:tc>
          <w:tcPr>
            <w:tcW w:w="19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PIK</w:t>
            </w:r>
          </w:p>
        </w:tc>
        <w:tc>
          <w:tcPr>
            <w:tcW w:w="5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American Academy Holdings, LLC</w:t>
            </w:r>
          </w:p>
        </w:tc>
        <w:tc>
          <w:tcPr>
            <w:tcW w:w="19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Healthcare &amp; Pharmaceuticals</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7"/>
              </w:rPr>
              <w:t>14.22%</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SOFR + 9.75%, 5.25%</w:t>
            </w:r>
          </w:p>
        </w:tc>
        <w:tc>
          <w:tcPr>
            <w:tcW w:w="5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1.00%</w:t>
            </w:r>
          </w:p>
        </w:tc>
        <w:tc>
          <w:tcPr>
            <w:tcW w:w="5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5"/>
              </w:rPr>
              <w:t>06/30/27</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3,934</w:t>
            </w:r>
          </w:p>
        </w:tc>
        <w:tc>
          <w:tcPr>
            <w:tcW w:w="16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3,928</w:t>
            </w:r>
          </w:p>
        </w:tc>
        <w:tc>
          <w:tcPr>
            <w:tcW w:w="100" w:type="dxa"/>
            <w:vAlign w:val="bottom"/>
          </w:tcPr>
          <w:p>
            <w:pPr>
              <w:spacing w:after="0"/>
              <w:rPr>
                <w:sz w:val="10"/>
                <w:szCs w:val="10"/>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3,954</w:t>
            </w:r>
          </w:p>
        </w:tc>
        <w:tc>
          <w:tcPr>
            <w:tcW w:w="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31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PIK</w:t>
            </w: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Ancile Solutions, Inc.</w:t>
            </w:r>
          </w:p>
        </w:tc>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High Tech Industries</w:t>
            </w:r>
          </w:p>
        </w:tc>
        <w:tc>
          <w:tcPr>
            <w:tcW w:w="780" w:type="dxa"/>
            <w:vAlign w:val="bottom"/>
            <w:shd w:val="clear" w:color="auto" w:fill="CFF0FC"/>
          </w:tcPr>
          <w:p>
            <w:pPr>
              <w:jc w:val="center"/>
              <w:ind w:left="112"/>
              <w:spacing w:after="0"/>
              <w:rPr>
                <w:sz w:val="20"/>
                <w:szCs w:val="20"/>
                <w:color w:val="auto"/>
              </w:rPr>
            </w:pPr>
            <w:r>
              <w:rPr>
                <w:rFonts w:ascii="Times New Roman" w:cs="Times New Roman" w:eastAsia="Times New Roman" w:hAnsi="Times New Roman"/>
                <w:sz w:val="10"/>
                <w:szCs w:val="10"/>
                <w:color w:val="auto"/>
                <w:w w:val="97"/>
              </w:rPr>
              <w:t>14.62%</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6"/>
              </w:rPr>
              <w:t>SOFR + 10.00%</w:t>
            </w:r>
          </w:p>
        </w:tc>
        <w:tc>
          <w:tcPr>
            <w:tcW w:w="5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1.00%</w:t>
            </w:r>
          </w:p>
        </w:tc>
        <w:tc>
          <w:tcPr>
            <w:tcW w:w="5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0"/>
                <w:szCs w:val="10"/>
                <w:color w:val="auto"/>
                <w:w w:val="95"/>
              </w:rPr>
              <w:t>06/11/26</w:t>
            </w: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6,034</w:t>
            </w:r>
          </w:p>
        </w:tc>
        <w:tc>
          <w:tcPr>
            <w:tcW w:w="16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5,985</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6,035</w:t>
            </w:r>
          </w:p>
        </w:tc>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1"/>
        </w:trPr>
        <w:tc>
          <w:tcPr>
            <w:tcW w:w="3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Anthem Sports &amp; Entertainment Inc.</w:t>
            </w:r>
          </w:p>
        </w:tc>
        <w:tc>
          <w:tcPr>
            <w:tcW w:w="19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Media: Broadcasting &amp; Subscription</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7"/>
              </w:rPr>
              <w:t>13.99%</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SOFR + 9.40%,</w:t>
            </w:r>
          </w:p>
        </w:tc>
        <w:tc>
          <w:tcPr>
            <w:tcW w:w="5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1.00%</w:t>
            </w:r>
          </w:p>
        </w:tc>
        <w:tc>
          <w:tcPr>
            <w:tcW w:w="5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5"/>
              </w:rPr>
              <w:t>11/15/26</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15,070</w:t>
            </w:r>
          </w:p>
        </w:tc>
        <w:tc>
          <w:tcPr>
            <w:tcW w:w="16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14,966</w:t>
            </w:r>
          </w:p>
        </w:tc>
        <w:tc>
          <w:tcPr>
            <w:tcW w:w="100" w:type="dxa"/>
            <w:vAlign w:val="bottom"/>
          </w:tcPr>
          <w:p>
            <w:pPr>
              <w:spacing w:after="0"/>
              <w:rPr>
                <w:sz w:val="10"/>
                <w:szCs w:val="10"/>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9,668</w:t>
            </w:r>
          </w:p>
        </w:tc>
        <w:tc>
          <w:tcPr>
            <w:tcW w:w="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(13)(20)</w:t>
            </w:r>
          </w:p>
        </w:tc>
        <w:tc>
          <w:tcPr>
            <w:tcW w:w="0" w:type="dxa"/>
            <w:vAlign w:val="bottom"/>
          </w:tcPr>
          <w:p>
            <w:pPr>
              <w:spacing w:after="0"/>
              <w:rPr>
                <w:sz w:val="1"/>
                <w:szCs w:val="1"/>
                <w:color w:val="auto"/>
              </w:rPr>
            </w:pPr>
          </w:p>
        </w:tc>
      </w:tr>
      <w:tr>
        <w:trPr>
          <w:trHeight w:val="120"/>
        </w:trPr>
        <w:tc>
          <w:tcPr>
            <w:tcW w:w="31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13.99% PIK</w:t>
            </w: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Anthem Sports &amp; Entertainment Inc. (Revolver)</w:t>
            </w:r>
          </w:p>
        </w:tc>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Media: Broadcasting &amp; Subscription</w:t>
            </w:r>
          </w:p>
        </w:tc>
        <w:tc>
          <w:tcPr>
            <w:tcW w:w="780" w:type="dxa"/>
            <w:vAlign w:val="bottom"/>
            <w:shd w:val="clear" w:color="auto" w:fill="CFF0FC"/>
          </w:tcPr>
          <w:p>
            <w:pPr>
              <w:jc w:val="center"/>
              <w:ind w:left="112"/>
              <w:spacing w:after="0"/>
              <w:rPr>
                <w:sz w:val="20"/>
                <w:szCs w:val="20"/>
                <w:color w:val="auto"/>
              </w:rPr>
            </w:pPr>
            <w:r>
              <w:rPr>
                <w:rFonts w:ascii="Times New Roman" w:cs="Times New Roman" w:eastAsia="Times New Roman" w:hAnsi="Times New Roman"/>
                <w:sz w:val="10"/>
                <w:szCs w:val="10"/>
                <w:color w:val="auto"/>
                <w:w w:val="97"/>
              </w:rPr>
              <w:t>14.09%</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5"/>
              </w:rPr>
              <w:t>SOFR + 9.50%, 3.00%</w:t>
            </w:r>
          </w:p>
        </w:tc>
        <w:tc>
          <w:tcPr>
            <w:tcW w:w="5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1.00%</w:t>
            </w:r>
          </w:p>
        </w:tc>
        <w:tc>
          <w:tcPr>
            <w:tcW w:w="5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0"/>
                <w:szCs w:val="10"/>
                <w:color w:val="auto"/>
                <w:w w:val="95"/>
              </w:rPr>
              <w:t>11/15/26</w:t>
            </w: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1,222</w:t>
            </w:r>
          </w:p>
        </w:tc>
        <w:tc>
          <w:tcPr>
            <w:tcW w:w="16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1,212</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734</w:t>
            </w:r>
          </w:p>
        </w:tc>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(20)</w:t>
            </w:r>
          </w:p>
        </w:tc>
        <w:tc>
          <w:tcPr>
            <w:tcW w:w="0" w:type="dxa"/>
            <w:vAlign w:val="bottom"/>
          </w:tcPr>
          <w:p>
            <w:pPr>
              <w:spacing w:after="0"/>
              <w:rPr>
                <w:sz w:val="1"/>
                <w:szCs w:val="1"/>
                <w:color w:val="auto"/>
              </w:rPr>
            </w:pPr>
          </w:p>
        </w:tc>
      </w:tr>
      <w:tr>
        <w:trPr>
          <w:trHeight w:val="120"/>
        </w:trPr>
        <w:tc>
          <w:tcPr>
            <w:tcW w:w="3100" w:type="dxa"/>
            <w:vAlign w:val="bottom"/>
            <w:shd w:val="clear" w:color="auto" w:fill="CFF0FC"/>
          </w:tcPr>
          <w:p>
            <w:pPr>
              <w:spacing w:after="0"/>
              <w:rPr>
                <w:sz w:val="10"/>
                <w:szCs w:val="10"/>
                <w:color w:val="auto"/>
              </w:rPr>
            </w:pPr>
          </w:p>
        </w:tc>
        <w:tc>
          <w:tcPr>
            <w:tcW w:w="19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PIK</w:t>
            </w:r>
          </w:p>
        </w:tc>
        <w:tc>
          <w:tcPr>
            <w:tcW w:w="5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Anthem Sports &amp; Entertainment Inc. (Revolver 2022)</w:t>
            </w:r>
          </w:p>
        </w:tc>
        <w:tc>
          <w:tcPr>
            <w:tcW w:w="19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Media: Broadcasting &amp; Subscription</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7"/>
              </w:rPr>
              <w:t>14.09%</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SOFR + 9.50%, 3.00%</w:t>
            </w:r>
          </w:p>
        </w:tc>
        <w:tc>
          <w:tcPr>
            <w:tcW w:w="5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1.00%</w:t>
            </w:r>
          </w:p>
        </w:tc>
        <w:tc>
          <w:tcPr>
            <w:tcW w:w="5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5"/>
              </w:rPr>
              <w:t>06/30/24</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563</w:t>
            </w:r>
          </w:p>
        </w:tc>
        <w:tc>
          <w:tcPr>
            <w:tcW w:w="16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563</w:t>
            </w:r>
          </w:p>
        </w:tc>
        <w:tc>
          <w:tcPr>
            <w:tcW w:w="100" w:type="dxa"/>
            <w:vAlign w:val="bottom"/>
          </w:tcPr>
          <w:p>
            <w:pPr>
              <w:spacing w:after="0"/>
              <w:rPr>
                <w:sz w:val="10"/>
                <w:szCs w:val="10"/>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353</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PIK</w:t>
            </w: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Appfire Technologies, LLC</w:t>
            </w:r>
          </w:p>
        </w:tc>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High Tech Industries</w:t>
            </w:r>
          </w:p>
        </w:tc>
        <w:tc>
          <w:tcPr>
            <w:tcW w:w="780" w:type="dxa"/>
            <w:vAlign w:val="bottom"/>
            <w:shd w:val="clear" w:color="auto" w:fill="CFF0FC"/>
          </w:tcPr>
          <w:p>
            <w:pPr>
              <w:jc w:val="center"/>
              <w:ind w:left="112"/>
              <w:spacing w:after="0"/>
              <w:rPr>
                <w:sz w:val="20"/>
                <w:szCs w:val="20"/>
                <w:color w:val="auto"/>
              </w:rPr>
            </w:pPr>
            <w:r>
              <w:rPr>
                <w:rFonts w:ascii="Times New Roman" w:cs="Times New Roman" w:eastAsia="Times New Roman" w:hAnsi="Times New Roman"/>
                <w:sz w:val="10"/>
                <w:szCs w:val="10"/>
                <w:color w:val="auto"/>
              </w:rPr>
              <w:t>9.33%</w:t>
            </w:r>
          </w:p>
        </w:tc>
        <w:tc>
          <w:tcPr>
            <w:tcW w:w="1000" w:type="dxa"/>
            <w:vAlign w:val="bottom"/>
            <w:shd w:val="clear" w:color="auto" w:fill="CFF0FC"/>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SOFR + 5.00%</w:t>
            </w:r>
          </w:p>
        </w:tc>
        <w:tc>
          <w:tcPr>
            <w:tcW w:w="5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1.00%</w:t>
            </w:r>
          </w:p>
        </w:tc>
        <w:tc>
          <w:tcPr>
            <w:tcW w:w="5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0"/>
                <w:szCs w:val="10"/>
                <w:color w:val="auto"/>
                <w:w w:val="95"/>
              </w:rPr>
              <w:t>03/09/28</w:t>
            </w: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5,832</w:t>
            </w:r>
          </w:p>
        </w:tc>
        <w:tc>
          <w:tcPr>
            <w:tcW w:w="16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5,827</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5,817</w:t>
            </w:r>
          </w:p>
        </w:tc>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3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BetaNXT, Inc.</w:t>
            </w:r>
          </w:p>
        </w:tc>
        <w:tc>
          <w:tcPr>
            <w:tcW w:w="19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Banking, Finance, Insurance &amp; Real Estate</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7"/>
              </w:rPr>
              <w:t>10.08%</w:t>
            </w:r>
          </w:p>
        </w:tc>
        <w:tc>
          <w:tcPr>
            <w:tcW w:w="100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SOFR + 5.75%</w:t>
            </w:r>
          </w:p>
        </w:tc>
        <w:tc>
          <w:tcPr>
            <w:tcW w:w="56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5"/>
              </w:rPr>
              <w:t>07/01/29</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12,480</w:t>
            </w:r>
          </w:p>
        </w:tc>
        <w:tc>
          <w:tcPr>
            <w:tcW w:w="16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11,958</w:t>
            </w:r>
          </w:p>
        </w:tc>
        <w:tc>
          <w:tcPr>
            <w:tcW w:w="100" w:type="dxa"/>
            <w:vAlign w:val="bottom"/>
          </w:tcPr>
          <w:p>
            <w:pPr>
              <w:spacing w:after="0"/>
              <w:rPr>
                <w:sz w:val="10"/>
                <w:szCs w:val="10"/>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11,997</w:t>
            </w:r>
          </w:p>
        </w:tc>
        <w:tc>
          <w:tcPr>
            <w:tcW w:w="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BetaNXT, Inc. (Revolver)</w:t>
            </w:r>
          </w:p>
        </w:tc>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Banking, Finance, Insurance &amp; Real Estate</w:t>
            </w:r>
          </w:p>
        </w:tc>
        <w:tc>
          <w:tcPr>
            <w:tcW w:w="780" w:type="dxa"/>
            <w:vAlign w:val="bottom"/>
            <w:shd w:val="clear" w:color="auto" w:fill="CFF0FC"/>
          </w:tcPr>
          <w:p>
            <w:pPr>
              <w:jc w:val="center"/>
              <w:ind w:left="112"/>
              <w:spacing w:after="0"/>
              <w:rPr>
                <w:sz w:val="20"/>
                <w:szCs w:val="20"/>
                <w:color w:val="auto"/>
              </w:rPr>
            </w:pPr>
            <w:r>
              <w:rPr>
                <w:rFonts w:ascii="Times New Roman" w:cs="Times New Roman" w:eastAsia="Times New Roman" w:hAnsi="Times New Roman"/>
                <w:sz w:val="10"/>
                <w:szCs w:val="10"/>
                <w:color w:val="auto"/>
              </w:rPr>
              <w:t>8.86%</w:t>
            </w:r>
          </w:p>
        </w:tc>
        <w:tc>
          <w:tcPr>
            <w:tcW w:w="1000" w:type="dxa"/>
            <w:vAlign w:val="bottom"/>
            <w:shd w:val="clear" w:color="auto" w:fill="CFF0FC"/>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SOFR + 4.50%</w:t>
            </w:r>
          </w:p>
        </w:tc>
        <w:tc>
          <w:tcPr>
            <w:tcW w:w="56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0"/>
                <w:szCs w:val="10"/>
                <w:color w:val="auto"/>
                <w:w w:val="95"/>
              </w:rPr>
              <w:t>07/01/27</w:t>
            </w: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1,014</w:t>
            </w:r>
          </w:p>
        </w:tc>
        <w:tc>
          <w:tcPr>
            <w:tcW w:w="16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1,014</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963</w:t>
            </w:r>
          </w:p>
        </w:tc>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(20)</w:t>
            </w:r>
          </w:p>
        </w:tc>
        <w:tc>
          <w:tcPr>
            <w:tcW w:w="0" w:type="dxa"/>
            <w:vAlign w:val="bottom"/>
          </w:tcPr>
          <w:p>
            <w:pPr>
              <w:spacing w:after="0"/>
              <w:rPr>
                <w:sz w:val="1"/>
                <w:szCs w:val="1"/>
                <w:color w:val="auto"/>
              </w:rPr>
            </w:pPr>
          </w:p>
        </w:tc>
      </w:tr>
      <w:tr>
        <w:trPr>
          <w:trHeight w:val="120"/>
        </w:trPr>
        <w:tc>
          <w:tcPr>
            <w:tcW w:w="3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Bradshaw International Parent Corp.</w:t>
            </w:r>
          </w:p>
        </w:tc>
        <w:tc>
          <w:tcPr>
            <w:tcW w:w="19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Consumer goods: Durable</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7"/>
              </w:rPr>
              <w:t>10.21%</w:t>
            </w:r>
          </w:p>
        </w:tc>
        <w:tc>
          <w:tcPr>
            <w:tcW w:w="100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SOFR + 5.75%</w:t>
            </w:r>
          </w:p>
        </w:tc>
        <w:tc>
          <w:tcPr>
            <w:tcW w:w="5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1.00%</w:t>
            </w:r>
          </w:p>
        </w:tc>
        <w:tc>
          <w:tcPr>
            <w:tcW w:w="5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5"/>
              </w:rPr>
              <w:t>10/21/27</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491</w:t>
            </w:r>
          </w:p>
        </w:tc>
        <w:tc>
          <w:tcPr>
            <w:tcW w:w="16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485</w:t>
            </w:r>
          </w:p>
        </w:tc>
        <w:tc>
          <w:tcPr>
            <w:tcW w:w="100" w:type="dxa"/>
            <w:vAlign w:val="bottom"/>
          </w:tcPr>
          <w:p>
            <w:pPr>
              <w:spacing w:after="0"/>
              <w:rPr>
                <w:sz w:val="10"/>
                <w:szCs w:val="10"/>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487</w:t>
            </w:r>
          </w:p>
        </w:tc>
        <w:tc>
          <w:tcPr>
            <w:tcW w:w="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Bradshaw International Parent Corp. (Revolver)</w:t>
            </w:r>
          </w:p>
        </w:tc>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Consumer goods: Durable</w:t>
            </w:r>
          </w:p>
        </w:tc>
        <w:tc>
          <w:tcPr>
            <w:tcW w:w="780" w:type="dxa"/>
            <w:vAlign w:val="bottom"/>
            <w:shd w:val="clear" w:color="auto" w:fill="CFF0FC"/>
          </w:tcPr>
          <w:p>
            <w:pPr>
              <w:jc w:val="center"/>
              <w:ind w:left="112"/>
              <w:spacing w:after="0"/>
              <w:rPr>
                <w:sz w:val="20"/>
                <w:szCs w:val="20"/>
                <w:color w:val="auto"/>
              </w:rPr>
            </w:pPr>
            <w:r>
              <w:rPr>
                <w:rFonts w:ascii="Times New Roman" w:cs="Times New Roman" w:eastAsia="Times New Roman" w:hAnsi="Times New Roman"/>
                <w:sz w:val="10"/>
                <w:szCs w:val="10"/>
                <w:color w:val="auto"/>
                <w:w w:val="99"/>
              </w:rPr>
              <w:t>—</w:t>
            </w:r>
          </w:p>
        </w:tc>
        <w:tc>
          <w:tcPr>
            <w:tcW w:w="1000" w:type="dxa"/>
            <w:vAlign w:val="bottom"/>
            <w:shd w:val="clear" w:color="auto" w:fill="CFF0FC"/>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SOFR + 5.75%</w:t>
            </w:r>
          </w:p>
        </w:tc>
        <w:tc>
          <w:tcPr>
            <w:tcW w:w="5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1.00%</w:t>
            </w:r>
          </w:p>
        </w:tc>
        <w:tc>
          <w:tcPr>
            <w:tcW w:w="5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0"/>
                <w:szCs w:val="10"/>
                <w:color w:val="auto"/>
                <w:w w:val="95"/>
              </w:rPr>
              <w:t>10/21/26</w:t>
            </w: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(23)</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(15)(20)</w:t>
            </w:r>
          </w:p>
        </w:tc>
        <w:tc>
          <w:tcPr>
            <w:tcW w:w="0" w:type="dxa"/>
            <w:vAlign w:val="bottom"/>
          </w:tcPr>
          <w:p>
            <w:pPr>
              <w:spacing w:after="0"/>
              <w:rPr>
                <w:sz w:val="1"/>
                <w:szCs w:val="1"/>
                <w:color w:val="auto"/>
              </w:rPr>
            </w:pPr>
          </w:p>
        </w:tc>
      </w:tr>
      <w:tr>
        <w:trPr>
          <w:trHeight w:val="121"/>
        </w:trPr>
        <w:tc>
          <w:tcPr>
            <w:tcW w:w="3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C.P. Converters, Inc.</w:t>
            </w:r>
          </w:p>
        </w:tc>
        <w:tc>
          <w:tcPr>
            <w:tcW w:w="19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Chemicals, Plastics and Rubber</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7"/>
              </w:rPr>
              <w:t>13.16%</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SOFR + 8.49%, 1.00%</w:t>
            </w:r>
          </w:p>
        </w:tc>
        <w:tc>
          <w:tcPr>
            <w:tcW w:w="5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1.00%</w:t>
            </w:r>
          </w:p>
        </w:tc>
        <w:tc>
          <w:tcPr>
            <w:tcW w:w="5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5"/>
              </w:rPr>
              <w:t>12/13/25</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10,135</w:t>
            </w:r>
          </w:p>
        </w:tc>
        <w:tc>
          <w:tcPr>
            <w:tcW w:w="16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10,135</w:t>
            </w:r>
          </w:p>
        </w:tc>
        <w:tc>
          <w:tcPr>
            <w:tcW w:w="100" w:type="dxa"/>
            <w:vAlign w:val="bottom"/>
          </w:tcPr>
          <w:p>
            <w:pPr>
              <w:spacing w:after="0"/>
              <w:rPr>
                <w:sz w:val="10"/>
                <w:szCs w:val="10"/>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9,628</w:t>
            </w:r>
          </w:p>
        </w:tc>
        <w:tc>
          <w:tcPr>
            <w:tcW w:w="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31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PIK</w:t>
            </w: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CB MIDCO, LLC</w:t>
            </w:r>
          </w:p>
        </w:tc>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Consumer goods: Durable</w:t>
            </w:r>
          </w:p>
        </w:tc>
        <w:tc>
          <w:tcPr>
            <w:tcW w:w="780" w:type="dxa"/>
            <w:vAlign w:val="bottom"/>
            <w:shd w:val="clear" w:color="auto" w:fill="CFF0FC"/>
          </w:tcPr>
          <w:p>
            <w:pPr>
              <w:jc w:val="center"/>
              <w:ind w:left="112"/>
              <w:spacing w:after="0"/>
              <w:rPr>
                <w:sz w:val="20"/>
                <w:szCs w:val="20"/>
                <w:color w:val="auto"/>
              </w:rPr>
            </w:pPr>
            <w:r>
              <w:rPr>
                <w:rFonts w:ascii="Times New Roman" w:cs="Times New Roman" w:eastAsia="Times New Roman" w:hAnsi="Times New Roman"/>
                <w:sz w:val="10"/>
                <w:szCs w:val="10"/>
                <w:color w:val="auto"/>
                <w:w w:val="97"/>
              </w:rPr>
              <w:t>10.21%</w:t>
            </w:r>
          </w:p>
        </w:tc>
        <w:tc>
          <w:tcPr>
            <w:tcW w:w="1000" w:type="dxa"/>
            <w:vAlign w:val="bottom"/>
            <w:shd w:val="clear" w:color="auto" w:fill="CFF0FC"/>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SOFR + 5.75%</w:t>
            </w:r>
          </w:p>
        </w:tc>
        <w:tc>
          <w:tcPr>
            <w:tcW w:w="5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1.00%</w:t>
            </w:r>
          </w:p>
        </w:tc>
        <w:tc>
          <w:tcPr>
            <w:tcW w:w="5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0"/>
                <w:szCs w:val="10"/>
                <w:color w:val="auto"/>
                <w:w w:val="95"/>
              </w:rPr>
              <w:t>09/27/27</w:t>
            </w: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3,762</w:t>
            </w:r>
          </w:p>
        </w:tc>
        <w:tc>
          <w:tcPr>
            <w:tcW w:w="16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3,745</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3,414</w:t>
            </w:r>
          </w:p>
        </w:tc>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3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CCMG Buyer, LLC (Care Connectors Medical Group)</w:t>
            </w:r>
          </w:p>
        </w:tc>
        <w:tc>
          <w:tcPr>
            <w:tcW w:w="19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Healthcare &amp; Pharmaceuticals</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rPr>
              <w:t>9.90%</w:t>
            </w:r>
          </w:p>
        </w:tc>
        <w:tc>
          <w:tcPr>
            <w:tcW w:w="100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SOFR + 5.50%</w:t>
            </w:r>
          </w:p>
        </w:tc>
        <w:tc>
          <w:tcPr>
            <w:tcW w:w="5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1.00%</w:t>
            </w:r>
          </w:p>
        </w:tc>
        <w:tc>
          <w:tcPr>
            <w:tcW w:w="5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5"/>
              </w:rPr>
              <w:t>05/08/30</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3,151</w:t>
            </w:r>
          </w:p>
        </w:tc>
        <w:tc>
          <w:tcPr>
            <w:tcW w:w="16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3,116</w:t>
            </w:r>
          </w:p>
        </w:tc>
        <w:tc>
          <w:tcPr>
            <w:tcW w:w="100" w:type="dxa"/>
            <w:vAlign w:val="bottom"/>
          </w:tcPr>
          <w:p>
            <w:pPr>
              <w:spacing w:after="0"/>
              <w:rPr>
                <w:sz w:val="10"/>
                <w:szCs w:val="10"/>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3,151</w:t>
            </w:r>
          </w:p>
        </w:tc>
        <w:tc>
          <w:tcPr>
            <w:tcW w:w="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CCMG Buyer, LLC (Care Connectors Medical Group) (Revolver)</w:t>
            </w:r>
          </w:p>
        </w:tc>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Healthcare &amp; Pharmaceuticals</w:t>
            </w:r>
          </w:p>
        </w:tc>
        <w:tc>
          <w:tcPr>
            <w:tcW w:w="780" w:type="dxa"/>
            <w:vAlign w:val="bottom"/>
            <w:shd w:val="clear" w:color="auto" w:fill="CFF0FC"/>
          </w:tcPr>
          <w:p>
            <w:pPr>
              <w:jc w:val="center"/>
              <w:ind w:left="112"/>
              <w:spacing w:after="0"/>
              <w:rPr>
                <w:sz w:val="20"/>
                <w:szCs w:val="20"/>
                <w:color w:val="auto"/>
              </w:rPr>
            </w:pPr>
            <w:r>
              <w:rPr>
                <w:rFonts w:ascii="Times New Roman" w:cs="Times New Roman" w:eastAsia="Times New Roman" w:hAnsi="Times New Roman"/>
                <w:sz w:val="10"/>
                <w:szCs w:val="10"/>
                <w:color w:val="auto"/>
                <w:w w:val="99"/>
              </w:rPr>
              <w:t>—</w:t>
            </w:r>
          </w:p>
        </w:tc>
        <w:tc>
          <w:tcPr>
            <w:tcW w:w="1000" w:type="dxa"/>
            <w:vAlign w:val="bottom"/>
            <w:shd w:val="clear" w:color="auto" w:fill="CFF0FC"/>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SOFR + 5.50%</w:t>
            </w:r>
          </w:p>
        </w:tc>
        <w:tc>
          <w:tcPr>
            <w:tcW w:w="5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1.00%</w:t>
            </w:r>
          </w:p>
        </w:tc>
        <w:tc>
          <w:tcPr>
            <w:tcW w:w="5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0"/>
                <w:szCs w:val="10"/>
                <w:color w:val="auto"/>
                <w:w w:val="95"/>
              </w:rPr>
              <w:t>05/08/30</w:t>
            </w: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(15)(20)</w:t>
            </w:r>
          </w:p>
        </w:tc>
        <w:tc>
          <w:tcPr>
            <w:tcW w:w="0" w:type="dxa"/>
            <w:vAlign w:val="bottom"/>
          </w:tcPr>
          <w:p>
            <w:pPr>
              <w:spacing w:after="0"/>
              <w:rPr>
                <w:sz w:val="1"/>
                <w:szCs w:val="1"/>
                <w:color w:val="auto"/>
              </w:rPr>
            </w:pPr>
          </w:p>
        </w:tc>
      </w:tr>
      <w:tr>
        <w:trPr>
          <w:trHeight w:val="120"/>
        </w:trPr>
        <w:tc>
          <w:tcPr>
            <w:tcW w:w="3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Cenexel Clinical Research, Inc.</w:t>
            </w:r>
          </w:p>
        </w:tc>
        <w:tc>
          <w:tcPr>
            <w:tcW w:w="19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Healthcare &amp; Pharmaceuticals</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7"/>
              </w:rPr>
              <w:t>10.47%</w:t>
            </w:r>
          </w:p>
        </w:tc>
        <w:tc>
          <w:tcPr>
            <w:tcW w:w="100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SOFR + 5.75%</w:t>
            </w:r>
          </w:p>
        </w:tc>
        <w:tc>
          <w:tcPr>
            <w:tcW w:w="5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1.00%</w:t>
            </w:r>
          </w:p>
        </w:tc>
        <w:tc>
          <w:tcPr>
            <w:tcW w:w="5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5"/>
              </w:rPr>
              <w:t>11/08/28</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5,773</w:t>
            </w:r>
          </w:p>
        </w:tc>
        <w:tc>
          <w:tcPr>
            <w:tcW w:w="16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5,758</w:t>
            </w:r>
          </w:p>
        </w:tc>
        <w:tc>
          <w:tcPr>
            <w:tcW w:w="100" w:type="dxa"/>
            <w:vAlign w:val="bottom"/>
          </w:tcPr>
          <w:p>
            <w:pPr>
              <w:spacing w:after="0"/>
              <w:rPr>
                <w:sz w:val="10"/>
                <w:szCs w:val="10"/>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5,765</w:t>
            </w:r>
          </w:p>
        </w:tc>
        <w:tc>
          <w:tcPr>
            <w:tcW w:w="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Centric Brands Inc.</w:t>
            </w:r>
          </w:p>
        </w:tc>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Machinery (Non-Agrclt/Constr/Electr)</w:t>
            </w:r>
          </w:p>
        </w:tc>
        <w:tc>
          <w:tcPr>
            <w:tcW w:w="780" w:type="dxa"/>
            <w:vAlign w:val="bottom"/>
            <w:shd w:val="clear" w:color="auto" w:fill="CFF0FC"/>
          </w:tcPr>
          <w:p>
            <w:pPr>
              <w:jc w:val="center"/>
              <w:ind w:left="112"/>
              <w:spacing w:after="0"/>
              <w:rPr>
                <w:sz w:val="20"/>
                <w:szCs w:val="20"/>
                <w:color w:val="auto"/>
              </w:rPr>
            </w:pPr>
            <w:r>
              <w:rPr>
                <w:rFonts w:ascii="Times New Roman" w:cs="Times New Roman" w:eastAsia="Times New Roman" w:hAnsi="Times New Roman"/>
                <w:sz w:val="10"/>
                <w:szCs w:val="10"/>
                <w:color w:val="auto"/>
                <w:w w:val="97"/>
              </w:rPr>
              <w:t>10.03%</w:t>
            </w:r>
          </w:p>
        </w:tc>
        <w:tc>
          <w:tcPr>
            <w:tcW w:w="1000" w:type="dxa"/>
            <w:vAlign w:val="bottom"/>
            <w:shd w:val="clear" w:color="auto" w:fill="CFF0FC"/>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SOFR + 5.50%</w:t>
            </w:r>
          </w:p>
        </w:tc>
        <w:tc>
          <w:tcPr>
            <w:tcW w:w="5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1.00%</w:t>
            </w:r>
          </w:p>
        </w:tc>
        <w:tc>
          <w:tcPr>
            <w:tcW w:w="5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0"/>
                <w:szCs w:val="10"/>
                <w:color w:val="auto"/>
                <w:w w:val="95"/>
              </w:rPr>
              <w:t>08/06/29</w:t>
            </w: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3,689</w:t>
            </w:r>
          </w:p>
        </w:tc>
        <w:tc>
          <w:tcPr>
            <w:tcW w:w="16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3,689</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3,689</w:t>
            </w:r>
          </w:p>
        </w:tc>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3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Centric Brands Inc. (Term Loan A1)</w:t>
            </w:r>
          </w:p>
        </w:tc>
        <w:tc>
          <w:tcPr>
            <w:tcW w:w="19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Machinery (Non-Agrclt/Constr/Electr)</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7"/>
              </w:rPr>
              <w:t>11.03%</w:t>
            </w:r>
          </w:p>
        </w:tc>
        <w:tc>
          <w:tcPr>
            <w:tcW w:w="100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SOFR + 6.50%</w:t>
            </w:r>
          </w:p>
        </w:tc>
        <w:tc>
          <w:tcPr>
            <w:tcW w:w="5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1.00%</w:t>
            </w:r>
          </w:p>
        </w:tc>
        <w:tc>
          <w:tcPr>
            <w:tcW w:w="5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5"/>
              </w:rPr>
              <w:t>02/06/31</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3,807</w:t>
            </w:r>
          </w:p>
        </w:tc>
        <w:tc>
          <w:tcPr>
            <w:tcW w:w="16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3,807</w:t>
            </w:r>
          </w:p>
        </w:tc>
        <w:tc>
          <w:tcPr>
            <w:tcW w:w="100" w:type="dxa"/>
            <w:vAlign w:val="bottom"/>
          </w:tcPr>
          <w:p>
            <w:pPr>
              <w:spacing w:after="0"/>
              <w:rPr>
                <w:sz w:val="10"/>
                <w:szCs w:val="10"/>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3,807</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Centric Brands Inc. (Term Loan A2)</w:t>
            </w:r>
          </w:p>
        </w:tc>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Machinery (Non-Agrclt/Constr/Electr)</w:t>
            </w:r>
          </w:p>
        </w:tc>
        <w:tc>
          <w:tcPr>
            <w:tcW w:w="780" w:type="dxa"/>
            <w:vAlign w:val="bottom"/>
            <w:shd w:val="clear" w:color="auto" w:fill="CFF0FC"/>
          </w:tcPr>
          <w:p>
            <w:pPr>
              <w:jc w:val="center"/>
              <w:ind w:left="112"/>
              <w:spacing w:after="0"/>
              <w:rPr>
                <w:sz w:val="20"/>
                <w:szCs w:val="20"/>
                <w:color w:val="auto"/>
              </w:rPr>
            </w:pPr>
            <w:r>
              <w:rPr>
                <w:rFonts w:ascii="Times New Roman" w:cs="Times New Roman" w:eastAsia="Times New Roman" w:hAnsi="Times New Roman"/>
                <w:sz w:val="10"/>
                <w:szCs w:val="10"/>
                <w:color w:val="auto"/>
                <w:w w:val="97"/>
              </w:rPr>
              <w:t>12.53%</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3"/>
              </w:rPr>
              <w:t>SOFR + 8.00%,</w:t>
            </w:r>
          </w:p>
        </w:tc>
        <w:tc>
          <w:tcPr>
            <w:tcW w:w="5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1.00%</w:t>
            </w:r>
          </w:p>
        </w:tc>
        <w:tc>
          <w:tcPr>
            <w:tcW w:w="5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0"/>
                <w:szCs w:val="10"/>
                <w:color w:val="auto"/>
                <w:w w:val="95"/>
              </w:rPr>
              <w:t>02/06/31</w:t>
            </w: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3,463</w:t>
            </w:r>
          </w:p>
        </w:tc>
        <w:tc>
          <w:tcPr>
            <w:tcW w:w="16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3,463</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3,463</w:t>
            </w:r>
          </w:p>
        </w:tc>
        <w:tc>
          <w:tcPr>
            <w:tcW w:w="5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00" w:type="dxa"/>
            <w:vAlign w:val="bottom"/>
            <w:shd w:val="clear" w:color="auto" w:fill="CFF0FC"/>
          </w:tcPr>
          <w:p>
            <w:pPr>
              <w:spacing w:after="0"/>
              <w:rPr>
                <w:sz w:val="10"/>
                <w:szCs w:val="10"/>
                <w:color w:val="auto"/>
              </w:rPr>
            </w:pPr>
          </w:p>
        </w:tc>
        <w:tc>
          <w:tcPr>
            <w:tcW w:w="19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6"/>
              </w:rPr>
              <w:t>12.53% PIK</w:t>
            </w:r>
          </w:p>
        </w:tc>
        <w:tc>
          <w:tcPr>
            <w:tcW w:w="5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Colonnade Intermediate, LLC</w:t>
            </w:r>
          </w:p>
        </w:tc>
        <w:tc>
          <w:tcPr>
            <w:tcW w:w="19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Services: Business</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9"/>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1.00%</w:t>
            </w:r>
          </w:p>
        </w:tc>
        <w:tc>
          <w:tcPr>
            <w:tcW w:w="5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5"/>
              </w:rPr>
              <w:t>04/27/24</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7,167</w:t>
            </w:r>
          </w:p>
        </w:tc>
        <w:tc>
          <w:tcPr>
            <w:tcW w:w="16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7,167</w:t>
            </w:r>
          </w:p>
        </w:tc>
        <w:tc>
          <w:tcPr>
            <w:tcW w:w="100" w:type="dxa"/>
            <w:vAlign w:val="bottom"/>
          </w:tcPr>
          <w:p>
            <w:pPr>
              <w:spacing w:after="0"/>
              <w:rPr>
                <w:sz w:val="10"/>
                <w:szCs w:val="10"/>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5,164</w:t>
            </w:r>
          </w:p>
        </w:tc>
        <w:tc>
          <w:tcPr>
            <w:tcW w:w="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(5)</w:t>
            </w:r>
          </w:p>
        </w:tc>
        <w:tc>
          <w:tcPr>
            <w:tcW w:w="0" w:type="dxa"/>
            <w:vAlign w:val="bottom"/>
          </w:tcPr>
          <w:p>
            <w:pPr>
              <w:spacing w:after="0"/>
              <w:rPr>
                <w:sz w:val="1"/>
                <w:szCs w:val="1"/>
                <w:color w:val="auto"/>
              </w:rPr>
            </w:pPr>
          </w:p>
        </w:tc>
      </w:tr>
      <w:tr>
        <w:trPr>
          <w:trHeight w:val="120"/>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Colonnade Intermediate, LLC (Revolver)</w:t>
            </w:r>
          </w:p>
        </w:tc>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Services: Business</w:t>
            </w:r>
          </w:p>
        </w:tc>
        <w:tc>
          <w:tcPr>
            <w:tcW w:w="780" w:type="dxa"/>
            <w:vAlign w:val="bottom"/>
            <w:shd w:val="clear" w:color="auto" w:fill="CFF0FC"/>
          </w:tcPr>
          <w:p>
            <w:pPr>
              <w:jc w:val="center"/>
              <w:ind w:left="112"/>
              <w:spacing w:after="0"/>
              <w:rPr>
                <w:sz w:val="20"/>
                <w:szCs w:val="20"/>
                <w:color w:val="auto"/>
              </w:rPr>
            </w:pPr>
            <w:r>
              <w:rPr>
                <w:rFonts w:ascii="Times New Roman" w:cs="Times New Roman" w:eastAsia="Times New Roman" w:hAnsi="Times New Roman"/>
                <w:sz w:val="10"/>
                <w:szCs w:val="10"/>
                <w:color w:val="auto"/>
                <w:w w:val="99"/>
              </w:rPr>
              <w:t>—</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1.00%</w:t>
            </w:r>
          </w:p>
        </w:tc>
        <w:tc>
          <w:tcPr>
            <w:tcW w:w="5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0"/>
                <w:szCs w:val="10"/>
                <w:color w:val="auto"/>
                <w:w w:val="95"/>
              </w:rPr>
              <w:t>04/27/24</w:t>
            </w: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685</w:t>
            </w:r>
          </w:p>
        </w:tc>
        <w:tc>
          <w:tcPr>
            <w:tcW w:w="16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685</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494</w:t>
            </w:r>
          </w:p>
        </w:tc>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(5)</w:t>
            </w:r>
          </w:p>
        </w:tc>
        <w:tc>
          <w:tcPr>
            <w:tcW w:w="0" w:type="dxa"/>
            <w:vAlign w:val="bottom"/>
          </w:tcPr>
          <w:p>
            <w:pPr>
              <w:spacing w:after="0"/>
              <w:rPr>
                <w:sz w:val="1"/>
                <w:szCs w:val="1"/>
                <w:color w:val="auto"/>
              </w:rPr>
            </w:pPr>
          </w:p>
        </w:tc>
      </w:tr>
      <w:tr>
        <w:trPr>
          <w:trHeight w:val="120"/>
        </w:trPr>
        <w:tc>
          <w:tcPr>
            <w:tcW w:w="3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Datalink, LLC</w:t>
            </w:r>
          </w:p>
        </w:tc>
        <w:tc>
          <w:tcPr>
            <w:tcW w:w="19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Healthcare &amp; Pharmaceuticals</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7"/>
              </w:rPr>
              <w:t>11.49%</w:t>
            </w:r>
          </w:p>
        </w:tc>
        <w:tc>
          <w:tcPr>
            <w:tcW w:w="100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SOFR + 6.75%</w:t>
            </w:r>
          </w:p>
        </w:tc>
        <w:tc>
          <w:tcPr>
            <w:tcW w:w="5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1.00%</w:t>
            </w:r>
          </w:p>
        </w:tc>
        <w:tc>
          <w:tcPr>
            <w:tcW w:w="5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5"/>
              </w:rPr>
              <w:t>11/23/26</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2,640</w:t>
            </w:r>
          </w:p>
        </w:tc>
        <w:tc>
          <w:tcPr>
            <w:tcW w:w="16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2,617</w:t>
            </w:r>
          </w:p>
        </w:tc>
        <w:tc>
          <w:tcPr>
            <w:tcW w:w="100" w:type="dxa"/>
            <w:vAlign w:val="bottom"/>
          </w:tcPr>
          <w:p>
            <w:pPr>
              <w:spacing w:after="0"/>
              <w:rPr>
                <w:sz w:val="10"/>
                <w:szCs w:val="10"/>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2,218</w:t>
            </w:r>
          </w:p>
        </w:tc>
        <w:tc>
          <w:tcPr>
            <w:tcW w:w="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Dentive, LLC</w:t>
            </w:r>
          </w:p>
        </w:tc>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Healthcare &amp; Pharmaceuticals</w:t>
            </w:r>
          </w:p>
        </w:tc>
        <w:tc>
          <w:tcPr>
            <w:tcW w:w="780" w:type="dxa"/>
            <w:vAlign w:val="bottom"/>
            <w:shd w:val="clear" w:color="auto" w:fill="CFF0FC"/>
          </w:tcPr>
          <w:p>
            <w:pPr>
              <w:jc w:val="center"/>
              <w:ind w:left="112"/>
              <w:spacing w:after="0"/>
              <w:rPr>
                <w:sz w:val="20"/>
                <w:szCs w:val="20"/>
                <w:color w:val="auto"/>
              </w:rPr>
            </w:pPr>
            <w:r>
              <w:rPr>
                <w:rFonts w:ascii="Times New Roman" w:cs="Times New Roman" w:eastAsia="Times New Roman" w:hAnsi="Times New Roman"/>
                <w:sz w:val="10"/>
                <w:szCs w:val="10"/>
                <w:color w:val="auto"/>
                <w:w w:val="97"/>
              </w:rPr>
              <w:t>11.08%</w:t>
            </w:r>
          </w:p>
        </w:tc>
        <w:tc>
          <w:tcPr>
            <w:tcW w:w="1000" w:type="dxa"/>
            <w:vAlign w:val="bottom"/>
            <w:shd w:val="clear" w:color="auto" w:fill="CFF0FC"/>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SOFR + 6.75%</w:t>
            </w:r>
          </w:p>
        </w:tc>
        <w:tc>
          <w:tcPr>
            <w:tcW w:w="5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0.75%</w:t>
            </w:r>
          </w:p>
        </w:tc>
        <w:tc>
          <w:tcPr>
            <w:tcW w:w="5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0"/>
                <w:szCs w:val="10"/>
                <w:color w:val="auto"/>
                <w:w w:val="95"/>
              </w:rPr>
              <w:t>12/26/28</w:t>
            </w: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2,740</w:t>
            </w:r>
          </w:p>
        </w:tc>
        <w:tc>
          <w:tcPr>
            <w:tcW w:w="16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2,695</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2,696</w:t>
            </w:r>
          </w:p>
        </w:tc>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(13)(20)</w:t>
            </w:r>
          </w:p>
        </w:tc>
        <w:tc>
          <w:tcPr>
            <w:tcW w:w="0" w:type="dxa"/>
            <w:vAlign w:val="bottom"/>
          </w:tcPr>
          <w:p>
            <w:pPr>
              <w:spacing w:after="0"/>
              <w:rPr>
                <w:sz w:val="1"/>
                <w:szCs w:val="1"/>
                <w:color w:val="auto"/>
              </w:rPr>
            </w:pPr>
          </w:p>
        </w:tc>
      </w:tr>
      <w:tr>
        <w:trPr>
          <w:trHeight w:val="120"/>
        </w:trPr>
        <w:tc>
          <w:tcPr>
            <w:tcW w:w="3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Dentive, LLC (Revolver)</w:t>
            </w:r>
          </w:p>
        </w:tc>
        <w:tc>
          <w:tcPr>
            <w:tcW w:w="19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Healthcare &amp; Pharmaceuticals</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7"/>
              </w:rPr>
              <w:t>11.08%</w:t>
            </w:r>
          </w:p>
        </w:tc>
        <w:tc>
          <w:tcPr>
            <w:tcW w:w="100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SOFR + 6.75%</w:t>
            </w:r>
          </w:p>
        </w:tc>
        <w:tc>
          <w:tcPr>
            <w:tcW w:w="5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0.75%</w:t>
            </w:r>
          </w:p>
        </w:tc>
        <w:tc>
          <w:tcPr>
            <w:tcW w:w="5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5"/>
              </w:rPr>
              <w:t>12/23/28</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117</w:t>
            </w:r>
          </w:p>
        </w:tc>
        <w:tc>
          <w:tcPr>
            <w:tcW w:w="16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112</w:t>
            </w:r>
          </w:p>
        </w:tc>
        <w:tc>
          <w:tcPr>
            <w:tcW w:w="100" w:type="dxa"/>
            <w:vAlign w:val="bottom"/>
          </w:tcPr>
          <w:p>
            <w:pPr>
              <w:spacing w:after="0"/>
              <w:rPr>
                <w:sz w:val="10"/>
                <w:szCs w:val="10"/>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114</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Dodge Data &amp; Analytics LLC</w:t>
            </w:r>
          </w:p>
        </w:tc>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Construction &amp; Building</w:t>
            </w:r>
          </w:p>
        </w:tc>
        <w:tc>
          <w:tcPr>
            <w:tcW w:w="780" w:type="dxa"/>
            <w:vAlign w:val="bottom"/>
            <w:shd w:val="clear" w:color="auto" w:fill="CFF0FC"/>
          </w:tcPr>
          <w:p>
            <w:pPr>
              <w:jc w:val="center"/>
              <w:ind w:left="112"/>
              <w:spacing w:after="0"/>
              <w:rPr>
                <w:sz w:val="20"/>
                <w:szCs w:val="20"/>
                <w:color w:val="auto"/>
              </w:rPr>
            </w:pPr>
            <w:r>
              <w:rPr>
                <w:rFonts w:ascii="Times New Roman" w:cs="Times New Roman" w:eastAsia="Times New Roman" w:hAnsi="Times New Roman"/>
                <w:sz w:val="10"/>
                <w:szCs w:val="10"/>
                <w:color w:val="auto"/>
                <w:w w:val="97"/>
              </w:rPr>
              <w:t>10.92%</w:t>
            </w:r>
          </w:p>
        </w:tc>
        <w:tc>
          <w:tcPr>
            <w:tcW w:w="1000" w:type="dxa"/>
            <w:vAlign w:val="bottom"/>
            <w:shd w:val="clear" w:color="auto" w:fill="CFF0FC"/>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SOFR + 6.25%</w:t>
            </w:r>
          </w:p>
        </w:tc>
        <w:tc>
          <w:tcPr>
            <w:tcW w:w="5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0.50%</w:t>
            </w:r>
          </w:p>
        </w:tc>
        <w:tc>
          <w:tcPr>
            <w:tcW w:w="5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0"/>
                <w:szCs w:val="10"/>
                <w:color w:val="auto"/>
                <w:w w:val="95"/>
              </w:rPr>
              <w:t>01/31/29</w:t>
            </w: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657</w:t>
            </w:r>
          </w:p>
        </w:tc>
        <w:tc>
          <w:tcPr>
            <w:tcW w:w="16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649</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651</w:t>
            </w:r>
          </w:p>
        </w:tc>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3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Dodge Data &amp; Analytics LLC (Second Out)</w:t>
            </w:r>
          </w:p>
        </w:tc>
        <w:tc>
          <w:tcPr>
            <w:tcW w:w="19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Construction &amp; Building</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rPr>
              <w:t>9.42%</w:t>
            </w:r>
          </w:p>
        </w:tc>
        <w:tc>
          <w:tcPr>
            <w:tcW w:w="100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SOFR + 4.75%</w:t>
            </w:r>
          </w:p>
        </w:tc>
        <w:tc>
          <w:tcPr>
            <w:tcW w:w="5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0.50%</w:t>
            </w:r>
          </w:p>
        </w:tc>
        <w:tc>
          <w:tcPr>
            <w:tcW w:w="5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5"/>
              </w:rPr>
              <w:t>02/28/29</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917</w:t>
            </w:r>
          </w:p>
        </w:tc>
        <w:tc>
          <w:tcPr>
            <w:tcW w:w="16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783</w:t>
            </w:r>
          </w:p>
        </w:tc>
        <w:tc>
          <w:tcPr>
            <w:tcW w:w="100" w:type="dxa"/>
            <w:vAlign w:val="bottom"/>
          </w:tcPr>
          <w:p>
            <w:pPr>
              <w:spacing w:after="0"/>
              <w:rPr>
                <w:sz w:val="10"/>
                <w:szCs w:val="10"/>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779</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Florida Food Products, LLC</w:t>
            </w:r>
          </w:p>
        </w:tc>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Beverage, Food and Tobacco</w:t>
            </w:r>
          </w:p>
        </w:tc>
        <w:tc>
          <w:tcPr>
            <w:tcW w:w="780" w:type="dxa"/>
            <w:vAlign w:val="bottom"/>
            <w:shd w:val="clear" w:color="auto" w:fill="CFF0FC"/>
          </w:tcPr>
          <w:p>
            <w:pPr>
              <w:jc w:val="center"/>
              <w:ind w:left="112"/>
              <w:spacing w:after="0"/>
              <w:rPr>
                <w:sz w:val="20"/>
                <w:szCs w:val="20"/>
                <w:color w:val="auto"/>
              </w:rPr>
            </w:pPr>
            <w:r>
              <w:rPr>
                <w:rFonts w:ascii="Times New Roman" w:cs="Times New Roman" w:eastAsia="Times New Roman" w:hAnsi="Times New Roman"/>
                <w:sz w:val="10"/>
                <w:szCs w:val="10"/>
                <w:color w:val="auto"/>
              </w:rPr>
              <w:t>9.52%</w:t>
            </w:r>
          </w:p>
        </w:tc>
        <w:tc>
          <w:tcPr>
            <w:tcW w:w="1000" w:type="dxa"/>
            <w:vAlign w:val="bottom"/>
            <w:shd w:val="clear" w:color="auto" w:fill="CFF0FC"/>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SOFR + 5.00%</w:t>
            </w:r>
          </w:p>
        </w:tc>
        <w:tc>
          <w:tcPr>
            <w:tcW w:w="5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0.75%</w:t>
            </w:r>
          </w:p>
        </w:tc>
        <w:tc>
          <w:tcPr>
            <w:tcW w:w="5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0"/>
                <w:szCs w:val="10"/>
                <w:color w:val="auto"/>
                <w:w w:val="95"/>
              </w:rPr>
              <w:t>10/18/28</w:t>
            </w: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6,823</w:t>
            </w:r>
          </w:p>
        </w:tc>
        <w:tc>
          <w:tcPr>
            <w:tcW w:w="16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6,719</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5,833</w:t>
            </w:r>
          </w:p>
        </w:tc>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3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Fortis Payment Systems, LLC</w:t>
            </w:r>
          </w:p>
        </w:tc>
        <w:tc>
          <w:tcPr>
            <w:tcW w:w="19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Diversified Financial Services</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rPr>
              <w:t>9.68%</w:t>
            </w:r>
          </w:p>
        </w:tc>
        <w:tc>
          <w:tcPr>
            <w:tcW w:w="100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SOFR + 5.25%</w:t>
            </w:r>
          </w:p>
        </w:tc>
        <w:tc>
          <w:tcPr>
            <w:tcW w:w="5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1.00%</w:t>
            </w:r>
          </w:p>
        </w:tc>
        <w:tc>
          <w:tcPr>
            <w:tcW w:w="5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5"/>
              </w:rPr>
              <w:t>02/13/26</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3,092</w:t>
            </w:r>
          </w:p>
        </w:tc>
        <w:tc>
          <w:tcPr>
            <w:tcW w:w="16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3,058</w:t>
            </w:r>
          </w:p>
        </w:tc>
        <w:tc>
          <w:tcPr>
            <w:tcW w:w="100" w:type="dxa"/>
            <w:vAlign w:val="bottom"/>
          </w:tcPr>
          <w:p>
            <w:pPr>
              <w:spacing w:after="0"/>
              <w:rPr>
                <w:sz w:val="10"/>
                <w:szCs w:val="10"/>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3,074</w:t>
            </w:r>
          </w:p>
        </w:tc>
        <w:tc>
          <w:tcPr>
            <w:tcW w:w="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(13)(20)</w:t>
            </w:r>
          </w:p>
        </w:tc>
        <w:tc>
          <w:tcPr>
            <w:tcW w:w="0" w:type="dxa"/>
            <w:vAlign w:val="bottom"/>
          </w:tcPr>
          <w:p>
            <w:pPr>
              <w:spacing w:after="0"/>
              <w:rPr>
                <w:sz w:val="1"/>
                <w:szCs w:val="1"/>
                <w:color w:val="auto"/>
              </w:rPr>
            </w:pPr>
          </w:p>
        </w:tc>
      </w:tr>
      <w:tr>
        <w:trPr>
          <w:trHeight w:val="120"/>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Franchise Group, Inc.</w:t>
            </w:r>
          </w:p>
        </w:tc>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Retail</w:t>
            </w:r>
          </w:p>
        </w:tc>
        <w:tc>
          <w:tcPr>
            <w:tcW w:w="780" w:type="dxa"/>
            <w:vAlign w:val="bottom"/>
            <w:shd w:val="clear" w:color="auto" w:fill="CFF0FC"/>
          </w:tcPr>
          <w:p>
            <w:pPr>
              <w:jc w:val="center"/>
              <w:ind w:left="112"/>
              <w:spacing w:after="0"/>
              <w:rPr>
                <w:sz w:val="20"/>
                <w:szCs w:val="20"/>
                <w:color w:val="auto"/>
              </w:rPr>
            </w:pPr>
            <w:r>
              <w:rPr>
                <w:rFonts w:ascii="Times New Roman" w:cs="Times New Roman" w:eastAsia="Times New Roman" w:hAnsi="Times New Roman"/>
                <w:sz w:val="10"/>
                <w:szCs w:val="10"/>
                <w:color w:val="auto"/>
                <w:w w:val="97"/>
              </w:rPr>
              <w:t>10.39%</w:t>
            </w:r>
          </w:p>
        </w:tc>
        <w:tc>
          <w:tcPr>
            <w:tcW w:w="1000" w:type="dxa"/>
            <w:vAlign w:val="bottom"/>
            <w:shd w:val="clear" w:color="auto" w:fill="CFF0FC"/>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SOFR + 5.45%</w:t>
            </w:r>
          </w:p>
        </w:tc>
        <w:tc>
          <w:tcPr>
            <w:tcW w:w="5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0.75%</w:t>
            </w:r>
          </w:p>
        </w:tc>
        <w:tc>
          <w:tcPr>
            <w:tcW w:w="5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0"/>
                <w:szCs w:val="10"/>
                <w:color w:val="auto"/>
                <w:w w:val="95"/>
              </w:rPr>
              <w:t>03/10/26</w:t>
            </w: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3,003</w:t>
            </w:r>
          </w:p>
        </w:tc>
        <w:tc>
          <w:tcPr>
            <w:tcW w:w="16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2,998</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1,783</w:t>
            </w:r>
          </w:p>
        </w:tc>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3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Franchise Group, Inc. (DIP)</w:t>
            </w:r>
          </w:p>
        </w:tc>
        <w:tc>
          <w:tcPr>
            <w:tcW w:w="19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Retail</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7"/>
              </w:rPr>
              <w:t>13.55%</w:t>
            </w:r>
          </w:p>
        </w:tc>
        <w:tc>
          <w:tcPr>
            <w:tcW w:w="100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SOFR + 9.00%</w:t>
            </w:r>
          </w:p>
        </w:tc>
        <w:tc>
          <w:tcPr>
            <w:tcW w:w="5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1.00%</w:t>
            </w:r>
          </w:p>
        </w:tc>
        <w:tc>
          <w:tcPr>
            <w:tcW w:w="5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5"/>
              </w:rPr>
              <w:t>05/06/25</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594</w:t>
            </w:r>
          </w:p>
        </w:tc>
        <w:tc>
          <w:tcPr>
            <w:tcW w:w="16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582</w:t>
            </w:r>
          </w:p>
        </w:tc>
        <w:tc>
          <w:tcPr>
            <w:tcW w:w="100" w:type="dxa"/>
            <w:vAlign w:val="bottom"/>
          </w:tcPr>
          <w:p>
            <w:pPr>
              <w:spacing w:after="0"/>
              <w:rPr>
                <w:sz w:val="10"/>
                <w:szCs w:val="10"/>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582</w:t>
            </w:r>
          </w:p>
        </w:tc>
        <w:tc>
          <w:tcPr>
            <w:tcW w:w="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1"/>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Global Integrated Flooring Systems Inc.</w:t>
            </w:r>
          </w:p>
        </w:tc>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Consumer goods: Durable</w:t>
            </w:r>
          </w:p>
        </w:tc>
        <w:tc>
          <w:tcPr>
            <w:tcW w:w="780" w:type="dxa"/>
            <w:vAlign w:val="bottom"/>
            <w:shd w:val="clear" w:color="auto" w:fill="CFF0FC"/>
          </w:tcPr>
          <w:p>
            <w:pPr>
              <w:jc w:val="center"/>
              <w:ind w:left="112"/>
              <w:spacing w:after="0"/>
              <w:rPr>
                <w:sz w:val="20"/>
                <w:szCs w:val="20"/>
                <w:color w:val="auto"/>
              </w:rPr>
            </w:pPr>
            <w:r>
              <w:rPr>
                <w:rFonts w:ascii="Times New Roman" w:cs="Times New Roman" w:eastAsia="Times New Roman" w:hAnsi="Times New Roman"/>
                <w:sz w:val="10"/>
                <w:szCs w:val="10"/>
                <w:color w:val="auto"/>
                <w:w w:val="97"/>
              </w:rPr>
              <w:t>13.96%</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5"/>
              </w:rPr>
              <w:t>SOFR + 9.36%, 1.00%</w:t>
            </w:r>
          </w:p>
        </w:tc>
        <w:tc>
          <w:tcPr>
            <w:tcW w:w="560" w:type="dxa"/>
            <w:vAlign w:val="bottom"/>
            <w:vMerge w:val="restart"/>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0"/>
                <w:szCs w:val="10"/>
                <w:color w:val="auto"/>
                <w:w w:val="95"/>
              </w:rPr>
              <w:t>06/30/25</w:t>
            </w: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6,284</w:t>
            </w:r>
          </w:p>
        </w:tc>
        <w:tc>
          <w:tcPr>
            <w:tcW w:w="16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5,588</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3,479</w:t>
            </w:r>
          </w:p>
        </w:tc>
        <w:tc>
          <w:tcPr>
            <w:tcW w:w="5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3100" w:type="dxa"/>
            <w:vAlign w:val="bottom"/>
            <w:tcBorders>
              <w:bottom w:val="single" w:sz="8" w:color="CFF0FC"/>
            </w:tcBorders>
            <w:shd w:val="clear" w:color="auto" w:fill="CFF0FC"/>
          </w:tcPr>
          <w:p>
            <w:pPr>
              <w:spacing w:after="0"/>
              <w:rPr>
                <w:sz w:val="8"/>
                <w:szCs w:val="8"/>
                <w:color w:val="auto"/>
              </w:rPr>
            </w:pPr>
          </w:p>
        </w:tc>
        <w:tc>
          <w:tcPr>
            <w:tcW w:w="1960" w:type="dxa"/>
            <w:vAlign w:val="bottom"/>
            <w:tcBorders>
              <w:bottom w:val="single" w:sz="8" w:color="CFF0FC"/>
            </w:tcBorders>
            <w:shd w:val="clear" w:color="auto" w:fill="CFF0FC"/>
          </w:tcPr>
          <w:p>
            <w:pPr>
              <w:spacing w:after="0"/>
              <w:rPr>
                <w:sz w:val="8"/>
                <w:szCs w:val="8"/>
                <w:color w:val="auto"/>
              </w:rPr>
            </w:pPr>
          </w:p>
        </w:tc>
        <w:tc>
          <w:tcPr>
            <w:tcW w:w="780" w:type="dxa"/>
            <w:vAlign w:val="bottom"/>
            <w:tcBorders>
              <w:bottom w:val="single" w:sz="8" w:color="CFF0FC"/>
            </w:tcBorders>
            <w:shd w:val="clear" w:color="auto" w:fill="CFF0FC"/>
          </w:tcPr>
          <w:p>
            <w:pPr>
              <w:spacing w:after="0"/>
              <w:rPr>
                <w:sz w:val="8"/>
                <w:szCs w:val="8"/>
                <w:color w:val="auto"/>
              </w:rPr>
            </w:pPr>
          </w:p>
        </w:tc>
        <w:tc>
          <w:tcPr>
            <w:tcW w:w="1000" w:type="dxa"/>
            <w:vAlign w:val="bottom"/>
            <w:tcBorders>
              <w:bottom w:val="single" w:sz="8" w:color="CFF0FC"/>
            </w:tcBorders>
            <w:shd w:val="clear" w:color="auto" w:fill="CFF0FC"/>
          </w:tcPr>
          <w:p>
            <w:pPr>
              <w:jc w:val="center"/>
              <w:spacing w:after="0" w:line="100" w:lineRule="exact"/>
              <w:rPr>
                <w:sz w:val="20"/>
                <w:szCs w:val="20"/>
                <w:color w:val="auto"/>
              </w:rPr>
            </w:pPr>
            <w:r>
              <w:rPr>
                <w:rFonts w:ascii="Times New Roman" w:cs="Times New Roman" w:eastAsia="Times New Roman" w:hAnsi="Times New Roman"/>
                <w:sz w:val="10"/>
                <w:szCs w:val="10"/>
                <w:color w:val="auto"/>
                <w:w w:val="99"/>
              </w:rPr>
              <w:t>PIK</w:t>
            </w:r>
          </w:p>
        </w:tc>
        <w:tc>
          <w:tcPr>
            <w:tcW w:w="560" w:type="dxa"/>
            <w:vAlign w:val="bottom"/>
            <w:tcBorders>
              <w:bottom w:val="single" w:sz="8" w:color="CFF0FC"/>
            </w:tcBorders>
            <w:vMerge w:val="continue"/>
            <w:shd w:val="clear" w:color="auto" w:fill="CFF0FC"/>
          </w:tcPr>
          <w:p>
            <w:pPr>
              <w:spacing w:after="0"/>
              <w:rPr>
                <w:sz w:val="8"/>
                <w:szCs w:val="8"/>
                <w:color w:val="auto"/>
              </w:rPr>
            </w:pPr>
          </w:p>
        </w:tc>
        <w:tc>
          <w:tcPr>
            <w:tcW w:w="520" w:type="dxa"/>
            <w:vAlign w:val="bottom"/>
            <w:tcBorders>
              <w:bottom w:val="single" w:sz="8" w:color="CFF0FC"/>
            </w:tcBorders>
            <w:shd w:val="clear" w:color="auto" w:fill="CFF0FC"/>
          </w:tcPr>
          <w:p>
            <w:pPr>
              <w:spacing w:after="0"/>
              <w:rPr>
                <w:sz w:val="8"/>
                <w:szCs w:val="8"/>
                <w:color w:val="auto"/>
              </w:rPr>
            </w:pPr>
          </w:p>
        </w:tc>
        <w:tc>
          <w:tcPr>
            <w:tcW w:w="600" w:type="dxa"/>
            <w:vAlign w:val="bottom"/>
            <w:tcBorders>
              <w:bottom w:val="single" w:sz="8" w:color="CFF0FC"/>
            </w:tcBorders>
            <w:shd w:val="clear" w:color="auto" w:fill="CFF0FC"/>
          </w:tcPr>
          <w:p>
            <w:pPr>
              <w:spacing w:after="0"/>
              <w:rPr>
                <w:sz w:val="8"/>
                <w:szCs w:val="8"/>
                <w:color w:val="auto"/>
              </w:rPr>
            </w:pPr>
          </w:p>
        </w:tc>
        <w:tc>
          <w:tcPr>
            <w:tcW w:w="160" w:type="dxa"/>
            <w:vAlign w:val="bottom"/>
            <w:tcBorders>
              <w:bottom w:val="single" w:sz="8" w:color="CFF0FC"/>
            </w:tcBorders>
            <w:shd w:val="clear" w:color="auto" w:fill="CFF0FC"/>
          </w:tcPr>
          <w:p>
            <w:pPr>
              <w:spacing w:after="0"/>
              <w:rPr>
                <w:sz w:val="8"/>
                <w:szCs w:val="8"/>
                <w:color w:val="auto"/>
              </w:rPr>
            </w:pPr>
          </w:p>
        </w:tc>
        <w:tc>
          <w:tcPr>
            <w:tcW w:w="520" w:type="dxa"/>
            <w:vAlign w:val="bottom"/>
            <w:tcBorders>
              <w:bottom w:val="single" w:sz="8" w:color="CFF0FC"/>
            </w:tcBorders>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680" w:type="dxa"/>
            <w:vAlign w:val="bottom"/>
            <w:tcBorders>
              <w:bottom w:val="single" w:sz="8" w:color="CFF0FC"/>
            </w:tcBorders>
            <w:shd w:val="clear" w:color="auto" w:fill="CFF0FC"/>
          </w:tcPr>
          <w:p>
            <w:pPr>
              <w:spacing w:after="0"/>
              <w:rPr>
                <w:sz w:val="8"/>
                <w:szCs w:val="8"/>
                <w:color w:val="auto"/>
              </w:rPr>
            </w:pPr>
          </w:p>
        </w:tc>
        <w:tc>
          <w:tcPr>
            <w:tcW w:w="58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Global Integrated Flooring Systems Inc. (Revolver)</w:t>
            </w:r>
          </w:p>
        </w:tc>
        <w:tc>
          <w:tcPr>
            <w:tcW w:w="19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Consumer goods: Durable</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7"/>
              </w:rPr>
              <w:t>13.72%</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SOFR + 9.36%, 1.00%</w:t>
            </w:r>
          </w:p>
        </w:tc>
        <w:tc>
          <w:tcPr>
            <w:tcW w:w="560" w:type="dxa"/>
            <w:vAlign w:val="bottom"/>
            <w:vMerge w:val="restart"/>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5"/>
              </w:rPr>
              <w:t>06/30/25</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51</w:t>
            </w:r>
          </w:p>
        </w:tc>
        <w:tc>
          <w:tcPr>
            <w:tcW w:w="16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45</w:t>
            </w:r>
          </w:p>
        </w:tc>
        <w:tc>
          <w:tcPr>
            <w:tcW w:w="100" w:type="dxa"/>
            <w:vAlign w:val="bottom"/>
          </w:tcPr>
          <w:p>
            <w:pPr>
              <w:spacing w:after="0"/>
              <w:rPr>
                <w:sz w:val="10"/>
                <w:szCs w:val="10"/>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28</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3100" w:type="dxa"/>
            <w:vAlign w:val="bottom"/>
          </w:tcPr>
          <w:p>
            <w:pPr>
              <w:spacing w:after="0"/>
              <w:rPr>
                <w:sz w:val="5"/>
                <w:szCs w:val="5"/>
                <w:color w:val="auto"/>
              </w:rPr>
            </w:pPr>
          </w:p>
        </w:tc>
        <w:tc>
          <w:tcPr>
            <w:tcW w:w="19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9"/>
              </w:rPr>
              <w:t>PIK</w:t>
            </w: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
        </w:trPr>
        <w:tc>
          <w:tcPr>
            <w:tcW w:w="3100" w:type="dxa"/>
            <w:vAlign w:val="bottom"/>
          </w:tcPr>
          <w:p>
            <w:pPr>
              <w:spacing w:after="0"/>
              <w:rPr>
                <w:sz w:val="4"/>
                <w:szCs w:val="4"/>
                <w:color w:val="auto"/>
              </w:rPr>
            </w:pPr>
          </w:p>
        </w:tc>
        <w:tc>
          <w:tcPr>
            <w:tcW w:w="19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H.W. Lochner, Inc.</w:t>
            </w:r>
          </w:p>
        </w:tc>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Services: Business</w:t>
            </w:r>
          </w:p>
        </w:tc>
        <w:tc>
          <w:tcPr>
            <w:tcW w:w="780" w:type="dxa"/>
            <w:vAlign w:val="bottom"/>
            <w:shd w:val="clear" w:color="auto" w:fill="CFF0FC"/>
          </w:tcPr>
          <w:p>
            <w:pPr>
              <w:jc w:val="center"/>
              <w:ind w:left="112"/>
              <w:spacing w:after="0"/>
              <w:rPr>
                <w:sz w:val="20"/>
                <w:szCs w:val="20"/>
                <w:color w:val="auto"/>
              </w:rPr>
            </w:pPr>
            <w:r>
              <w:rPr>
                <w:rFonts w:ascii="Times New Roman" w:cs="Times New Roman" w:eastAsia="Times New Roman" w:hAnsi="Times New Roman"/>
                <w:sz w:val="10"/>
                <w:szCs w:val="10"/>
                <w:color w:val="auto"/>
                <w:w w:val="97"/>
              </w:rPr>
              <w:t>10.99%</w:t>
            </w:r>
          </w:p>
        </w:tc>
        <w:tc>
          <w:tcPr>
            <w:tcW w:w="1000" w:type="dxa"/>
            <w:vAlign w:val="bottom"/>
            <w:shd w:val="clear" w:color="auto" w:fill="CFF0FC"/>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SOFR + 6.25%</w:t>
            </w:r>
          </w:p>
        </w:tc>
        <w:tc>
          <w:tcPr>
            <w:tcW w:w="5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1.00%</w:t>
            </w:r>
          </w:p>
        </w:tc>
        <w:tc>
          <w:tcPr>
            <w:tcW w:w="5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0"/>
                <w:szCs w:val="10"/>
                <w:color w:val="auto"/>
                <w:w w:val="95"/>
              </w:rPr>
              <w:t>07/02/27</w:t>
            </w: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14,513</w:t>
            </w:r>
          </w:p>
        </w:tc>
        <w:tc>
          <w:tcPr>
            <w:tcW w:w="16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14,391</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14,513</w:t>
            </w:r>
          </w:p>
        </w:tc>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3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H-CA II, LLC</w:t>
            </w:r>
          </w:p>
        </w:tc>
        <w:tc>
          <w:tcPr>
            <w:tcW w:w="19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Banking, Finance, Insurance &amp; Real Estate</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7"/>
              </w:rPr>
              <w:t>16.00%</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5"/>
              </w:rPr>
              <w:t>09/01/25</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1,724</w:t>
            </w:r>
          </w:p>
        </w:tc>
        <w:tc>
          <w:tcPr>
            <w:tcW w:w="16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1,724</w:t>
            </w:r>
          </w:p>
        </w:tc>
        <w:tc>
          <w:tcPr>
            <w:tcW w:w="100" w:type="dxa"/>
            <w:vAlign w:val="bottom"/>
          </w:tcPr>
          <w:p>
            <w:pPr>
              <w:spacing w:after="0"/>
              <w:rPr>
                <w:sz w:val="10"/>
                <w:szCs w:val="10"/>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1,560</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HDC/HW Intermediate Holdings, LLC - Term Loan A</w:t>
            </w:r>
          </w:p>
        </w:tc>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High Tech Industries</w:t>
            </w:r>
          </w:p>
        </w:tc>
        <w:tc>
          <w:tcPr>
            <w:tcW w:w="780" w:type="dxa"/>
            <w:vAlign w:val="bottom"/>
            <w:shd w:val="clear" w:color="auto" w:fill="CFF0FC"/>
          </w:tcPr>
          <w:p>
            <w:pPr>
              <w:jc w:val="center"/>
              <w:ind w:left="112"/>
              <w:spacing w:after="0"/>
              <w:rPr>
                <w:sz w:val="20"/>
                <w:szCs w:val="20"/>
                <w:color w:val="auto"/>
              </w:rPr>
            </w:pPr>
            <w:r>
              <w:rPr>
                <w:rFonts w:ascii="Times New Roman" w:cs="Times New Roman" w:eastAsia="Times New Roman" w:hAnsi="Times New Roman"/>
                <w:sz w:val="10"/>
                <w:szCs w:val="10"/>
                <w:color w:val="auto"/>
              </w:rPr>
              <w:t>8.75%</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5"/>
              </w:rPr>
              <w:t>SOFR + 3.50%, 2.50%</w:t>
            </w:r>
          </w:p>
        </w:tc>
        <w:tc>
          <w:tcPr>
            <w:tcW w:w="5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5.25%</w:t>
            </w:r>
          </w:p>
        </w:tc>
        <w:tc>
          <w:tcPr>
            <w:tcW w:w="5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0"/>
                <w:szCs w:val="10"/>
                <w:color w:val="auto"/>
                <w:w w:val="95"/>
              </w:rPr>
              <w:t>06/21/26</w:t>
            </w: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5,597</w:t>
            </w:r>
          </w:p>
        </w:tc>
        <w:tc>
          <w:tcPr>
            <w:tcW w:w="16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4,958</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4,527</w:t>
            </w:r>
          </w:p>
        </w:tc>
        <w:tc>
          <w:tcPr>
            <w:tcW w:w="5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00" w:type="dxa"/>
            <w:vAlign w:val="bottom"/>
            <w:shd w:val="clear" w:color="auto" w:fill="CFF0FC"/>
          </w:tcPr>
          <w:p>
            <w:pPr>
              <w:spacing w:after="0"/>
              <w:rPr>
                <w:sz w:val="10"/>
                <w:szCs w:val="10"/>
                <w:color w:val="auto"/>
              </w:rPr>
            </w:pPr>
          </w:p>
        </w:tc>
        <w:tc>
          <w:tcPr>
            <w:tcW w:w="19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PIK</w:t>
            </w:r>
          </w:p>
        </w:tc>
        <w:tc>
          <w:tcPr>
            <w:tcW w:w="5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HDC/HW Intermediate Holdings, LLC - Term Loan B</w:t>
            </w:r>
          </w:p>
        </w:tc>
        <w:tc>
          <w:tcPr>
            <w:tcW w:w="19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High Tech Industries</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9"/>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5"/>
              </w:rPr>
              <w:t>06/21/26</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3,876</w:t>
            </w:r>
          </w:p>
        </w:tc>
        <w:tc>
          <w:tcPr>
            <w:tcW w:w="16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940</w:t>
            </w:r>
          </w:p>
        </w:tc>
        <w:tc>
          <w:tcPr>
            <w:tcW w:w="100" w:type="dxa"/>
            <w:vAlign w:val="bottom"/>
          </w:tcPr>
          <w:p>
            <w:pPr>
              <w:spacing w:after="0"/>
              <w:rPr>
                <w:sz w:val="10"/>
                <w:szCs w:val="10"/>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(5)</w:t>
            </w:r>
          </w:p>
        </w:tc>
        <w:tc>
          <w:tcPr>
            <w:tcW w:w="0" w:type="dxa"/>
            <w:vAlign w:val="bottom"/>
          </w:tcPr>
          <w:p>
            <w:pPr>
              <w:spacing w:after="0"/>
              <w:rPr>
                <w:sz w:val="1"/>
                <w:szCs w:val="1"/>
                <w:color w:val="auto"/>
              </w:rPr>
            </w:pPr>
          </w:p>
        </w:tc>
      </w:tr>
      <w:tr>
        <w:trPr>
          <w:trHeight w:val="120"/>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Help Systems Holdings, Inc.</w:t>
            </w:r>
          </w:p>
        </w:tc>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High Tech Industries</w:t>
            </w:r>
          </w:p>
        </w:tc>
        <w:tc>
          <w:tcPr>
            <w:tcW w:w="780" w:type="dxa"/>
            <w:vAlign w:val="bottom"/>
            <w:shd w:val="clear" w:color="auto" w:fill="CFF0FC"/>
          </w:tcPr>
          <w:p>
            <w:pPr>
              <w:jc w:val="center"/>
              <w:ind w:left="112"/>
              <w:spacing w:after="0"/>
              <w:rPr>
                <w:sz w:val="20"/>
                <w:szCs w:val="20"/>
                <w:color w:val="auto"/>
              </w:rPr>
            </w:pPr>
            <w:r>
              <w:rPr>
                <w:rFonts w:ascii="Times New Roman" w:cs="Times New Roman" w:eastAsia="Times New Roman" w:hAnsi="Times New Roman"/>
                <w:sz w:val="10"/>
                <w:szCs w:val="10"/>
                <w:color w:val="auto"/>
              </w:rPr>
              <w:t>8.69%</w:t>
            </w:r>
          </w:p>
        </w:tc>
        <w:tc>
          <w:tcPr>
            <w:tcW w:w="1000" w:type="dxa"/>
            <w:vAlign w:val="bottom"/>
            <w:shd w:val="clear" w:color="auto" w:fill="CFF0FC"/>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SOFR + 4.00%</w:t>
            </w:r>
          </w:p>
        </w:tc>
        <w:tc>
          <w:tcPr>
            <w:tcW w:w="5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0.75%</w:t>
            </w:r>
          </w:p>
        </w:tc>
        <w:tc>
          <w:tcPr>
            <w:tcW w:w="5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0"/>
                <w:szCs w:val="10"/>
                <w:color w:val="auto"/>
                <w:w w:val="95"/>
              </w:rPr>
              <w:t>11/19/26</w:t>
            </w: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1,954</w:t>
            </w:r>
          </w:p>
        </w:tc>
        <w:tc>
          <w:tcPr>
            <w:tcW w:w="16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1,873</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1,728</w:t>
            </w:r>
          </w:p>
        </w:tc>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3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Hollander Intermediate LLC</w:t>
            </w:r>
          </w:p>
        </w:tc>
        <w:tc>
          <w:tcPr>
            <w:tcW w:w="19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Consumer goods: Durable</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7"/>
              </w:rPr>
              <w:t>13.22%</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SOFR + 8.75%,</w:t>
            </w:r>
          </w:p>
        </w:tc>
        <w:tc>
          <w:tcPr>
            <w:tcW w:w="5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2.00%</w:t>
            </w:r>
          </w:p>
        </w:tc>
        <w:tc>
          <w:tcPr>
            <w:tcW w:w="5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5"/>
              </w:rPr>
              <w:t>09/19/26</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6,330</w:t>
            </w:r>
          </w:p>
        </w:tc>
        <w:tc>
          <w:tcPr>
            <w:tcW w:w="16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5,852</w:t>
            </w:r>
          </w:p>
        </w:tc>
        <w:tc>
          <w:tcPr>
            <w:tcW w:w="100" w:type="dxa"/>
            <w:vAlign w:val="bottom"/>
          </w:tcPr>
          <w:p>
            <w:pPr>
              <w:spacing w:after="0"/>
              <w:rPr>
                <w:sz w:val="10"/>
                <w:szCs w:val="10"/>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6,235</w:t>
            </w:r>
          </w:p>
        </w:tc>
        <w:tc>
          <w:tcPr>
            <w:tcW w:w="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31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10.58% PIK</w:t>
            </w: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IDC Infusion Services LLC</w:t>
            </w:r>
          </w:p>
        </w:tc>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Healthcare &amp; Pharmaceuticals</w:t>
            </w:r>
          </w:p>
        </w:tc>
        <w:tc>
          <w:tcPr>
            <w:tcW w:w="780" w:type="dxa"/>
            <w:vAlign w:val="bottom"/>
            <w:shd w:val="clear" w:color="auto" w:fill="CFF0FC"/>
          </w:tcPr>
          <w:p>
            <w:pPr>
              <w:jc w:val="center"/>
              <w:ind w:left="112"/>
              <w:spacing w:after="0"/>
              <w:rPr>
                <w:sz w:val="20"/>
                <w:szCs w:val="20"/>
                <w:color w:val="auto"/>
              </w:rPr>
            </w:pPr>
            <w:r>
              <w:rPr>
                <w:rFonts w:ascii="Times New Roman" w:cs="Times New Roman" w:eastAsia="Times New Roman" w:hAnsi="Times New Roman"/>
                <w:sz w:val="10"/>
                <w:szCs w:val="10"/>
                <w:color w:val="auto"/>
                <w:w w:val="97"/>
              </w:rPr>
              <w:t>10.83%</w:t>
            </w:r>
          </w:p>
        </w:tc>
        <w:tc>
          <w:tcPr>
            <w:tcW w:w="1000" w:type="dxa"/>
            <w:vAlign w:val="bottom"/>
            <w:shd w:val="clear" w:color="auto" w:fill="CFF0FC"/>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SOFR + 6.50%</w:t>
            </w:r>
          </w:p>
        </w:tc>
        <w:tc>
          <w:tcPr>
            <w:tcW w:w="5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1.00%</w:t>
            </w:r>
          </w:p>
        </w:tc>
        <w:tc>
          <w:tcPr>
            <w:tcW w:w="5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0"/>
                <w:szCs w:val="10"/>
                <w:color w:val="auto"/>
                <w:w w:val="95"/>
              </w:rPr>
              <w:t>07/07/28</w:t>
            </w: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3,833</w:t>
            </w:r>
          </w:p>
        </w:tc>
        <w:tc>
          <w:tcPr>
            <w:tcW w:w="16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3,776</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3,853</w:t>
            </w:r>
          </w:p>
        </w:tc>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(13)(20)</w:t>
            </w:r>
          </w:p>
        </w:tc>
        <w:tc>
          <w:tcPr>
            <w:tcW w:w="0" w:type="dxa"/>
            <w:vAlign w:val="bottom"/>
          </w:tcPr>
          <w:p>
            <w:pPr>
              <w:spacing w:after="0"/>
              <w:rPr>
                <w:sz w:val="1"/>
                <w:szCs w:val="1"/>
                <w:color w:val="auto"/>
              </w:rPr>
            </w:pPr>
          </w:p>
        </w:tc>
      </w:tr>
      <w:tr>
        <w:trPr>
          <w:trHeight w:val="120"/>
        </w:trPr>
        <w:tc>
          <w:tcPr>
            <w:tcW w:w="3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Ivanti Software, Inc.</w:t>
            </w:r>
          </w:p>
        </w:tc>
        <w:tc>
          <w:tcPr>
            <w:tcW w:w="19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High Tech Industries</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rPr>
              <w:t>9.12%</w:t>
            </w:r>
          </w:p>
        </w:tc>
        <w:tc>
          <w:tcPr>
            <w:tcW w:w="100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SOFR + 4.25%</w:t>
            </w:r>
          </w:p>
        </w:tc>
        <w:tc>
          <w:tcPr>
            <w:tcW w:w="5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0.75%</w:t>
            </w:r>
          </w:p>
        </w:tc>
        <w:tc>
          <w:tcPr>
            <w:tcW w:w="5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5"/>
              </w:rPr>
              <w:t>12/01/27</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977</w:t>
            </w:r>
          </w:p>
        </w:tc>
        <w:tc>
          <w:tcPr>
            <w:tcW w:w="16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848</w:t>
            </w:r>
          </w:p>
        </w:tc>
        <w:tc>
          <w:tcPr>
            <w:tcW w:w="100" w:type="dxa"/>
            <w:vAlign w:val="bottom"/>
          </w:tcPr>
          <w:p>
            <w:pPr>
              <w:spacing w:after="0"/>
              <w:rPr>
                <w:sz w:val="10"/>
                <w:szCs w:val="10"/>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678</w:t>
            </w:r>
          </w:p>
        </w:tc>
        <w:tc>
          <w:tcPr>
            <w:tcW w:w="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Keg Logistics LLC</w:t>
            </w:r>
          </w:p>
        </w:tc>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Services: Business</w:t>
            </w:r>
          </w:p>
        </w:tc>
        <w:tc>
          <w:tcPr>
            <w:tcW w:w="780" w:type="dxa"/>
            <w:vAlign w:val="bottom"/>
            <w:shd w:val="clear" w:color="auto" w:fill="CFF0FC"/>
          </w:tcPr>
          <w:p>
            <w:pPr>
              <w:jc w:val="center"/>
              <w:ind w:left="112"/>
              <w:spacing w:after="0"/>
              <w:rPr>
                <w:sz w:val="20"/>
                <w:szCs w:val="20"/>
                <w:color w:val="auto"/>
              </w:rPr>
            </w:pPr>
            <w:r>
              <w:rPr>
                <w:rFonts w:ascii="Times New Roman" w:cs="Times New Roman" w:eastAsia="Times New Roman" w:hAnsi="Times New Roman"/>
                <w:sz w:val="10"/>
                <w:szCs w:val="10"/>
                <w:color w:val="auto"/>
                <w:w w:val="97"/>
              </w:rPr>
              <w:t>10.67%</w:t>
            </w:r>
          </w:p>
        </w:tc>
        <w:tc>
          <w:tcPr>
            <w:tcW w:w="1000" w:type="dxa"/>
            <w:vAlign w:val="bottom"/>
            <w:shd w:val="clear" w:color="auto" w:fill="CFF0FC"/>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SOFR + 6.00%</w:t>
            </w:r>
          </w:p>
        </w:tc>
        <w:tc>
          <w:tcPr>
            <w:tcW w:w="5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1.00%</w:t>
            </w:r>
          </w:p>
        </w:tc>
        <w:tc>
          <w:tcPr>
            <w:tcW w:w="5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0"/>
                <w:szCs w:val="10"/>
                <w:color w:val="auto"/>
                <w:w w:val="95"/>
              </w:rPr>
              <w:t>11/23/27</w:t>
            </w: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11,877</w:t>
            </w:r>
          </w:p>
        </w:tc>
        <w:tc>
          <w:tcPr>
            <w:tcW w:w="16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11,791</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11,817</w:t>
            </w:r>
          </w:p>
        </w:tc>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3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Keg Logistics LLC (Revolver)</w:t>
            </w:r>
          </w:p>
        </w:tc>
        <w:tc>
          <w:tcPr>
            <w:tcW w:w="19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Services: Business</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7"/>
              </w:rPr>
              <w:t>10.68%</w:t>
            </w:r>
          </w:p>
        </w:tc>
        <w:tc>
          <w:tcPr>
            <w:tcW w:w="100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SOFR + 6.00%</w:t>
            </w:r>
          </w:p>
        </w:tc>
        <w:tc>
          <w:tcPr>
            <w:tcW w:w="5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1.00%</w:t>
            </w:r>
          </w:p>
        </w:tc>
        <w:tc>
          <w:tcPr>
            <w:tcW w:w="5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5"/>
              </w:rPr>
              <w:t>11/23/27</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872</w:t>
            </w:r>
          </w:p>
        </w:tc>
        <w:tc>
          <w:tcPr>
            <w:tcW w:w="16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859</w:t>
            </w:r>
          </w:p>
        </w:tc>
        <w:tc>
          <w:tcPr>
            <w:tcW w:w="100" w:type="dxa"/>
            <w:vAlign w:val="bottom"/>
          </w:tcPr>
          <w:p>
            <w:pPr>
              <w:spacing w:after="0"/>
              <w:rPr>
                <w:sz w:val="10"/>
                <w:szCs w:val="10"/>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868</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Lifescan Global Corporation</w:t>
            </w:r>
          </w:p>
        </w:tc>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Healthcare &amp; Pharmaceuticals</w:t>
            </w:r>
          </w:p>
        </w:tc>
        <w:tc>
          <w:tcPr>
            <w:tcW w:w="780" w:type="dxa"/>
            <w:vAlign w:val="bottom"/>
            <w:shd w:val="clear" w:color="auto" w:fill="CFF0FC"/>
          </w:tcPr>
          <w:p>
            <w:pPr>
              <w:jc w:val="center"/>
              <w:ind w:left="112"/>
              <w:spacing w:after="0"/>
              <w:rPr>
                <w:sz w:val="20"/>
                <w:szCs w:val="20"/>
                <w:color w:val="auto"/>
              </w:rPr>
            </w:pPr>
            <w:r>
              <w:rPr>
                <w:rFonts w:ascii="Times New Roman" w:cs="Times New Roman" w:eastAsia="Times New Roman" w:hAnsi="Times New Roman"/>
                <w:sz w:val="10"/>
                <w:szCs w:val="10"/>
                <w:color w:val="auto"/>
                <w:w w:val="97"/>
              </w:rPr>
              <w:t>11.12%</w:t>
            </w:r>
          </w:p>
        </w:tc>
        <w:tc>
          <w:tcPr>
            <w:tcW w:w="1000" w:type="dxa"/>
            <w:vAlign w:val="bottom"/>
            <w:shd w:val="clear" w:color="auto" w:fill="CFF0FC"/>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SOFR + 6.50%</w:t>
            </w:r>
          </w:p>
        </w:tc>
        <w:tc>
          <w:tcPr>
            <w:tcW w:w="5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1.00%</w:t>
            </w:r>
          </w:p>
        </w:tc>
        <w:tc>
          <w:tcPr>
            <w:tcW w:w="5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0"/>
                <w:szCs w:val="10"/>
                <w:color w:val="auto"/>
                <w:w w:val="95"/>
              </w:rPr>
              <w:t>12/31/26</w:t>
            </w: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2,165</w:t>
            </w:r>
          </w:p>
        </w:tc>
        <w:tc>
          <w:tcPr>
            <w:tcW w:w="16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2,090</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758</w:t>
            </w:r>
          </w:p>
        </w:tc>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3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Luminii LLC</w:t>
            </w:r>
          </w:p>
        </w:tc>
        <w:tc>
          <w:tcPr>
            <w:tcW w:w="19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Construction &amp; Building</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7"/>
              </w:rPr>
              <w:t>11.94%</w:t>
            </w:r>
          </w:p>
        </w:tc>
        <w:tc>
          <w:tcPr>
            <w:tcW w:w="100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SOFR + 7.35%</w:t>
            </w:r>
          </w:p>
        </w:tc>
        <w:tc>
          <w:tcPr>
            <w:tcW w:w="5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1.00%</w:t>
            </w:r>
          </w:p>
        </w:tc>
        <w:tc>
          <w:tcPr>
            <w:tcW w:w="5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5"/>
              </w:rPr>
              <w:t>04/11/25</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5,873</w:t>
            </w:r>
          </w:p>
        </w:tc>
        <w:tc>
          <w:tcPr>
            <w:tcW w:w="16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5,873</w:t>
            </w:r>
          </w:p>
        </w:tc>
        <w:tc>
          <w:tcPr>
            <w:tcW w:w="100" w:type="dxa"/>
            <w:vAlign w:val="bottom"/>
          </w:tcPr>
          <w:p>
            <w:pPr>
              <w:spacing w:after="0"/>
              <w:rPr>
                <w:sz w:val="10"/>
                <w:szCs w:val="10"/>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5,827</w:t>
            </w:r>
          </w:p>
        </w:tc>
        <w:tc>
          <w:tcPr>
            <w:tcW w:w="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Luminii LLC (Revolver)</w:t>
            </w:r>
          </w:p>
        </w:tc>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Construction &amp; Building</w:t>
            </w:r>
          </w:p>
        </w:tc>
        <w:tc>
          <w:tcPr>
            <w:tcW w:w="780" w:type="dxa"/>
            <w:vAlign w:val="bottom"/>
            <w:shd w:val="clear" w:color="auto" w:fill="CFF0FC"/>
          </w:tcPr>
          <w:p>
            <w:pPr>
              <w:jc w:val="center"/>
              <w:ind w:left="112"/>
              <w:spacing w:after="0"/>
              <w:rPr>
                <w:sz w:val="20"/>
                <w:szCs w:val="20"/>
                <w:color w:val="auto"/>
              </w:rPr>
            </w:pPr>
            <w:r>
              <w:rPr>
                <w:rFonts w:ascii="Times New Roman" w:cs="Times New Roman" w:eastAsia="Times New Roman" w:hAnsi="Times New Roman"/>
                <w:sz w:val="10"/>
                <w:szCs w:val="10"/>
                <w:color w:val="auto"/>
                <w:w w:val="97"/>
              </w:rPr>
              <w:t>11.94%</w:t>
            </w:r>
          </w:p>
        </w:tc>
        <w:tc>
          <w:tcPr>
            <w:tcW w:w="1000" w:type="dxa"/>
            <w:vAlign w:val="bottom"/>
            <w:shd w:val="clear" w:color="auto" w:fill="CFF0FC"/>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SOFR + 7.35%</w:t>
            </w:r>
          </w:p>
        </w:tc>
        <w:tc>
          <w:tcPr>
            <w:tcW w:w="5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1.00%</w:t>
            </w:r>
          </w:p>
        </w:tc>
        <w:tc>
          <w:tcPr>
            <w:tcW w:w="5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0"/>
                <w:szCs w:val="10"/>
                <w:color w:val="auto"/>
                <w:w w:val="95"/>
              </w:rPr>
              <w:t>04/11/25</w:t>
            </w: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343</w:t>
            </w:r>
          </w:p>
        </w:tc>
        <w:tc>
          <w:tcPr>
            <w:tcW w:w="16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343</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339</w:t>
            </w:r>
          </w:p>
        </w:tc>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(13)(20)</w:t>
            </w:r>
          </w:p>
        </w:tc>
        <w:tc>
          <w:tcPr>
            <w:tcW w:w="0" w:type="dxa"/>
            <w:vAlign w:val="bottom"/>
          </w:tcPr>
          <w:p>
            <w:pPr>
              <w:spacing w:after="0"/>
              <w:rPr>
                <w:sz w:val="1"/>
                <w:szCs w:val="1"/>
                <w:color w:val="auto"/>
              </w:rPr>
            </w:pPr>
          </w:p>
        </w:tc>
      </w:tr>
      <w:tr>
        <w:trPr>
          <w:trHeight w:val="120"/>
        </w:trPr>
        <w:tc>
          <w:tcPr>
            <w:tcW w:w="3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 DS Corp.</w:t>
            </w:r>
          </w:p>
        </w:tc>
        <w:tc>
          <w:tcPr>
            <w:tcW w:w="19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Aerospace and Defense</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rPr>
              <w:t>9.93%</w:t>
            </w:r>
          </w:p>
        </w:tc>
        <w:tc>
          <w:tcPr>
            <w:tcW w:w="100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SOFR + 5.50%</w:t>
            </w:r>
          </w:p>
        </w:tc>
        <w:tc>
          <w:tcPr>
            <w:tcW w:w="5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1.00%</w:t>
            </w:r>
          </w:p>
        </w:tc>
        <w:tc>
          <w:tcPr>
            <w:tcW w:w="5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5"/>
              </w:rPr>
              <w:t>04/01/27</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3,624</w:t>
            </w:r>
          </w:p>
        </w:tc>
        <w:tc>
          <w:tcPr>
            <w:tcW w:w="16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3,406</w:t>
            </w:r>
          </w:p>
        </w:tc>
        <w:tc>
          <w:tcPr>
            <w:tcW w:w="100" w:type="dxa"/>
            <w:vAlign w:val="bottom"/>
          </w:tcPr>
          <w:p>
            <w:pPr>
              <w:spacing w:after="0"/>
              <w:rPr>
                <w:sz w:val="10"/>
                <w:szCs w:val="10"/>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3,406</w:t>
            </w:r>
          </w:p>
        </w:tc>
        <w:tc>
          <w:tcPr>
            <w:tcW w:w="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Money Transfer Acquisition Inc.</w:t>
            </w:r>
          </w:p>
        </w:tc>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Finance</w:t>
            </w:r>
          </w:p>
        </w:tc>
        <w:tc>
          <w:tcPr>
            <w:tcW w:w="780" w:type="dxa"/>
            <w:vAlign w:val="bottom"/>
            <w:shd w:val="clear" w:color="auto" w:fill="CFF0FC"/>
          </w:tcPr>
          <w:p>
            <w:pPr>
              <w:jc w:val="center"/>
              <w:ind w:left="112"/>
              <w:spacing w:after="0"/>
              <w:rPr>
                <w:sz w:val="20"/>
                <w:szCs w:val="20"/>
                <w:color w:val="auto"/>
              </w:rPr>
            </w:pPr>
            <w:r>
              <w:rPr>
                <w:rFonts w:ascii="Times New Roman" w:cs="Times New Roman" w:eastAsia="Times New Roman" w:hAnsi="Times New Roman"/>
                <w:sz w:val="10"/>
                <w:szCs w:val="10"/>
                <w:color w:val="auto"/>
                <w:w w:val="97"/>
              </w:rPr>
              <w:t>12.71%</w:t>
            </w:r>
          </w:p>
        </w:tc>
        <w:tc>
          <w:tcPr>
            <w:tcW w:w="1000" w:type="dxa"/>
            <w:vAlign w:val="bottom"/>
            <w:shd w:val="clear" w:color="auto" w:fill="CFF0FC"/>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SOFR + 8.25%</w:t>
            </w:r>
          </w:p>
        </w:tc>
        <w:tc>
          <w:tcPr>
            <w:tcW w:w="5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1.00%</w:t>
            </w:r>
          </w:p>
        </w:tc>
        <w:tc>
          <w:tcPr>
            <w:tcW w:w="5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0"/>
                <w:szCs w:val="10"/>
                <w:color w:val="auto"/>
                <w:w w:val="95"/>
              </w:rPr>
              <w:t>12/14/27</w:t>
            </w: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8,574</w:t>
            </w:r>
          </w:p>
        </w:tc>
        <w:tc>
          <w:tcPr>
            <w:tcW w:w="16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8,470</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8,392</w:t>
            </w:r>
          </w:p>
        </w:tc>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3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Morae Global Corporation</w:t>
            </w:r>
          </w:p>
        </w:tc>
        <w:tc>
          <w:tcPr>
            <w:tcW w:w="19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IT Consulting &amp; Other Services</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7"/>
              </w:rPr>
              <w:t>12.77%</w:t>
            </w:r>
          </w:p>
        </w:tc>
        <w:tc>
          <w:tcPr>
            <w:tcW w:w="100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SOFR + 8.00%</w:t>
            </w:r>
          </w:p>
        </w:tc>
        <w:tc>
          <w:tcPr>
            <w:tcW w:w="5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2.00%</w:t>
            </w:r>
          </w:p>
        </w:tc>
        <w:tc>
          <w:tcPr>
            <w:tcW w:w="5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5"/>
              </w:rPr>
              <w:t>10/26/26</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2,163</w:t>
            </w:r>
          </w:p>
        </w:tc>
        <w:tc>
          <w:tcPr>
            <w:tcW w:w="16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2,077</w:t>
            </w:r>
          </w:p>
        </w:tc>
        <w:tc>
          <w:tcPr>
            <w:tcW w:w="100" w:type="dxa"/>
            <w:vAlign w:val="bottom"/>
          </w:tcPr>
          <w:p>
            <w:pPr>
              <w:spacing w:after="0"/>
              <w:rPr>
                <w:sz w:val="10"/>
                <w:szCs w:val="10"/>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2,129</w:t>
            </w:r>
          </w:p>
        </w:tc>
        <w:tc>
          <w:tcPr>
            <w:tcW w:w="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Morae Global Corporation (Revolver)</w:t>
            </w:r>
          </w:p>
        </w:tc>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IT Consulting &amp; Other Services</w:t>
            </w:r>
          </w:p>
        </w:tc>
        <w:tc>
          <w:tcPr>
            <w:tcW w:w="780" w:type="dxa"/>
            <w:vAlign w:val="bottom"/>
            <w:shd w:val="clear" w:color="auto" w:fill="CFF0FC"/>
          </w:tcPr>
          <w:p>
            <w:pPr>
              <w:jc w:val="center"/>
              <w:ind w:left="112"/>
              <w:spacing w:after="0"/>
              <w:rPr>
                <w:sz w:val="20"/>
                <w:szCs w:val="20"/>
                <w:color w:val="auto"/>
              </w:rPr>
            </w:pPr>
            <w:r>
              <w:rPr>
                <w:rFonts w:ascii="Times New Roman" w:cs="Times New Roman" w:eastAsia="Times New Roman" w:hAnsi="Times New Roman"/>
                <w:sz w:val="10"/>
                <w:szCs w:val="10"/>
                <w:color w:val="auto"/>
                <w:w w:val="99"/>
              </w:rPr>
              <w:t>—</w:t>
            </w:r>
          </w:p>
        </w:tc>
        <w:tc>
          <w:tcPr>
            <w:tcW w:w="1000" w:type="dxa"/>
            <w:vAlign w:val="bottom"/>
            <w:shd w:val="clear" w:color="auto" w:fill="CFF0FC"/>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SOFR + 8.00%</w:t>
            </w:r>
          </w:p>
        </w:tc>
        <w:tc>
          <w:tcPr>
            <w:tcW w:w="5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2.00%</w:t>
            </w:r>
          </w:p>
        </w:tc>
        <w:tc>
          <w:tcPr>
            <w:tcW w:w="5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0"/>
                <w:szCs w:val="10"/>
                <w:color w:val="auto"/>
                <w:w w:val="95"/>
              </w:rPr>
              <w:t>10/26/26</w:t>
            </w: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(7)</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(15)(20)</w:t>
            </w:r>
          </w:p>
        </w:tc>
        <w:tc>
          <w:tcPr>
            <w:tcW w:w="0" w:type="dxa"/>
            <w:vAlign w:val="bottom"/>
          </w:tcPr>
          <w:p>
            <w:pPr>
              <w:spacing w:after="0"/>
              <w:rPr>
                <w:sz w:val="1"/>
                <w:szCs w:val="1"/>
                <w:color w:val="auto"/>
              </w:rPr>
            </w:pPr>
          </w:p>
        </w:tc>
      </w:tr>
      <w:tr>
        <w:trPr>
          <w:trHeight w:val="120"/>
        </w:trPr>
        <w:tc>
          <w:tcPr>
            <w:tcW w:w="3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MSM Acquisitions, Inc.</w:t>
            </w:r>
          </w:p>
        </w:tc>
        <w:tc>
          <w:tcPr>
            <w:tcW w:w="19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Services: Business</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7"/>
              </w:rPr>
              <w:t>10.51%</w:t>
            </w:r>
          </w:p>
        </w:tc>
        <w:tc>
          <w:tcPr>
            <w:tcW w:w="100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SOFR + 6.00%</w:t>
            </w:r>
          </w:p>
        </w:tc>
        <w:tc>
          <w:tcPr>
            <w:tcW w:w="5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1.00%</w:t>
            </w:r>
          </w:p>
        </w:tc>
        <w:tc>
          <w:tcPr>
            <w:tcW w:w="5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5"/>
              </w:rPr>
              <w:t>12/09/26</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9,852</w:t>
            </w:r>
          </w:p>
        </w:tc>
        <w:tc>
          <w:tcPr>
            <w:tcW w:w="16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9,826</w:t>
            </w:r>
          </w:p>
        </w:tc>
        <w:tc>
          <w:tcPr>
            <w:tcW w:w="100" w:type="dxa"/>
            <w:vAlign w:val="bottom"/>
          </w:tcPr>
          <w:p>
            <w:pPr>
              <w:spacing w:after="0"/>
              <w:rPr>
                <w:sz w:val="10"/>
                <w:szCs w:val="10"/>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8,891</w:t>
            </w:r>
          </w:p>
        </w:tc>
        <w:tc>
          <w:tcPr>
            <w:tcW w:w="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Neptune Bidco US Inc.</w:t>
            </w:r>
          </w:p>
        </w:tc>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Media: Broadcasting &amp; Subscription</w:t>
            </w:r>
          </w:p>
        </w:tc>
        <w:tc>
          <w:tcPr>
            <w:tcW w:w="780" w:type="dxa"/>
            <w:vAlign w:val="bottom"/>
            <w:shd w:val="clear" w:color="auto" w:fill="CFF0FC"/>
          </w:tcPr>
          <w:p>
            <w:pPr>
              <w:jc w:val="center"/>
              <w:ind w:left="112"/>
              <w:spacing w:after="0"/>
              <w:rPr>
                <w:sz w:val="20"/>
                <w:szCs w:val="20"/>
                <w:color w:val="auto"/>
              </w:rPr>
            </w:pPr>
            <w:r>
              <w:rPr>
                <w:rFonts w:ascii="Times New Roman" w:cs="Times New Roman" w:eastAsia="Times New Roman" w:hAnsi="Times New Roman"/>
                <w:sz w:val="10"/>
                <w:szCs w:val="10"/>
                <w:color w:val="auto"/>
              </w:rPr>
              <w:t>9.76%</w:t>
            </w:r>
          </w:p>
        </w:tc>
        <w:tc>
          <w:tcPr>
            <w:tcW w:w="1000" w:type="dxa"/>
            <w:vAlign w:val="bottom"/>
            <w:shd w:val="clear" w:color="auto" w:fill="CFF0FC"/>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SOFR + 5.00%</w:t>
            </w:r>
          </w:p>
        </w:tc>
        <w:tc>
          <w:tcPr>
            <w:tcW w:w="5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0.50%</w:t>
            </w:r>
          </w:p>
        </w:tc>
        <w:tc>
          <w:tcPr>
            <w:tcW w:w="5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0"/>
                <w:szCs w:val="10"/>
                <w:color w:val="auto"/>
                <w:w w:val="95"/>
              </w:rPr>
              <w:t>04/11/29</w:t>
            </w: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2,463</w:t>
            </w:r>
          </w:p>
        </w:tc>
        <w:tc>
          <w:tcPr>
            <w:tcW w:w="16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2,277</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2,217</w:t>
            </w:r>
          </w:p>
        </w:tc>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3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Netwrix Corporation</w:t>
            </w:r>
          </w:p>
        </w:tc>
        <w:tc>
          <w:tcPr>
            <w:tcW w:w="19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High Tech Industries</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rPr>
              <w:t>9.26%</w:t>
            </w:r>
          </w:p>
        </w:tc>
        <w:tc>
          <w:tcPr>
            <w:tcW w:w="100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SOFR + 4.75%</w:t>
            </w:r>
          </w:p>
        </w:tc>
        <w:tc>
          <w:tcPr>
            <w:tcW w:w="5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0.75%</w:t>
            </w:r>
          </w:p>
        </w:tc>
        <w:tc>
          <w:tcPr>
            <w:tcW w:w="5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5"/>
              </w:rPr>
              <w:t>06/09/29</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4,248</w:t>
            </w:r>
          </w:p>
        </w:tc>
        <w:tc>
          <w:tcPr>
            <w:tcW w:w="16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4,233</w:t>
            </w:r>
          </w:p>
        </w:tc>
        <w:tc>
          <w:tcPr>
            <w:tcW w:w="100" w:type="dxa"/>
            <w:vAlign w:val="bottom"/>
          </w:tcPr>
          <w:p>
            <w:pPr>
              <w:spacing w:after="0"/>
              <w:rPr>
                <w:sz w:val="10"/>
                <w:szCs w:val="10"/>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4,212</w:t>
            </w:r>
          </w:p>
        </w:tc>
        <w:tc>
          <w:tcPr>
            <w:tcW w:w="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Netwrix Corporation (Revolver)</w:t>
            </w:r>
          </w:p>
        </w:tc>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High Tech Industries</w:t>
            </w:r>
          </w:p>
        </w:tc>
        <w:tc>
          <w:tcPr>
            <w:tcW w:w="780" w:type="dxa"/>
            <w:vAlign w:val="bottom"/>
            <w:shd w:val="clear" w:color="auto" w:fill="CFF0FC"/>
          </w:tcPr>
          <w:p>
            <w:pPr>
              <w:jc w:val="center"/>
              <w:ind w:left="112"/>
              <w:spacing w:after="0"/>
              <w:rPr>
                <w:sz w:val="20"/>
                <w:szCs w:val="20"/>
                <w:color w:val="auto"/>
              </w:rPr>
            </w:pPr>
            <w:r>
              <w:rPr>
                <w:rFonts w:ascii="Times New Roman" w:cs="Times New Roman" w:eastAsia="Times New Roman" w:hAnsi="Times New Roman"/>
                <w:sz w:val="10"/>
                <w:szCs w:val="10"/>
                <w:color w:val="auto"/>
                <w:w w:val="99"/>
              </w:rPr>
              <w:t>—</w:t>
            </w:r>
          </w:p>
        </w:tc>
        <w:tc>
          <w:tcPr>
            <w:tcW w:w="1000" w:type="dxa"/>
            <w:vAlign w:val="bottom"/>
            <w:shd w:val="clear" w:color="auto" w:fill="CFF0FC"/>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SOFR + 5.00%</w:t>
            </w:r>
          </w:p>
        </w:tc>
        <w:tc>
          <w:tcPr>
            <w:tcW w:w="5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0.75%</w:t>
            </w:r>
          </w:p>
        </w:tc>
        <w:tc>
          <w:tcPr>
            <w:tcW w:w="5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0"/>
                <w:szCs w:val="10"/>
                <w:color w:val="auto"/>
                <w:w w:val="95"/>
              </w:rPr>
              <w:t>06/09/29</w:t>
            </w: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(7)</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w:t>
            </w:r>
          </w:p>
        </w:tc>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(15)(20)</w:t>
            </w:r>
          </w:p>
        </w:tc>
        <w:tc>
          <w:tcPr>
            <w:tcW w:w="0" w:type="dxa"/>
            <w:vAlign w:val="bottom"/>
          </w:tcPr>
          <w:p>
            <w:pPr>
              <w:spacing w:after="0"/>
              <w:rPr>
                <w:sz w:val="1"/>
                <w:szCs w:val="1"/>
                <w:color w:val="auto"/>
              </w:rPr>
            </w:pPr>
          </w:p>
        </w:tc>
      </w:tr>
      <w:tr>
        <w:trPr>
          <w:trHeight w:val="120"/>
        </w:trPr>
        <w:tc>
          <w:tcPr>
            <w:tcW w:w="3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Newbury Franklin Industrials, LLC</w:t>
            </w:r>
          </w:p>
        </w:tc>
        <w:tc>
          <w:tcPr>
            <w:tcW w:w="19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Consumer goods: Durable</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7"/>
              </w:rPr>
              <w:t>11.40%</w:t>
            </w:r>
          </w:p>
        </w:tc>
        <w:tc>
          <w:tcPr>
            <w:tcW w:w="100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SOFR + 7.00%</w:t>
            </w:r>
          </w:p>
        </w:tc>
        <w:tc>
          <w:tcPr>
            <w:tcW w:w="5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2.00%</w:t>
            </w:r>
          </w:p>
        </w:tc>
        <w:tc>
          <w:tcPr>
            <w:tcW w:w="5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5"/>
              </w:rPr>
              <w:t>12/11/29</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4,013</w:t>
            </w:r>
          </w:p>
        </w:tc>
        <w:tc>
          <w:tcPr>
            <w:tcW w:w="16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3,899</w:t>
            </w:r>
          </w:p>
        </w:tc>
        <w:tc>
          <w:tcPr>
            <w:tcW w:w="100" w:type="dxa"/>
            <w:vAlign w:val="bottom"/>
          </w:tcPr>
          <w:p>
            <w:pPr>
              <w:spacing w:after="0"/>
              <w:rPr>
                <w:sz w:val="10"/>
                <w:szCs w:val="10"/>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3,898</w:t>
            </w:r>
          </w:p>
        </w:tc>
        <w:tc>
          <w:tcPr>
            <w:tcW w:w="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(20)</w:t>
            </w:r>
          </w:p>
        </w:tc>
        <w:tc>
          <w:tcPr>
            <w:tcW w:w="0" w:type="dxa"/>
            <w:vAlign w:val="bottom"/>
          </w:tcPr>
          <w:p>
            <w:pPr>
              <w:spacing w:after="0"/>
              <w:rPr>
                <w:sz w:val="1"/>
                <w:szCs w:val="1"/>
                <w:color w:val="auto"/>
              </w:rPr>
            </w:pPr>
          </w:p>
        </w:tc>
      </w:tr>
      <w:tr>
        <w:trPr>
          <w:trHeight w:val="120"/>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One Stop Mailing LLC</w:t>
            </w:r>
          </w:p>
        </w:tc>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Transportation: Consumer</w:t>
            </w:r>
          </w:p>
        </w:tc>
        <w:tc>
          <w:tcPr>
            <w:tcW w:w="780" w:type="dxa"/>
            <w:vAlign w:val="bottom"/>
            <w:shd w:val="clear" w:color="auto" w:fill="CFF0FC"/>
          </w:tcPr>
          <w:p>
            <w:pPr>
              <w:jc w:val="center"/>
              <w:ind w:left="112"/>
              <w:spacing w:after="0"/>
              <w:rPr>
                <w:sz w:val="20"/>
                <w:szCs w:val="20"/>
                <w:color w:val="auto"/>
              </w:rPr>
            </w:pPr>
            <w:r>
              <w:rPr>
                <w:rFonts w:ascii="Times New Roman" w:cs="Times New Roman" w:eastAsia="Times New Roman" w:hAnsi="Times New Roman"/>
                <w:sz w:val="10"/>
                <w:szCs w:val="10"/>
                <w:color w:val="auto"/>
                <w:w w:val="97"/>
              </w:rPr>
              <w:t>10.72%</w:t>
            </w:r>
          </w:p>
        </w:tc>
        <w:tc>
          <w:tcPr>
            <w:tcW w:w="1000" w:type="dxa"/>
            <w:vAlign w:val="bottom"/>
            <w:shd w:val="clear" w:color="auto" w:fill="CFF0FC"/>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SOFR + 6.25%</w:t>
            </w:r>
          </w:p>
        </w:tc>
        <w:tc>
          <w:tcPr>
            <w:tcW w:w="5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1.00%</w:t>
            </w:r>
          </w:p>
        </w:tc>
        <w:tc>
          <w:tcPr>
            <w:tcW w:w="5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0"/>
                <w:szCs w:val="10"/>
                <w:color w:val="auto"/>
                <w:w w:val="95"/>
              </w:rPr>
              <w:t>04/29/27</w:t>
            </w: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7,470</w:t>
            </w:r>
          </w:p>
        </w:tc>
        <w:tc>
          <w:tcPr>
            <w:tcW w:w="16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7,410</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7,470</w:t>
            </w:r>
          </w:p>
        </w:tc>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3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PMA Parent Holdings LLC (Revolver)</w:t>
            </w:r>
          </w:p>
        </w:tc>
        <w:tc>
          <w:tcPr>
            <w:tcW w:w="19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Finance</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9"/>
              </w:rPr>
              <w:t>—</w:t>
            </w:r>
          </w:p>
        </w:tc>
        <w:tc>
          <w:tcPr>
            <w:tcW w:w="100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SOFR + 5.25%</w:t>
            </w:r>
          </w:p>
        </w:tc>
        <w:tc>
          <w:tcPr>
            <w:tcW w:w="5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0.75%</w:t>
            </w:r>
          </w:p>
        </w:tc>
        <w:tc>
          <w:tcPr>
            <w:tcW w:w="5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5"/>
              </w:rPr>
              <w:t>01/31/31</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0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(15)</w:t>
            </w:r>
          </w:p>
        </w:tc>
        <w:tc>
          <w:tcPr>
            <w:tcW w:w="0" w:type="dxa"/>
            <w:vAlign w:val="bottom"/>
          </w:tcPr>
          <w:p>
            <w:pPr>
              <w:spacing w:after="0"/>
              <w:rPr>
                <w:sz w:val="1"/>
                <w:szCs w:val="1"/>
                <w:color w:val="auto"/>
              </w:rPr>
            </w:pPr>
          </w:p>
        </w:tc>
      </w:tr>
      <w:tr>
        <w:trPr>
          <w:trHeight w:val="120"/>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PMA Parent Holdings LLC</w:t>
            </w:r>
          </w:p>
        </w:tc>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Finance</w:t>
            </w:r>
          </w:p>
        </w:tc>
        <w:tc>
          <w:tcPr>
            <w:tcW w:w="780" w:type="dxa"/>
            <w:vAlign w:val="bottom"/>
            <w:shd w:val="clear" w:color="auto" w:fill="CFF0FC"/>
          </w:tcPr>
          <w:p>
            <w:pPr>
              <w:jc w:val="center"/>
              <w:ind w:left="112"/>
              <w:spacing w:after="0"/>
              <w:rPr>
                <w:sz w:val="20"/>
                <w:szCs w:val="20"/>
                <w:color w:val="auto"/>
              </w:rPr>
            </w:pPr>
            <w:r>
              <w:rPr>
                <w:rFonts w:ascii="Times New Roman" w:cs="Times New Roman" w:eastAsia="Times New Roman" w:hAnsi="Times New Roman"/>
                <w:sz w:val="10"/>
                <w:szCs w:val="10"/>
                <w:color w:val="auto"/>
              </w:rPr>
              <w:t>9.58%</w:t>
            </w:r>
          </w:p>
        </w:tc>
        <w:tc>
          <w:tcPr>
            <w:tcW w:w="1000" w:type="dxa"/>
            <w:vAlign w:val="bottom"/>
            <w:shd w:val="clear" w:color="auto" w:fill="CFF0FC"/>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SOFR + 5.25%</w:t>
            </w:r>
          </w:p>
        </w:tc>
        <w:tc>
          <w:tcPr>
            <w:tcW w:w="5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0.75%</w:t>
            </w:r>
          </w:p>
        </w:tc>
        <w:tc>
          <w:tcPr>
            <w:tcW w:w="5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0"/>
                <w:szCs w:val="10"/>
                <w:color w:val="auto"/>
                <w:w w:val="95"/>
              </w:rPr>
              <w:t>01/31/31</w:t>
            </w: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1,401</w:t>
            </w:r>
          </w:p>
        </w:tc>
        <w:tc>
          <w:tcPr>
            <w:tcW w:w="16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1,380</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1,379</w:t>
            </w:r>
          </w:p>
        </w:tc>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(20)</w:t>
            </w:r>
          </w:p>
        </w:tc>
        <w:tc>
          <w:tcPr>
            <w:tcW w:w="0" w:type="dxa"/>
            <w:vAlign w:val="bottom"/>
          </w:tcPr>
          <w:p>
            <w:pPr>
              <w:spacing w:after="0"/>
              <w:rPr>
                <w:sz w:val="1"/>
                <w:szCs w:val="1"/>
                <w:color w:val="auto"/>
              </w:rPr>
            </w:pPr>
          </w:p>
        </w:tc>
      </w:tr>
      <w:tr>
        <w:trPr>
          <w:trHeight w:val="120"/>
        </w:trPr>
        <w:tc>
          <w:tcPr>
            <w:tcW w:w="3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PhyNet Dermatology LLC</w:t>
            </w:r>
          </w:p>
        </w:tc>
        <w:tc>
          <w:tcPr>
            <w:tcW w:w="19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Healthcare &amp; Pharmaceuticals</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7"/>
              </w:rPr>
              <w:t>11.12%</w:t>
            </w:r>
          </w:p>
        </w:tc>
        <w:tc>
          <w:tcPr>
            <w:tcW w:w="100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SOFR + 6.50%</w:t>
            </w:r>
          </w:p>
        </w:tc>
        <w:tc>
          <w:tcPr>
            <w:tcW w:w="5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1.00%</w:t>
            </w:r>
          </w:p>
        </w:tc>
        <w:tc>
          <w:tcPr>
            <w:tcW w:w="5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5"/>
              </w:rPr>
              <w:t>10/20/29</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1,294</w:t>
            </w:r>
          </w:p>
        </w:tc>
        <w:tc>
          <w:tcPr>
            <w:tcW w:w="16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1,267</w:t>
            </w:r>
          </w:p>
        </w:tc>
        <w:tc>
          <w:tcPr>
            <w:tcW w:w="100" w:type="dxa"/>
            <w:vAlign w:val="bottom"/>
          </w:tcPr>
          <w:p>
            <w:pPr>
              <w:spacing w:after="0"/>
              <w:rPr>
                <w:sz w:val="10"/>
                <w:szCs w:val="10"/>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1,279</w:t>
            </w:r>
          </w:p>
        </w:tc>
        <w:tc>
          <w:tcPr>
            <w:tcW w:w="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(20)</w:t>
            </w:r>
          </w:p>
        </w:tc>
        <w:tc>
          <w:tcPr>
            <w:tcW w:w="0" w:type="dxa"/>
            <w:vAlign w:val="bottom"/>
          </w:tcPr>
          <w:p>
            <w:pPr>
              <w:spacing w:after="0"/>
              <w:rPr>
                <w:sz w:val="1"/>
                <w:szCs w:val="1"/>
                <w:color w:val="auto"/>
              </w:rPr>
            </w:pPr>
          </w:p>
        </w:tc>
      </w:tr>
      <w:tr>
        <w:trPr>
          <w:trHeight w:val="120"/>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Pomeroy Technologies, LLC (Super Senior A)</w:t>
            </w:r>
          </w:p>
        </w:tc>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High Tech Industries</w:t>
            </w:r>
          </w:p>
        </w:tc>
        <w:tc>
          <w:tcPr>
            <w:tcW w:w="780" w:type="dxa"/>
            <w:vAlign w:val="bottom"/>
            <w:shd w:val="clear" w:color="auto" w:fill="CFF0FC"/>
          </w:tcPr>
          <w:p>
            <w:pPr>
              <w:jc w:val="center"/>
              <w:ind w:left="112"/>
              <w:spacing w:after="0"/>
              <w:rPr>
                <w:sz w:val="20"/>
                <w:szCs w:val="20"/>
                <w:color w:val="auto"/>
              </w:rPr>
            </w:pPr>
            <w:r>
              <w:rPr>
                <w:rFonts w:ascii="Times New Roman" w:cs="Times New Roman" w:eastAsia="Times New Roman" w:hAnsi="Times New Roman"/>
                <w:sz w:val="10"/>
                <w:szCs w:val="10"/>
                <w:color w:val="auto"/>
                <w:w w:val="94"/>
              </w:rPr>
              <w:t>6.00% PIK</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0"/>
                <w:szCs w:val="10"/>
                <w:color w:val="auto"/>
                <w:w w:val="95"/>
              </w:rPr>
              <w:t>11/30/27</w:t>
            </w: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1,367</w:t>
            </w:r>
          </w:p>
        </w:tc>
        <w:tc>
          <w:tcPr>
            <w:tcW w:w="16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1,367</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1,367</w:t>
            </w:r>
          </w:p>
        </w:tc>
        <w:tc>
          <w:tcPr>
            <w:tcW w:w="5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See accompanying notes to consolidated financial statements.</w:t>
      </w:r>
    </w:p>
    <w:p>
      <w:pPr>
        <w:spacing w:after="0" w:line="28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1"/>
          <w:szCs w:val="11"/>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PORTMAN RIDGE FINANCE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As of December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7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820" w:type="dxa"/>
            <w:vAlign w:val="bottom"/>
          </w:tcPr>
          <w:p>
            <w:pPr>
              <w:jc w:val="center"/>
              <w:ind w:left="192"/>
              <w:spacing w:after="0"/>
              <w:rPr>
                <w:sz w:val="20"/>
                <w:szCs w:val="20"/>
                <w:color w:val="auto"/>
              </w:rPr>
            </w:pPr>
            <w:r>
              <w:rPr>
                <w:rFonts w:ascii="Times New Roman" w:cs="Times New Roman" w:eastAsia="Times New Roman" w:hAnsi="Times New Roman"/>
                <w:sz w:val="10"/>
                <w:szCs w:val="10"/>
                <w:b w:val="1"/>
                <w:bCs w:val="1"/>
                <w:color w:val="auto"/>
                <w:w w:val="96"/>
              </w:rPr>
              <w:t>Interest Rate</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Reference Rate</w:t>
            </w:r>
          </w:p>
        </w:tc>
        <w:tc>
          <w:tcPr>
            <w:tcW w:w="5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Par/Shares</w:t>
            </w: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Investment (2), (4), (12), (14), (23), (24)</w:t>
            </w:r>
          </w:p>
        </w:tc>
        <w:tc>
          <w:tcPr>
            <w:tcW w:w="2140" w:type="dxa"/>
            <w:vAlign w:val="bottom"/>
          </w:tcPr>
          <w:p>
            <w:pPr>
              <w:ind w:left="1120"/>
              <w:spacing w:after="0"/>
              <w:rPr>
                <w:sz w:val="20"/>
                <w:szCs w:val="20"/>
                <w:color w:val="auto"/>
              </w:rPr>
            </w:pPr>
            <w:r>
              <w:rPr>
                <w:rFonts w:ascii="Times New Roman" w:cs="Times New Roman" w:eastAsia="Times New Roman" w:hAnsi="Times New Roman"/>
                <w:sz w:val="10"/>
                <w:szCs w:val="10"/>
                <w:b w:val="1"/>
                <w:bCs w:val="1"/>
                <w:color w:val="auto"/>
              </w:rPr>
              <w:t>Industry</w:t>
            </w:r>
          </w:p>
        </w:tc>
        <w:tc>
          <w:tcPr>
            <w:tcW w:w="820" w:type="dxa"/>
            <w:vAlign w:val="bottom"/>
          </w:tcPr>
          <w:p>
            <w:pPr>
              <w:jc w:val="center"/>
              <w:ind w:left="192"/>
              <w:spacing w:after="0"/>
              <w:rPr>
                <w:sz w:val="20"/>
                <w:szCs w:val="20"/>
                <w:color w:val="auto"/>
              </w:rPr>
            </w:pPr>
            <w:r>
              <w:rPr>
                <w:rFonts w:ascii="Times New Roman" w:cs="Times New Roman" w:eastAsia="Times New Roman" w:hAnsi="Times New Roman"/>
                <w:sz w:val="10"/>
                <w:szCs w:val="10"/>
                <w:b w:val="1"/>
                <w:bCs w:val="1"/>
                <w:color w:val="auto"/>
                <w:w w:val="85"/>
              </w:rPr>
              <w:t>(1)</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and Spread (1)</w:t>
            </w: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rPr>
              <w:t>Floor (1)</w:t>
            </w:r>
          </w:p>
        </w:tc>
        <w:tc>
          <w:tcPr>
            <w:tcW w:w="58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72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Pr>
          <w:p>
            <w:pPr>
              <w:spacing w:after="0"/>
              <w:rPr>
                <w:sz w:val="10"/>
                <w:szCs w:val="10"/>
                <w:color w:val="auto"/>
              </w:rPr>
            </w:pPr>
          </w:p>
        </w:tc>
        <w:tc>
          <w:tcPr>
            <w:tcW w:w="500" w:type="dxa"/>
            <w:vAlign w:val="bottom"/>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Cost</w:t>
            </w:r>
          </w:p>
        </w:tc>
        <w:tc>
          <w:tcPr>
            <w:tcW w:w="80" w:type="dxa"/>
            <w:vAlign w:val="bottom"/>
          </w:tcPr>
          <w:p>
            <w:pPr>
              <w:spacing w:after="0"/>
              <w:rPr>
                <w:sz w:val="10"/>
                <w:szCs w:val="10"/>
                <w:color w:val="auto"/>
              </w:rPr>
            </w:pPr>
          </w:p>
        </w:tc>
        <w:tc>
          <w:tcPr>
            <w:tcW w:w="600" w:type="dxa"/>
            <w:vAlign w:val="bottom"/>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w w:val="95"/>
              </w:rPr>
              <w:t>Fair Value</w:t>
            </w:r>
          </w:p>
        </w:tc>
        <w:tc>
          <w:tcPr>
            <w:tcW w:w="68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Footnotes</w:t>
            </w:r>
          </w:p>
        </w:tc>
        <w:tc>
          <w:tcPr>
            <w:tcW w:w="0" w:type="dxa"/>
            <w:vAlign w:val="bottom"/>
          </w:tcPr>
          <w:p>
            <w:pPr>
              <w:spacing w:after="0"/>
              <w:rPr>
                <w:sz w:val="1"/>
                <w:szCs w:val="1"/>
                <w:color w:val="auto"/>
              </w:rPr>
            </w:pPr>
          </w:p>
        </w:tc>
      </w:tr>
      <w:tr>
        <w:trPr>
          <w:trHeight w:val="121"/>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Premier Imaging, LLC</w:t>
            </w:r>
          </w:p>
        </w:tc>
        <w:tc>
          <w:tcPr>
            <w:tcW w:w="2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0"/>
                <w:szCs w:val="10"/>
                <w:color w:val="auto"/>
              </w:rPr>
              <w:t>Healthcare &amp; Pharmaceuticals</w:t>
            </w:r>
          </w:p>
        </w:tc>
        <w:tc>
          <w:tcPr>
            <w:tcW w:w="820" w:type="dxa"/>
            <w:vAlign w:val="bottom"/>
            <w:shd w:val="clear" w:color="auto" w:fill="CFF0FC"/>
          </w:tcPr>
          <w:p>
            <w:pPr>
              <w:jc w:val="center"/>
              <w:ind w:left="192"/>
              <w:spacing w:after="0"/>
              <w:rPr>
                <w:sz w:val="20"/>
                <w:szCs w:val="20"/>
                <w:color w:val="auto"/>
              </w:rPr>
            </w:pPr>
            <w:r>
              <w:rPr>
                <w:rFonts w:ascii="Times New Roman" w:cs="Times New Roman" w:eastAsia="Times New Roman" w:hAnsi="Times New Roman"/>
                <w:sz w:val="10"/>
                <w:szCs w:val="10"/>
                <w:color w:val="auto"/>
                <w:w w:val="97"/>
              </w:rPr>
              <w:t>10.59%</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4"/>
              </w:rPr>
              <w:t>SOFR + 6.00%, 10.59%</w:t>
            </w:r>
          </w:p>
        </w:tc>
        <w:tc>
          <w:tcPr>
            <w:tcW w:w="52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1.00%</w:t>
            </w: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5"/>
              </w:rPr>
              <w:t>03/31/26</w:t>
            </w:r>
          </w:p>
        </w:tc>
        <w:tc>
          <w:tcPr>
            <w:tcW w:w="7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2,869</w:t>
            </w:r>
          </w:p>
        </w:tc>
        <w:tc>
          <w:tcPr>
            <w:tcW w:w="1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2,869</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2,524</w:t>
            </w:r>
          </w:p>
        </w:tc>
        <w:tc>
          <w:tcPr>
            <w:tcW w:w="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2740" w:type="dxa"/>
            <w:vAlign w:val="bottom"/>
            <w:shd w:val="clear" w:color="auto" w:fill="CFF0FC"/>
          </w:tcPr>
          <w:p>
            <w:pPr>
              <w:spacing w:after="0"/>
              <w:rPr>
                <w:sz w:val="10"/>
                <w:szCs w:val="10"/>
                <w:color w:val="auto"/>
              </w:rPr>
            </w:pPr>
          </w:p>
        </w:tc>
        <w:tc>
          <w:tcPr>
            <w:tcW w:w="21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PIK</w:t>
            </w:r>
          </w:p>
        </w:tc>
        <w:tc>
          <w:tcPr>
            <w:tcW w:w="5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Project Castle, Inc.</w:t>
            </w:r>
          </w:p>
        </w:tc>
        <w:tc>
          <w:tcPr>
            <w:tcW w:w="21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Transportation: Cargo</w:t>
            </w:r>
          </w:p>
        </w:tc>
        <w:tc>
          <w:tcPr>
            <w:tcW w:w="82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2"/>
              </w:rPr>
              <w:t>9.76%</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SOFR + 5.50%</w:t>
            </w:r>
          </w:p>
        </w:tc>
        <w:tc>
          <w:tcPr>
            <w:tcW w:w="5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0.50%</w:t>
            </w: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06/08/29</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3,020</w:t>
            </w:r>
          </w:p>
        </w:tc>
        <w:tc>
          <w:tcPr>
            <w:tcW w:w="16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2,817</w:t>
            </w:r>
          </w:p>
        </w:tc>
        <w:tc>
          <w:tcPr>
            <w:tcW w:w="80" w:type="dxa"/>
            <w:vAlign w:val="bottom"/>
          </w:tcPr>
          <w:p>
            <w:pPr>
              <w:spacing w:after="0"/>
              <w:rPr>
                <w:sz w:val="10"/>
                <w:szCs w:val="10"/>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2,649</w:t>
            </w:r>
          </w:p>
        </w:tc>
        <w:tc>
          <w:tcPr>
            <w:tcW w:w="68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Project Leopard Holdings, Inc.</w:t>
            </w:r>
          </w:p>
        </w:tc>
        <w:tc>
          <w:tcPr>
            <w:tcW w:w="2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0"/>
                <w:szCs w:val="10"/>
                <w:color w:val="auto"/>
              </w:rPr>
              <w:t>High Tech Industries</w:t>
            </w:r>
          </w:p>
        </w:tc>
        <w:tc>
          <w:tcPr>
            <w:tcW w:w="820" w:type="dxa"/>
            <w:vAlign w:val="bottom"/>
            <w:shd w:val="clear" w:color="auto" w:fill="CFF0FC"/>
          </w:tcPr>
          <w:p>
            <w:pPr>
              <w:jc w:val="center"/>
              <w:ind w:left="172"/>
              <w:spacing w:after="0"/>
              <w:rPr>
                <w:sz w:val="20"/>
                <w:szCs w:val="20"/>
                <w:color w:val="auto"/>
              </w:rPr>
            </w:pPr>
            <w:r>
              <w:rPr>
                <w:rFonts w:ascii="Times New Roman" w:cs="Times New Roman" w:eastAsia="Times New Roman" w:hAnsi="Times New Roman"/>
                <w:sz w:val="10"/>
                <w:szCs w:val="10"/>
                <w:color w:val="auto"/>
                <w:w w:val="92"/>
              </w:rPr>
              <w:t>9.94%</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4"/>
              </w:rPr>
              <w:t>SOFR + 5.25%</w:t>
            </w:r>
          </w:p>
        </w:tc>
        <w:tc>
          <w:tcPr>
            <w:tcW w:w="52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0.50%</w:t>
            </w: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5"/>
              </w:rPr>
              <w:t>07/20/29</w:t>
            </w:r>
          </w:p>
        </w:tc>
        <w:tc>
          <w:tcPr>
            <w:tcW w:w="7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5,695</w:t>
            </w: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5,436</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5,126</w:t>
            </w:r>
          </w:p>
        </w:tc>
        <w:tc>
          <w:tcPr>
            <w:tcW w:w="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1"/>
        </w:trPr>
        <w:tc>
          <w:tcPr>
            <w:tcW w:w="27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PVHC Holding Corp</w:t>
            </w:r>
          </w:p>
        </w:tc>
        <w:tc>
          <w:tcPr>
            <w:tcW w:w="21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Containers, Packaging and Glass</w:t>
            </w:r>
          </w:p>
        </w:tc>
        <w:tc>
          <w:tcPr>
            <w:tcW w:w="82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7"/>
              </w:rPr>
              <w:t>11.18%</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SOFR + 6.75%, 0.75%</w:t>
            </w:r>
          </w:p>
        </w:tc>
        <w:tc>
          <w:tcPr>
            <w:tcW w:w="5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2.50%</w:t>
            </w: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02/17/27</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2,729</w:t>
            </w:r>
          </w:p>
        </w:tc>
        <w:tc>
          <w:tcPr>
            <w:tcW w:w="16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2,728</w:t>
            </w:r>
          </w:p>
        </w:tc>
        <w:tc>
          <w:tcPr>
            <w:tcW w:w="80" w:type="dxa"/>
            <w:vAlign w:val="bottom"/>
          </w:tcPr>
          <w:p>
            <w:pPr>
              <w:spacing w:after="0"/>
              <w:rPr>
                <w:sz w:val="10"/>
                <w:szCs w:val="10"/>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2,702</w:t>
            </w:r>
          </w:p>
        </w:tc>
        <w:tc>
          <w:tcPr>
            <w:tcW w:w="68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27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PIK</w:t>
            </w:r>
          </w:p>
        </w:tc>
        <w:tc>
          <w:tcPr>
            <w:tcW w:w="5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Radius Aerospace, Inc.</w:t>
            </w:r>
          </w:p>
        </w:tc>
        <w:tc>
          <w:tcPr>
            <w:tcW w:w="2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0"/>
                <w:szCs w:val="10"/>
                <w:color w:val="auto"/>
              </w:rPr>
              <w:t>Aerospace and Defense</w:t>
            </w:r>
          </w:p>
        </w:tc>
        <w:tc>
          <w:tcPr>
            <w:tcW w:w="820" w:type="dxa"/>
            <w:vAlign w:val="bottom"/>
            <w:shd w:val="clear" w:color="auto" w:fill="CFF0FC"/>
          </w:tcPr>
          <w:p>
            <w:pPr>
              <w:jc w:val="center"/>
              <w:ind w:left="192"/>
              <w:spacing w:after="0"/>
              <w:rPr>
                <w:sz w:val="20"/>
                <w:szCs w:val="20"/>
                <w:color w:val="auto"/>
              </w:rPr>
            </w:pPr>
            <w:r>
              <w:rPr>
                <w:rFonts w:ascii="Times New Roman" w:cs="Times New Roman" w:eastAsia="Times New Roman" w:hAnsi="Times New Roman"/>
                <w:sz w:val="10"/>
                <w:szCs w:val="10"/>
                <w:color w:val="auto"/>
                <w:w w:val="97"/>
              </w:rPr>
              <w:t>10.48%</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4"/>
              </w:rPr>
              <w:t>SOFR + 6.00%, 10.48%</w:t>
            </w:r>
          </w:p>
        </w:tc>
        <w:tc>
          <w:tcPr>
            <w:tcW w:w="52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1.00%</w:t>
            </w: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5"/>
              </w:rPr>
              <w:t>03/29/27</w:t>
            </w:r>
          </w:p>
        </w:tc>
        <w:tc>
          <w:tcPr>
            <w:tcW w:w="7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6,066</w:t>
            </w: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6,056</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6,026</w:t>
            </w:r>
          </w:p>
        </w:tc>
        <w:tc>
          <w:tcPr>
            <w:tcW w:w="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2740" w:type="dxa"/>
            <w:vAlign w:val="bottom"/>
            <w:shd w:val="clear" w:color="auto" w:fill="CFF0FC"/>
          </w:tcPr>
          <w:p>
            <w:pPr>
              <w:spacing w:after="0"/>
              <w:rPr>
                <w:sz w:val="10"/>
                <w:szCs w:val="10"/>
                <w:color w:val="auto"/>
              </w:rPr>
            </w:pPr>
          </w:p>
        </w:tc>
        <w:tc>
          <w:tcPr>
            <w:tcW w:w="21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PIK</w:t>
            </w:r>
          </w:p>
        </w:tc>
        <w:tc>
          <w:tcPr>
            <w:tcW w:w="5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7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STG Distribution, LLC (STG Logistics) (Second Out)</w:t>
            </w:r>
          </w:p>
        </w:tc>
        <w:tc>
          <w:tcPr>
            <w:tcW w:w="21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Transportation: Cargo</w:t>
            </w:r>
          </w:p>
        </w:tc>
        <w:tc>
          <w:tcPr>
            <w:tcW w:w="82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7"/>
              </w:rPr>
              <w:t>12.12%</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SOFR + 7.60%, 6.50%</w:t>
            </w:r>
          </w:p>
        </w:tc>
        <w:tc>
          <w:tcPr>
            <w:tcW w:w="5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1.50%</w:t>
            </w: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10/03/29</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1,777</w:t>
            </w:r>
          </w:p>
        </w:tc>
        <w:tc>
          <w:tcPr>
            <w:tcW w:w="16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1,020</w:t>
            </w:r>
          </w:p>
        </w:tc>
        <w:tc>
          <w:tcPr>
            <w:tcW w:w="80" w:type="dxa"/>
            <w:vAlign w:val="bottom"/>
          </w:tcPr>
          <w:p>
            <w:pPr>
              <w:spacing w:after="0"/>
              <w:rPr>
                <w:sz w:val="10"/>
                <w:szCs w:val="10"/>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997</w:t>
            </w:r>
          </w:p>
        </w:tc>
        <w:tc>
          <w:tcPr>
            <w:tcW w:w="68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27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PIK</w:t>
            </w:r>
          </w:p>
        </w:tc>
        <w:tc>
          <w:tcPr>
            <w:tcW w:w="5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STG Distribution, LLC (STG Logistics) (Third Out)</w:t>
            </w:r>
          </w:p>
        </w:tc>
        <w:tc>
          <w:tcPr>
            <w:tcW w:w="2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0"/>
                <w:szCs w:val="10"/>
                <w:color w:val="auto"/>
              </w:rPr>
              <w:t>Transportation: Cargo</w:t>
            </w:r>
          </w:p>
        </w:tc>
        <w:tc>
          <w:tcPr>
            <w:tcW w:w="820" w:type="dxa"/>
            <w:vAlign w:val="bottom"/>
            <w:shd w:val="clear" w:color="auto" w:fill="CFF0FC"/>
          </w:tcPr>
          <w:p>
            <w:pPr>
              <w:jc w:val="center"/>
              <w:ind w:left="192"/>
              <w:spacing w:after="0"/>
              <w:rPr>
                <w:sz w:val="20"/>
                <w:szCs w:val="20"/>
                <w:color w:val="auto"/>
              </w:rPr>
            </w:pPr>
            <w:r>
              <w:rPr>
                <w:rFonts w:ascii="Times New Roman" w:cs="Times New Roman" w:eastAsia="Times New Roman" w:hAnsi="Times New Roman"/>
                <w:sz w:val="10"/>
                <w:szCs w:val="10"/>
                <w:color w:val="auto"/>
                <w:w w:val="97"/>
              </w:rPr>
              <w:t>11.62%</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5"/>
              </w:rPr>
              <w:t>SOFR + 7.10%, 6.00%</w:t>
            </w:r>
          </w:p>
        </w:tc>
        <w:tc>
          <w:tcPr>
            <w:tcW w:w="52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1.50%</w:t>
            </w: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5"/>
              </w:rPr>
              <w:t>10/03/29</w:t>
            </w:r>
          </w:p>
        </w:tc>
        <w:tc>
          <w:tcPr>
            <w:tcW w:w="7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1,332</w:t>
            </w: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386</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136</w:t>
            </w:r>
          </w:p>
        </w:tc>
        <w:tc>
          <w:tcPr>
            <w:tcW w:w="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2740" w:type="dxa"/>
            <w:vAlign w:val="bottom"/>
            <w:shd w:val="clear" w:color="auto" w:fill="CFF0FC"/>
          </w:tcPr>
          <w:p>
            <w:pPr>
              <w:spacing w:after="0"/>
              <w:rPr>
                <w:sz w:val="10"/>
                <w:szCs w:val="10"/>
                <w:color w:val="auto"/>
              </w:rPr>
            </w:pPr>
          </w:p>
        </w:tc>
        <w:tc>
          <w:tcPr>
            <w:tcW w:w="21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PIK</w:t>
            </w:r>
          </w:p>
        </w:tc>
        <w:tc>
          <w:tcPr>
            <w:tcW w:w="5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Riskonnect Parent LLC</w:t>
            </w:r>
          </w:p>
        </w:tc>
        <w:tc>
          <w:tcPr>
            <w:tcW w:w="21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Application Software</w:t>
            </w:r>
          </w:p>
        </w:tc>
        <w:tc>
          <w:tcPr>
            <w:tcW w:w="82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2"/>
              </w:rPr>
              <w:t>9.48%</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SOFR + 5.00%</w:t>
            </w:r>
          </w:p>
        </w:tc>
        <w:tc>
          <w:tcPr>
            <w:tcW w:w="5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12/07/28</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1,216</w:t>
            </w:r>
          </w:p>
        </w:tc>
        <w:tc>
          <w:tcPr>
            <w:tcW w:w="16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1,165</w:t>
            </w:r>
          </w:p>
        </w:tc>
        <w:tc>
          <w:tcPr>
            <w:tcW w:w="80" w:type="dxa"/>
            <w:vAlign w:val="bottom"/>
          </w:tcPr>
          <w:p>
            <w:pPr>
              <w:spacing w:after="0"/>
              <w:rPr>
                <w:sz w:val="10"/>
                <w:szCs w:val="10"/>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1,166</w:t>
            </w:r>
          </w:p>
        </w:tc>
        <w:tc>
          <w:tcPr>
            <w:tcW w:w="68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(20)</w:t>
            </w:r>
          </w:p>
        </w:tc>
        <w:tc>
          <w:tcPr>
            <w:tcW w:w="0" w:type="dxa"/>
            <w:vAlign w:val="bottom"/>
          </w:tcPr>
          <w:p>
            <w:pPr>
              <w:spacing w:after="0"/>
              <w:rPr>
                <w:sz w:val="1"/>
                <w:szCs w:val="1"/>
                <w:color w:val="auto"/>
              </w:rPr>
            </w:pPr>
          </w:p>
        </w:tc>
      </w:tr>
      <w:tr>
        <w:trPr>
          <w:trHeight w:val="120"/>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Red Range Intermediate Inc.</w:t>
            </w:r>
          </w:p>
        </w:tc>
        <w:tc>
          <w:tcPr>
            <w:tcW w:w="2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0"/>
                <w:szCs w:val="10"/>
                <w:color w:val="auto"/>
              </w:rPr>
              <w:t>Capital Equipment</w:t>
            </w:r>
          </w:p>
        </w:tc>
        <w:tc>
          <w:tcPr>
            <w:tcW w:w="820" w:type="dxa"/>
            <w:vAlign w:val="bottom"/>
            <w:shd w:val="clear" w:color="auto" w:fill="CFF0FC"/>
          </w:tcPr>
          <w:p>
            <w:pPr>
              <w:jc w:val="center"/>
              <w:ind w:left="192"/>
              <w:spacing w:after="0"/>
              <w:rPr>
                <w:sz w:val="20"/>
                <w:szCs w:val="20"/>
                <w:color w:val="auto"/>
              </w:rPr>
            </w:pPr>
            <w:r>
              <w:rPr>
                <w:rFonts w:ascii="Times New Roman" w:cs="Times New Roman" w:eastAsia="Times New Roman" w:hAnsi="Times New Roman"/>
                <w:sz w:val="10"/>
                <w:szCs w:val="10"/>
                <w:color w:val="auto"/>
                <w:w w:val="97"/>
              </w:rPr>
              <w:t>12.69%</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4"/>
              </w:rPr>
              <w:t>SOFR + 8.00%</w:t>
            </w:r>
          </w:p>
        </w:tc>
        <w:tc>
          <w:tcPr>
            <w:tcW w:w="52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1.00%</w:t>
            </w: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5"/>
              </w:rPr>
              <w:t>10/01/29</w:t>
            </w:r>
          </w:p>
        </w:tc>
        <w:tc>
          <w:tcPr>
            <w:tcW w:w="7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324</w:t>
            </w: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324</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324</w:t>
            </w:r>
          </w:p>
        </w:tc>
        <w:tc>
          <w:tcPr>
            <w:tcW w:w="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(13)(20)</w:t>
            </w:r>
          </w:p>
        </w:tc>
        <w:tc>
          <w:tcPr>
            <w:tcW w:w="0" w:type="dxa"/>
            <w:vAlign w:val="bottom"/>
          </w:tcPr>
          <w:p>
            <w:pPr>
              <w:spacing w:after="0"/>
              <w:rPr>
                <w:sz w:val="1"/>
                <w:szCs w:val="1"/>
                <w:color w:val="auto"/>
              </w:rPr>
            </w:pPr>
          </w:p>
        </w:tc>
      </w:tr>
      <w:tr>
        <w:trPr>
          <w:trHeight w:val="120"/>
        </w:trPr>
        <w:tc>
          <w:tcPr>
            <w:tcW w:w="27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South Street Securities Holdings, Inc</w:t>
            </w:r>
          </w:p>
        </w:tc>
        <w:tc>
          <w:tcPr>
            <w:tcW w:w="21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Banking, Finance, Insurance &amp; Real Estate</w:t>
            </w:r>
          </w:p>
        </w:tc>
        <w:tc>
          <w:tcPr>
            <w:tcW w:w="82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2"/>
              </w:rPr>
              <w:t>9.00%</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09/20/27</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3,150</w:t>
            </w:r>
          </w:p>
        </w:tc>
        <w:tc>
          <w:tcPr>
            <w:tcW w:w="16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2,865</w:t>
            </w:r>
          </w:p>
        </w:tc>
        <w:tc>
          <w:tcPr>
            <w:tcW w:w="80" w:type="dxa"/>
            <w:vAlign w:val="bottom"/>
          </w:tcPr>
          <w:p>
            <w:pPr>
              <w:spacing w:after="0"/>
              <w:rPr>
                <w:sz w:val="10"/>
                <w:szCs w:val="10"/>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2,685</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Sundance Holdings Group, LLC</w:t>
            </w:r>
          </w:p>
        </w:tc>
        <w:tc>
          <w:tcPr>
            <w:tcW w:w="2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0"/>
                <w:szCs w:val="10"/>
                <w:color w:val="auto"/>
              </w:rPr>
              <w:t>Retail</w:t>
            </w:r>
          </w:p>
        </w:tc>
        <w:tc>
          <w:tcPr>
            <w:tcW w:w="820" w:type="dxa"/>
            <w:vAlign w:val="bottom"/>
            <w:shd w:val="clear" w:color="auto" w:fill="CFF0FC"/>
          </w:tcPr>
          <w:p>
            <w:pPr>
              <w:jc w:val="center"/>
              <w:ind w:left="192"/>
              <w:spacing w:after="0"/>
              <w:rPr>
                <w:sz w:val="20"/>
                <w:szCs w:val="20"/>
                <w:color w:val="auto"/>
              </w:rPr>
            </w:pPr>
            <w:r>
              <w:rPr>
                <w:rFonts w:ascii="Times New Roman" w:cs="Times New Roman" w:eastAsia="Times New Roman" w:hAnsi="Times New Roman"/>
                <w:sz w:val="10"/>
                <w:szCs w:val="10"/>
                <w:color w:val="auto"/>
                <w:w w:val="97"/>
              </w:rPr>
              <w:t>14.23%</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5"/>
              </w:rPr>
              <w:t>SOFR + 9.50%, 1.50%</w:t>
            </w:r>
          </w:p>
        </w:tc>
        <w:tc>
          <w:tcPr>
            <w:tcW w:w="520" w:type="dxa"/>
            <w:vAlign w:val="bottom"/>
            <w:vMerge w:val="restart"/>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5"/>
              </w:rPr>
              <w:t>06/30/25</w:t>
            </w:r>
          </w:p>
        </w:tc>
        <w:tc>
          <w:tcPr>
            <w:tcW w:w="7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6,667</w:t>
            </w: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6,666</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4,488</w:t>
            </w:r>
          </w:p>
        </w:tc>
        <w:tc>
          <w:tcPr>
            <w:tcW w:w="6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2740" w:type="dxa"/>
            <w:vAlign w:val="bottom"/>
            <w:tcBorders>
              <w:bottom w:val="single" w:sz="8" w:color="CFF0FC"/>
            </w:tcBorders>
            <w:shd w:val="clear" w:color="auto" w:fill="CFF0FC"/>
          </w:tcPr>
          <w:p>
            <w:pPr>
              <w:spacing w:after="0"/>
              <w:rPr>
                <w:sz w:val="8"/>
                <w:szCs w:val="8"/>
                <w:color w:val="auto"/>
              </w:rPr>
            </w:pPr>
          </w:p>
        </w:tc>
        <w:tc>
          <w:tcPr>
            <w:tcW w:w="2140" w:type="dxa"/>
            <w:vAlign w:val="bottom"/>
            <w:tcBorders>
              <w:bottom w:val="single" w:sz="8" w:color="CFF0FC"/>
            </w:tcBorders>
            <w:shd w:val="clear" w:color="auto" w:fill="CFF0FC"/>
          </w:tcPr>
          <w:p>
            <w:pPr>
              <w:spacing w:after="0"/>
              <w:rPr>
                <w:sz w:val="8"/>
                <w:szCs w:val="8"/>
                <w:color w:val="auto"/>
              </w:rPr>
            </w:pPr>
          </w:p>
        </w:tc>
        <w:tc>
          <w:tcPr>
            <w:tcW w:w="820" w:type="dxa"/>
            <w:vAlign w:val="bottom"/>
            <w:tcBorders>
              <w:bottom w:val="single" w:sz="8" w:color="CFF0FC"/>
            </w:tcBorders>
            <w:shd w:val="clear" w:color="auto" w:fill="CFF0FC"/>
          </w:tcPr>
          <w:p>
            <w:pPr>
              <w:spacing w:after="0"/>
              <w:rPr>
                <w:sz w:val="8"/>
                <w:szCs w:val="8"/>
                <w:color w:val="auto"/>
              </w:rPr>
            </w:pPr>
          </w:p>
        </w:tc>
        <w:tc>
          <w:tcPr>
            <w:tcW w:w="1020" w:type="dxa"/>
            <w:vAlign w:val="bottom"/>
            <w:tcBorders>
              <w:bottom w:val="single" w:sz="8" w:color="CFF0FC"/>
            </w:tcBorders>
            <w:shd w:val="clear" w:color="auto" w:fill="CFF0FC"/>
          </w:tcPr>
          <w:p>
            <w:pPr>
              <w:jc w:val="center"/>
              <w:spacing w:after="0" w:line="100" w:lineRule="exact"/>
              <w:rPr>
                <w:sz w:val="20"/>
                <w:szCs w:val="20"/>
                <w:color w:val="auto"/>
              </w:rPr>
            </w:pPr>
            <w:r>
              <w:rPr>
                <w:rFonts w:ascii="Times New Roman" w:cs="Times New Roman" w:eastAsia="Times New Roman" w:hAnsi="Times New Roman"/>
                <w:sz w:val="10"/>
                <w:szCs w:val="10"/>
                <w:color w:val="auto"/>
                <w:w w:val="99"/>
              </w:rPr>
              <w:t>PIK</w:t>
            </w:r>
          </w:p>
        </w:tc>
        <w:tc>
          <w:tcPr>
            <w:tcW w:w="520" w:type="dxa"/>
            <w:vAlign w:val="bottom"/>
            <w:tcBorders>
              <w:bottom w:val="single" w:sz="8" w:color="CFF0FC"/>
            </w:tcBorders>
            <w:vMerge w:val="continue"/>
            <w:shd w:val="clear" w:color="auto" w:fill="CFF0FC"/>
          </w:tcPr>
          <w:p>
            <w:pPr>
              <w:spacing w:after="0"/>
              <w:rPr>
                <w:sz w:val="8"/>
                <w:szCs w:val="8"/>
                <w:color w:val="auto"/>
              </w:rPr>
            </w:pPr>
          </w:p>
        </w:tc>
        <w:tc>
          <w:tcPr>
            <w:tcW w:w="580" w:type="dxa"/>
            <w:vAlign w:val="bottom"/>
            <w:tcBorders>
              <w:bottom w:val="single" w:sz="8" w:color="CFF0FC"/>
            </w:tcBorders>
            <w:shd w:val="clear" w:color="auto" w:fill="CFF0FC"/>
          </w:tcPr>
          <w:p>
            <w:pPr>
              <w:spacing w:after="0"/>
              <w:rPr>
                <w:sz w:val="8"/>
                <w:szCs w:val="8"/>
                <w:color w:val="auto"/>
              </w:rPr>
            </w:pPr>
          </w:p>
        </w:tc>
        <w:tc>
          <w:tcPr>
            <w:tcW w:w="720" w:type="dxa"/>
            <w:vAlign w:val="bottom"/>
            <w:tcBorders>
              <w:bottom w:val="single" w:sz="8" w:color="CFF0FC"/>
            </w:tcBorders>
            <w:shd w:val="clear" w:color="auto" w:fill="CFF0FC"/>
          </w:tcPr>
          <w:p>
            <w:pPr>
              <w:spacing w:after="0"/>
              <w:rPr>
                <w:sz w:val="8"/>
                <w:szCs w:val="8"/>
                <w:color w:val="auto"/>
              </w:rPr>
            </w:pPr>
          </w:p>
        </w:tc>
        <w:tc>
          <w:tcPr>
            <w:tcW w:w="160" w:type="dxa"/>
            <w:vAlign w:val="bottom"/>
            <w:tcBorders>
              <w:bottom w:val="single" w:sz="8" w:color="CFF0FC"/>
            </w:tcBorders>
            <w:shd w:val="clear" w:color="auto" w:fill="CFF0FC"/>
          </w:tcPr>
          <w:p>
            <w:pPr>
              <w:spacing w:after="0"/>
              <w:rPr>
                <w:sz w:val="8"/>
                <w:szCs w:val="8"/>
                <w:color w:val="auto"/>
              </w:rPr>
            </w:pPr>
          </w:p>
        </w:tc>
        <w:tc>
          <w:tcPr>
            <w:tcW w:w="500" w:type="dxa"/>
            <w:vAlign w:val="bottom"/>
            <w:tcBorders>
              <w:bottom w:val="single" w:sz="8" w:color="CFF0FC"/>
            </w:tcBorders>
            <w:shd w:val="clear" w:color="auto" w:fill="CFF0FC"/>
          </w:tcPr>
          <w:p>
            <w:pPr>
              <w:spacing w:after="0"/>
              <w:rPr>
                <w:sz w:val="8"/>
                <w:szCs w:val="8"/>
                <w:color w:val="auto"/>
              </w:rPr>
            </w:pPr>
          </w:p>
        </w:tc>
        <w:tc>
          <w:tcPr>
            <w:tcW w:w="80" w:type="dxa"/>
            <w:vAlign w:val="bottom"/>
            <w:tcBorders>
              <w:bottom w:val="single" w:sz="8" w:color="CFF0FC"/>
            </w:tcBorders>
            <w:shd w:val="clear" w:color="auto" w:fill="CFF0FC"/>
          </w:tcPr>
          <w:p>
            <w:pPr>
              <w:spacing w:after="0"/>
              <w:rPr>
                <w:sz w:val="8"/>
                <w:szCs w:val="8"/>
                <w:color w:val="auto"/>
              </w:rPr>
            </w:pPr>
          </w:p>
        </w:tc>
        <w:tc>
          <w:tcPr>
            <w:tcW w:w="600" w:type="dxa"/>
            <w:vAlign w:val="bottom"/>
            <w:tcBorders>
              <w:bottom w:val="single" w:sz="8" w:color="CFF0FC"/>
            </w:tcBorders>
            <w:shd w:val="clear" w:color="auto" w:fill="CFF0FC"/>
          </w:tcPr>
          <w:p>
            <w:pPr>
              <w:spacing w:after="0"/>
              <w:rPr>
                <w:sz w:val="8"/>
                <w:szCs w:val="8"/>
                <w:color w:val="auto"/>
              </w:rPr>
            </w:pPr>
          </w:p>
        </w:tc>
        <w:tc>
          <w:tcPr>
            <w:tcW w:w="68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7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Symplr Software, Inc.</w:t>
            </w:r>
          </w:p>
        </w:tc>
        <w:tc>
          <w:tcPr>
            <w:tcW w:w="21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Healthcare &amp; Pharmaceuticals</w:t>
            </w:r>
          </w:p>
        </w:tc>
        <w:tc>
          <w:tcPr>
            <w:tcW w:w="82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2"/>
              </w:rPr>
              <w:t>9.19%</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SOFR + 4.50%</w:t>
            </w:r>
          </w:p>
        </w:tc>
        <w:tc>
          <w:tcPr>
            <w:tcW w:w="5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0.75%</w:t>
            </w: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12/22/27</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1,653</w:t>
            </w:r>
          </w:p>
        </w:tc>
        <w:tc>
          <w:tcPr>
            <w:tcW w:w="16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1,651</w:t>
            </w:r>
          </w:p>
        </w:tc>
        <w:tc>
          <w:tcPr>
            <w:tcW w:w="80" w:type="dxa"/>
            <w:vAlign w:val="bottom"/>
          </w:tcPr>
          <w:p>
            <w:pPr>
              <w:spacing w:after="0"/>
              <w:rPr>
                <w:sz w:val="10"/>
                <w:szCs w:val="10"/>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1,517</w:t>
            </w:r>
          </w:p>
        </w:tc>
        <w:tc>
          <w:tcPr>
            <w:tcW w:w="68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Synamedia Americas Holdings, Inc.</w:t>
            </w:r>
          </w:p>
        </w:tc>
        <w:tc>
          <w:tcPr>
            <w:tcW w:w="2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0"/>
                <w:szCs w:val="10"/>
                <w:color w:val="auto"/>
              </w:rPr>
              <w:t>Interactive Media &amp; Services</w:t>
            </w:r>
          </w:p>
        </w:tc>
        <w:tc>
          <w:tcPr>
            <w:tcW w:w="820" w:type="dxa"/>
            <w:vAlign w:val="bottom"/>
            <w:shd w:val="clear" w:color="auto" w:fill="CFF0FC"/>
          </w:tcPr>
          <w:p>
            <w:pPr>
              <w:jc w:val="center"/>
              <w:ind w:left="192"/>
              <w:spacing w:after="0"/>
              <w:rPr>
                <w:sz w:val="20"/>
                <w:szCs w:val="20"/>
                <w:color w:val="auto"/>
              </w:rPr>
            </w:pPr>
            <w:r>
              <w:rPr>
                <w:rFonts w:ascii="Times New Roman" w:cs="Times New Roman" w:eastAsia="Times New Roman" w:hAnsi="Times New Roman"/>
                <w:sz w:val="10"/>
                <w:szCs w:val="10"/>
                <w:color w:val="auto"/>
                <w:w w:val="97"/>
              </w:rPr>
              <w:t>12.11%</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4"/>
              </w:rPr>
              <w:t>SOFR + 7.75%</w:t>
            </w:r>
          </w:p>
        </w:tc>
        <w:tc>
          <w:tcPr>
            <w:tcW w:w="52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1.00%</w:t>
            </w: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5"/>
              </w:rPr>
              <w:t>12/05/28</w:t>
            </w:r>
          </w:p>
        </w:tc>
        <w:tc>
          <w:tcPr>
            <w:tcW w:w="7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2,610</w:t>
            </w: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2,539</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2,559</w:t>
            </w:r>
          </w:p>
        </w:tc>
        <w:tc>
          <w:tcPr>
            <w:tcW w:w="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27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TA/WEG Holdings, LLC</w:t>
            </w:r>
          </w:p>
        </w:tc>
        <w:tc>
          <w:tcPr>
            <w:tcW w:w="21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Banking, Finance, Insurance &amp; Real Estate</w:t>
            </w:r>
          </w:p>
        </w:tc>
        <w:tc>
          <w:tcPr>
            <w:tcW w:w="82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2"/>
              </w:rPr>
              <w:t>9.55%</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SOFR + 5.00%</w:t>
            </w:r>
          </w:p>
        </w:tc>
        <w:tc>
          <w:tcPr>
            <w:tcW w:w="5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1.00%</w:t>
            </w: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10/02/28</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5,032</w:t>
            </w:r>
          </w:p>
        </w:tc>
        <w:tc>
          <w:tcPr>
            <w:tcW w:w="16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5,053</w:t>
            </w:r>
          </w:p>
        </w:tc>
        <w:tc>
          <w:tcPr>
            <w:tcW w:w="80" w:type="dxa"/>
            <w:vAlign w:val="bottom"/>
          </w:tcPr>
          <w:p>
            <w:pPr>
              <w:spacing w:after="0"/>
              <w:rPr>
                <w:sz w:val="10"/>
                <w:szCs w:val="10"/>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5,032</w:t>
            </w:r>
          </w:p>
        </w:tc>
        <w:tc>
          <w:tcPr>
            <w:tcW w:w="68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TA/WEG Holdings, LLC (Revolver)</w:t>
            </w:r>
          </w:p>
        </w:tc>
        <w:tc>
          <w:tcPr>
            <w:tcW w:w="2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0"/>
                <w:szCs w:val="10"/>
                <w:color w:val="auto"/>
              </w:rPr>
              <w:t>Banking, Finance, Insurance &amp; Real Estate</w:t>
            </w:r>
          </w:p>
        </w:tc>
        <w:tc>
          <w:tcPr>
            <w:tcW w:w="820" w:type="dxa"/>
            <w:vAlign w:val="bottom"/>
            <w:shd w:val="clear" w:color="auto" w:fill="CFF0FC"/>
          </w:tcPr>
          <w:p>
            <w:pPr>
              <w:jc w:val="center"/>
              <w:ind w:left="192"/>
              <w:spacing w:after="0"/>
              <w:rPr>
                <w:sz w:val="20"/>
                <w:szCs w:val="20"/>
                <w:color w:val="auto"/>
              </w:rPr>
            </w:pPr>
            <w:r>
              <w:rPr>
                <w:rFonts w:ascii="Times New Roman" w:cs="Times New Roman" w:eastAsia="Times New Roman" w:hAnsi="Times New Roman"/>
                <w:sz w:val="10"/>
                <w:szCs w:val="10"/>
                <w:color w:val="auto"/>
                <w:w w:val="99"/>
              </w:rPr>
              <w:t>—</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4"/>
              </w:rPr>
              <w:t>SOFR + 5.00%</w:t>
            </w:r>
          </w:p>
        </w:tc>
        <w:tc>
          <w:tcPr>
            <w:tcW w:w="52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1.00%</w:t>
            </w: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5"/>
              </w:rPr>
              <w:t>10/02/28</w:t>
            </w:r>
          </w:p>
        </w:tc>
        <w:tc>
          <w:tcPr>
            <w:tcW w:w="7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(15)(20)</w:t>
            </w:r>
          </w:p>
        </w:tc>
        <w:tc>
          <w:tcPr>
            <w:tcW w:w="0" w:type="dxa"/>
            <w:vAlign w:val="bottom"/>
          </w:tcPr>
          <w:p>
            <w:pPr>
              <w:spacing w:after="0"/>
              <w:rPr>
                <w:sz w:val="1"/>
                <w:szCs w:val="1"/>
                <w:color w:val="auto"/>
              </w:rPr>
            </w:pPr>
          </w:p>
        </w:tc>
      </w:tr>
      <w:tr>
        <w:trPr>
          <w:trHeight w:val="120"/>
        </w:trPr>
        <w:tc>
          <w:tcPr>
            <w:tcW w:w="27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Tactical Air Support, Inc.</w:t>
            </w:r>
          </w:p>
        </w:tc>
        <w:tc>
          <w:tcPr>
            <w:tcW w:w="21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Aerospace and Defense</w:t>
            </w:r>
          </w:p>
        </w:tc>
        <w:tc>
          <w:tcPr>
            <w:tcW w:w="82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7"/>
              </w:rPr>
              <w:t>13.25%</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SOFR + 8.50%</w:t>
            </w:r>
          </w:p>
        </w:tc>
        <w:tc>
          <w:tcPr>
            <w:tcW w:w="5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1.00%</w:t>
            </w: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12/22/28</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1,975</w:t>
            </w:r>
          </w:p>
        </w:tc>
        <w:tc>
          <w:tcPr>
            <w:tcW w:w="16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1,941</w:t>
            </w:r>
          </w:p>
        </w:tc>
        <w:tc>
          <w:tcPr>
            <w:tcW w:w="80" w:type="dxa"/>
            <w:vAlign w:val="bottom"/>
          </w:tcPr>
          <w:p>
            <w:pPr>
              <w:spacing w:after="0"/>
              <w:rPr>
                <w:sz w:val="10"/>
                <w:szCs w:val="10"/>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1,958</w:t>
            </w:r>
          </w:p>
        </w:tc>
        <w:tc>
          <w:tcPr>
            <w:tcW w:w="68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(13)(20)</w:t>
            </w:r>
          </w:p>
        </w:tc>
        <w:tc>
          <w:tcPr>
            <w:tcW w:w="0" w:type="dxa"/>
            <w:vAlign w:val="bottom"/>
          </w:tcPr>
          <w:p>
            <w:pPr>
              <w:spacing w:after="0"/>
              <w:rPr>
                <w:sz w:val="1"/>
                <w:szCs w:val="1"/>
                <w:color w:val="auto"/>
              </w:rPr>
            </w:pPr>
          </w:p>
        </w:tc>
      </w:tr>
      <w:tr>
        <w:trPr>
          <w:trHeight w:val="120"/>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TLE Holdings, LLC</w:t>
            </w:r>
          </w:p>
        </w:tc>
        <w:tc>
          <w:tcPr>
            <w:tcW w:w="2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0"/>
                <w:szCs w:val="10"/>
                <w:color w:val="auto"/>
              </w:rPr>
              <w:t>Healthcare, Education and Childcare</w:t>
            </w:r>
          </w:p>
        </w:tc>
        <w:tc>
          <w:tcPr>
            <w:tcW w:w="820" w:type="dxa"/>
            <w:vAlign w:val="bottom"/>
            <w:shd w:val="clear" w:color="auto" w:fill="CFF0FC"/>
          </w:tcPr>
          <w:p>
            <w:pPr>
              <w:jc w:val="center"/>
              <w:ind w:left="172"/>
              <w:spacing w:after="0"/>
              <w:rPr>
                <w:sz w:val="20"/>
                <w:szCs w:val="20"/>
                <w:color w:val="auto"/>
              </w:rPr>
            </w:pPr>
            <w:r>
              <w:rPr>
                <w:rFonts w:ascii="Times New Roman" w:cs="Times New Roman" w:eastAsia="Times New Roman" w:hAnsi="Times New Roman"/>
                <w:sz w:val="10"/>
                <w:szCs w:val="10"/>
                <w:color w:val="auto"/>
                <w:w w:val="92"/>
              </w:rPr>
              <w:t>9.96%</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4"/>
              </w:rPr>
              <w:t>SOFR + 5.50%</w:t>
            </w:r>
          </w:p>
        </w:tc>
        <w:tc>
          <w:tcPr>
            <w:tcW w:w="52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1.00%</w:t>
            </w: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5"/>
              </w:rPr>
              <w:t>06/29/26</w:t>
            </w:r>
          </w:p>
        </w:tc>
        <w:tc>
          <w:tcPr>
            <w:tcW w:w="7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6,115</w:t>
            </w: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6,114</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6,115</w:t>
            </w:r>
          </w:p>
        </w:tc>
        <w:tc>
          <w:tcPr>
            <w:tcW w:w="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27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VBC Spine Opco LLC (DxTx Pain and Spine LLC)</w:t>
            </w:r>
          </w:p>
        </w:tc>
        <w:tc>
          <w:tcPr>
            <w:tcW w:w="21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Healthcare &amp; Pharmaceuticals</w:t>
            </w:r>
          </w:p>
        </w:tc>
        <w:tc>
          <w:tcPr>
            <w:tcW w:w="82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7"/>
              </w:rPr>
              <w:t>12.79%</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SOFR + 8.00%</w:t>
            </w:r>
          </w:p>
        </w:tc>
        <w:tc>
          <w:tcPr>
            <w:tcW w:w="5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2.00%</w:t>
            </w: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06/14/28</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4,600</w:t>
            </w:r>
          </w:p>
        </w:tc>
        <w:tc>
          <w:tcPr>
            <w:tcW w:w="16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4,526</w:t>
            </w:r>
          </w:p>
        </w:tc>
        <w:tc>
          <w:tcPr>
            <w:tcW w:w="80" w:type="dxa"/>
            <w:vAlign w:val="bottom"/>
          </w:tcPr>
          <w:p>
            <w:pPr>
              <w:spacing w:after="0"/>
              <w:rPr>
                <w:sz w:val="10"/>
                <w:szCs w:val="10"/>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4,558</w:t>
            </w:r>
          </w:p>
        </w:tc>
        <w:tc>
          <w:tcPr>
            <w:tcW w:w="68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(20)</w:t>
            </w:r>
          </w:p>
        </w:tc>
        <w:tc>
          <w:tcPr>
            <w:tcW w:w="0" w:type="dxa"/>
            <w:vAlign w:val="bottom"/>
          </w:tcPr>
          <w:p>
            <w:pPr>
              <w:spacing w:after="0"/>
              <w:rPr>
                <w:sz w:val="1"/>
                <w:szCs w:val="1"/>
                <w:color w:val="auto"/>
              </w:rPr>
            </w:pPr>
          </w:p>
        </w:tc>
      </w:tr>
      <w:tr>
        <w:trPr>
          <w:trHeight w:val="124"/>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VBC Spine Opco LLC (DxTx Pain and Spine LLC) (Revolver)</w:t>
            </w:r>
          </w:p>
        </w:tc>
        <w:tc>
          <w:tcPr>
            <w:tcW w:w="2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0"/>
                <w:szCs w:val="10"/>
                <w:color w:val="auto"/>
              </w:rPr>
              <w:t>Healthcare &amp; Pharmaceuticals</w:t>
            </w:r>
          </w:p>
        </w:tc>
        <w:tc>
          <w:tcPr>
            <w:tcW w:w="820" w:type="dxa"/>
            <w:vAlign w:val="bottom"/>
            <w:shd w:val="clear" w:color="auto" w:fill="CFF0FC"/>
          </w:tcPr>
          <w:p>
            <w:pPr>
              <w:jc w:val="center"/>
              <w:ind w:left="192"/>
              <w:spacing w:after="0"/>
              <w:rPr>
                <w:sz w:val="20"/>
                <w:szCs w:val="20"/>
                <w:color w:val="auto"/>
              </w:rPr>
            </w:pPr>
            <w:r>
              <w:rPr>
                <w:rFonts w:ascii="Times New Roman" w:cs="Times New Roman" w:eastAsia="Times New Roman" w:hAnsi="Times New Roman"/>
                <w:sz w:val="10"/>
                <w:szCs w:val="10"/>
                <w:color w:val="auto"/>
                <w:w w:val="97"/>
              </w:rPr>
              <w:t>12.69%</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4"/>
              </w:rPr>
              <w:t>SOFR + 8.00%</w:t>
            </w:r>
          </w:p>
        </w:tc>
        <w:tc>
          <w:tcPr>
            <w:tcW w:w="52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2.00%</w:t>
            </w: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5"/>
              </w:rPr>
              <w:t>06/14/28</w:t>
            </w:r>
          </w:p>
        </w:tc>
        <w:tc>
          <w:tcPr>
            <w:tcW w:w="720" w:type="dxa"/>
            <w:vAlign w:val="bottom"/>
            <w:vMerge w:val="restart"/>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258</w:t>
            </w: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253</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255</w:t>
            </w:r>
          </w:p>
        </w:tc>
        <w:tc>
          <w:tcPr>
            <w:tcW w:w="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(20)</w:t>
            </w:r>
          </w:p>
        </w:tc>
        <w:tc>
          <w:tcPr>
            <w:tcW w:w="0" w:type="dxa"/>
            <w:vAlign w:val="bottom"/>
          </w:tcPr>
          <w:p>
            <w:pPr>
              <w:spacing w:after="0"/>
              <w:rPr>
                <w:sz w:val="1"/>
                <w:szCs w:val="1"/>
                <w:color w:val="auto"/>
              </w:rPr>
            </w:pPr>
          </w:p>
        </w:tc>
      </w:tr>
      <w:tr>
        <w:trPr>
          <w:trHeight w:val="72"/>
        </w:trPr>
        <w:tc>
          <w:tcPr>
            <w:tcW w:w="2740" w:type="dxa"/>
            <w:vAlign w:val="bottom"/>
            <w:tcBorders>
              <w:bottom w:val="single" w:sz="8" w:color="CFF0FC"/>
            </w:tcBorders>
            <w:shd w:val="clear" w:color="auto" w:fill="CFF0FC"/>
          </w:tcPr>
          <w:p>
            <w:pPr>
              <w:spacing w:after="0"/>
              <w:rPr>
                <w:sz w:val="6"/>
                <w:szCs w:val="6"/>
                <w:color w:val="auto"/>
              </w:rPr>
            </w:pPr>
          </w:p>
        </w:tc>
        <w:tc>
          <w:tcPr>
            <w:tcW w:w="2140" w:type="dxa"/>
            <w:vAlign w:val="bottom"/>
            <w:tcBorders>
              <w:bottom w:val="single" w:sz="8" w:color="CFF0FC"/>
            </w:tcBorders>
            <w:shd w:val="clear" w:color="auto" w:fill="CFF0FC"/>
          </w:tcPr>
          <w:p>
            <w:pPr>
              <w:spacing w:after="0"/>
              <w:rPr>
                <w:sz w:val="6"/>
                <w:szCs w:val="6"/>
                <w:color w:val="auto"/>
              </w:rPr>
            </w:pPr>
          </w:p>
        </w:tc>
        <w:tc>
          <w:tcPr>
            <w:tcW w:w="820" w:type="dxa"/>
            <w:vAlign w:val="bottom"/>
            <w:tcBorders>
              <w:bottom w:val="single" w:sz="8" w:color="CFF0FC"/>
            </w:tcBorders>
            <w:shd w:val="clear" w:color="auto" w:fill="CFF0FC"/>
          </w:tcPr>
          <w:p>
            <w:pPr>
              <w:spacing w:after="0"/>
              <w:rPr>
                <w:sz w:val="6"/>
                <w:szCs w:val="6"/>
                <w:color w:val="auto"/>
              </w:rPr>
            </w:pPr>
          </w:p>
        </w:tc>
        <w:tc>
          <w:tcPr>
            <w:tcW w:w="1020" w:type="dxa"/>
            <w:vAlign w:val="bottom"/>
            <w:tcBorders>
              <w:bottom w:val="single" w:sz="8" w:color="CFF0FC"/>
            </w:tcBorders>
            <w:shd w:val="clear" w:color="auto" w:fill="CFF0FC"/>
          </w:tcPr>
          <w:p>
            <w:pPr>
              <w:spacing w:after="0"/>
              <w:rPr>
                <w:sz w:val="6"/>
                <w:szCs w:val="6"/>
                <w:color w:val="auto"/>
              </w:rPr>
            </w:pPr>
          </w:p>
        </w:tc>
        <w:tc>
          <w:tcPr>
            <w:tcW w:w="520" w:type="dxa"/>
            <w:vAlign w:val="bottom"/>
            <w:tcBorders>
              <w:bottom w:val="single" w:sz="8" w:color="CFF0FC"/>
            </w:tcBorders>
            <w:shd w:val="clear" w:color="auto" w:fill="CFF0FC"/>
          </w:tcPr>
          <w:p>
            <w:pPr>
              <w:spacing w:after="0"/>
              <w:rPr>
                <w:sz w:val="6"/>
                <w:szCs w:val="6"/>
                <w:color w:val="auto"/>
              </w:rPr>
            </w:pPr>
          </w:p>
        </w:tc>
        <w:tc>
          <w:tcPr>
            <w:tcW w:w="580" w:type="dxa"/>
            <w:vAlign w:val="bottom"/>
            <w:tcBorders>
              <w:bottom w:val="single" w:sz="8" w:color="CFF0FC"/>
            </w:tcBorders>
            <w:shd w:val="clear" w:color="auto" w:fill="CFF0FC"/>
          </w:tcPr>
          <w:p>
            <w:pPr>
              <w:spacing w:after="0"/>
              <w:rPr>
                <w:sz w:val="6"/>
                <w:szCs w:val="6"/>
                <w:color w:val="auto"/>
              </w:rPr>
            </w:pPr>
          </w:p>
        </w:tc>
        <w:tc>
          <w:tcPr>
            <w:tcW w:w="720" w:type="dxa"/>
            <w:vAlign w:val="bottom"/>
            <w:tcBorders>
              <w:bottom w:val="single" w:sz="8" w:color="CFF0FC"/>
            </w:tcBorders>
            <w:vMerge w:val="continue"/>
            <w:shd w:val="clear" w:color="auto" w:fill="CFF0FC"/>
          </w:tcPr>
          <w:p>
            <w:pPr>
              <w:spacing w:after="0"/>
              <w:rPr>
                <w:sz w:val="6"/>
                <w:szCs w:val="6"/>
                <w:color w:val="auto"/>
              </w:rPr>
            </w:pPr>
          </w:p>
        </w:tc>
        <w:tc>
          <w:tcPr>
            <w:tcW w:w="160" w:type="dxa"/>
            <w:vAlign w:val="bottom"/>
            <w:tcBorders>
              <w:bottom w:val="single" w:sz="8" w:color="CFF0FC"/>
            </w:tcBorders>
            <w:shd w:val="clear" w:color="auto" w:fill="CFF0FC"/>
          </w:tcPr>
          <w:p>
            <w:pPr>
              <w:spacing w:after="0"/>
              <w:rPr>
                <w:sz w:val="6"/>
                <w:szCs w:val="6"/>
                <w:color w:val="auto"/>
              </w:rPr>
            </w:pPr>
          </w:p>
        </w:tc>
        <w:tc>
          <w:tcPr>
            <w:tcW w:w="500" w:type="dxa"/>
            <w:vAlign w:val="bottom"/>
            <w:tcBorders>
              <w:bottom w:val="single" w:sz="8" w:color="CFF0FC"/>
            </w:tcBorders>
            <w:shd w:val="clear" w:color="auto" w:fill="CFF0FC"/>
          </w:tcPr>
          <w:p>
            <w:pPr>
              <w:spacing w:after="0"/>
              <w:rPr>
                <w:sz w:val="6"/>
                <w:szCs w:val="6"/>
                <w:color w:val="auto"/>
              </w:rPr>
            </w:pPr>
          </w:p>
        </w:tc>
        <w:tc>
          <w:tcPr>
            <w:tcW w:w="80" w:type="dxa"/>
            <w:vAlign w:val="bottom"/>
            <w:tcBorders>
              <w:bottom w:val="single" w:sz="8" w:color="CFF0FC"/>
            </w:tcBorders>
            <w:shd w:val="clear" w:color="auto" w:fill="CFF0FC"/>
          </w:tcPr>
          <w:p>
            <w:pPr>
              <w:spacing w:after="0"/>
              <w:rPr>
                <w:sz w:val="6"/>
                <w:szCs w:val="6"/>
                <w:color w:val="auto"/>
              </w:rPr>
            </w:pPr>
          </w:p>
        </w:tc>
        <w:tc>
          <w:tcPr>
            <w:tcW w:w="600" w:type="dxa"/>
            <w:vAlign w:val="bottom"/>
            <w:tcBorders>
              <w:bottom w:val="single" w:sz="8" w:color="CFF0FC"/>
            </w:tcBorders>
            <w:shd w:val="clear" w:color="auto" w:fill="CFF0FC"/>
          </w:tcPr>
          <w:p>
            <w:pPr>
              <w:spacing w:after="0"/>
              <w:rPr>
                <w:sz w:val="6"/>
                <w:szCs w:val="6"/>
                <w:color w:val="auto"/>
              </w:rPr>
            </w:pPr>
          </w:p>
        </w:tc>
        <w:tc>
          <w:tcPr>
            <w:tcW w:w="680" w:type="dxa"/>
            <w:vAlign w:val="bottom"/>
            <w:tcBorders>
              <w:bottom w:val="single" w:sz="8" w:color="CFF0FC"/>
            </w:tcBorders>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7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VTX Intermediate Holdings, Inc.</w:t>
            </w:r>
          </w:p>
        </w:tc>
        <w:tc>
          <w:tcPr>
            <w:tcW w:w="21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High Tech Industries</w:t>
            </w:r>
          </w:p>
        </w:tc>
        <w:tc>
          <w:tcPr>
            <w:tcW w:w="82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7"/>
              </w:rPr>
              <w:t>11.65%</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SOFR + 7.00%, 1.00%</w:t>
            </w:r>
          </w:p>
        </w:tc>
        <w:tc>
          <w:tcPr>
            <w:tcW w:w="5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2.00%</w:t>
            </w: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12/12/29</w:t>
            </w:r>
          </w:p>
        </w:tc>
        <w:tc>
          <w:tcPr>
            <w:tcW w:w="720" w:type="dxa"/>
            <w:vAlign w:val="bottom"/>
            <w:vMerge w:val="restart"/>
          </w:tcPr>
          <w:p>
            <w:pPr>
              <w:jc w:val="right"/>
              <w:ind w:right="12"/>
              <w:spacing w:after="0"/>
              <w:rPr>
                <w:sz w:val="20"/>
                <w:szCs w:val="20"/>
                <w:color w:val="auto"/>
              </w:rPr>
            </w:pPr>
            <w:r>
              <w:rPr>
                <w:rFonts w:ascii="Times New Roman" w:cs="Times New Roman" w:eastAsia="Times New Roman" w:hAnsi="Times New Roman"/>
                <w:sz w:val="10"/>
                <w:szCs w:val="10"/>
                <w:color w:val="auto"/>
              </w:rPr>
              <w:t>5,122</w:t>
            </w:r>
          </w:p>
        </w:tc>
        <w:tc>
          <w:tcPr>
            <w:tcW w:w="16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5,075</w:t>
            </w:r>
          </w:p>
        </w:tc>
        <w:tc>
          <w:tcPr>
            <w:tcW w:w="80" w:type="dxa"/>
            <w:vAlign w:val="bottom"/>
          </w:tcPr>
          <w:p>
            <w:pPr>
              <w:spacing w:after="0"/>
              <w:rPr>
                <w:sz w:val="10"/>
                <w:szCs w:val="10"/>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5,074</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740" w:type="dxa"/>
            <w:vAlign w:val="bottom"/>
          </w:tcPr>
          <w:p>
            <w:pPr>
              <w:spacing w:after="0"/>
              <w:rPr>
                <w:sz w:val="5"/>
                <w:szCs w:val="5"/>
                <w:color w:val="auto"/>
              </w:rPr>
            </w:pPr>
          </w:p>
        </w:tc>
        <w:tc>
          <w:tcPr>
            <w:tcW w:w="2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9"/>
              </w:rPr>
              <w:t>PIK</w:t>
            </w:r>
          </w:p>
        </w:tc>
        <w:tc>
          <w:tcPr>
            <w:tcW w:w="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
        </w:trPr>
        <w:tc>
          <w:tcPr>
            <w:tcW w:w="2740" w:type="dxa"/>
            <w:vAlign w:val="bottom"/>
          </w:tcPr>
          <w:p>
            <w:pPr>
              <w:spacing w:after="0"/>
              <w:rPr>
                <w:sz w:val="4"/>
                <w:szCs w:val="4"/>
                <w:color w:val="auto"/>
              </w:rPr>
            </w:pPr>
          </w:p>
        </w:tc>
        <w:tc>
          <w:tcPr>
            <w:tcW w:w="2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Lien/Senior Secured Debt</w:t>
            </w:r>
          </w:p>
        </w:tc>
        <w:tc>
          <w:tcPr>
            <w:tcW w:w="21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303,889</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282,195</w:t>
            </w:r>
          </w:p>
        </w:tc>
        <w:tc>
          <w:tcPr>
            <w:tcW w:w="6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Second Lien/Senior Secured Debt - 14.0%</w:t>
            </w:r>
          </w:p>
        </w:tc>
        <w:tc>
          <w:tcPr>
            <w:tcW w:w="2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American Academy Holdings, LLC</w:t>
            </w:r>
          </w:p>
        </w:tc>
        <w:tc>
          <w:tcPr>
            <w:tcW w:w="2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0"/>
                <w:szCs w:val="10"/>
                <w:color w:val="auto"/>
              </w:rPr>
              <w:t>Healthcare &amp; Pharmaceuticals</w:t>
            </w:r>
          </w:p>
        </w:tc>
        <w:tc>
          <w:tcPr>
            <w:tcW w:w="820" w:type="dxa"/>
            <w:vAlign w:val="bottom"/>
            <w:shd w:val="clear" w:color="auto" w:fill="CFF0FC"/>
          </w:tcPr>
          <w:p>
            <w:pPr>
              <w:jc w:val="center"/>
              <w:ind w:left="172"/>
              <w:spacing w:after="0"/>
              <w:rPr>
                <w:sz w:val="20"/>
                <w:szCs w:val="20"/>
                <w:color w:val="auto"/>
              </w:rPr>
            </w:pPr>
            <w:r>
              <w:rPr>
                <w:rFonts w:ascii="Times New Roman" w:cs="Times New Roman" w:eastAsia="Times New Roman" w:hAnsi="Times New Roman"/>
                <w:sz w:val="10"/>
                <w:szCs w:val="10"/>
                <w:color w:val="auto"/>
                <w:w w:val="96"/>
              </w:rPr>
              <w:t>14.50% PIK</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5"/>
              </w:rPr>
              <w:t>03/01/28</w:t>
            </w:r>
          </w:p>
        </w:tc>
        <w:tc>
          <w:tcPr>
            <w:tcW w:w="7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6,813</w:t>
            </w: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6,742</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6,396</w:t>
            </w:r>
          </w:p>
        </w:tc>
        <w:tc>
          <w:tcPr>
            <w:tcW w:w="6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Confluence Technologies, Inc.</w:t>
            </w:r>
          </w:p>
        </w:tc>
        <w:tc>
          <w:tcPr>
            <w:tcW w:w="21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Services: Business</w:t>
            </w:r>
          </w:p>
        </w:tc>
        <w:tc>
          <w:tcPr>
            <w:tcW w:w="82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7"/>
              </w:rPr>
              <w:t>10.98%</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SOFR + 6.50%</w:t>
            </w:r>
          </w:p>
        </w:tc>
        <w:tc>
          <w:tcPr>
            <w:tcW w:w="5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0.50%</w:t>
            </w: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07/23/29</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4,000</w:t>
            </w:r>
          </w:p>
        </w:tc>
        <w:tc>
          <w:tcPr>
            <w:tcW w:w="16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3,981</w:t>
            </w:r>
          </w:p>
        </w:tc>
        <w:tc>
          <w:tcPr>
            <w:tcW w:w="80" w:type="dxa"/>
            <w:vAlign w:val="bottom"/>
          </w:tcPr>
          <w:p>
            <w:pPr>
              <w:spacing w:after="0"/>
              <w:rPr>
                <w:sz w:val="10"/>
                <w:szCs w:val="10"/>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3,301</w:t>
            </w:r>
          </w:p>
        </w:tc>
        <w:tc>
          <w:tcPr>
            <w:tcW w:w="68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Dcert Buyer, Inc.</w:t>
            </w:r>
          </w:p>
        </w:tc>
        <w:tc>
          <w:tcPr>
            <w:tcW w:w="2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0"/>
                <w:szCs w:val="10"/>
                <w:color w:val="auto"/>
              </w:rPr>
              <w:t>High Tech Industries</w:t>
            </w:r>
          </w:p>
        </w:tc>
        <w:tc>
          <w:tcPr>
            <w:tcW w:w="820" w:type="dxa"/>
            <w:vAlign w:val="bottom"/>
            <w:shd w:val="clear" w:color="auto" w:fill="CFF0FC"/>
          </w:tcPr>
          <w:p>
            <w:pPr>
              <w:jc w:val="center"/>
              <w:ind w:left="192"/>
              <w:spacing w:after="0"/>
              <w:rPr>
                <w:sz w:val="20"/>
                <w:szCs w:val="20"/>
                <w:color w:val="auto"/>
              </w:rPr>
            </w:pPr>
            <w:r>
              <w:rPr>
                <w:rFonts w:ascii="Times New Roman" w:cs="Times New Roman" w:eastAsia="Times New Roman" w:hAnsi="Times New Roman"/>
                <w:sz w:val="10"/>
                <w:szCs w:val="10"/>
                <w:color w:val="auto"/>
                <w:w w:val="97"/>
              </w:rPr>
              <w:t>11.36%</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4"/>
              </w:rPr>
              <w:t>SOFR + 7.00%</w:t>
            </w:r>
          </w:p>
        </w:tc>
        <w:tc>
          <w:tcPr>
            <w:tcW w:w="5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5"/>
              </w:rPr>
              <w:t>02/16/29</w:t>
            </w:r>
          </w:p>
        </w:tc>
        <w:tc>
          <w:tcPr>
            <w:tcW w:w="7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5,400</w:t>
            </w: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5,393</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4,558</w:t>
            </w:r>
          </w:p>
        </w:tc>
        <w:tc>
          <w:tcPr>
            <w:tcW w:w="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27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Idera, Inc.</w:t>
            </w:r>
          </w:p>
        </w:tc>
        <w:tc>
          <w:tcPr>
            <w:tcW w:w="21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High Tech Industries</w:t>
            </w:r>
          </w:p>
        </w:tc>
        <w:tc>
          <w:tcPr>
            <w:tcW w:w="82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7"/>
              </w:rPr>
              <w:t>11.47%</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SOFR + 6.75%</w:t>
            </w:r>
          </w:p>
        </w:tc>
        <w:tc>
          <w:tcPr>
            <w:tcW w:w="5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0.75%</w:t>
            </w: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02/04/29</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2,024</w:t>
            </w:r>
          </w:p>
        </w:tc>
        <w:tc>
          <w:tcPr>
            <w:tcW w:w="16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2,014</w:t>
            </w:r>
          </w:p>
        </w:tc>
        <w:tc>
          <w:tcPr>
            <w:tcW w:w="80" w:type="dxa"/>
            <w:vAlign w:val="bottom"/>
          </w:tcPr>
          <w:p>
            <w:pPr>
              <w:spacing w:after="0"/>
              <w:rPr>
                <w:sz w:val="10"/>
                <w:szCs w:val="10"/>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1,992</w:t>
            </w:r>
          </w:p>
        </w:tc>
        <w:tc>
          <w:tcPr>
            <w:tcW w:w="68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Ivanti Software, Inc.</w:t>
            </w:r>
          </w:p>
        </w:tc>
        <w:tc>
          <w:tcPr>
            <w:tcW w:w="2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0"/>
                <w:szCs w:val="10"/>
                <w:color w:val="auto"/>
              </w:rPr>
              <w:t>High Tech Industries</w:t>
            </w:r>
          </w:p>
        </w:tc>
        <w:tc>
          <w:tcPr>
            <w:tcW w:w="820" w:type="dxa"/>
            <w:vAlign w:val="bottom"/>
            <w:shd w:val="clear" w:color="auto" w:fill="CFF0FC"/>
          </w:tcPr>
          <w:p>
            <w:pPr>
              <w:jc w:val="center"/>
              <w:ind w:left="192"/>
              <w:spacing w:after="0"/>
              <w:rPr>
                <w:sz w:val="20"/>
                <w:szCs w:val="20"/>
                <w:color w:val="auto"/>
              </w:rPr>
            </w:pPr>
            <w:r>
              <w:rPr>
                <w:rFonts w:ascii="Times New Roman" w:cs="Times New Roman" w:eastAsia="Times New Roman" w:hAnsi="Times New Roman"/>
                <w:sz w:val="10"/>
                <w:szCs w:val="10"/>
                <w:color w:val="auto"/>
                <w:w w:val="97"/>
              </w:rPr>
              <w:t>12.12%</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4"/>
              </w:rPr>
              <w:t>SOFR + 7.25%</w:t>
            </w:r>
          </w:p>
        </w:tc>
        <w:tc>
          <w:tcPr>
            <w:tcW w:w="52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0.50%</w:t>
            </w: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5"/>
              </w:rPr>
              <w:t>12/01/28</w:t>
            </w:r>
          </w:p>
        </w:tc>
        <w:tc>
          <w:tcPr>
            <w:tcW w:w="7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6,000</w:t>
            </w: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5,972</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3,458</w:t>
            </w:r>
          </w:p>
        </w:tc>
        <w:tc>
          <w:tcPr>
            <w:tcW w:w="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27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Project Leopard Holdings, Inc.</w:t>
            </w:r>
          </w:p>
        </w:tc>
        <w:tc>
          <w:tcPr>
            <w:tcW w:w="21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High Tech Industries</w:t>
            </w:r>
          </w:p>
        </w:tc>
        <w:tc>
          <w:tcPr>
            <w:tcW w:w="82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7"/>
              </w:rPr>
              <w:t>12.34%</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SOFR + 7.75%</w:t>
            </w:r>
          </w:p>
        </w:tc>
        <w:tc>
          <w:tcPr>
            <w:tcW w:w="5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0.50%</w:t>
            </w: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07/20/30</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5,000</w:t>
            </w:r>
          </w:p>
        </w:tc>
        <w:tc>
          <w:tcPr>
            <w:tcW w:w="16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4,929</w:t>
            </w:r>
          </w:p>
        </w:tc>
        <w:tc>
          <w:tcPr>
            <w:tcW w:w="80" w:type="dxa"/>
            <w:vAlign w:val="bottom"/>
          </w:tcPr>
          <w:p>
            <w:pPr>
              <w:spacing w:after="0"/>
              <w:rPr>
                <w:sz w:val="10"/>
                <w:szCs w:val="10"/>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4,488</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VTX Intermediate Holdings, Inc.</w:t>
            </w:r>
          </w:p>
        </w:tc>
        <w:tc>
          <w:tcPr>
            <w:tcW w:w="2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0"/>
                <w:szCs w:val="10"/>
                <w:color w:val="auto"/>
              </w:rPr>
              <w:t>High Tech Industries</w:t>
            </w:r>
          </w:p>
        </w:tc>
        <w:tc>
          <w:tcPr>
            <w:tcW w:w="820" w:type="dxa"/>
            <w:vAlign w:val="bottom"/>
            <w:shd w:val="clear" w:color="auto" w:fill="CFF0FC"/>
          </w:tcPr>
          <w:p>
            <w:pPr>
              <w:jc w:val="center"/>
              <w:ind w:left="172"/>
              <w:spacing w:after="0"/>
              <w:rPr>
                <w:sz w:val="20"/>
                <w:szCs w:val="20"/>
                <w:color w:val="auto"/>
              </w:rPr>
            </w:pPr>
            <w:r>
              <w:rPr>
                <w:rFonts w:ascii="Times New Roman" w:cs="Times New Roman" w:eastAsia="Times New Roman" w:hAnsi="Times New Roman"/>
                <w:sz w:val="10"/>
                <w:szCs w:val="10"/>
                <w:color w:val="auto"/>
                <w:w w:val="96"/>
              </w:rPr>
              <w:t>12.50% PIK</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2.00%</w:t>
            </w: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5"/>
              </w:rPr>
              <w:t>12/12/30</w:t>
            </w:r>
          </w:p>
        </w:tc>
        <w:tc>
          <w:tcPr>
            <w:tcW w:w="7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878</w:t>
            </w: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861</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860</w:t>
            </w:r>
          </w:p>
        </w:tc>
        <w:tc>
          <w:tcPr>
            <w:tcW w:w="6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Second Lien/Senior Secured Debt</w:t>
            </w:r>
          </w:p>
        </w:tc>
        <w:tc>
          <w:tcPr>
            <w:tcW w:w="2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29,892</w:t>
            </w:r>
          </w:p>
        </w:tc>
        <w:tc>
          <w:tcPr>
            <w:tcW w:w="80" w:type="dxa"/>
            <w:vAlign w:val="bottom"/>
          </w:tcPr>
          <w:p>
            <w:pPr>
              <w:spacing w:after="0"/>
              <w:rPr>
                <w:sz w:val="10"/>
                <w:szCs w:val="10"/>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25,053</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Subordinated Debt - 1.0%</w:t>
            </w:r>
          </w:p>
        </w:tc>
        <w:tc>
          <w:tcPr>
            <w:tcW w:w="21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DeltaDx Limited, LP (Money Transfer Acquisition Inc.)</w:t>
            </w:r>
          </w:p>
        </w:tc>
        <w:tc>
          <w:tcPr>
            <w:tcW w:w="21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Finance</w:t>
            </w:r>
          </w:p>
        </w:tc>
        <w:tc>
          <w:tcPr>
            <w:tcW w:w="82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6"/>
              </w:rPr>
              <w:t>15.00% PIK</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06/30/28</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538</w:t>
            </w:r>
          </w:p>
        </w:tc>
        <w:tc>
          <w:tcPr>
            <w:tcW w:w="16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538</w:t>
            </w:r>
          </w:p>
        </w:tc>
        <w:tc>
          <w:tcPr>
            <w:tcW w:w="80" w:type="dxa"/>
            <w:vAlign w:val="bottom"/>
          </w:tcPr>
          <w:p>
            <w:pPr>
              <w:spacing w:after="0"/>
              <w:rPr>
                <w:sz w:val="10"/>
                <w:szCs w:val="10"/>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528</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Lucky Bucks Holdings LLC</w:t>
            </w:r>
          </w:p>
        </w:tc>
        <w:tc>
          <w:tcPr>
            <w:tcW w:w="2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0"/>
                <w:szCs w:val="10"/>
                <w:color w:val="auto"/>
              </w:rPr>
              <w:t>Hotel, Gaming &amp; Leisure</w:t>
            </w:r>
          </w:p>
        </w:tc>
        <w:tc>
          <w:tcPr>
            <w:tcW w:w="820" w:type="dxa"/>
            <w:vAlign w:val="bottom"/>
            <w:shd w:val="clear" w:color="auto" w:fill="CFF0FC"/>
          </w:tcPr>
          <w:p>
            <w:pPr>
              <w:jc w:val="center"/>
              <w:ind w:left="192"/>
              <w:spacing w:after="0"/>
              <w:rPr>
                <w:sz w:val="20"/>
                <w:szCs w:val="20"/>
                <w:color w:val="auto"/>
              </w:rPr>
            </w:pPr>
            <w:r>
              <w:rPr>
                <w:rFonts w:ascii="Times New Roman" w:cs="Times New Roman" w:eastAsia="Times New Roman" w:hAnsi="Times New Roman"/>
                <w:sz w:val="10"/>
                <w:szCs w:val="10"/>
                <w:color w:val="auto"/>
                <w:w w:val="99"/>
              </w:rPr>
              <w:t>—</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5"/>
              </w:rPr>
              <w:t>05/29/28</w:t>
            </w:r>
          </w:p>
        </w:tc>
        <w:tc>
          <w:tcPr>
            <w:tcW w:w="7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6,258</w:t>
            </w: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5,565</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1,212</w:t>
            </w:r>
          </w:p>
        </w:tc>
        <w:tc>
          <w:tcPr>
            <w:tcW w:w="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(5)</w:t>
            </w:r>
          </w:p>
        </w:tc>
        <w:tc>
          <w:tcPr>
            <w:tcW w:w="0" w:type="dxa"/>
            <w:vAlign w:val="bottom"/>
          </w:tcPr>
          <w:p>
            <w:pPr>
              <w:spacing w:after="0"/>
              <w:rPr>
                <w:sz w:val="1"/>
                <w:szCs w:val="1"/>
                <w:color w:val="auto"/>
              </w:rPr>
            </w:pPr>
          </w:p>
        </w:tc>
      </w:tr>
      <w:tr>
        <w:trPr>
          <w:trHeight w:val="120"/>
        </w:trPr>
        <w:tc>
          <w:tcPr>
            <w:tcW w:w="27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TRSO II, Inc.</w:t>
            </w:r>
          </w:p>
        </w:tc>
        <w:tc>
          <w:tcPr>
            <w:tcW w:w="21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Energy: Oil &amp; Gas</w:t>
            </w:r>
          </w:p>
        </w:tc>
        <w:tc>
          <w:tcPr>
            <w:tcW w:w="82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9"/>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01/24/25</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26</w:t>
            </w:r>
          </w:p>
        </w:tc>
        <w:tc>
          <w:tcPr>
            <w:tcW w:w="16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25</w:t>
            </w:r>
          </w:p>
        </w:tc>
        <w:tc>
          <w:tcPr>
            <w:tcW w:w="80" w:type="dxa"/>
            <w:vAlign w:val="bottom"/>
          </w:tcPr>
          <w:p>
            <w:pPr>
              <w:spacing w:after="0"/>
              <w:rPr>
                <w:sz w:val="10"/>
                <w:szCs w:val="10"/>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(5)</w:t>
            </w:r>
          </w:p>
        </w:tc>
        <w:tc>
          <w:tcPr>
            <w:tcW w:w="0" w:type="dxa"/>
            <w:vAlign w:val="bottom"/>
          </w:tcPr>
          <w:p>
            <w:pPr>
              <w:spacing w:after="0"/>
              <w:rPr>
                <w:sz w:val="1"/>
                <w:szCs w:val="1"/>
                <w:color w:val="auto"/>
              </w:rPr>
            </w:pPr>
          </w:p>
        </w:tc>
      </w:tr>
      <w:tr>
        <w:trPr>
          <w:trHeight w:val="120"/>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Total Subordinated Debt</w:t>
            </w:r>
          </w:p>
        </w:tc>
        <w:tc>
          <w:tcPr>
            <w:tcW w:w="21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6,128</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1,740</w:t>
            </w:r>
          </w:p>
        </w:tc>
        <w:tc>
          <w:tcPr>
            <w:tcW w:w="6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Collateralized Loan Obligations - 1.7%</w:t>
            </w:r>
          </w:p>
        </w:tc>
        <w:tc>
          <w:tcPr>
            <w:tcW w:w="2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Catamaran CLO 2014-1 Ltd.</w:t>
            </w:r>
          </w:p>
        </w:tc>
        <w:tc>
          <w:tcPr>
            <w:tcW w:w="2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0"/>
                <w:szCs w:val="10"/>
                <w:color w:val="auto"/>
              </w:rPr>
              <w:t>CLO Fund Securities</w:t>
            </w:r>
          </w:p>
        </w:tc>
        <w:tc>
          <w:tcPr>
            <w:tcW w:w="820" w:type="dxa"/>
            <w:vAlign w:val="bottom"/>
            <w:shd w:val="clear" w:color="auto" w:fill="CFF0FC"/>
          </w:tcPr>
          <w:p>
            <w:pPr>
              <w:jc w:val="center"/>
              <w:ind w:left="192"/>
              <w:spacing w:after="0"/>
              <w:rPr>
                <w:sz w:val="20"/>
                <w:szCs w:val="20"/>
                <w:color w:val="auto"/>
              </w:rPr>
            </w:pPr>
            <w:r>
              <w:rPr>
                <w:rFonts w:ascii="Times New Roman" w:cs="Times New Roman" w:eastAsia="Times New Roman" w:hAnsi="Times New Roman"/>
                <w:sz w:val="10"/>
                <w:szCs w:val="10"/>
                <w:color w:val="auto"/>
                <w:w w:val="94"/>
              </w:rPr>
              <w:t>136.55%</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5"/>
              </w:rPr>
              <w:t>04/20/30</w:t>
            </w:r>
          </w:p>
        </w:tc>
        <w:tc>
          <w:tcPr>
            <w:tcW w:w="7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15,161</w:t>
            </w: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126</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261</w:t>
            </w:r>
          </w:p>
        </w:tc>
        <w:tc>
          <w:tcPr>
            <w:tcW w:w="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(3)(7)(10)</w:t>
            </w:r>
          </w:p>
        </w:tc>
        <w:tc>
          <w:tcPr>
            <w:tcW w:w="0" w:type="dxa"/>
            <w:vAlign w:val="bottom"/>
          </w:tcPr>
          <w:p>
            <w:pPr>
              <w:spacing w:after="0"/>
              <w:rPr>
                <w:sz w:val="1"/>
                <w:szCs w:val="1"/>
                <w:color w:val="auto"/>
              </w:rPr>
            </w:pPr>
          </w:p>
        </w:tc>
      </w:tr>
      <w:tr>
        <w:trPr>
          <w:trHeight w:val="120"/>
        </w:trPr>
        <w:tc>
          <w:tcPr>
            <w:tcW w:w="27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Catamaran CLO 2018-1 Ltd</w:t>
            </w:r>
          </w:p>
        </w:tc>
        <w:tc>
          <w:tcPr>
            <w:tcW w:w="21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CLO Fund Securities</w:t>
            </w:r>
          </w:p>
        </w:tc>
        <w:tc>
          <w:tcPr>
            <w:tcW w:w="82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2"/>
              </w:rPr>
              <w:t>3.86%</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10/27/31</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10,000</w:t>
            </w:r>
          </w:p>
        </w:tc>
        <w:tc>
          <w:tcPr>
            <w:tcW w:w="16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3,063</w:t>
            </w:r>
          </w:p>
        </w:tc>
        <w:tc>
          <w:tcPr>
            <w:tcW w:w="80" w:type="dxa"/>
            <w:vAlign w:val="bottom"/>
          </w:tcPr>
          <w:p>
            <w:pPr>
              <w:spacing w:after="0"/>
              <w:rPr>
                <w:sz w:val="10"/>
                <w:szCs w:val="10"/>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2,600</w:t>
            </w:r>
          </w:p>
        </w:tc>
        <w:tc>
          <w:tcPr>
            <w:tcW w:w="68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(3)(7)(10)</w:t>
            </w:r>
          </w:p>
        </w:tc>
        <w:tc>
          <w:tcPr>
            <w:tcW w:w="0" w:type="dxa"/>
            <w:vAlign w:val="bottom"/>
          </w:tcPr>
          <w:p>
            <w:pPr>
              <w:spacing w:after="0"/>
              <w:rPr>
                <w:sz w:val="1"/>
                <w:szCs w:val="1"/>
                <w:color w:val="auto"/>
              </w:rPr>
            </w:pPr>
          </w:p>
        </w:tc>
      </w:tr>
      <w:tr>
        <w:trPr>
          <w:trHeight w:val="120"/>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Dryden 30 Senior Loan Fund</w:t>
            </w:r>
          </w:p>
        </w:tc>
        <w:tc>
          <w:tcPr>
            <w:tcW w:w="2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0"/>
                <w:szCs w:val="10"/>
                <w:color w:val="auto"/>
              </w:rPr>
              <w:t>CLO Fund Securities</w:t>
            </w:r>
          </w:p>
        </w:tc>
        <w:tc>
          <w:tcPr>
            <w:tcW w:w="820" w:type="dxa"/>
            <w:vAlign w:val="bottom"/>
            <w:shd w:val="clear" w:color="auto" w:fill="CFF0FC"/>
          </w:tcPr>
          <w:p>
            <w:pPr>
              <w:jc w:val="center"/>
              <w:ind w:left="192"/>
              <w:spacing w:after="0"/>
              <w:rPr>
                <w:sz w:val="20"/>
                <w:szCs w:val="20"/>
                <w:color w:val="auto"/>
              </w:rPr>
            </w:pPr>
            <w:r>
              <w:rPr>
                <w:rFonts w:ascii="Times New Roman" w:cs="Times New Roman" w:eastAsia="Times New Roman" w:hAnsi="Times New Roman"/>
                <w:sz w:val="10"/>
                <w:szCs w:val="10"/>
                <w:color w:val="auto"/>
                <w:w w:val="97"/>
              </w:rPr>
              <w:t>17.98%</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5"/>
              </w:rPr>
              <w:t>11/01/28</w:t>
            </w:r>
          </w:p>
        </w:tc>
        <w:tc>
          <w:tcPr>
            <w:tcW w:w="7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3,250</w:t>
            </w: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141</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140</w:t>
            </w:r>
          </w:p>
        </w:tc>
        <w:tc>
          <w:tcPr>
            <w:tcW w:w="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(3)(7)(10)</w:t>
            </w:r>
          </w:p>
        </w:tc>
        <w:tc>
          <w:tcPr>
            <w:tcW w:w="0" w:type="dxa"/>
            <w:vAlign w:val="bottom"/>
          </w:tcPr>
          <w:p>
            <w:pPr>
              <w:spacing w:after="0"/>
              <w:rPr>
                <w:sz w:val="1"/>
                <w:szCs w:val="1"/>
                <w:color w:val="auto"/>
              </w:rPr>
            </w:pPr>
          </w:p>
        </w:tc>
      </w:tr>
      <w:tr>
        <w:trPr>
          <w:trHeight w:val="120"/>
        </w:trPr>
        <w:tc>
          <w:tcPr>
            <w:tcW w:w="27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Collateralized Loan Obligations</w:t>
            </w:r>
          </w:p>
        </w:tc>
        <w:tc>
          <w:tcPr>
            <w:tcW w:w="2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3,330</w:t>
            </w:r>
          </w:p>
        </w:tc>
        <w:tc>
          <w:tcPr>
            <w:tcW w:w="80" w:type="dxa"/>
            <w:vAlign w:val="bottom"/>
          </w:tcPr>
          <w:p>
            <w:pPr>
              <w:spacing w:after="0"/>
              <w:rPr>
                <w:sz w:val="10"/>
                <w:szCs w:val="10"/>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3,001</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Preferred Stock and Units - 4.1%</w:t>
            </w:r>
          </w:p>
        </w:tc>
        <w:tc>
          <w:tcPr>
            <w:tcW w:w="21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4L Ultimate Topco Corporation</w:t>
            </w:r>
          </w:p>
        </w:tc>
        <w:tc>
          <w:tcPr>
            <w:tcW w:w="21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Services: Business</w:t>
            </w:r>
          </w:p>
        </w:tc>
        <w:tc>
          <w:tcPr>
            <w:tcW w:w="82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9"/>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321</w:t>
            </w:r>
          </w:p>
        </w:tc>
        <w:tc>
          <w:tcPr>
            <w:tcW w:w="16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29</w:t>
            </w:r>
          </w:p>
        </w:tc>
        <w:tc>
          <w:tcPr>
            <w:tcW w:w="80" w:type="dxa"/>
            <w:vAlign w:val="bottom"/>
          </w:tcPr>
          <w:p>
            <w:pPr>
              <w:spacing w:after="0"/>
              <w:rPr>
                <w:sz w:val="10"/>
                <w:szCs w:val="10"/>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AAPC Holdings, LLC</w:t>
            </w:r>
          </w:p>
        </w:tc>
        <w:tc>
          <w:tcPr>
            <w:tcW w:w="2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0"/>
                <w:szCs w:val="10"/>
                <w:color w:val="auto"/>
              </w:rPr>
              <w:t>Healthcare &amp; Pharmaceuticals</w:t>
            </w:r>
          </w:p>
        </w:tc>
        <w:tc>
          <w:tcPr>
            <w:tcW w:w="820" w:type="dxa"/>
            <w:vAlign w:val="bottom"/>
            <w:shd w:val="clear" w:color="auto" w:fill="CFF0FC"/>
          </w:tcPr>
          <w:p>
            <w:pPr>
              <w:jc w:val="center"/>
              <w:ind w:left="172"/>
              <w:spacing w:after="0"/>
              <w:rPr>
                <w:sz w:val="20"/>
                <w:szCs w:val="20"/>
                <w:color w:val="auto"/>
              </w:rPr>
            </w:pPr>
            <w:r>
              <w:rPr>
                <w:rFonts w:ascii="Times New Roman" w:cs="Times New Roman" w:eastAsia="Times New Roman" w:hAnsi="Times New Roman"/>
                <w:sz w:val="10"/>
                <w:szCs w:val="10"/>
                <w:color w:val="auto"/>
                <w:w w:val="96"/>
              </w:rPr>
              <w:t>18.00% PIK</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146,214</w:t>
            </w: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4</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243</w:t>
            </w:r>
          </w:p>
        </w:tc>
        <w:tc>
          <w:tcPr>
            <w:tcW w:w="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(22)(25)</w:t>
            </w:r>
          </w:p>
        </w:tc>
        <w:tc>
          <w:tcPr>
            <w:tcW w:w="0" w:type="dxa"/>
            <w:vAlign w:val="bottom"/>
          </w:tcPr>
          <w:p>
            <w:pPr>
              <w:spacing w:after="0"/>
              <w:rPr>
                <w:sz w:val="1"/>
                <w:szCs w:val="1"/>
                <w:color w:val="auto"/>
              </w:rPr>
            </w:pPr>
          </w:p>
        </w:tc>
      </w:tr>
      <w:tr>
        <w:trPr>
          <w:trHeight w:val="120"/>
        </w:trPr>
        <w:tc>
          <w:tcPr>
            <w:tcW w:w="27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Advantage Capital Holdings LLC</w:t>
            </w:r>
          </w:p>
        </w:tc>
        <w:tc>
          <w:tcPr>
            <w:tcW w:w="21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Banking, Finance, Insurance &amp; Real Estate</w:t>
            </w:r>
          </w:p>
        </w:tc>
        <w:tc>
          <w:tcPr>
            <w:tcW w:w="82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6"/>
              </w:rPr>
              <w:t>12.50% PIK</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2,794,692</w:t>
            </w:r>
          </w:p>
        </w:tc>
        <w:tc>
          <w:tcPr>
            <w:tcW w:w="16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2,795</w:t>
            </w:r>
          </w:p>
        </w:tc>
        <w:tc>
          <w:tcPr>
            <w:tcW w:w="80" w:type="dxa"/>
            <w:vAlign w:val="bottom"/>
          </w:tcPr>
          <w:p>
            <w:pPr>
              <w:spacing w:after="0"/>
              <w:rPr>
                <w:sz w:val="10"/>
                <w:szCs w:val="10"/>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2,795</w:t>
            </w:r>
          </w:p>
        </w:tc>
        <w:tc>
          <w:tcPr>
            <w:tcW w:w="68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(22)(25)</w:t>
            </w:r>
          </w:p>
        </w:tc>
        <w:tc>
          <w:tcPr>
            <w:tcW w:w="0" w:type="dxa"/>
            <w:vAlign w:val="bottom"/>
          </w:tcPr>
          <w:p>
            <w:pPr>
              <w:spacing w:after="0"/>
              <w:rPr>
                <w:sz w:val="1"/>
                <w:szCs w:val="1"/>
                <w:color w:val="auto"/>
              </w:rPr>
            </w:pPr>
          </w:p>
        </w:tc>
      </w:tr>
      <w:tr>
        <w:trPr>
          <w:trHeight w:val="120"/>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Aperture Dodge 18 LLC</w:t>
            </w:r>
          </w:p>
        </w:tc>
        <w:tc>
          <w:tcPr>
            <w:tcW w:w="2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0"/>
                <w:szCs w:val="10"/>
                <w:color w:val="auto"/>
              </w:rPr>
              <w:t>Banking, Finance, Insurance &amp; Real Estate</w:t>
            </w:r>
          </w:p>
        </w:tc>
        <w:tc>
          <w:tcPr>
            <w:tcW w:w="820" w:type="dxa"/>
            <w:vAlign w:val="bottom"/>
            <w:shd w:val="clear" w:color="auto" w:fill="CFF0FC"/>
          </w:tcPr>
          <w:p>
            <w:pPr>
              <w:jc w:val="center"/>
              <w:ind w:left="192"/>
              <w:spacing w:after="0"/>
              <w:rPr>
                <w:sz w:val="20"/>
                <w:szCs w:val="20"/>
                <w:color w:val="auto"/>
              </w:rPr>
            </w:pPr>
            <w:r>
              <w:rPr>
                <w:rFonts w:ascii="Times New Roman" w:cs="Times New Roman" w:eastAsia="Times New Roman" w:hAnsi="Times New Roman"/>
                <w:sz w:val="10"/>
                <w:szCs w:val="10"/>
                <w:color w:val="auto"/>
                <w:w w:val="99"/>
              </w:rPr>
              <w:t>—</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3,077,360</w:t>
            </w: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3,077</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2,662</w:t>
            </w:r>
          </w:p>
        </w:tc>
        <w:tc>
          <w:tcPr>
            <w:tcW w:w="6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Epilog Partners SPV III, LLC (Care Connectors Medical Group)</w:t>
            </w:r>
          </w:p>
        </w:tc>
        <w:tc>
          <w:tcPr>
            <w:tcW w:w="21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Healthcare &amp; Pharmaceuticals</w:t>
            </w:r>
          </w:p>
        </w:tc>
        <w:tc>
          <w:tcPr>
            <w:tcW w:w="82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9"/>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1,173,118</w:t>
            </w:r>
          </w:p>
        </w:tc>
        <w:tc>
          <w:tcPr>
            <w:tcW w:w="16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1,173</w:t>
            </w:r>
          </w:p>
        </w:tc>
        <w:tc>
          <w:tcPr>
            <w:tcW w:w="80" w:type="dxa"/>
            <w:vAlign w:val="bottom"/>
          </w:tcPr>
          <w:p>
            <w:pPr>
              <w:spacing w:after="0"/>
              <w:rPr>
                <w:sz w:val="10"/>
                <w:szCs w:val="10"/>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1,283</w:t>
            </w:r>
          </w:p>
        </w:tc>
        <w:tc>
          <w:tcPr>
            <w:tcW w:w="68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(20)(22)</w:t>
            </w:r>
          </w:p>
        </w:tc>
        <w:tc>
          <w:tcPr>
            <w:tcW w:w="0" w:type="dxa"/>
            <w:vAlign w:val="bottom"/>
          </w:tcPr>
          <w:p>
            <w:pPr>
              <w:spacing w:after="0"/>
              <w:rPr>
                <w:sz w:val="1"/>
                <w:szCs w:val="1"/>
                <w:color w:val="auto"/>
              </w:rPr>
            </w:pPr>
          </w:p>
        </w:tc>
      </w:tr>
      <w:tr>
        <w:trPr>
          <w:trHeight w:val="120"/>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Prosper Marketplace</w:t>
            </w:r>
          </w:p>
        </w:tc>
        <w:tc>
          <w:tcPr>
            <w:tcW w:w="2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0"/>
                <w:szCs w:val="10"/>
                <w:color w:val="auto"/>
              </w:rPr>
              <w:t>Consumer goods: Durable</w:t>
            </w:r>
          </w:p>
        </w:tc>
        <w:tc>
          <w:tcPr>
            <w:tcW w:w="820" w:type="dxa"/>
            <w:vAlign w:val="bottom"/>
            <w:shd w:val="clear" w:color="auto" w:fill="CFF0FC"/>
          </w:tcPr>
          <w:p>
            <w:pPr>
              <w:jc w:val="center"/>
              <w:ind w:left="192"/>
              <w:spacing w:after="0"/>
              <w:rPr>
                <w:sz w:val="20"/>
                <w:szCs w:val="20"/>
                <w:color w:val="auto"/>
              </w:rPr>
            </w:pPr>
            <w:r>
              <w:rPr>
                <w:rFonts w:ascii="Times New Roman" w:cs="Times New Roman" w:eastAsia="Times New Roman" w:hAnsi="Times New Roman"/>
                <w:sz w:val="10"/>
                <w:szCs w:val="10"/>
                <w:color w:val="auto"/>
                <w:w w:val="99"/>
              </w:rPr>
              <w:t>—</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912,865</w:t>
            </w: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279</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324</w:t>
            </w:r>
          </w:p>
        </w:tc>
        <w:tc>
          <w:tcPr>
            <w:tcW w:w="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(6)</w:t>
            </w:r>
          </w:p>
        </w:tc>
        <w:tc>
          <w:tcPr>
            <w:tcW w:w="0" w:type="dxa"/>
            <w:vAlign w:val="bottom"/>
          </w:tcPr>
          <w:p>
            <w:pPr>
              <w:spacing w:after="0"/>
              <w:rPr>
                <w:sz w:val="1"/>
                <w:szCs w:val="1"/>
                <w:color w:val="auto"/>
              </w:rPr>
            </w:pPr>
          </w:p>
        </w:tc>
      </w:tr>
      <w:tr>
        <w:trPr>
          <w:trHeight w:val="120"/>
        </w:trPr>
        <w:tc>
          <w:tcPr>
            <w:tcW w:w="27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Preferred Stock and Units</w:t>
            </w:r>
          </w:p>
        </w:tc>
        <w:tc>
          <w:tcPr>
            <w:tcW w:w="2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7,357</w:t>
            </w:r>
          </w:p>
        </w:tc>
        <w:tc>
          <w:tcPr>
            <w:tcW w:w="80" w:type="dxa"/>
            <w:vAlign w:val="bottom"/>
          </w:tcPr>
          <w:p>
            <w:pPr>
              <w:spacing w:after="0"/>
              <w:rPr>
                <w:sz w:val="10"/>
                <w:szCs w:val="10"/>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7,307</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Common Stock and Membership Units - 4.5%</w:t>
            </w:r>
          </w:p>
        </w:tc>
        <w:tc>
          <w:tcPr>
            <w:tcW w:w="21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AAPC Holdings, LLC</w:t>
            </w:r>
          </w:p>
        </w:tc>
        <w:tc>
          <w:tcPr>
            <w:tcW w:w="21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Healthcare &amp; Pharmaceuticals</w:t>
            </w:r>
          </w:p>
        </w:tc>
        <w:tc>
          <w:tcPr>
            <w:tcW w:w="82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9"/>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0.07</w:t>
            </w:r>
          </w:p>
        </w:tc>
        <w:tc>
          <w:tcPr>
            <w:tcW w:w="16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444</w:t>
            </w:r>
          </w:p>
        </w:tc>
        <w:tc>
          <w:tcPr>
            <w:tcW w:w="68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(22)</w:t>
            </w:r>
          </w:p>
        </w:tc>
        <w:tc>
          <w:tcPr>
            <w:tcW w:w="0" w:type="dxa"/>
            <w:vAlign w:val="bottom"/>
          </w:tcPr>
          <w:p>
            <w:pPr>
              <w:spacing w:after="0"/>
              <w:rPr>
                <w:sz w:val="1"/>
                <w:szCs w:val="1"/>
                <w:color w:val="auto"/>
              </w:rPr>
            </w:pPr>
          </w:p>
        </w:tc>
      </w:tr>
      <w:tr>
        <w:trPr>
          <w:trHeight w:val="120"/>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Advantage Capital Holdings LLC - Class A Units</w:t>
            </w:r>
          </w:p>
        </w:tc>
        <w:tc>
          <w:tcPr>
            <w:tcW w:w="2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0"/>
                <w:szCs w:val="10"/>
                <w:color w:val="auto"/>
              </w:rPr>
              <w:t>Banking, Finance, Insurance &amp; Real Estate</w:t>
            </w:r>
          </w:p>
        </w:tc>
        <w:tc>
          <w:tcPr>
            <w:tcW w:w="820" w:type="dxa"/>
            <w:vAlign w:val="bottom"/>
            <w:shd w:val="clear" w:color="auto" w:fill="CFF0FC"/>
          </w:tcPr>
          <w:p>
            <w:pPr>
              <w:jc w:val="center"/>
              <w:ind w:left="192"/>
              <w:spacing w:after="0"/>
              <w:rPr>
                <w:sz w:val="20"/>
                <w:szCs w:val="20"/>
                <w:color w:val="auto"/>
              </w:rPr>
            </w:pPr>
            <w:r>
              <w:rPr>
                <w:rFonts w:ascii="Times New Roman" w:cs="Times New Roman" w:eastAsia="Times New Roman" w:hAnsi="Times New Roman"/>
                <w:sz w:val="10"/>
                <w:szCs w:val="10"/>
                <w:color w:val="auto"/>
                <w:w w:val="99"/>
              </w:rPr>
              <w:t>—</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822</w:t>
            </w: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500</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842</w:t>
            </w:r>
          </w:p>
        </w:tc>
        <w:tc>
          <w:tcPr>
            <w:tcW w:w="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(22)</w:t>
            </w:r>
          </w:p>
        </w:tc>
        <w:tc>
          <w:tcPr>
            <w:tcW w:w="0" w:type="dxa"/>
            <w:vAlign w:val="bottom"/>
          </w:tcPr>
          <w:p>
            <w:pPr>
              <w:spacing w:after="0"/>
              <w:rPr>
                <w:sz w:val="1"/>
                <w:szCs w:val="1"/>
                <w:color w:val="auto"/>
              </w:rPr>
            </w:pPr>
          </w:p>
        </w:tc>
      </w:tr>
      <w:tr>
        <w:trPr>
          <w:trHeight w:val="120"/>
        </w:trPr>
        <w:tc>
          <w:tcPr>
            <w:tcW w:w="27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Anthem Sports &amp; Entertainment Inc. - Class A Warrant</w:t>
            </w:r>
          </w:p>
        </w:tc>
        <w:tc>
          <w:tcPr>
            <w:tcW w:w="21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Media: Broadcasting &amp; Subscription</w:t>
            </w:r>
          </w:p>
        </w:tc>
        <w:tc>
          <w:tcPr>
            <w:tcW w:w="82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9"/>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510</w:t>
            </w:r>
          </w:p>
        </w:tc>
        <w:tc>
          <w:tcPr>
            <w:tcW w:w="16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46</w:t>
            </w:r>
          </w:p>
        </w:tc>
        <w:tc>
          <w:tcPr>
            <w:tcW w:w="80" w:type="dxa"/>
            <w:vAlign w:val="bottom"/>
          </w:tcPr>
          <w:p>
            <w:pPr>
              <w:spacing w:after="0"/>
              <w:rPr>
                <w:sz w:val="10"/>
                <w:szCs w:val="10"/>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Anthem Sports &amp; Entertainment Inc. - Class B Warrant</w:t>
            </w:r>
          </w:p>
        </w:tc>
        <w:tc>
          <w:tcPr>
            <w:tcW w:w="2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0"/>
                <w:szCs w:val="10"/>
                <w:color w:val="auto"/>
              </w:rPr>
              <w:t>Media: Broadcasting &amp; Subscription</w:t>
            </w:r>
          </w:p>
        </w:tc>
        <w:tc>
          <w:tcPr>
            <w:tcW w:w="820" w:type="dxa"/>
            <w:vAlign w:val="bottom"/>
            <w:shd w:val="clear" w:color="auto" w:fill="CFF0FC"/>
          </w:tcPr>
          <w:p>
            <w:pPr>
              <w:jc w:val="center"/>
              <w:ind w:left="192"/>
              <w:spacing w:after="0"/>
              <w:rPr>
                <w:sz w:val="20"/>
                <w:szCs w:val="20"/>
                <w:color w:val="auto"/>
              </w:rPr>
            </w:pPr>
            <w:r>
              <w:rPr>
                <w:rFonts w:ascii="Times New Roman" w:cs="Times New Roman" w:eastAsia="Times New Roman" w:hAnsi="Times New Roman"/>
                <w:sz w:val="10"/>
                <w:szCs w:val="10"/>
                <w:color w:val="auto"/>
                <w:w w:val="99"/>
              </w:rPr>
              <w:t>—</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88</w:t>
            </w: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Anthem Sports &amp; Entertainment Inc. - Warrant for CS</w:t>
            </w:r>
          </w:p>
        </w:tc>
        <w:tc>
          <w:tcPr>
            <w:tcW w:w="21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Media: Broadcasting &amp; Subscription</w:t>
            </w:r>
          </w:p>
        </w:tc>
        <w:tc>
          <w:tcPr>
            <w:tcW w:w="82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9"/>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1,644</w:t>
            </w:r>
          </w:p>
        </w:tc>
        <w:tc>
          <w:tcPr>
            <w:tcW w:w="16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ATP Oil &amp; Gas Corporation</w:t>
            </w:r>
          </w:p>
        </w:tc>
        <w:tc>
          <w:tcPr>
            <w:tcW w:w="21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0"/>
                <w:szCs w:val="10"/>
                <w:color w:val="auto"/>
              </w:rPr>
              <w:t>Energy: Oil &amp; Gas</w:t>
            </w:r>
          </w:p>
        </w:tc>
        <w:tc>
          <w:tcPr>
            <w:tcW w:w="820" w:type="dxa"/>
            <w:vAlign w:val="bottom"/>
            <w:tcBorders>
              <w:bottom w:val="single" w:sz="8" w:color="CFF0FC"/>
            </w:tcBorders>
            <w:shd w:val="clear" w:color="auto" w:fill="CFF0FC"/>
          </w:tcPr>
          <w:p>
            <w:pPr>
              <w:jc w:val="center"/>
              <w:ind w:left="192"/>
              <w:spacing w:after="0"/>
              <w:rPr>
                <w:sz w:val="20"/>
                <w:szCs w:val="20"/>
                <w:color w:val="auto"/>
              </w:rPr>
            </w:pPr>
            <w:r>
              <w:rPr>
                <w:rFonts w:ascii="Times New Roman" w:cs="Times New Roman" w:eastAsia="Times New Roman" w:hAnsi="Times New Roman"/>
                <w:sz w:val="10"/>
                <w:szCs w:val="10"/>
                <w:color w:val="auto"/>
                <w:w w:val="99"/>
              </w:rPr>
              <w:t>—</w:t>
            </w:r>
          </w:p>
        </w:tc>
        <w:tc>
          <w:tcPr>
            <w:tcW w:w="10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tcBorders>
              <w:bottom w:val="single" w:sz="8" w:color="CFF0FC"/>
            </w:tcBorders>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20" w:type="dxa"/>
            <w:vAlign w:val="bottom"/>
            <w:tcBorders>
              <w:bottom w:val="single" w:sz="8" w:color="CFF0FC"/>
            </w:tcBorders>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0.1</w:t>
            </w:r>
          </w:p>
        </w:tc>
        <w:tc>
          <w:tcPr>
            <w:tcW w:w="160" w:type="dxa"/>
            <w:vAlign w:val="bottom"/>
            <w:tcBorders>
              <w:bottom w:val="single" w:sz="8" w:color="CFF0FC"/>
            </w:tcBorders>
            <w:shd w:val="clear" w:color="auto" w:fill="CFF0FC"/>
          </w:tcPr>
          <w:p>
            <w:pPr>
              <w:spacing w:after="0"/>
              <w:rPr>
                <w:sz w:val="11"/>
                <w:szCs w:val="11"/>
                <w:color w:val="auto"/>
              </w:rPr>
            </w:pPr>
          </w:p>
        </w:tc>
        <w:tc>
          <w:tcPr>
            <w:tcW w:w="500" w:type="dxa"/>
            <w:vAlign w:val="bottom"/>
            <w:tcBorders>
              <w:bottom w:val="single" w:sz="8" w:color="CFF0FC"/>
            </w:tcBorders>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FF0FC"/>
            </w:tcBorders>
            <w:shd w:val="clear" w:color="auto" w:fill="CFF0FC"/>
          </w:tcPr>
          <w:p>
            <w:pPr>
              <w:spacing w:after="0"/>
              <w:rPr>
                <w:sz w:val="11"/>
                <w:szCs w:val="11"/>
                <w:color w:val="auto"/>
              </w:rPr>
            </w:pPr>
          </w:p>
        </w:tc>
        <w:tc>
          <w:tcPr>
            <w:tcW w:w="600" w:type="dxa"/>
            <w:vAlign w:val="bottom"/>
            <w:tcBorders>
              <w:bottom w:val="single" w:sz="8" w:color="CFF0FC"/>
            </w:tcBorders>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(11)</w:t>
            </w:r>
          </w:p>
        </w:tc>
        <w:tc>
          <w:tcPr>
            <w:tcW w:w="0" w:type="dxa"/>
            <w:vAlign w:val="bottom"/>
          </w:tcPr>
          <w:p>
            <w:pPr>
              <w:spacing w:after="0"/>
              <w:rPr>
                <w:sz w:val="1"/>
                <w:szCs w:val="1"/>
                <w:color w:val="auto"/>
              </w:rPr>
            </w:pPr>
          </w:p>
        </w:tc>
      </w:tr>
      <w:tr>
        <w:trPr>
          <w:trHeight w:val="120"/>
        </w:trPr>
        <w:tc>
          <w:tcPr>
            <w:tcW w:w="27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Carestream Health Holdings, Inc.</w:t>
            </w:r>
          </w:p>
        </w:tc>
        <w:tc>
          <w:tcPr>
            <w:tcW w:w="21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Healthcare &amp; Pharmaceuticals</w:t>
            </w:r>
          </w:p>
        </w:tc>
        <w:tc>
          <w:tcPr>
            <w:tcW w:w="82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9"/>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4,099</w:t>
            </w:r>
          </w:p>
        </w:tc>
        <w:tc>
          <w:tcPr>
            <w:tcW w:w="16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53</w:t>
            </w:r>
          </w:p>
        </w:tc>
        <w:tc>
          <w:tcPr>
            <w:tcW w:w="80" w:type="dxa"/>
            <w:vAlign w:val="bottom"/>
          </w:tcPr>
          <w:p>
            <w:pPr>
              <w:spacing w:after="0"/>
              <w:rPr>
                <w:sz w:val="10"/>
                <w:szCs w:val="10"/>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130</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Centric Brands, L.P.</w:t>
            </w:r>
          </w:p>
        </w:tc>
        <w:tc>
          <w:tcPr>
            <w:tcW w:w="2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0"/>
                <w:szCs w:val="10"/>
                <w:color w:val="auto"/>
              </w:rPr>
              <w:t>Machinery (Non-Agrclt/Constr/Electr)</w:t>
            </w:r>
          </w:p>
        </w:tc>
        <w:tc>
          <w:tcPr>
            <w:tcW w:w="820" w:type="dxa"/>
            <w:vAlign w:val="bottom"/>
            <w:shd w:val="clear" w:color="auto" w:fill="CFF0FC"/>
          </w:tcPr>
          <w:p>
            <w:pPr>
              <w:jc w:val="center"/>
              <w:ind w:left="192"/>
              <w:spacing w:after="0"/>
              <w:rPr>
                <w:sz w:val="20"/>
                <w:szCs w:val="20"/>
                <w:color w:val="auto"/>
              </w:rPr>
            </w:pPr>
            <w:r>
              <w:rPr>
                <w:rFonts w:ascii="Times New Roman" w:cs="Times New Roman" w:eastAsia="Times New Roman" w:hAnsi="Times New Roman"/>
                <w:sz w:val="10"/>
                <w:szCs w:val="10"/>
                <w:color w:val="auto"/>
                <w:w w:val="99"/>
              </w:rPr>
              <w:t>—</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81,770</w:t>
            </w: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746</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2,649</w:t>
            </w:r>
          </w:p>
        </w:tc>
        <w:tc>
          <w:tcPr>
            <w:tcW w:w="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27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DxTx Pain and Spine LLC</w:t>
            </w:r>
          </w:p>
        </w:tc>
        <w:tc>
          <w:tcPr>
            <w:tcW w:w="21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Healthcare &amp; Pharmaceuticals</w:t>
            </w:r>
          </w:p>
        </w:tc>
        <w:tc>
          <w:tcPr>
            <w:tcW w:w="82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9"/>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158,166</w:t>
            </w:r>
          </w:p>
        </w:tc>
        <w:tc>
          <w:tcPr>
            <w:tcW w:w="16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258</w:t>
            </w:r>
          </w:p>
        </w:tc>
        <w:tc>
          <w:tcPr>
            <w:tcW w:w="80" w:type="dxa"/>
            <w:vAlign w:val="bottom"/>
          </w:tcPr>
          <w:p>
            <w:pPr>
              <w:spacing w:after="0"/>
              <w:rPr>
                <w:sz w:val="10"/>
                <w:szCs w:val="10"/>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258</w:t>
            </w:r>
          </w:p>
        </w:tc>
        <w:tc>
          <w:tcPr>
            <w:tcW w:w="68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(22)</w:t>
            </w:r>
          </w:p>
        </w:tc>
        <w:tc>
          <w:tcPr>
            <w:tcW w:w="0" w:type="dxa"/>
            <w:vAlign w:val="bottom"/>
          </w:tcPr>
          <w:p>
            <w:pPr>
              <w:spacing w:after="0"/>
              <w:rPr>
                <w:sz w:val="1"/>
                <w:szCs w:val="1"/>
                <w:color w:val="auto"/>
              </w:rPr>
            </w:pPr>
          </w:p>
        </w:tc>
      </w:tr>
      <w:tr>
        <w:trPr>
          <w:trHeight w:val="120"/>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Everyware Global, Inc.</w:t>
            </w:r>
          </w:p>
        </w:tc>
        <w:tc>
          <w:tcPr>
            <w:tcW w:w="2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0"/>
                <w:szCs w:val="10"/>
                <w:color w:val="auto"/>
              </w:rPr>
              <w:t>Consumer goods: Durable</w:t>
            </w:r>
          </w:p>
        </w:tc>
        <w:tc>
          <w:tcPr>
            <w:tcW w:w="820" w:type="dxa"/>
            <w:vAlign w:val="bottom"/>
            <w:shd w:val="clear" w:color="auto" w:fill="CFF0FC"/>
          </w:tcPr>
          <w:p>
            <w:pPr>
              <w:jc w:val="center"/>
              <w:ind w:left="192"/>
              <w:spacing w:after="0"/>
              <w:rPr>
                <w:sz w:val="20"/>
                <w:szCs w:val="20"/>
                <w:color w:val="auto"/>
              </w:rPr>
            </w:pPr>
            <w:r>
              <w:rPr>
                <w:rFonts w:ascii="Times New Roman" w:cs="Times New Roman" w:eastAsia="Times New Roman" w:hAnsi="Times New Roman"/>
                <w:sz w:val="10"/>
                <w:szCs w:val="10"/>
                <w:color w:val="auto"/>
                <w:w w:val="99"/>
              </w:rPr>
              <w:t>—</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1,085,565</w:t>
            </w: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346</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553</w:t>
            </w:r>
          </w:p>
        </w:tc>
        <w:tc>
          <w:tcPr>
            <w:tcW w:w="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(16)</w:t>
            </w:r>
          </w:p>
        </w:tc>
        <w:tc>
          <w:tcPr>
            <w:tcW w:w="0" w:type="dxa"/>
            <w:vAlign w:val="bottom"/>
          </w:tcPr>
          <w:p>
            <w:pPr>
              <w:spacing w:after="0"/>
              <w:rPr>
                <w:sz w:val="1"/>
                <w:szCs w:val="1"/>
                <w:color w:val="auto"/>
              </w:rPr>
            </w:pPr>
          </w:p>
        </w:tc>
      </w:tr>
      <w:tr>
        <w:trPr>
          <w:trHeight w:val="120"/>
        </w:trPr>
        <w:tc>
          <w:tcPr>
            <w:tcW w:w="27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FP WRCA Coinvestment Fund VII, Ltd. - Class A</w:t>
            </w:r>
          </w:p>
        </w:tc>
        <w:tc>
          <w:tcPr>
            <w:tcW w:w="21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Capital Equipment</w:t>
            </w:r>
          </w:p>
        </w:tc>
        <w:tc>
          <w:tcPr>
            <w:tcW w:w="82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9"/>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100</w:t>
            </w:r>
          </w:p>
        </w:tc>
        <w:tc>
          <w:tcPr>
            <w:tcW w:w="16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1,500</w:t>
            </w:r>
          </w:p>
        </w:tc>
        <w:tc>
          <w:tcPr>
            <w:tcW w:w="80" w:type="dxa"/>
            <w:vAlign w:val="bottom"/>
          </w:tcPr>
          <w:p>
            <w:pPr>
              <w:spacing w:after="0"/>
              <w:rPr>
                <w:sz w:val="10"/>
                <w:szCs w:val="10"/>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967</w:t>
            </w:r>
          </w:p>
        </w:tc>
        <w:tc>
          <w:tcPr>
            <w:tcW w:w="68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(3)(7)</w:t>
            </w:r>
          </w:p>
        </w:tc>
        <w:tc>
          <w:tcPr>
            <w:tcW w:w="0" w:type="dxa"/>
            <w:vAlign w:val="bottom"/>
          </w:tcPr>
          <w:p>
            <w:pPr>
              <w:spacing w:after="0"/>
              <w:rPr>
                <w:sz w:val="1"/>
                <w:szCs w:val="1"/>
                <w:color w:val="auto"/>
              </w:rPr>
            </w:pPr>
          </w:p>
        </w:tc>
      </w:tr>
      <w:tr>
        <w:trPr>
          <w:trHeight w:val="120"/>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Fusion Connect, Inc.</w:t>
            </w:r>
          </w:p>
        </w:tc>
        <w:tc>
          <w:tcPr>
            <w:tcW w:w="2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0"/>
                <w:szCs w:val="10"/>
                <w:color w:val="auto"/>
              </w:rPr>
              <w:t>Telecommunications</w:t>
            </w:r>
          </w:p>
        </w:tc>
        <w:tc>
          <w:tcPr>
            <w:tcW w:w="820" w:type="dxa"/>
            <w:vAlign w:val="bottom"/>
            <w:shd w:val="clear" w:color="auto" w:fill="CFF0FC"/>
          </w:tcPr>
          <w:p>
            <w:pPr>
              <w:jc w:val="center"/>
              <w:ind w:left="192"/>
              <w:spacing w:after="0"/>
              <w:rPr>
                <w:sz w:val="20"/>
                <w:szCs w:val="20"/>
                <w:color w:val="auto"/>
              </w:rPr>
            </w:pPr>
            <w:r>
              <w:rPr>
                <w:rFonts w:ascii="Times New Roman" w:cs="Times New Roman" w:eastAsia="Times New Roman" w:hAnsi="Times New Roman"/>
                <w:sz w:val="10"/>
                <w:szCs w:val="10"/>
                <w:color w:val="auto"/>
                <w:w w:val="99"/>
              </w:rPr>
              <w:t>—</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14</w:t>
            </w: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866</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27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Fusion Connect, Inc. - Warrant</w:t>
            </w:r>
          </w:p>
        </w:tc>
        <w:tc>
          <w:tcPr>
            <w:tcW w:w="21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Telecommunications</w:t>
            </w:r>
          </w:p>
        </w:tc>
        <w:tc>
          <w:tcPr>
            <w:tcW w:w="82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9"/>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811,572</w:t>
            </w:r>
          </w:p>
        </w:tc>
        <w:tc>
          <w:tcPr>
            <w:tcW w:w="16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HDC/HW Holdings, LLC</w:t>
            </w:r>
          </w:p>
        </w:tc>
        <w:tc>
          <w:tcPr>
            <w:tcW w:w="2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0"/>
                <w:szCs w:val="10"/>
                <w:color w:val="auto"/>
              </w:rPr>
              <w:t>High Tech Industries</w:t>
            </w:r>
          </w:p>
        </w:tc>
        <w:tc>
          <w:tcPr>
            <w:tcW w:w="820" w:type="dxa"/>
            <w:vAlign w:val="bottom"/>
            <w:shd w:val="clear" w:color="auto" w:fill="CFF0FC"/>
          </w:tcPr>
          <w:p>
            <w:pPr>
              <w:jc w:val="center"/>
              <w:ind w:left="192"/>
              <w:spacing w:after="0"/>
              <w:rPr>
                <w:sz w:val="20"/>
                <w:szCs w:val="20"/>
                <w:color w:val="auto"/>
              </w:rPr>
            </w:pPr>
            <w:r>
              <w:rPr>
                <w:rFonts w:ascii="Times New Roman" w:cs="Times New Roman" w:eastAsia="Times New Roman" w:hAnsi="Times New Roman"/>
                <w:sz w:val="10"/>
                <w:szCs w:val="10"/>
                <w:color w:val="auto"/>
                <w:w w:val="99"/>
              </w:rPr>
              <w:t>—</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148,826</w:t>
            </w: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LB NewHoldCo LLC</w:t>
            </w:r>
          </w:p>
        </w:tc>
        <w:tc>
          <w:tcPr>
            <w:tcW w:w="21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Hotel, Gaming &amp; Leisure</w:t>
            </w:r>
          </w:p>
        </w:tc>
        <w:tc>
          <w:tcPr>
            <w:tcW w:w="82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9"/>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96,523</w:t>
            </w:r>
          </w:p>
        </w:tc>
        <w:tc>
          <w:tcPr>
            <w:tcW w:w="16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1,441</w:t>
            </w:r>
          </w:p>
        </w:tc>
        <w:tc>
          <w:tcPr>
            <w:tcW w:w="80" w:type="dxa"/>
            <w:vAlign w:val="bottom"/>
          </w:tcPr>
          <w:p>
            <w:pPr>
              <w:spacing w:after="0"/>
              <w:rPr>
                <w:sz w:val="10"/>
                <w:szCs w:val="10"/>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993</w:t>
            </w:r>
          </w:p>
        </w:tc>
        <w:tc>
          <w:tcPr>
            <w:tcW w:w="68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Morae Global Holdings Inc. - Warrant</w:t>
            </w:r>
          </w:p>
        </w:tc>
        <w:tc>
          <w:tcPr>
            <w:tcW w:w="2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0"/>
                <w:szCs w:val="10"/>
                <w:color w:val="auto"/>
              </w:rPr>
              <w:t>IT Consulting &amp; Other Services</w:t>
            </w:r>
          </w:p>
        </w:tc>
        <w:tc>
          <w:tcPr>
            <w:tcW w:w="820" w:type="dxa"/>
            <w:vAlign w:val="bottom"/>
            <w:shd w:val="clear" w:color="auto" w:fill="CFF0FC"/>
          </w:tcPr>
          <w:p>
            <w:pPr>
              <w:jc w:val="center"/>
              <w:ind w:left="192"/>
              <w:spacing w:after="0"/>
              <w:rPr>
                <w:sz w:val="20"/>
                <w:szCs w:val="20"/>
                <w:color w:val="auto"/>
              </w:rPr>
            </w:pPr>
            <w:r>
              <w:rPr>
                <w:rFonts w:ascii="Times New Roman" w:cs="Times New Roman" w:eastAsia="Times New Roman" w:hAnsi="Times New Roman"/>
                <w:sz w:val="10"/>
                <w:szCs w:val="10"/>
                <w:color w:val="auto"/>
                <w:w w:val="99"/>
              </w:rPr>
              <w:t>—</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1</w:t>
            </w:r>
          </w:p>
        </w:tc>
        <w:tc>
          <w:tcPr>
            <w:tcW w:w="160" w:type="dxa"/>
            <w:vAlign w:val="bottom"/>
            <w:shd w:val="clear" w:color="auto" w:fill="CFF0FC"/>
          </w:tcPr>
          <w:p>
            <w:pPr>
              <w:spacing w:after="0"/>
              <w:rPr>
                <w:sz w:val="10"/>
                <w:szCs w:val="10"/>
                <w:color w:val="auto"/>
              </w:rPr>
            </w:pPr>
          </w:p>
        </w:tc>
        <w:tc>
          <w:tcPr>
            <w:tcW w:w="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87</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117</w:t>
            </w:r>
          </w:p>
        </w:tc>
        <w:tc>
          <w:tcPr>
            <w:tcW w:w="6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7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Ohene Holdings B.V. - Warrant</w:t>
            </w:r>
          </w:p>
        </w:tc>
        <w:tc>
          <w:tcPr>
            <w:tcW w:w="21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High Tech Industries</w:t>
            </w:r>
          </w:p>
        </w:tc>
        <w:tc>
          <w:tcPr>
            <w:tcW w:w="82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9"/>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w:t>
            </w:r>
          </w:p>
        </w:tc>
        <w:tc>
          <w:tcPr>
            <w:tcW w:w="16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(3)(7)</w:t>
            </w:r>
          </w:p>
        </w:tc>
        <w:tc>
          <w:tcPr>
            <w:tcW w:w="0" w:type="dxa"/>
            <w:vAlign w:val="bottom"/>
          </w:tcPr>
          <w:p>
            <w:pPr>
              <w:spacing w:after="0"/>
              <w:rPr>
                <w:sz w:val="1"/>
                <w:szCs w:val="1"/>
                <w:color w:val="auto"/>
              </w:rPr>
            </w:pPr>
          </w:p>
        </w:tc>
      </w:tr>
    </w:tbl>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See accompanying notes to consolidated financial statements.</w:t>
      </w:r>
    </w:p>
    <w:p>
      <w:pPr>
        <w:spacing w:after="0" w:line="28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1"/>
          <w:szCs w:val="11"/>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PORTMAN RIDGE FINANCE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As of December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2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Reference Rate</w:t>
            </w: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rPr>
              <w:t>Par/Shares</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Investment (2), (4), (12), (14), (23), (24)</w:t>
            </w:r>
          </w:p>
        </w:tc>
        <w:tc>
          <w:tcPr>
            <w:tcW w:w="1860" w:type="dxa"/>
            <w:vAlign w:val="bottom"/>
          </w:tcPr>
          <w:p>
            <w:pPr>
              <w:ind w:left="960"/>
              <w:spacing w:after="0"/>
              <w:rPr>
                <w:sz w:val="20"/>
                <w:szCs w:val="20"/>
                <w:color w:val="auto"/>
              </w:rPr>
            </w:pPr>
            <w:r>
              <w:rPr>
                <w:rFonts w:ascii="Times New Roman" w:cs="Times New Roman" w:eastAsia="Times New Roman" w:hAnsi="Times New Roman"/>
                <w:sz w:val="10"/>
                <w:szCs w:val="10"/>
                <w:b w:val="1"/>
                <w:bCs w:val="1"/>
                <w:color w:val="auto"/>
              </w:rPr>
              <w:t>Industry</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Interest Rate (1)</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and Spread (1)</w:t>
            </w:r>
          </w:p>
        </w:tc>
        <w:tc>
          <w:tcPr>
            <w:tcW w:w="520" w:type="dxa"/>
            <w:vAlign w:val="bottom"/>
          </w:tcPr>
          <w:p>
            <w:pPr>
              <w:ind w:left="80"/>
              <w:spacing w:after="0"/>
              <w:rPr>
                <w:sz w:val="20"/>
                <w:szCs w:val="20"/>
                <w:color w:val="auto"/>
              </w:rPr>
            </w:pPr>
            <w:r>
              <w:rPr>
                <w:rFonts w:ascii="Times New Roman" w:cs="Times New Roman" w:eastAsia="Times New Roman" w:hAnsi="Times New Roman"/>
                <w:sz w:val="10"/>
                <w:szCs w:val="10"/>
                <w:b w:val="1"/>
                <w:bCs w:val="1"/>
                <w:color w:val="auto"/>
              </w:rPr>
              <w:t>Floor (1)</w:t>
            </w:r>
          </w:p>
        </w:tc>
        <w:tc>
          <w:tcPr>
            <w:tcW w:w="5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74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0"/>
                <w:szCs w:val="10"/>
                <w:color w:val="auto"/>
              </w:rPr>
            </w:pP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Cost</w:t>
            </w:r>
          </w:p>
        </w:tc>
        <w:tc>
          <w:tcPr>
            <w:tcW w:w="60" w:type="dxa"/>
            <w:vAlign w:val="bottom"/>
          </w:tcPr>
          <w:p>
            <w:pPr>
              <w:spacing w:after="0"/>
              <w:rPr>
                <w:sz w:val="10"/>
                <w:szCs w:val="10"/>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w w:val="95"/>
              </w:rPr>
              <w:t>Fair Value</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b w:val="1"/>
                <w:bCs w:val="1"/>
                <w:color w:val="auto"/>
              </w:rPr>
              <w:t>Footnotes</w:t>
            </w:r>
          </w:p>
        </w:tc>
        <w:tc>
          <w:tcPr>
            <w:tcW w:w="0" w:type="dxa"/>
            <w:vAlign w:val="bottom"/>
          </w:tcPr>
          <w:p>
            <w:pPr>
              <w:spacing w:after="0"/>
              <w:rPr>
                <w:sz w:val="1"/>
                <w:szCs w:val="1"/>
                <w:color w:val="auto"/>
              </w:rPr>
            </w:pPr>
          </w:p>
        </w:tc>
      </w:tr>
      <w:tr>
        <w:trPr>
          <w:trHeight w:val="120"/>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Roscoe Investors, LLC - Class A</w:t>
            </w:r>
          </w:p>
        </w:tc>
        <w:tc>
          <w:tcPr>
            <w:tcW w:w="18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0"/>
                <w:szCs w:val="10"/>
                <w:color w:val="auto"/>
              </w:rPr>
              <w:t>Healthcare &amp; Pharmaceuticals</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10,000</w:t>
            </w:r>
          </w:p>
        </w:tc>
        <w:tc>
          <w:tcPr>
            <w:tcW w:w="1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476</w:t>
            </w: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South Street Securities Holdings, Inc - Warrant</w:t>
            </w:r>
          </w:p>
        </w:tc>
        <w:tc>
          <w:tcPr>
            <w:tcW w:w="1860" w:type="dxa"/>
            <w:vAlign w:val="bottom"/>
          </w:tcPr>
          <w:p>
            <w:pPr>
              <w:ind w:left="400"/>
              <w:spacing w:after="0"/>
              <w:rPr>
                <w:sz w:val="20"/>
                <w:szCs w:val="20"/>
                <w:color w:val="auto"/>
              </w:rPr>
            </w:pPr>
            <w:r>
              <w:rPr>
                <w:rFonts w:ascii="Times New Roman" w:cs="Times New Roman" w:eastAsia="Times New Roman" w:hAnsi="Times New Roman"/>
                <w:sz w:val="10"/>
                <w:szCs w:val="10"/>
                <w:color w:val="auto"/>
                <w:w w:val="98"/>
              </w:rPr>
              <w:t>Banking, Finance, Insurance &amp; Real</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3,966</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455</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449</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3260" w:type="dxa"/>
            <w:vAlign w:val="bottom"/>
          </w:tcPr>
          <w:p>
            <w:pPr>
              <w:spacing w:after="0"/>
              <w:rPr>
                <w:sz w:val="5"/>
                <w:szCs w:val="5"/>
                <w:color w:val="auto"/>
              </w:rPr>
            </w:pPr>
          </w:p>
        </w:tc>
        <w:tc>
          <w:tcPr>
            <w:tcW w:w="1860" w:type="dxa"/>
            <w:vAlign w:val="bottom"/>
            <w:vMerge w:val="restart"/>
          </w:tcPr>
          <w:p>
            <w:pPr>
              <w:ind w:left="400"/>
              <w:spacing w:after="0"/>
              <w:rPr>
                <w:sz w:val="20"/>
                <w:szCs w:val="20"/>
                <w:color w:val="auto"/>
              </w:rPr>
            </w:pPr>
            <w:r>
              <w:rPr>
                <w:rFonts w:ascii="Times New Roman" w:cs="Times New Roman" w:eastAsia="Times New Roman" w:hAnsi="Times New Roman"/>
                <w:sz w:val="10"/>
                <w:szCs w:val="10"/>
                <w:color w:val="auto"/>
              </w:rPr>
              <w:t>Estate</w:t>
            </w:r>
          </w:p>
        </w:tc>
        <w:tc>
          <w:tcPr>
            <w:tcW w:w="7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
        </w:trPr>
        <w:tc>
          <w:tcPr>
            <w:tcW w:w="3260" w:type="dxa"/>
            <w:vAlign w:val="bottom"/>
          </w:tcPr>
          <w:p>
            <w:pPr>
              <w:spacing w:after="0"/>
              <w:rPr>
                <w:sz w:val="4"/>
                <w:szCs w:val="4"/>
                <w:color w:val="auto"/>
              </w:rPr>
            </w:pPr>
          </w:p>
        </w:tc>
        <w:tc>
          <w:tcPr>
            <w:tcW w:w="18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Sundance Holdings Group, LLC</w:t>
            </w:r>
          </w:p>
        </w:tc>
        <w:tc>
          <w:tcPr>
            <w:tcW w:w="18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0"/>
                <w:szCs w:val="10"/>
                <w:color w:val="auto"/>
              </w:rPr>
              <w:t>Retail</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14,603</w:t>
            </w:r>
          </w:p>
        </w:tc>
        <w:tc>
          <w:tcPr>
            <w:tcW w:w="120" w:type="dxa"/>
            <w:vAlign w:val="bottom"/>
            <w:shd w:val="clear" w:color="auto" w:fill="CFF0FC"/>
          </w:tcPr>
          <w:p>
            <w:pPr>
              <w:spacing w:after="0"/>
              <w:rPr>
                <w:sz w:val="10"/>
                <w:szCs w:val="10"/>
                <w:color w:val="auto"/>
              </w:rPr>
            </w:pPr>
          </w:p>
        </w:tc>
        <w:tc>
          <w:tcPr>
            <w:tcW w:w="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FF0FC"/>
          </w:tcPr>
          <w:p>
            <w:pPr>
              <w:spacing w:after="0"/>
              <w:rPr>
                <w:sz w:val="10"/>
                <w:szCs w:val="10"/>
                <w:color w:val="auto"/>
              </w:rPr>
            </w:pPr>
          </w:p>
        </w:tc>
        <w:tc>
          <w:tcPr>
            <w:tcW w:w="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VTX Holdings LLC - Series C</w:t>
            </w:r>
          </w:p>
        </w:tc>
        <w:tc>
          <w:tcPr>
            <w:tcW w:w="18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High Tech Industries</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441,252</w:t>
            </w:r>
          </w:p>
        </w:tc>
        <w:tc>
          <w:tcPr>
            <w:tcW w:w="120" w:type="dxa"/>
            <w:vAlign w:val="bottom"/>
          </w:tcPr>
          <w:p>
            <w:pPr>
              <w:spacing w:after="0"/>
              <w:rPr>
                <w:sz w:val="10"/>
                <w:szCs w:val="10"/>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Workplace Holdings LLC (Pomeroy Technologies, LLC)</w:t>
            </w:r>
          </w:p>
        </w:tc>
        <w:tc>
          <w:tcPr>
            <w:tcW w:w="18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0"/>
                <w:szCs w:val="10"/>
                <w:color w:val="auto"/>
              </w:rPr>
              <w:t>High Tech Industries</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950</w:t>
            </w: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228</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228</w:t>
            </w: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World Business Lenders, LLC</w:t>
            </w:r>
          </w:p>
        </w:tc>
        <w:tc>
          <w:tcPr>
            <w:tcW w:w="1860" w:type="dxa"/>
            <w:vAlign w:val="bottom"/>
          </w:tcPr>
          <w:p>
            <w:pPr>
              <w:ind w:left="400"/>
              <w:spacing w:after="0"/>
              <w:rPr>
                <w:sz w:val="20"/>
                <w:szCs w:val="20"/>
                <w:color w:val="auto"/>
              </w:rPr>
            </w:pPr>
            <w:r>
              <w:rPr>
                <w:rFonts w:ascii="Times New Roman" w:cs="Times New Roman" w:eastAsia="Times New Roman" w:hAnsi="Times New Roman"/>
                <w:sz w:val="10"/>
                <w:szCs w:val="10"/>
                <w:color w:val="auto"/>
                <w:w w:val="98"/>
              </w:rPr>
              <w:t>Banking, Finance, Insurance &amp; Real</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49,209</w:t>
            </w:r>
          </w:p>
        </w:tc>
        <w:tc>
          <w:tcPr>
            <w:tcW w:w="120" w:type="dxa"/>
            <w:vAlign w:val="bottom"/>
          </w:tcPr>
          <w:p>
            <w:pPr>
              <w:spacing w:after="0"/>
              <w:rPr>
                <w:sz w:val="10"/>
                <w:szCs w:val="10"/>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(7)</w:t>
            </w:r>
          </w:p>
        </w:tc>
        <w:tc>
          <w:tcPr>
            <w:tcW w:w="0" w:type="dxa"/>
            <w:vAlign w:val="bottom"/>
          </w:tcPr>
          <w:p>
            <w:pPr>
              <w:spacing w:after="0"/>
              <w:rPr>
                <w:sz w:val="1"/>
                <w:szCs w:val="1"/>
                <w:color w:val="auto"/>
              </w:rPr>
            </w:pPr>
          </w:p>
        </w:tc>
      </w:tr>
      <w:tr>
        <w:trPr>
          <w:trHeight w:val="64"/>
        </w:trPr>
        <w:tc>
          <w:tcPr>
            <w:tcW w:w="3260" w:type="dxa"/>
            <w:vAlign w:val="bottom"/>
          </w:tcPr>
          <w:p>
            <w:pPr>
              <w:spacing w:after="0"/>
              <w:rPr>
                <w:sz w:val="5"/>
                <w:szCs w:val="5"/>
                <w:color w:val="auto"/>
              </w:rPr>
            </w:pPr>
          </w:p>
        </w:tc>
        <w:tc>
          <w:tcPr>
            <w:tcW w:w="1860" w:type="dxa"/>
            <w:vAlign w:val="bottom"/>
            <w:vMerge w:val="restart"/>
          </w:tcPr>
          <w:p>
            <w:pPr>
              <w:ind w:left="400"/>
              <w:spacing w:after="0"/>
              <w:rPr>
                <w:sz w:val="20"/>
                <w:szCs w:val="20"/>
                <w:color w:val="auto"/>
              </w:rPr>
            </w:pPr>
            <w:r>
              <w:rPr>
                <w:rFonts w:ascii="Times New Roman" w:cs="Times New Roman" w:eastAsia="Times New Roman" w:hAnsi="Times New Roman"/>
                <w:sz w:val="10"/>
                <w:szCs w:val="10"/>
                <w:color w:val="auto"/>
              </w:rPr>
              <w:t>Estate</w:t>
            </w:r>
          </w:p>
        </w:tc>
        <w:tc>
          <w:tcPr>
            <w:tcW w:w="7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
        </w:trPr>
        <w:tc>
          <w:tcPr>
            <w:tcW w:w="3260" w:type="dxa"/>
            <w:vAlign w:val="bottom"/>
          </w:tcPr>
          <w:p>
            <w:pPr>
              <w:spacing w:after="0"/>
              <w:rPr>
                <w:sz w:val="4"/>
                <w:szCs w:val="4"/>
                <w:color w:val="auto"/>
              </w:rPr>
            </w:pPr>
          </w:p>
        </w:tc>
        <w:tc>
          <w:tcPr>
            <w:tcW w:w="18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Total Common Stock and Membership Units</w:t>
            </w:r>
          </w:p>
        </w:tc>
        <w:tc>
          <w:tcPr>
            <w:tcW w:w="18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7,526</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8,106</w:t>
            </w: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b w:val="1"/>
                <w:bCs w:val="1"/>
                <w:color w:val="auto"/>
              </w:rPr>
              <w:t>Derivatives - 0.0%</w:t>
            </w:r>
            <w:r>
              <w:rPr>
                <w:rFonts w:ascii="Times New Roman" w:cs="Times New Roman" w:eastAsia="Times New Roman" w:hAnsi="Times New Roman"/>
                <w:sz w:val="12"/>
                <w:szCs w:val="12"/>
                <w:b w:val="1"/>
                <w:bCs w:val="1"/>
                <w:color w:val="auto"/>
                <w:vertAlign w:val="superscript"/>
              </w:rPr>
              <w:t>(19)</w:t>
            </w:r>
          </w:p>
        </w:tc>
        <w:tc>
          <w:tcPr>
            <w:tcW w:w="1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Advantage Capital Holdings LLC</w:t>
            </w:r>
          </w:p>
        </w:tc>
        <w:tc>
          <w:tcPr>
            <w:tcW w:w="18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0"/>
                <w:szCs w:val="10"/>
                <w:color w:val="auto"/>
                <w:w w:val="98"/>
              </w:rPr>
              <w:t>Banking, Finance, Insurance &amp; Real</w:t>
            </w:r>
          </w:p>
        </w:tc>
        <w:tc>
          <w:tcPr>
            <w:tcW w:w="7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164</w:t>
            </w:r>
          </w:p>
        </w:tc>
        <w:tc>
          <w:tcPr>
            <w:tcW w:w="120" w:type="dxa"/>
            <w:vAlign w:val="bottom"/>
            <w:shd w:val="clear" w:color="auto" w:fill="CFF0FC"/>
          </w:tcPr>
          <w:p>
            <w:pPr>
              <w:spacing w:after="0"/>
              <w:rPr>
                <w:sz w:val="10"/>
                <w:szCs w:val="10"/>
                <w:color w:val="auto"/>
              </w:rPr>
            </w:pPr>
          </w:p>
        </w:tc>
        <w:tc>
          <w:tcPr>
            <w:tcW w:w="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220</w:t>
            </w: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(7)(22)</w:t>
            </w:r>
          </w:p>
        </w:tc>
        <w:tc>
          <w:tcPr>
            <w:tcW w:w="0" w:type="dxa"/>
            <w:vAlign w:val="bottom"/>
          </w:tcPr>
          <w:p>
            <w:pPr>
              <w:spacing w:after="0"/>
              <w:rPr>
                <w:sz w:val="1"/>
                <w:szCs w:val="1"/>
                <w:color w:val="auto"/>
              </w:rPr>
            </w:pPr>
          </w:p>
        </w:tc>
      </w:tr>
      <w:tr>
        <w:trPr>
          <w:trHeight w:val="100"/>
        </w:trPr>
        <w:tc>
          <w:tcPr>
            <w:tcW w:w="3260" w:type="dxa"/>
            <w:vAlign w:val="bottom"/>
            <w:tcBorders>
              <w:bottom w:val="single" w:sz="8" w:color="CFF0FC"/>
            </w:tcBorders>
            <w:shd w:val="clear" w:color="auto" w:fill="CFF0FC"/>
          </w:tcPr>
          <w:p>
            <w:pPr>
              <w:spacing w:after="0"/>
              <w:rPr>
                <w:sz w:val="8"/>
                <w:szCs w:val="8"/>
                <w:color w:val="auto"/>
              </w:rPr>
            </w:pPr>
          </w:p>
        </w:tc>
        <w:tc>
          <w:tcPr>
            <w:tcW w:w="1860" w:type="dxa"/>
            <w:vAlign w:val="bottom"/>
            <w:tcBorders>
              <w:bottom w:val="single" w:sz="8" w:color="CFF0FC"/>
            </w:tcBorders>
            <w:shd w:val="clear" w:color="auto" w:fill="CFF0FC"/>
          </w:tcPr>
          <w:p>
            <w:pPr>
              <w:ind w:left="400"/>
              <w:spacing w:after="0" w:line="100" w:lineRule="exact"/>
              <w:rPr>
                <w:sz w:val="20"/>
                <w:szCs w:val="20"/>
                <w:color w:val="auto"/>
              </w:rPr>
            </w:pPr>
            <w:r>
              <w:rPr>
                <w:rFonts w:ascii="Times New Roman" w:cs="Times New Roman" w:eastAsia="Times New Roman" w:hAnsi="Times New Roman"/>
                <w:sz w:val="10"/>
                <w:szCs w:val="10"/>
                <w:color w:val="auto"/>
              </w:rPr>
              <w:t>Estate</w:t>
            </w:r>
          </w:p>
        </w:tc>
        <w:tc>
          <w:tcPr>
            <w:tcW w:w="740" w:type="dxa"/>
            <w:vAlign w:val="bottom"/>
            <w:tcBorders>
              <w:bottom w:val="single" w:sz="8" w:color="CFF0FC"/>
            </w:tcBorders>
            <w:vMerge w:val="continue"/>
            <w:shd w:val="clear" w:color="auto" w:fill="CFF0FC"/>
          </w:tcPr>
          <w:p>
            <w:pPr>
              <w:spacing w:after="0"/>
              <w:rPr>
                <w:sz w:val="8"/>
                <w:szCs w:val="8"/>
                <w:color w:val="auto"/>
              </w:rPr>
            </w:pPr>
          </w:p>
        </w:tc>
        <w:tc>
          <w:tcPr>
            <w:tcW w:w="760" w:type="dxa"/>
            <w:vAlign w:val="bottom"/>
            <w:tcBorders>
              <w:bottom w:val="single" w:sz="8" w:color="CFF0FC"/>
            </w:tcBorders>
            <w:vMerge w:val="continue"/>
            <w:shd w:val="clear" w:color="auto" w:fill="CFF0FC"/>
          </w:tcPr>
          <w:p>
            <w:pPr>
              <w:spacing w:after="0"/>
              <w:rPr>
                <w:sz w:val="8"/>
                <w:szCs w:val="8"/>
                <w:color w:val="auto"/>
              </w:rPr>
            </w:pPr>
          </w:p>
        </w:tc>
        <w:tc>
          <w:tcPr>
            <w:tcW w:w="520" w:type="dxa"/>
            <w:vAlign w:val="bottom"/>
            <w:tcBorders>
              <w:bottom w:val="single" w:sz="8" w:color="CFF0FC"/>
            </w:tcBorders>
            <w:vMerge w:val="continue"/>
            <w:shd w:val="clear" w:color="auto" w:fill="CFF0FC"/>
          </w:tcPr>
          <w:p>
            <w:pPr>
              <w:spacing w:after="0"/>
              <w:rPr>
                <w:sz w:val="8"/>
                <w:szCs w:val="8"/>
                <w:color w:val="auto"/>
              </w:rPr>
            </w:pPr>
          </w:p>
        </w:tc>
        <w:tc>
          <w:tcPr>
            <w:tcW w:w="540" w:type="dxa"/>
            <w:vAlign w:val="bottom"/>
            <w:tcBorders>
              <w:bottom w:val="single" w:sz="8" w:color="CFF0FC"/>
            </w:tcBorders>
            <w:vMerge w:val="continue"/>
            <w:shd w:val="clear" w:color="auto" w:fill="CFF0FC"/>
          </w:tcPr>
          <w:p>
            <w:pPr>
              <w:spacing w:after="0"/>
              <w:rPr>
                <w:sz w:val="8"/>
                <w:szCs w:val="8"/>
                <w:color w:val="auto"/>
              </w:rPr>
            </w:pPr>
          </w:p>
        </w:tc>
        <w:tc>
          <w:tcPr>
            <w:tcW w:w="740" w:type="dxa"/>
            <w:vAlign w:val="bottom"/>
            <w:tcBorders>
              <w:bottom w:val="single" w:sz="8" w:color="CFF0FC"/>
            </w:tcBorders>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440" w:type="dxa"/>
            <w:vAlign w:val="bottom"/>
            <w:tcBorders>
              <w:bottom w:val="single" w:sz="8" w:color="CFF0FC"/>
            </w:tcBorders>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60" w:type="dxa"/>
            <w:vAlign w:val="bottom"/>
            <w:tcBorders>
              <w:bottom w:val="single" w:sz="8" w:color="CFF0FC"/>
            </w:tcBorders>
            <w:shd w:val="clear" w:color="auto" w:fill="CFF0FC"/>
          </w:tcPr>
          <w:p>
            <w:pPr>
              <w:spacing w:after="0"/>
              <w:rPr>
                <w:sz w:val="8"/>
                <w:szCs w:val="8"/>
                <w:color w:val="auto"/>
              </w:rPr>
            </w:pPr>
          </w:p>
        </w:tc>
        <w:tc>
          <w:tcPr>
            <w:tcW w:w="520" w:type="dxa"/>
            <w:vAlign w:val="bottom"/>
            <w:tcBorders>
              <w:bottom w:val="single" w:sz="8" w:color="CFF0FC"/>
            </w:tcBorders>
            <w:shd w:val="clear" w:color="auto" w:fill="CFF0FC"/>
          </w:tcPr>
          <w:p>
            <w:pPr>
              <w:spacing w:after="0"/>
              <w:rPr>
                <w:sz w:val="8"/>
                <w:szCs w:val="8"/>
                <w:color w:val="auto"/>
              </w:rPr>
            </w:pPr>
          </w:p>
        </w:tc>
        <w:tc>
          <w:tcPr>
            <w:tcW w:w="80" w:type="dxa"/>
            <w:vAlign w:val="bottom"/>
            <w:tcBorders>
              <w:bottom w:val="single" w:sz="8" w:color="CFF0FC"/>
            </w:tcBorders>
            <w:shd w:val="clear" w:color="auto" w:fill="CFF0FC"/>
          </w:tcPr>
          <w:p>
            <w:pPr>
              <w:spacing w:after="0"/>
              <w:rPr>
                <w:sz w:val="8"/>
                <w:szCs w:val="8"/>
                <w:color w:val="auto"/>
              </w:rPr>
            </w:pPr>
          </w:p>
        </w:tc>
        <w:tc>
          <w:tcPr>
            <w:tcW w:w="82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Epilog Partners LP (Care Connectors Medical Group)</w:t>
            </w:r>
          </w:p>
        </w:tc>
        <w:tc>
          <w:tcPr>
            <w:tcW w:w="18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Healthcare &amp; Pharmaceuticals</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1,166,667</w:t>
            </w:r>
          </w:p>
        </w:tc>
        <w:tc>
          <w:tcPr>
            <w:tcW w:w="120" w:type="dxa"/>
            <w:vAlign w:val="bottom"/>
          </w:tcPr>
          <w:p>
            <w:pPr>
              <w:spacing w:after="0"/>
              <w:rPr>
                <w:sz w:val="10"/>
                <w:szCs w:val="10"/>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(7)(22)</w:t>
            </w:r>
          </w:p>
        </w:tc>
        <w:tc>
          <w:tcPr>
            <w:tcW w:w="0" w:type="dxa"/>
            <w:vAlign w:val="bottom"/>
          </w:tcPr>
          <w:p>
            <w:pPr>
              <w:spacing w:after="0"/>
              <w:rPr>
                <w:sz w:val="1"/>
                <w:szCs w:val="1"/>
                <w:color w:val="auto"/>
              </w:rPr>
            </w:pPr>
          </w:p>
        </w:tc>
      </w:tr>
      <w:tr>
        <w:trPr>
          <w:trHeight w:val="120"/>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HDNet Holdco LLC (Anthem)</w:t>
            </w:r>
          </w:p>
        </w:tc>
        <w:tc>
          <w:tcPr>
            <w:tcW w:w="18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0"/>
                <w:szCs w:val="10"/>
                <w:color w:val="auto"/>
                <w:w w:val="97"/>
              </w:rPr>
              <w:t>Media: Broadcasting &amp; Subscription</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0.2</w:t>
            </w: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31</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(7)</w:t>
            </w:r>
          </w:p>
        </w:tc>
        <w:tc>
          <w:tcPr>
            <w:tcW w:w="0" w:type="dxa"/>
            <w:vAlign w:val="bottom"/>
          </w:tcPr>
          <w:p>
            <w:pPr>
              <w:spacing w:after="0"/>
              <w:rPr>
                <w:sz w:val="1"/>
                <w:szCs w:val="1"/>
                <w:color w:val="auto"/>
              </w:rPr>
            </w:pPr>
          </w:p>
        </w:tc>
      </w:tr>
      <w:tr>
        <w:trPr>
          <w:trHeight w:val="120"/>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Derivatives</w:t>
            </w:r>
          </w:p>
        </w:tc>
        <w:tc>
          <w:tcPr>
            <w:tcW w:w="1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220</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in Non-Control, Non-Affiliate Portfolio Companies</w:t>
            </w:r>
          </w:p>
        </w:tc>
        <w:tc>
          <w:tcPr>
            <w:tcW w:w="18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358,153</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327,622</w:t>
            </w: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b w:val="1"/>
                <w:bCs w:val="1"/>
                <w:color w:val="auto"/>
              </w:rPr>
              <w:t>Investments in Affiliate Portfolio Companies - 36.1%</w:t>
            </w:r>
            <w:r>
              <w:rPr>
                <w:rFonts w:ascii="Times New Roman" w:cs="Times New Roman" w:eastAsia="Times New Roman" w:hAnsi="Times New Roman"/>
                <w:sz w:val="12"/>
                <w:szCs w:val="12"/>
                <w:b w:val="1"/>
                <w:bCs w:val="1"/>
                <w:color w:val="auto"/>
                <w:vertAlign w:val="superscript"/>
              </w:rPr>
              <w:t>(17)</w:t>
            </w:r>
          </w:p>
        </w:tc>
        <w:tc>
          <w:tcPr>
            <w:tcW w:w="1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Lien/Senior Secured Debt - 4.3%</w:t>
            </w:r>
          </w:p>
        </w:tc>
        <w:tc>
          <w:tcPr>
            <w:tcW w:w="18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PMP OPCO, LLC (Princeton Medspa Partners, LLC)</w:t>
            </w:r>
          </w:p>
        </w:tc>
        <w:tc>
          <w:tcPr>
            <w:tcW w:w="18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Services: Consumer</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12.86%</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SOFR + 8.50%</w:t>
            </w:r>
          </w:p>
        </w:tc>
        <w:tc>
          <w:tcPr>
            <w:tcW w:w="5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2.00%</w:t>
            </w:r>
          </w:p>
        </w:tc>
        <w:tc>
          <w:tcPr>
            <w:tcW w:w="5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05/31/29</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1,679</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1,638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1,529</w:t>
            </w:r>
          </w:p>
        </w:tc>
        <w:tc>
          <w:tcPr>
            <w:tcW w:w="80" w:type="dxa"/>
            <w:vAlign w:val="bottom"/>
          </w:tcPr>
          <w:p>
            <w:pPr>
              <w:spacing w:after="0"/>
              <w:rPr>
                <w:sz w:val="10"/>
                <w:szCs w:val="10"/>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(13)(20)</w:t>
            </w:r>
          </w:p>
        </w:tc>
        <w:tc>
          <w:tcPr>
            <w:tcW w:w="0" w:type="dxa"/>
            <w:vAlign w:val="bottom"/>
          </w:tcPr>
          <w:p>
            <w:pPr>
              <w:spacing w:after="0"/>
              <w:rPr>
                <w:sz w:val="1"/>
                <w:szCs w:val="1"/>
                <w:color w:val="auto"/>
              </w:rPr>
            </w:pPr>
          </w:p>
        </w:tc>
      </w:tr>
      <w:tr>
        <w:trPr>
          <w:trHeight w:val="120"/>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PMP OPCO, LLC (Princeton Medspa Partners, LLC) (Revolver)</w:t>
            </w:r>
          </w:p>
        </w:tc>
        <w:tc>
          <w:tcPr>
            <w:tcW w:w="18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0"/>
                <w:szCs w:val="10"/>
                <w:color w:val="auto"/>
              </w:rPr>
              <w:t>Services: Consumer</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4"/>
              </w:rPr>
              <w:t>SOFR + 8.50%</w:t>
            </w: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rPr>
              <w:t>2.00%</w:t>
            </w:r>
          </w:p>
        </w:tc>
        <w:tc>
          <w:tcPr>
            <w:tcW w:w="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5"/>
              </w:rPr>
              <w:t>05/31/29</w:t>
            </w:r>
          </w:p>
        </w:tc>
        <w:tc>
          <w:tcPr>
            <w:tcW w:w="7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FF0FC"/>
          </w:tcPr>
          <w:p>
            <w:pPr>
              <w:spacing w:after="0"/>
              <w:rPr>
                <w:sz w:val="10"/>
                <w:szCs w:val="10"/>
                <w:color w:val="auto"/>
              </w:rPr>
            </w:pPr>
          </w:p>
        </w:tc>
        <w:tc>
          <w:tcPr>
            <w:tcW w:w="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(3)</w:t>
            </w:r>
          </w:p>
        </w:tc>
        <w:tc>
          <w:tcPr>
            <w:tcW w:w="60" w:type="dxa"/>
            <w:vAlign w:val="bottom"/>
            <w:shd w:val="clear" w:color="auto" w:fill="CFF0FC"/>
          </w:tcPr>
          <w:p>
            <w:pPr>
              <w:spacing w:after="0"/>
              <w:rPr>
                <w:sz w:val="10"/>
                <w:szCs w:val="10"/>
                <w:color w:val="auto"/>
              </w:rPr>
            </w:pPr>
          </w:p>
        </w:tc>
        <w:tc>
          <w:tcPr>
            <w:tcW w:w="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0"/>
                <w:szCs w:val="10"/>
                <w:color w:val="auto"/>
              </w:rPr>
              <w:t>(10)</w:t>
            </w:r>
          </w:p>
        </w:tc>
        <w:tc>
          <w:tcPr>
            <w:tcW w:w="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(15)(20)</w:t>
            </w:r>
          </w:p>
        </w:tc>
        <w:tc>
          <w:tcPr>
            <w:tcW w:w="0" w:type="dxa"/>
            <w:vAlign w:val="bottom"/>
          </w:tcPr>
          <w:p>
            <w:pPr>
              <w:spacing w:after="0"/>
              <w:rPr>
                <w:sz w:val="1"/>
                <w:szCs w:val="1"/>
                <w:color w:val="auto"/>
              </w:rPr>
            </w:pPr>
          </w:p>
        </w:tc>
      </w:tr>
      <w:tr>
        <w:trPr>
          <w:trHeight w:val="120"/>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Riddell, Inc.</w:t>
            </w:r>
          </w:p>
        </w:tc>
        <w:tc>
          <w:tcPr>
            <w:tcW w:w="18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Consumer goods: Durable</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10.48%</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SOFR + 6.00%</w:t>
            </w:r>
          </w:p>
        </w:tc>
        <w:tc>
          <w:tcPr>
            <w:tcW w:w="5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1.00%</w:t>
            </w:r>
          </w:p>
        </w:tc>
        <w:tc>
          <w:tcPr>
            <w:tcW w:w="5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03/29/29</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6,244</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6,149</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6,243</w:t>
            </w:r>
          </w:p>
        </w:tc>
        <w:tc>
          <w:tcPr>
            <w:tcW w:w="80" w:type="dxa"/>
            <w:vAlign w:val="bottom"/>
          </w:tcPr>
          <w:p>
            <w:pPr>
              <w:spacing w:after="0"/>
              <w:rPr>
                <w:sz w:val="10"/>
                <w:szCs w:val="10"/>
                <w:color w:val="auto"/>
              </w:rPr>
            </w:pPr>
          </w:p>
        </w:tc>
        <w:tc>
          <w:tcPr>
            <w:tcW w:w="82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(13)(20)</w:t>
            </w:r>
          </w:p>
        </w:tc>
        <w:tc>
          <w:tcPr>
            <w:tcW w:w="0" w:type="dxa"/>
            <w:vAlign w:val="bottom"/>
          </w:tcPr>
          <w:p>
            <w:pPr>
              <w:spacing w:after="0"/>
              <w:rPr>
                <w:sz w:val="1"/>
                <w:szCs w:val="1"/>
                <w:color w:val="auto"/>
              </w:rPr>
            </w:pPr>
          </w:p>
        </w:tc>
      </w:tr>
      <w:tr>
        <w:trPr>
          <w:trHeight w:val="120"/>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Lien/Senior Secured Debt</w:t>
            </w:r>
          </w:p>
        </w:tc>
        <w:tc>
          <w:tcPr>
            <w:tcW w:w="18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7,784</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7,762</w:t>
            </w: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Second Lien/Senior Secured Debt- 2.2%</w:t>
            </w:r>
          </w:p>
        </w:tc>
        <w:tc>
          <w:tcPr>
            <w:tcW w:w="1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Northeast Metal Works LLC</w:t>
            </w:r>
          </w:p>
        </w:tc>
        <w:tc>
          <w:tcPr>
            <w:tcW w:w="18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0"/>
                <w:szCs w:val="10"/>
                <w:color w:val="auto"/>
              </w:rPr>
              <w:t>Metals &amp; Mining</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2"/>
              </w:rPr>
              <w:t>8.00%</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5"/>
              </w:rPr>
              <w:t>04/05/28</w:t>
            </w:r>
          </w:p>
        </w:tc>
        <w:tc>
          <w:tcPr>
            <w:tcW w:w="7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4,500</w:t>
            </w: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4,500</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3,443</w:t>
            </w: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Northeast Metal Works LLC</w:t>
            </w:r>
          </w:p>
        </w:tc>
        <w:tc>
          <w:tcPr>
            <w:tcW w:w="18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Metals &amp; Mining</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8.00%</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01/01/25</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500</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500</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500</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Total Second Lien/Senior Secured Debt</w:t>
            </w:r>
          </w:p>
        </w:tc>
        <w:tc>
          <w:tcPr>
            <w:tcW w:w="18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5,000</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3,943</w:t>
            </w: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Collateralized Loan Obligations - 1.2%</w:t>
            </w:r>
          </w:p>
        </w:tc>
        <w:tc>
          <w:tcPr>
            <w:tcW w:w="1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JMP Credit Advisors CLO IV LTD</w:t>
            </w:r>
          </w:p>
        </w:tc>
        <w:tc>
          <w:tcPr>
            <w:tcW w:w="18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0"/>
                <w:szCs w:val="10"/>
                <w:color w:val="auto"/>
              </w:rPr>
              <w:t>CLO Fund Securities</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5"/>
              </w:rPr>
              <w:t>07/17/29</w:t>
            </w:r>
          </w:p>
        </w:tc>
        <w:tc>
          <w:tcPr>
            <w:tcW w:w="7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18,407</w:t>
            </w: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521</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725</w:t>
            </w: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(3)(7)(10)</w:t>
            </w:r>
          </w:p>
        </w:tc>
        <w:tc>
          <w:tcPr>
            <w:tcW w:w="0" w:type="dxa"/>
            <w:vAlign w:val="bottom"/>
          </w:tcPr>
          <w:p>
            <w:pPr>
              <w:spacing w:after="0"/>
              <w:rPr>
                <w:sz w:val="1"/>
                <w:szCs w:val="1"/>
                <w:color w:val="auto"/>
              </w:rPr>
            </w:pPr>
          </w:p>
        </w:tc>
      </w:tr>
      <w:tr>
        <w:trPr>
          <w:trHeight w:val="120"/>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JMP Credit Advisors CLO V LTD</w:t>
            </w:r>
          </w:p>
        </w:tc>
        <w:tc>
          <w:tcPr>
            <w:tcW w:w="18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CLO Fund Securities</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07/17/30</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17,074</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1,467</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1,467</w:t>
            </w:r>
          </w:p>
        </w:tc>
        <w:tc>
          <w:tcPr>
            <w:tcW w:w="80" w:type="dxa"/>
            <w:vAlign w:val="bottom"/>
          </w:tcPr>
          <w:p>
            <w:pPr>
              <w:spacing w:after="0"/>
              <w:rPr>
                <w:sz w:val="10"/>
                <w:szCs w:val="10"/>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(3)(7)(10)</w:t>
            </w:r>
          </w:p>
        </w:tc>
        <w:tc>
          <w:tcPr>
            <w:tcW w:w="0" w:type="dxa"/>
            <w:vAlign w:val="bottom"/>
          </w:tcPr>
          <w:p>
            <w:pPr>
              <w:spacing w:after="0"/>
              <w:rPr>
                <w:sz w:val="1"/>
                <w:szCs w:val="1"/>
                <w:color w:val="auto"/>
              </w:rPr>
            </w:pPr>
          </w:p>
        </w:tc>
      </w:tr>
      <w:tr>
        <w:trPr>
          <w:trHeight w:val="120"/>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Total Collateralized Loan Obligations</w:t>
            </w:r>
          </w:p>
        </w:tc>
        <w:tc>
          <w:tcPr>
            <w:tcW w:w="18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1,988</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2,192</w:t>
            </w: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Joint Ventures- 23.0%</w:t>
            </w:r>
          </w:p>
        </w:tc>
        <w:tc>
          <w:tcPr>
            <w:tcW w:w="1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Series A-Great Lakes Funding II LLC</w:t>
            </w:r>
          </w:p>
        </w:tc>
        <w:tc>
          <w:tcPr>
            <w:tcW w:w="18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0"/>
                <w:szCs w:val="10"/>
                <w:color w:val="auto"/>
              </w:rPr>
              <w:t>Joint Venture</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41,309</w:t>
            </w: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41,309</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41,138</w:t>
            </w: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(7)(20)(26)</w:t>
            </w:r>
          </w:p>
        </w:tc>
        <w:tc>
          <w:tcPr>
            <w:tcW w:w="0" w:type="dxa"/>
            <w:vAlign w:val="bottom"/>
          </w:tcPr>
          <w:p>
            <w:pPr>
              <w:spacing w:after="0"/>
              <w:rPr>
                <w:sz w:val="1"/>
                <w:szCs w:val="1"/>
                <w:color w:val="auto"/>
              </w:rPr>
            </w:pPr>
          </w:p>
        </w:tc>
      </w:tr>
      <w:tr>
        <w:trPr>
          <w:trHeight w:val="120"/>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Joint Ventures</w:t>
            </w:r>
          </w:p>
        </w:tc>
        <w:tc>
          <w:tcPr>
            <w:tcW w:w="1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41,309</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41,138</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Preferred Stock and Units - 3.2%</w:t>
            </w:r>
          </w:p>
        </w:tc>
        <w:tc>
          <w:tcPr>
            <w:tcW w:w="18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BMP Slappey Holdco, LLC</w:t>
            </w:r>
          </w:p>
        </w:tc>
        <w:tc>
          <w:tcPr>
            <w:tcW w:w="18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Telecommunications</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200,000</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467</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557</w:t>
            </w:r>
          </w:p>
        </w:tc>
        <w:tc>
          <w:tcPr>
            <w:tcW w:w="80" w:type="dxa"/>
            <w:vAlign w:val="bottom"/>
          </w:tcPr>
          <w:p>
            <w:pPr>
              <w:spacing w:after="0"/>
              <w:rPr>
                <w:sz w:val="10"/>
                <w:szCs w:val="10"/>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(21)</w:t>
            </w:r>
          </w:p>
        </w:tc>
        <w:tc>
          <w:tcPr>
            <w:tcW w:w="0" w:type="dxa"/>
            <w:vAlign w:val="bottom"/>
          </w:tcPr>
          <w:p>
            <w:pPr>
              <w:spacing w:after="0"/>
              <w:rPr>
                <w:sz w:val="1"/>
                <w:szCs w:val="1"/>
                <w:color w:val="auto"/>
              </w:rPr>
            </w:pPr>
          </w:p>
        </w:tc>
      </w:tr>
      <w:tr>
        <w:trPr>
          <w:trHeight w:val="120"/>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BMP Slappey Investment II</w:t>
            </w:r>
          </w:p>
        </w:tc>
        <w:tc>
          <w:tcPr>
            <w:tcW w:w="18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0"/>
                <w:szCs w:val="10"/>
                <w:color w:val="auto"/>
              </w:rPr>
              <w:t>Telecommunications</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88,946</w:t>
            </w: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208</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248</w:t>
            </w: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(21)</w:t>
            </w:r>
          </w:p>
        </w:tc>
        <w:tc>
          <w:tcPr>
            <w:tcW w:w="0" w:type="dxa"/>
            <w:vAlign w:val="bottom"/>
          </w:tcPr>
          <w:p>
            <w:pPr>
              <w:spacing w:after="0"/>
              <w:rPr>
                <w:sz w:val="1"/>
                <w:szCs w:val="1"/>
                <w:color w:val="auto"/>
              </w:rPr>
            </w:pPr>
          </w:p>
        </w:tc>
      </w:tr>
      <w:tr>
        <w:trPr>
          <w:trHeight w:val="120"/>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EBSC Holdings LLC (Riddell, Inc.)</w:t>
            </w:r>
          </w:p>
        </w:tc>
        <w:tc>
          <w:tcPr>
            <w:tcW w:w="18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Consumer goods: Durable</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10.00% PIK</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2,154</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2,128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2,375</w:t>
            </w:r>
          </w:p>
        </w:tc>
        <w:tc>
          <w:tcPr>
            <w:tcW w:w="80" w:type="dxa"/>
            <w:vAlign w:val="bottom"/>
          </w:tcPr>
          <w:p>
            <w:pPr>
              <w:spacing w:after="0"/>
              <w:rPr>
                <w:sz w:val="10"/>
                <w:szCs w:val="10"/>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(25)</w:t>
            </w:r>
          </w:p>
        </w:tc>
        <w:tc>
          <w:tcPr>
            <w:tcW w:w="0" w:type="dxa"/>
            <w:vAlign w:val="bottom"/>
          </w:tcPr>
          <w:p>
            <w:pPr>
              <w:spacing w:after="0"/>
              <w:rPr>
                <w:sz w:val="1"/>
                <w:szCs w:val="1"/>
                <w:color w:val="auto"/>
              </w:rPr>
            </w:pPr>
          </w:p>
        </w:tc>
      </w:tr>
      <w:tr>
        <w:trPr>
          <w:trHeight w:val="120"/>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GreenPark Infrastructure, LLC - Series A</w:t>
            </w:r>
          </w:p>
        </w:tc>
        <w:tc>
          <w:tcPr>
            <w:tcW w:w="18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0"/>
                <w:szCs w:val="10"/>
                <w:color w:val="auto"/>
              </w:rPr>
              <w:t>Energy: Electricity</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1,000</w:t>
            </w: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500</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500</w:t>
            </w: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(22)</w:t>
            </w:r>
          </w:p>
        </w:tc>
        <w:tc>
          <w:tcPr>
            <w:tcW w:w="0" w:type="dxa"/>
            <w:vAlign w:val="bottom"/>
          </w:tcPr>
          <w:p>
            <w:pPr>
              <w:spacing w:after="0"/>
              <w:rPr>
                <w:sz w:val="1"/>
                <w:szCs w:val="1"/>
                <w:color w:val="auto"/>
              </w:rPr>
            </w:pPr>
          </w:p>
        </w:tc>
      </w:tr>
      <w:tr>
        <w:trPr>
          <w:trHeight w:val="120"/>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Northeast Metal Works LLC - Preferred</w:t>
            </w:r>
          </w:p>
        </w:tc>
        <w:tc>
          <w:tcPr>
            <w:tcW w:w="18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Metals &amp; Mining</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2,368</w:t>
            </w:r>
          </w:p>
        </w:tc>
        <w:tc>
          <w:tcPr>
            <w:tcW w:w="120" w:type="dxa"/>
            <w:vAlign w:val="bottom"/>
          </w:tcPr>
          <w:p>
            <w:pPr>
              <w:spacing w:after="0"/>
              <w:rPr>
                <w:sz w:val="10"/>
                <w:szCs w:val="10"/>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(21)</w:t>
            </w:r>
          </w:p>
        </w:tc>
        <w:tc>
          <w:tcPr>
            <w:tcW w:w="0" w:type="dxa"/>
            <w:vAlign w:val="bottom"/>
          </w:tcPr>
          <w:p>
            <w:pPr>
              <w:spacing w:after="0"/>
              <w:rPr>
                <w:sz w:val="1"/>
                <w:szCs w:val="1"/>
                <w:color w:val="auto"/>
              </w:rPr>
            </w:pPr>
          </w:p>
        </w:tc>
      </w:tr>
      <w:tr>
        <w:trPr>
          <w:trHeight w:val="120"/>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Northeast Metal Works LLC - Class O Preferred</w:t>
            </w:r>
          </w:p>
        </w:tc>
        <w:tc>
          <w:tcPr>
            <w:tcW w:w="18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0"/>
                <w:szCs w:val="10"/>
                <w:color w:val="auto"/>
              </w:rPr>
              <w:t>Metals &amp; Mining</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6"/>
              </w:rPr>
              <w:t>10.00% PIK</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4,950,000</w:t>
            </w: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4,950</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1,160</w:t>
            </w: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(21)(25)</w:t>
            </w:r>
          </w:p>
        </w:tc>
        <w:tc>
          <w:tcPr>
            <w:tcW w:w="0" w:type="dxa"/>
            <w:vAlign w:val="bottom"/>
          </w:tcPr>
          <w:p>
            <w:pPr>
              <w:spacing w:after="0"/>
              <w:rPr>
                <w:sz w:val="1"/>
                <w:szCs w:val="1"/>
                <w:color w:val="auto"/>
              </w:rPr>
            </w:pPr>
          </w:p>
        </w:tc>
      </w:tr>
      <w:tr>
        <w:trPr>
          <w:trHeight w:val="120"/>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Princeton Medspa Partners, LLC</w:t>
            </w:r>
          </w:p>
        </w:tc>
        <w:tc>
          <w:tcPr>
            <w:tcW w:w="18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Services: Consumer</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12.50% PIK</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1,064</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1,064</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859</w:t>
            </w:r>
          </w:p>
        </w:tc>
        <w:tc>
          <w:tcPr>
            <w:tcW w:w="80" w:type="dxa"/>
            <w:vAlign w:val="bottom"/>
          </w:tcPr>
          <w:p>
            <w:pPr>
              <w:spacing w:after="0"/>
              <w:rPr>
                <w:sz w:val="10"/>
                <w:szCs w:val="10"/>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(22)(25)</w:t>
            </w:r>
          </w:p>
        </w:tc>
        <w:tc>
          <w:tcPr>
            <w:tcW w:w="0" w:type="dxa"/>
            <w:vAlign w:val="bottom"/>
          </w:tcPr>
          <w:p>
            <w:pPr>
              <w:spacing w:after="0"/>
              <w:rPr>
                <w:sz w:val="1"/>
                <w:szCs w:val="1"/>
                <w:color w:val="auto"/>
              </w:rPr>
            </w:pPr>
          </w:p>
        </w:tc>
      </w:tr>
      <w:tr>
        <w:trPr>
          <w:trHeight w:val="120"/>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Total Preferred Stock and Units</w:t>
            </w:r>
          </w:p>
        </w:tc>
        <w:tc>
          <w:tcPr>
            <w:tcW w:w="18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9,317</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5,699</w:t>
            </w: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Common Stock and Membership Units - 2.0%</w:t>
            </w:r>
          </w:p>
        </w:tc>
        <w:tc>
          <w:tcPr>
            <w:tcW w:w="1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GreenPark Infrastructure, LLC - Series M-1</w:t>
            </w:r>
          </w:p>
        </w:tc>
        <w:tc>
          <w:tcPr>
            <w:tcW w:w="18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0"/>
                <w:szCs w:val="10"/>
                <w:color w:val="auto"/>
              </w:rPr>
              <w:t>Energy: Electricity</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6,412</w:t>
            </w: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2,196</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2,202</w:t>
            </w: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(20)(22)</w:t>
            </w:r>
          </w:p>
        </w:tc>
        <w:tc>
          <w:tcPr>
            <w:tcW w:w="0" w:type="dxa"/>
            <w:vAlign w:val="bottom"/>
          </w:tcPr>
          <w:p>
            <w:pPr>
              <w:spacing w:after="0"/>
              <w:rPr>
                <w:sz w:val="1"/>
                <w:szCs w:val="1"/>
                <w:color w:val="auto"/>
              </w:rPr>
            </w:pPr>
          </w:p>
        </w:tc>
      </w:tr>
      <w:tr>
        <w:trPr>
          <w:trHeight w:val="120"/>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Kleen-Tech Acquisition, LLC</w:t>
            </w:r>
          </w:p>
        </w:tc>
        <w:tc>
          <w:tcPr>
            <w:tcW w:w="18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Services: Business</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250,000</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1,264</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1,420</w:t>
            </w:r>
          </w:p>
        </w:tc>
        <w:tc>
          <w:tcPr>
            <w:tcW w:w="80" w:type="dxa"/>
            <w:vAlign w:val="bottom"/>
          </w:tcPr>
          <w:p>
            <w:pPr>
              <w:spacing w:after="0"/>
              <w:rPr>
                <w:sz w:val="10"/>
                <w:szCs w:val="10"/>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(21)</w:t>
            </w:r>
          </w:p>
        </w:tc>
        <w:tc>
          <w:tcPr>
            <w:tcW w:w="0" w:type="dxa"/>
            <w:vAlign w:val="bottom"/>
          </w:tcPr>
          <w:p>
            <w:pPr>
              <w:spacing w:after="0"/>
              <w:rPr>
                <w:sz w:val="1"/>
                <w:szCs w:val="1"/>
                <w:color w:val="auto"/>
              </w:rPr>
            </w:pPr>
          </w:p>
        </w:tc>
      </w:tr>
      <w:tr>
        <w:trPr>
          <w:trHeight w:val="120"/>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Princeton Medspa Partners, LLC - Warrant</w:t>
            </w:r>
          </w:p>
        </w:tc>
        <w:tc>
          <w:tcPr>
            <w:tcW w:w="18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0"/>
                <w:szCs w:val="10"/>
                <w:color w:val="auto"/>
              </w:rPr>
              <w:t>Services: Consumer</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0.03</w:t>
            </w:r>
          </w:p>
        </w:tc>
        <w:tc>
          <w:tcPr>
            <w:tcW w:w="120" w:type="dxa"/>
            <w:vAlign w:val="bottom"/>
            <w:shd w:val="clear" w:color="auto" w:fill="CFF0FC"/>
          </w:tcPr>
          <w:p>
            <w:pPr>
              <w:spacing w:after="0"/>
              <w:rPr>
                <w:sz w:val="10"/>
                <w:szCs w:val="10"/>
                <w:color w:val="auto"/>
              </w:rPr>
            </w:pPr>
          </w:p>
        </w:tc>
        <w:tc>
          <w:tcPr>
            <w:tcW w:w="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28</w:t>
            </w: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(22)</w:t>
            </w:r>
          </w:p>
        </w:tc>
        <w:tc>
          <w:tcPr>
            <w:tcW w:w="0" w:type="dxa"/>
            <w:vAlign w:val="bottom"/>
          </w:tcPr>
          <w:p>
            <w:pPr>
              <w:spacing w:after="0"/>
              <w:rPr>
                <w:sz w:val="1"/>
                <w:szCs w:val="1"/>
                <w:color w:val="auto"/>
              </w:rPr>
            </w:pPr>
          </w:p>
        </w:tc>
      </w:tr>
      <w:tr>
        <w:trPr>
          <w:trHeight w:val="120"/>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Common Stock and Membership Units</w:t>
            </w:r>
          </w:p>
        </w:tc>
        <w:tc>
          <w:tcPr>
            <w:tcW w:w="1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3,460</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3,650</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60" w:type="dxa"/>
            <w:vAlign w:val="bottom"/>
            <w:shd w:val="clear" w:color="auto" w:fill="CFF0FC"/>
          </w:tcPr>
          <w:p>
            <w:pPr>
              <w:ind w:left="20"/>
              <w:spacing w:after="0" w:line="120" w:lineRule="exact"/>
              <w:rPr>
                <w:sz w:val="20"/>
                <w:szCs w:val="20"/>
                <w:color w:val="auto"/>
              </w:rPr>
            </w:pPr>
            <w:r>
              <w:rPr>
                <w:rFonts w:ascii="Times New Roman" w:cs="Times New Roman" w:eastAsia="Times New Roman" w:hAnsi="Times New Roman"/>
                <w:sz w:val="10"/>
                <w:szCs w:val="10"/>
                <w:b w:val="1"/>
                <w:bCs w:val="1"/>
                <w:color w:val="auto"/>
              </w:rPr>
              <w:t>Derivatives - 0.0%</w:t>
            </w:r>
            <w:r>
              <w:rPr>
                <w:rFonts w:ascii="Times New Roman" w:cs="Times New Roman" w:eastAsia="Times New Roman" w:hAnsi="Times New Roman"/>
                <w:sz w:val="12"/>
                <w:szCs w:val="12"/>
                <w:b w:val="1"/>
                <w:bCs w:val="1"/>
                <w:color w:val="auto"/>
                <w:vertAlign w:val="superscript"/>
              </w:rPr>
              <w:t>(19)</w:t>
            </w:r>
          </w:p>
        </w:tc>
        <w:tc>
          <w:tcPr>
            <w:tcW w:w="18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Princeton Medspa Partners, LLC</w:t>
            </w:r>
          </w:p>
        </w:tc>
        <w:tc>
          <w:tcPr>
            <w:tcW w:w="18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Services: Consumer</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1,000,000</w:t>
            </w:r>
          </w:p>
        </w:tc>
        <w:tc>
          <w:tcPr>
            <w:tcW w:w="120" w:type="dxa"/>
            <w:vAlign w:val="bottom"/>
          </w:tcPr>
          <w:p>
            <w:pPr>
              <w:spacing w:after="0"/>
              <w:rPr>
                <w:sz w:val="10"/>
                <w:szCs w:val="10"/>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(7)(22)</w:t>
            </w:r>
          </w:p>
        </w:tc>
        <w:tc>
          <w:tcPr>
            <w:tcW w:w="0" w:type="dxa"/>
            <w:vAlign w:val="bottom"/>
          </w:tcPr>
          <w:p>
            <w:pPr>
              <w:spacing w:after="0"/>
              <w:rPr>
                <w:sz w:val="1"/>
                <w:szCs w:val="1"/>
                <w:color w:val="auto"/>
              </w:rPr>
            </w:pPr>
          </w:p>
        </w:tc>
      </w:tr>
      <w:tr>
        <w:trPr>
          <w:trHeight w:val="120"/>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Total Derivatives</w:t>
            </w:r>
          </w:p>
        </w:tc>
        <w:tc>
          <w:tcPr>
            <w:tcW w:w="18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FF0FC"/>
          </w:tcPr>
          <w:p>
            <w:pPr>
              <w:spacing w:after="0"/>
              <w:rPr>
                <w:sz w:val="10"/>
                <w:szCs w:val="10"/>
                <w:color w:val="auto"/>
              </w:rPr>
            </w:pPr>
          </w:p>
        </w:tc>
        <w:tc>
          <w:tcPr>
            <w:tcW w:w="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in Affiliate Portfolio Companies</w:t>
            </w:r>
          </w:p>
        </w:tc>
        <w:tc>
          <w:tcPr>
            <w:tcW w:w="1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68,858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64,384</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60" w:type="dxa"/>
            <w:vAlign w:val="bottom"/>
            <w:shd w:val="clear" w:color="auto" w:fill="CFF0FC"/>
          </w:tcPr>
          <w:p>
            <w:pPr>
              <w:ind w:left="20"/>
              <w:spacing w:after="0" w:line="120" w:lineRule="exact"/>
              <w:rPr>
                <w:sz w:val="20"/>
                <w:szCs w:val="20"/>
                <w:color w:val="auto"/>
              </w:rPr>
            </w:pPr>
            <w:r>
              <w:rPr>
                <w:rFonts w:ascii="Times New Roman" w:cs="Times New Roman" w:eastAsia="Times New Roman" w:hAnsi="Times New Roman"/>
                <w:sz w:val="10"/>
                <w:szCs w:val="10"/>
                <w:b w:val="1"/>
                <w:bCs w:val="1"/>
                <w:color w:val="auto"/>
              </w:rPr>
              <w:t>Investments in Controlled Afilliated Portfolio Companies - 7.3%</w:t>
            </w:r>
            <w:r>
              <w:rPr>
                <w:rFonts w:ascii="Times New Roman" w:cs="Times New Roman" w:eastAsia="Times New Roman" w:hAnsi="Times New Roman"/>
                <w:sz w:val="12"/>
                <w:szCs w:val="12"/>
                <w:b w:val="1"/>
                <w:bCs w:val="1"/>
                <w:color w:val="auto"/>
                <w:vertAlign w:val="superscript"/>
              </w:rPr>
              <w:t>(8)</w:t>
            </w:r>
          </w:p>
        </w:tc>
        <w:tc>
          <w:tcPr>
            <w:tcW w:w="18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Subordinated Debt - 0.0%</w:t>
            </w:r>
          </w:p>
        </w:tc>
        <w:tc>
          <w:tcPr>
            <w:tcW w:w="1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ProAir, LLC</w:t>
            </w:r>
          </w:p>
        </w:tc>
        <w:tc>
          <w:tcPr>
            <w:tcW w:w="18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0"/>
                <w:szCs w:val="10"/>
                <w:color w:val="auto"/>
              </w:rPr>
              <w:t>Capital Equipment</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5"/>
              </w:rPr>
              <w:t>01/31/23</w:t>
            </w:r>
          </w:p>
        </w:tc>
        <w:tc>
          <w:tcPr>
            <w:tcW w:w="7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2,020</w:t>
            </w: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1,931</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(5)</w:t>
            </w:r>
          </w:p>
        </w:tc>
        <w:tc>
          <w:tcPr>
            <w:tcW w:w="0" w:type="dxa"/>
            <w:vAlign w:val="bottom"/>
          </w:tcPr>
          <w:p>
            <w:pPr>
              <w:spacing w:after="0"/>
              <w:rPr>
                <w:sz w:val="1"/>
                <w:szCs w:val="1"/>
                <w:color w:val="auto"/>
              </w:rPr>
            </w:pPr>
          </w:p>
        </w:tc>
      </w:tr>
      <w:tr>
        <w:trPr>
          <w:trHeight w:val="120"/>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Subordinated Debt</w:t>
            </w:r>
          </w:p>
        </w:tc>
        <w:tc>
          <w:tcPr>
            <w:tcW w:w="1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1,931</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Common Stock and Membership Units - 0.0%</w:t>
            </w:r>
          </w:p>
        </w:tc>
        <w:tc>
          <w:tcPr>
            <w:tcW w:w="18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ProAir HoldCo, LLC</w:t>
            </w:r>
          </w:p>
        </w:tc>
        <w:tc>
          <w:tcPr>
            <w:tcW w:w="18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Capital Equipment</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2,749,997</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4,261</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Total Common Stock and Membership Units</w:t>
            </w:r>
          </w:p>
        </w:tc>
        <w:tc>
          <w:tcPr>
            <w:tcW w:w="18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4,261</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Joint Ventures - 7.3%</w:t>
            </w:r>
          </w:p>
        </w:tc>
        <w:tc>
          <w:tcPr>
            <w:tcW w:w="1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KCAP Freedom 3 LLC</w:t>
            </w:r>
          </w:p>
        </w:tc>
        <w:tc>
          <w:tcPr>
            <w:tcW w:w="18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0"/>
                <w:szCs w:val="10"/>
                <w:color w:val="auto"/>
              </w:rPr>
              <w:t>Joint Venture</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27,220</w:t>
            </w: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25,438</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13,015</w:t>
            </w: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(7)</w:t>
            </w:r>
          </w:p>
        </w:tc>
        <w:tc>
          <w:tcPr>
            <w:tcW w:w="0" w:type="dxa"/>
            <w:vAlign w:val="bottom"/>
          </w:tcPr>
          <w:p>
            <w:pPr>
              <w:spacing w:after="0"/>
              <w:rPr>
                <w:sz w:val="1"/>
                <w:szCs w:val="1"/>
                <w:color w:val="auto"/>
              </w:rPr>
            </w:pPr>
          </w:p>
        </w:tc>
      </w:tr>
      <w:tr>
        <w:trPr>
          <w:trHeight w:val="120"/>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Joint Ventures</w:t>
            </w:r>
          </w:p>
        </w:tc>
        <w:tc>
          <w:tcPr>
            <w:tcW w:w="1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25,438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13,015</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Asset Manager Affiliates - 0.0%</w:t>
            </w:r>
          </w:p>
        </w:tc>
        <w:tc>
          <w:tcPr>
            <w:tcW w:w="18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Asset Management Company</w:t>
            </w:r>
          </w:p>
        </w:tc>
        <w:tc>
          <w:tcPr>
            <w:tcW w:w="18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Asset Management Company</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17,791</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(7)</w:t>
            </w:r>
          </w:p>
        </w:tc>
        <w:tc>
          <w:tcPr>
            <w:tcW w:w="0" w:type="dxa"/>
            <w:vAlign w:val="bottom"/>
          </w:tcPr>
          <w:p>
            <w:pPr>
              <w:spacing w:after="0"/>
              <w:rPr>
                <w:sz w:val="1"/>
                <w:szCs w:val="1"/>
                <w:color w:val="auto"/>
              </w:rPr>
            </w:pPr>
          </w:p>
        </w:tc>
      </w:tr>
      <w:tr>
        <w:trPr>
          <w:trHeight w:val="120"/>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Total Asset Manager Affiliates</w:t>
            </w:r>
          </w:p>
        </w:tc>
        <w:tc>
          <w:tcPr>
            <w:tcW w:w="18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17,791</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in Controlled Affiliated Portfolio Companies</w:t>
            </w:r>
          </w:p>
        </w:tc>
        <w:tc>
          <w:tcPr>
            <w:tcW w:w="1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49,421</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13,015</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260" w:type="dxa"/>
            <w:vAlign w:val="bottom"/>
            <w:tcBorders>
              <w:bottom w:val="single" w:sz="8" w:color="CFF0FC"/>
            </w:tcBorders>
            <w:shd w:val="clear" w:color="auto" w:fill="CFF0FC"/>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Total Investments - 226.9%</w:t>
            </w:r>
          </w:p>
        </w:tc>
        <w:tc>
          <w:tcPr>
            <w:tcW w:w="186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CFF0FC"/>
            </w:tcBorders>
            <w:shd w:val="clear" w:color="auto" w:fill="CFF0FC"/>
          </w:tcPr>
          <w:p>
            <w:pPr>
              <w:spacing w:after="0"/>
              <w:rPr>
                <w:sz w:val="13"/>
                <w:szCs w:val="13"/>
                <w:color w:val="auto"/>
              </w:rPr>
            </w:pPr>
          </w:p>
        </w:tc>
        <w:tc>
          <w:tcPr>
            <w:tcW w:w="54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476,432</w:t>
            </w:r>
          </w:p>
        </w:tc>
        <w:tc>
          <w:tcPr>
            <w:tcW w:w="10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405,021</w:t>
            </w:r>
          </w:p>
        </w:tc>
        <w:tc>
          <w:tcPr>
            <w:tcW w:w="8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1"/>
          <w:szCs w:val="11"/>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PORTMAN RIDGE FINANCE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As of December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18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1"/>
          <w:szCs w:val="11"/>
          <w:color w:val="auto"/>
        </w:rPr>
        <w:t>(1)A majority of the variable rate loans in the Company’s investment portfolio bear interest at a rate that may be determined by reference to either SOFR or an alternate Base Rate (commonly based on the Federal Funds Rate or the Prime Rate), which typically resets semi-annually, quarterly, or monthly at the borrower’s option. The Borrower may also elect to have multiple interest reset periods for each December 31, 2024 loan. SOFR loans are typically indexed to 12 month, 6 month, 3 month, 2 month or 1 month SOFR rates. For each such loan, the Company has provided the weighted average annual stated interest rate in effect at December 31, 2024. As noted in the table above, 89.8% (based on par) of debt securities contain floors which range between 0.50% and 5.25%.</w:t>
      </w:r>
    </w:p>
    <w:p>
      <w:pPr>
        <w:spacing w:after="0" w:line="78"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1"/>
          <w:szCs w:val="11"/>
          <w:color w:val="auto"/>
        </w:rPr>
        <w:t>(2)Reflects the fair market value of all investments as of December 31, 2024 as determined in good faith using significant unobservable inputs by the Adviser in its role as “valuation designee” in accordance with Rule 2a-5 under the 1940 Act, pursuant to valuation policies and procedures that have been approved by the Company’s board of directors (the “Board”).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(3)Non-U.S. company or principal place of business outside the U.S.</w:t>
      </w:r>
    </w:p>
    <w:p>
      <w:pPr>
        <w:spacing w:after="0" w:line="102"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1"/>
          <w:szCs w:val="11"/>
          <w:color w:val="auto"/>
        </w:rPr>
        <w:t>(4)The aggregate cost of investments for federal income tax purposes is approximately $458.4 million. The aggregate gross unrealized appreciation is approximately $50.0 million, the aggregate gross unrealized depreciation is approximately $103.3 million, and the net unrealized depreciation is approximately $53.3 million.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(5)Loan or debt security is on non-accrual status and therefore is considered non-income producing.</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(6)Held through Garrison Capital Equity Holdings II LLC and net of non-controlling member’s interest of 17.5% pursuant to the Amended and Restated Limited Liability Company Agreement of Garrison Capital Equity Holdings II LLC.</w:t>
      </w:r>
    </w:p>
    <w:p>
      <w:pPr>
        <w:spacing w:after="0" w:line="102"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1"/>
          <w:szCs w:val="11"/>
          <w:color w:val="auto"/>
        </w:rPr>
        <w:t>(7)The investment is treated as a non-qualifying asset under Section 55(a) of the 1940 Act. Under the 1940 Act, we may not acquire any non-qualifying asset unless, at the time the acquisition is made, qualifying assets represent at least 70% of our total assets. As of December 31, 2024, qualifying assets represent 86.6% of the Company's total assets and non-qualifying assets represent 13.4% of the Company's total assets.</w:t>
      </w:r>
    </w:p>
    <w:p>
      <w:pPr>
        <w:spacing w:after="0" w:line="69"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1"/>
          <w:szCs w:val="11"/>
          <w:color w:val="auto"/>
        </w:rPr>
        <w:t>(8)As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(9)Not used.</w:t>
      </w:r>
    </w:p>
    <w:p>
      <w:pPr>
        <w:spacing w:after="0" w:line="102" w:lineRule="exact"/>
        <w:rPr>
          <w:sz w:val="20"/>
          <w:szCs w:val="20"/>
          <w:color w:val="auto"/>
        </w:rPr>
      </w:pPr>
    </w:p>
    <w:p>
      <w:pPr>
        <w:ind w:right="120"/>
        <w:spacing w:after="0" w:line="328" w:lineRule="auto"/>
        <w:rPr>
          <w:sz w:val="20"/>
          <w:szCs w:val="20"/>
          <w:color w:val="auto"/>
        </w:rPr>
      </w:pPr>
      <w:r>
        <w:rPr>
          <w:rFonts w:ascii="Times New Roman" w:cs="Times New Roman" w:eastAsia="Times New Roman" w:hAnsi="Times New Roman"/>
          <w:sz w:val="10"/>
          <w:szCs w:val="10"/>
          <w:color w:val="auto"/>
        </w:rPr>
        <w:t>(10)CLO Fund Securities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(11)This investment receives a 5% royalty interest on oil being produced on certain fields. All production payments received are being applied to the cost basis and are considered return of capital.</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(12)All investments valued using unobservable inputs (Level III), unless otherwise noted.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(13)As of December 31, 2024, this investment is pledged to secure the Company’s debt obligations.</w:t>
      </w:r>
    </w:p>
    <w:p>
      <w:pPr>
        <w:spacing w:after="0" w:line="102"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1"/>
          <w:szCs w:val="11"/>
          <w:color w:val="auto"/>
        </w:rPr>
        <w:t>(14)The Company's investments are generally acquired in private transactions exempt from registration under the Securities Act of 1933, as amended (the “Securities Act”) and, therefore, are generally subject to limitations on resale, and may be deemed to be “restricted securities'' under the Securities Act of 1933.</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(15)The negative cost is the result of the capitalized discount being greater than the principal amount outstanding on the loan.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(16)This investment is held by the Company's wholly-owned subsidiary Garrison Capital Equity Holdings XI LLC.</w:t>
      </w:r>
    </w:p>
    <w:p>
      <w:pPr>
        <w:spacing w:after="0" w:line="102"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1"/>
          <w:szCs w:val="11"/>
          <w:color w:val="auto"/>
        </w:rPr>
        <w:t>(17)Under the 1940 Act, the Company is deemed to be an “Affiliated Person” of, as defined in the 1940 Act, this portfolio company as the Company owns at least 5% of the portfolio company’s outstanding voting securities or is under common control with such portfolio company.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(18)Not used.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(19)Information related to the Company’s derivatives is presented below as of December 31, 2024:</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 in thousands)</w:t>
            </w:r>
          </w:p>
        </w:tc>
        <w:tc>
          <w:tcPr>
            <w:tcW w:w="3040" w:type="dxa"/>
            <w:vAlign w:val="bottom"/>
          </w:tcPr>
          <w:p>
            <w:pPr>
              <w:spacing w:after="0"/>
              <w:rPr>
                <w:sz w:val="10"/>
                <w:szCs w:val="10"/>
                <w:color w:val="auto"/>
              </w:rPr>
            </w:pPr>
          </w:p>
        </w:tc>
        <w:tc>
          <w:tcPr>
            <w:tcW w:w="1300" w:type="dxa"/>
            <w:vAlign w:val="bottom"/>
            <w:vMerge w:val="restart"/>
          </w:tcPr>
          <w:p>
            <w:pPr>
              <w:jc w:val="center"/>
              <w:ind w:left="186"/>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2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920" w:type="dxa"/>
            <w:vAlign w:val="bottom"/>
          </w:tcPr>
          <w:p>
            <w:pPr>
              <w:ind w:left="22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3040" w:type="dxa"/>
            <w:vAlign w:val="bottom"/>
          </w:tcPr>
          <w:p>
            <w:pPr>
              <w:ind w:left="1420"/>
              <w:spacing w:after="0"/>
              <w:rPr>
                <w:sz w:val="20"/>
                <w:szCs w:val="20"/>
                <w:color w:val="auto"/>
              </w:rPr>
            </w:pPr>
            <w:r>
              <w:rPr>
                <w:rFonts w:ascii="Times New Roman" w:cs="Times New Roman" w:eastAsia="Times New Roman" w:hAnsi="Times New Roman"/>
                <w:sz w:val="11"/>
                <w:szCs w:val="11"/>
                <w:b w:val="1"/>
                <w:bCs w:val="1"/>
                <w:color w:val="auto"/>
              </w:rPr>
              <w:t>Counterparty</w:t>
            </w:r>
          </w:p>
        </w:tc>
        <w:tc>
          <w:tcPr>
            <w:tcW w:w="1300" w:type="dxa"/>
            <w:vAlign w:val="bottom"/>
          </w:tcPr>
          <w:p>
            <w:pPr>
              <w:jc w:val="center"/>
              <w:ind w:left="2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Pr>
          <w:p>
            <w:pPr>
              <w:spacing w:after="0"/>
              <w:rPr>
                <w:sz w:val="11"/>
                <w:szCs w:val="11"/>
                <w:color w:val="auto"/>
              </w:rPr>
            </w:pPr>
          </w:p>
        </w:tc>
        <w:tc>
          <w:tcPr>
            <w:tcW w:w="1120" w:type="dxa"/>
            <w:vAlign w:val="bottom"/>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w w:val="98"/>
              </w:rPr>
              <w:t>Notional amount</w:t>
            </w:r>
          </w:p>
        </w:tc>
        <w:tc>
          <w:tcPr>
            <w:tcW w:w="1360" w:type="dxa"/>
            <w:vAlign w:val="bottom"/>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rPr>
              <w:t>Exercise price</w:t>
            </w:r>
          </w:p>
        </w:tc>
        <w:tc>
          <w:tcPr>
            <w:tcW w:w="1200" w:type="dxa"/>
            <w:vAlign w:val="bottom"/>
          </w:tcPr>
          <w:p>
            <w:pPr>
              <w:jc w:val="center"/>
              <w:ind w:left="26"/>
              <w:spacing w:after="0"/>
              <w:rPr>
                <w:sz w:val="20"/>
                <w:szCs w:val="20"/>
                <w:color w:val="auto"/>
              </w:rPr>
            </w:pPr>
            <w:r>
              <w:rPr>
                <w:rFonts w:ascii="Times New Roman" w:cs="Times New Roman" w:eastAsia="Times New Roman" w:hAnsi="Times New Roman"/>
                <w:sz w:val="11"/>
                <w:szCs w:val="11"/>
                <w:b w:val="1"/>
                <w:bCs w:val="1"/>
                <w:color w:val="auto"/>
                <w:w w:val="97"/>
              </w:rPr>
              <w:t>Expiration date</w:t>
            </w:r>
          </w:p>
        </w:tc>
        <w:tc>
          <w:tcPr>
            <w:tcW w:w="440" w:type="dxa"/>
            <w:vAlign w:val="bottom"/>
          </w:tcPr>
          <w:p>
            <w:pPr>
              <w:spacing w:after="0"/>
              <w:rPr>
                <w:sz w:val="11"/>
                <w:szCs w:val="11"/>
                <w:color w:val="auto"/>
              </w:rPr>
            </w:pPr>
          </w:p>
        </w:tc>
        <w:tc>
          <w:tcPr>
            <w:tcW w:w="940" w:type="dxa"/>
            <w:vAlign w:val="bottom"/>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32"/>
        </w:trPr>
        <w:tc>
          <w:tcPr>
            <w:tcW w:w="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Call option</w:t>
            </w:r>
          </w:p>
        </w:tc>
        <w:tc>
          <w:tcPr>
            <w:tcW w:w="3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HDNet Holdco LLC</w:t>
            </w:r>
          </w:p>
        </w:tc>
        <w:tc>
          <w:tcPr>
            <w:tcW w:w="130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0.2</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8</w:t>
            </w:r>
          </w:p>
        </w:tc>
        <w:tc>
          <w:tcPr>
            <w:tcW w:w="1360" w:type="dxa"/>
            <w:vAlign w:val="bottom"/>
            <w:shd w:val="clear" w:color="auto" w:fill="CFF0FC"/>
          </w:tcPr>
          <w:p>
            <w:pPr>
              <w:jc w:val="right"/>
              <w:ind w:right="246"/>
              <w:spacing w:after="0"/>
              <w:rPr>
                <w:sz w:val="20"/>
                <w:szCs w:val="20"/>
                <w:color w:val="auto"/>
              </w:rPr>
            </w:pPr>
            <w:r>
              <w:rPr>
                <w:rFonts w:ascii="Times New Roman" w:cs="Times New Roman" w:eastAsia="Times New Roman" w:hAnsi="Times New Roman"/>
                <w:sz w:val="11"/>
                <w:szCs w:val="11"/>
                <w:color w:val="auto"/>
              </w:rPr>
              <w:t>0.01</w:t>
            </w:r>
          </w:p>
        </w:tc>
        <w:tc>
          <w:tcPr>
            <w:tcW w:w="1200" w:type="dxa"/>
            <w:vAlign w:val="bottom"/>
            <w:shd w:val="clear" w:color="auto" w:fill="CFF0FC"/>
          </w:tcPr>
          <w:p>
            <w:pPr>
              <w:jc w:val="center"/>
              <w:ind w:left="6"/>
              <w:spacing w:after="0"/>
              <w:rPr>
                <w:sz w:val="20"/>
                <w:szCs w:val="20"/>
                <w:color w:val="auto"/>
              </w:rPr>
            </w:pPr>
            <w:r>
              <w:rPr>
                <w:rFonts w:ascii="Times New Roman" w:cs="Times New Roman" w:eastAsia="Times New Roman" w:hAnsi="Times New Roman"/>
                <w:sz w:val="11"/>
                <w:szCs w:val="11"/>
                <w:color w:val="auto"/>
                <w:w w:val="94"/>
              </w:rPr>
              <w:t>N/A</w:t>
            </w:r>
          </w:p>
        </w:tc>
        <w:tc>
          <w:tcPr>
            <w:tcW w:w="44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46"/>
        </w:trPr>
        <w:tc>
          <w:tcPr>
            <w:tcW w:w="9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300" w:type="dxa"/>
            <w:vAlign w:val="bottom"/>
          </w:tcPr>
          <w:p>
            <w:pPr>
              <w:jc w:val="center"/>
              <w:ind w:left="186"/>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920" w:type="dxa"/>
            <w:vAlign w:val="bottom"/>
          </w:tcPr>
          <w:p>
            <w:pPr>
              <w:ind w:left="22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3040" w:type="dxa"/>
            <w:vAlign w:val="bottom"/>
          </w:tcPr>
          <w:p>
            <w:pPr>
              <w:ind w:left="1420"/>
              <w:spacing w:after="0"/>
              <w:rPr>
                <w:sz w:val="20"/>
                <w:szCs w:val="20"/>
                <w:color w:val="auto"/>
              </w:rPr>
            </w:pPr>
            <w:r>
              <w:rPr>
                <w:rFonts w:ascii="Times New Roman" w:cs="Times New Roman" w:eastAsia="Times New Roman" w:hAnsi="Times New Roman"/>
                <w:sz w:val="11"/>
                <w:szCs w:val="11"/>
                <w:b w:val="1"/>
                <w:bCs w:val="1"/>
                <w:color w:val="auto"/>
              </w:rPr>
              <w:t>Counterparty</w:t>
            </w:r>
          </w:p>
        </w:tc>
        <w:tc>
          <w:tcPr>
            <w:tcW w:w="1300" w:type="dxa"/>
            <w:vAlign w:val="bottom"/>
          </w:tcPr>
          <w:p>
            <w:pPr>
              <w:jc w:val="center"/>
              <w:ind w:left="2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Pr>
          <w:p>
            <w:pPr>
              <w:spacing w:after="0"/>
              <w:rPr>
                <w:sz w:val="11"/>
                <w:szCs w:val="11"/>
                <w:color w:val="auto"/>
              </w:rPr>
            </w:pPr>
          </w:p>
        </w:tc>
        <w:tc>
          <w:tcPr>
            <w:tcW w:w="1120" w:type="dxa"/>
            <w:vAlign w:val="bottom"/>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w w:val="98"/>
              </w:rPr>
              <w:t>Notional amount</w:t>
            </w:r>
          </w:p>
        </w:tc>
        <w:tc>
          <w:tcPr>
            <w:tcW w:w="1360" w:type="dxa"/>
            <w:vAlign w:val="bottom"/>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rPr>
              <w:t>Exercise price</w:t>
            </w:r>
          </w:p>
        </w:tc>
        <w:tc>
          <w:tcPr>
            <w:tcW w:w="1200" w:type="dxa"/>
            <w:vAlign w:val="bottom"/>
          </w:tcPr>
          <w:p>
            <w:pPr>
              <w:jc w:val="center"/>
              <w:ind w:left="26"/>
              <w:spacing w:after="0"/>
              <w:rPr>
                <w:sz w:val="20"/>
                <w:szCs w:val="20"/>
                <w:color w:val="auto"/>
              </w:rPr>
            </w:pPr>
            <w:r>
              <w:rPr>
                <w:rFonts w:ascii="Times New Roman" w:cs="Times New Roman" w:eastAsia="Times New Roman" w:hAnsi="Times New Roman"/>
                <w:sz w:val="11"/>
                <w:szCs w:val="11"/>
                <w:b w:val="1"/>
                <w:bCs w:val="1"/>
                <w:color w:val="auto"/>
                <w:w w:val="97"/>
              </w:rPr>
              <w:t>Expiration date</w:t>
            </w:r>
          </w:p>
        </w:tc>
        <w:tc>
          <w:tcPr>
            <w:tcW w:w="440" w:type="dxa"/>
            <w:vAlign w:val="bottom"/>
          </w:tcPr>
          <w:p>
            <w:pPr>
              <w:spacing w:after="0"/>
              <w:rPr>
                <w:sz w:val="11"/>
                <w:szCs w:val="11"/>
                <w:color w:val="auto"/>
              </w:rPr>
            </w:pPr>
          </w:p>
        </w:tc>
        <w:tc>
          <w:tcPr>
            <w:tcW w:w="940" w:type="dxa"/>
            <w:vAlign w:val="bottom"/>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32"/>
        </w:trPr>
        <w:tc>
          <w:tcPr>
            <w:tcW w:w="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Put option</w:t>
            </w:r>
          </w:p>
        </w:tc>
        <w:tc>
          <w:tcPr>
            <w:tcW w:w="3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Advantage Capital Holdings LLC</w:t>
            </w:r>
          </w:p>
        </w:tc>
        <w:tc>
          <w:tcPr>
            <w:tcW w:w="130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164</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563</w:t>
            </w:r>
          </w:p>
        </w:tc>
        <w:tc>
          <w:tcPr>
            <w:tcW w:w="1360" w:type="dxa"/>
            <w:vAlign w:val="bottom"/>
            <w:shd w:val="clear" w:color="auto" w:fill="CFF0FC"/>
          </w:tcPr>
          <w:p>
            <w:pPr>
              <w:jc w:val="right"/>
              <w:ind w:right="246"/>
              <w:spacing w:after="0"/>
              <w:rPr>
                <w:sz w:val="20"/>
                <w:szCs w:val="20"/>
                <w:color w:val="auto"/>
              </w:rPr>
            </w:pPr>
            <w:r>
              <w:rPr>
                <w:rFonts w:ascii="Times New Roman" w:cs="Times New Roman" w:eastAsia="Times New Roman" w:hAnsi="Times New Roman"/>
                <w:sz w:val="11"/>
                <w:szCs w:val="11"/>
                <w:color w:val="auto"/>
              </w:rPr>
              <w:t>20</w:t>
            </w:r>
          </w:p>
        </w:tc>
        <w:tc>
          <w:tcPr>
            <w:tcW w:w="1200" w:type="dxa"/>
            <w:vAlign w:val="bottom"/>
            <w:shd w:val="clear" w:color="auto" w:fill="CFF0FC"/>
          </w:tcPr>
          <w:p>
            <w:pPr>
              <w:jc w:val="center"/>
              <w:ind w:left="6"/>
              <w:spacing w:after="0"/>
              <w:rPr>
                <w:sz w:val="20"/>
                <w:szCs w:val="20"/>
                <w:color w:val="auto"/>
              </w:rPr>
            </w:pPr>
            <w:r>
              <w:rPr>
                <w:rFonts w:ascii="Times New Roman" w:cs="Times New Roman" w:eastAsia="Times New Roman" w:hAnsi="Times New Roman"/>
                <w:sz w:val="11"/>
                <w:szCs w:val="11"/>
                <w:color w:val="auto"/>
                <w:w w:val="94"/>
              </w:rPr>
              <w:t>N/A</w:t>
            </w:r>
          </w:p>
        </w:tc>
        <w:tc>
          <w:tcPr>
            <w:tcW w:w="44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220</w:t>
            </w:r>
          </w:p>
        </w:tc>
        <w:tc>
          <w:tcPr>
            <w:tcW w:w="0" w:type="dxa"/>
            <w:vAlign w:val="bottom"/>
          </w:tcPr>
          <w:p>
            <w:pPr>
              <w:spacing w:after="0"/>
              <w:rPr>
                <w:sz w:val="1"/>
                <w:szCs w:val="1"/>
                <w:color w:val="auto"/>
              </w:rPr>
            </w:pPr>
          </w:p>
        </w:tc>
      </w:tr>
      <w:tr>
        <w:trPr>
          <w:trHeight w:val="140"/>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Put option</w:t>
            </w:r>
          </w:p>
        </w:tc>
        <w:tc>
          <w:tcPr>
            <w:tcW w:w="30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Epilog Partners LP (Care Connectors Medical Group)</w:t>
            </w:r>
          </w:p>
        </w:tc>
        <w:tc>
          <w:tcPr>
            <w:tcW w:w="130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color w:val="auto"/>
              </w:rPr>
              <w:t>1,166,667</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vMerge w:val="restart"/>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vMerge w:val="restart"/>
          </w:tcPr>
          <w:p>
            <w:pPr>
              <w:jc w:val="center"/>
              <w:ind w:left="6"/>
              <w:spacing w:after="0"/>
              <w:rPr>
                <w:sz w:val="20"/>
                <w:szCs w:val="20"/>
                <w:color w:val="auto"/>
              </w:rPr>
            </w:pPr>
            <w:r>
              <w:rPr>
                <w:rFonts w:ascii="Times New Roman" w:cs="Times New Roman" w:eastAsia="Times New Roman" w:hAnsi="Times New Roman"/>
                <w:sz w:val="11"/>
                <w:szCs w:val="11"/>
                <w:color w:val="auto"/>
                <w:w w:val="94"/>
              </w:rPr>
              <w:t>N/A</w:t>
            </w:r>
          </w:p>
        </w:tc>
        <w:tc>
          <w:tcPr>
            <w:tcW w:w="440" w:type="dxa"/>
            <w:vAlign w:val="bottom"/>
          </w:tcPr>
          <w:p>
            <w:pPr>
              <w:spacing w:after="0"/>
              <w:rPr>
                <w:sz w:val="12"/>
                <w:szCs w:val="12"/>
                <w:color w:val="auto"/>
              </w:rPr>
            </w:pPr>
          </w:p>
        </w:tc>
        <w:tc>
          <w:tcPr>
            <w:tcW w:w="94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6"/>
        </w:trPr>
        <w:tc>
          <w:tcPr>
            <w:tcW w:w="920" w:type="dxa"/>
            <w:vAlign w:val="bottom"/>
            <w:vMerge w:val="continue"/>
          </w:tcPr>
          <w:p>
            <w:pPr>
              <w:spacing w:after="0"/>
              <w:rPr>
                <w:sz w:val="6"/>
                <w:szCs w:val="6"/>
                <w:color w:val="auto"/>
              </w:rPr>
            </w:pPr>
          </w:p>
        </w:tc>
        <w:tc>
          <w:tcPr>
            <w:tcW w:w="304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Put option</w:t>
            </w:r>
          </w:p>
        </w:tc>
        <w:tc>
          <w:tcPr>
            <w:tcW w:w="3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Princeton Medspa Partners, LLC</w:t>
            </w:r>
          </w:p>
        </w:tc>
        <w:tc>
          <w:tcPr>
            <w:tcW w:w="130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1,000,000</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1,000</w:t>
            </w:r>
          </w:p>
        </w:tc>
        <w:tc>
          <w:tcPr>
            <w:tcW w:w="1360" w:type="dxa"/>
            <w:vAlign w:val="bottom"/>
            <w:shd w:val="clear" w:color="auto" w:fill="CFF0FC"/>
          </w:tcPr>
          <w:p>
            <w:pPr>
              <w:jc w:val="right"/>
              <w:ind w:right="246"/>
              <w:spacing w:after="0"/>
              <w:rPr>
                <w:sz w:val="20"/>
                <w:szCs w:val="20"/>
                <w:color w:val="auto"/>
              </w:rPr>
            </w:pPr>
            <w:r>
              <w:rPr>
                <w:rFonts w:ascii="Times New Roman" w:cs="Times New Roman" w:eastAsia="Times New Roman" w:hAnsi="Times New Roman"/>
                <w:sz w:val="11"/>
                <w:szCs w:val="11"/>
                <w:color w:val="auto"/>
              </w:rPr>
              <w:t>2</w:t>
            </w:r>
          </w:p>
        </w:tc>
        <w:tc>
          <w:tcPr>
            <w:tcW w:w="1200" w:type="dxa"/>
            <w:vAlign w:val="bottom"/>
            <w:shd w:val="clear" w:color="auto" w:fill="CFF0FC"/>
          </w:tcPr>
          <w:p>
            <w:pPr>
              <w:jc w:val="center"/>
              <w:ind w:left="6"/>
              <w:spacing w:after="0"/>
              <w:rPr>
                <w:sz w:val="20"/>
                <w:szCs w:val="20"/>
                <w:color w:val="auto"/>
              </w:rPr>
            </w:pPr>
            <w:r>
              <w:rPr>
                <w:rFonts w:ascii="Times New Roman" w:cs="Times New Roman" w:eastAsia="Times New Roman" w:hAnsi="Times New Roman"/>
                <w:sz w:val="11"/>
                <w:szCs w:val="11"/>
                <w:color w:val="auto"/>
                <w:w w:val="94"/>
              </w:rPr>
              <w:t>N/A</w:t>
            </w:r>
          </w:p>
        </w:tc>
        <w:tc>
          <w:tcPr>
            <w:tcW w:w="44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(20)Security has an unfunded commitment in addition to the amounts shown in the Consolidated Schedule of Investments. See Note 8 for additional information on the Company’s commitments and contingencies.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(21)This investment is owned by HCAP Equity Holdings, LLC, one of the Company’s taxable blocker subsidiaries.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(22)This investment is owned by PTMN Sub Holdings LLC, one of the Company’s taxable blocker subsidiaries.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(23)All debt investments are income producing, unless otherwise noted. Equity and warrant investments are non-income producing, unless otherwise noted.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(24)Percentages are based on net assets as of December 31, 2024.</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(25)The equity investment is income producing, based on rate disclosed.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(26)The investment is held at the NAV of the underlying fund.</w:t>
      </w:r>
    </w:p>
    <w:p>
      <w:pPr>
        <w:spacing w:after="0" w:line="102"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1"/>
          <w:szCs w:val="11"/>
          <w:color w:val="auto"/>
        </w:rPr>
        <w:t>(++)</w:t>
      </w:r>
      <w:r>
        <w:rPr>
          <w:sz w:val="20"/>
          <w:szCs w:val="20"/>
          <w:color w:val="auto"/>
        </w:rPr>
        <w:tab/>
      </w:r>
      <w:r>
        <w:rPr>
          <w:rFonts w:ascii="Times New Roman" w:cs="Times New Roman" w:eastAsia="Times New Roman" w:hAnsi="Times New Roman"/>
          <w:sz w:val="10"/>
          <w:szCs w:val="10"/>
          <w:color w:val="auto"/>
        </w:rPr>
        <w:t>Par amount is presented for debt investments, while the number of shares or units owned is presented for equity investments.</w:t>
      </w:r>
    </w:p>
    <w:p>
      <w:pPr>
        <w:spacing w:after="0" w:line="23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1"/>
          <w:szCs w:val="11"/>
          <w:color w:val="auto"/>
        </w:rPr>
        <w:t>See accompanying notes to consolidated financial statements.</w:t>
      </w:r>
    </w:p>
    <w:p>
      <w:pPr>
        <w:spacing w:after="0" w:line="10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1"/>
          <w:szCs w:val="11"/>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PORTMAN RIDGE FINANCE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4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72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Interest Rate</w:t>
            </w:r>
          </w:p>
        </w:tc>
        <w:tc>
          <w:tcPr>
            <w:tcW w:w="86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4"/>
              </w:rPr>
              <w:t>Reference Rate</w:t>
            </w: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Par/Shares</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Investment (2), (4), (12), (14), (23), (24)</w:t>
            </w:r>
          </w:p>
        </w:tc>
        <w:tc>
          <w:tcPr>
            <w:tcW w:w="1860" w:type="dxa"/>
            <w:vAlign w:val="bottom"/>
          </w:tcPr>
          <w:p>
            <w:pPr>
              <w:ind w:left="880"/>
              <w:spacing w:after="0"/>
              <w:rPr>
                <w:sz w:val="20"/>
                <w:szCs w:val="20"/>
                <w:color w:val="auto"/>
              </w:rPr>
            </w:pPr>
            <w:r>
              <w:rPr>
                <w:rFonts w:ascii="Times New Roman" w:cs="Times New Roman" w:eastAsia="Times New Roman" w:hAnsi="Times New Roman"/>
                <w:sz w:val="10"/>
                <w:szCs w:val="10"/>
                <w:b w:val="1"/>
                <w:bCs w:val="1"/>
                <w:color w:val="auto"/>
              </w:rPr>
              <w:t>Industry</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(1)</w:t>
            </w:r>
          </w:p>
        </w:tc>
        <w:tc>
          <w:tcPr>
            <w:tcW w:w="86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4"/>
              </w:rPr>
              <w:t>and Spread (1)</w:t>
            </w:r>
          </w:p>
        </w:tc>
        <w:tc>
          <w:tcPr>
            <w:tcW w:w="680" w:type="dxa"/>
            <w:vAlign w:val="bottom"/>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rPr>
              <w:t>Floor (1)</w:t>
            </w:r>
          </w:p>
        </w:tc>
        <w:tc>
          <w:tcPr>
            <w:tcW w:w="74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80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Pr>
          <w:p>
            <w:pPr>
              <w:spacing w:after="0"/>
              <w:rPr>
                <w:sz w:val="10"/>
                <w:szCs w:val="10"/>
                <w:color w:val="auto"/>
              </w:rPr>
            </w:pPr>
          </w:p>
        </w:tc>
        <w:tc>
          <w:tcPr>
            <w:tcW w:w="58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40" w:type="dxa"/>
            <w:vAlign w:val="bottom"/>
          </w:tcPr>
          <w:p>
            <w:pPr>
              <w:spacing w:after="0"/>
              <w:rPr>
                <w:sz w:val="10"/>
                <w:szCs w:val="10"/>
                <w:color w:val="auto"/>
              </w:rPr>
            </w:pPr>
          </w:p>
        </w:tc>
        <w:tc>
          <w:tcPr>
            <w:tcW w:w="640" w:type="dxa"/>
            <w:vAlign w:val="bottom"/>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w w:val="91"/>
              </w:rPr>
              <w:t>Fair Value</w:t>
            </w:r>
          </w:p>
        </w:tc>
        <w:tc>
          <w:tcPr>
            <w:tcW w:w="900" w:type="dxa"/>
            <w:vAlign w:val="bottom"/>
          </w:tcPr>
          <w:p>
            <w:pPr>
              <w:ind w:left="300"/>
              <w:spacing w:after="0"/>
              <w:rPr>
                <w:sz w:val="20"/>
                <w:szCs w:val="20"/>
                <w:color w:val="auto"/>
              </w:rPr>
            </w:pPr>
            <w:r>
              <w:rPr>
                <w:rFonts w:ascii="Times New Roman" w:cs="Times New Roman" w:eastAsia="Times New Roman" w:hAnsi="Times New Roman"/>
                <w:sz w:val="10"/>
                <w:szCs w:val="10"/>
                <w:b w:val="1"/>
                <w:bCs w:val="1"/>
                <w:color w:val="auto"/>
              </w:rPr>
              <w:t>Footnotes</w:t>
            </w:r>
          </w:p>
        </w:tc>
        <w:tc>
          <w:tcPr>
            <w:tcW w:w="0" w:type="dxa"/>
            <w:vAlign w:val="bottom"/>
          </w:tcPr>
          <w:p>
            <w:pPr>
              <w:spacing w:after="0"/>
              <w:rPr>
                <w:sz w:val="1"/>
                <w:szCs w:val="1"/>
                <w:color w:val="auto"/>
              </w:rPr>
            </w:pPr>
          </w:p>
        </w:tc>
      </w:tr>
      <w:tr>
        <w:trPr>
          <w:trHeight w:val="120"/>
        </w:trPr>
        <w:tc>
          <w:tcPr>
            <w:tcW w:w="42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Investments in Non-Control, Non-Affiliate Portfolio Companies - 186.6%</w:t>
            </w:r>
          </w:p>
        </w:tc>
        <w:tc>
          <w:tcPr>
            <w:tcW w:w="7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Lien/Senior Secured Debt - 157.6%</w:t>
            </w:r>
          </w:p>
        </w:tc>
        <w:tc>
          <w:tcPr>
            <w:tcW w:w="18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Accordion Partners LLC</w:t>
            </w:r>
          </w:p>
        </w:tc>
        <w:tc>
          <w:tcPr>
            <w:tcW w:w="18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0"/>
                <w:szCs w:val="10"/>
                <w:color w:val="auto"/>
              </w:rPr>
              <w:t>Finance</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0"/>
              </w:rPr>
              <w:t>11.60%</w:t>
            </w:r>
          </w:p>
        </w:tc>
        <w:tc>
          <w:tcPr>
            <w:tcW w:w="860" w:type="dxa"/>
            <w:vAlign w:val="bottom"/>
            <w:shd w:val="clear" w:color="auto" w:fill="CFF0FC"/>
          </w:tcPr>
          <w:p>
            <w:pPr>
              <w:jc w:val="center"/>
              <w:ind w:right="12"/>
              <w:spacing w:after="0"/>
              <w:rPr>
                <w:sz w:val="20"/>
                <w:szCs w:val="20"/>
                <w:color w:val="auto"/>
              </w:rPr>
            </w:pPr>
            <w:r>
              <w:rPr>
                <w:rFonts w:ascii="Times New Roman" w:cs="Times New Roman" w:eastAsia="Times New Roman" w:hAnsi="Times New Roman"/>
                <w:sz w:val="10"/>
                <w:szCs w:val="10"/>
                <w:color w:val="auto"/>
                <w:w w:val="97"/>
              </w:rPr>
              <w:t>SOFR + 6.25%</w:t>
            </w:r>
          </w:p>
        </w:tc>
        <w:tc>
          <w:tcPr>
            <w:tcW w:w="6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0.75%</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3"/>
              </w:rPr>
              <w:t>8/29/2029</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9,472</w:t>
            </w:r>
          </w:p>
        </w:tc>
        <w:tc>
          <w:tcPr>
            <w:tcW w:w="2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9,315</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9,468</w:t>
            </w:r>
          </w:p>
        </w:tc>
        <w:tc>
          <w:tcPr>
            <w:tcW w:w="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2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Accordion Partners LLC (Revolver)</w:t>
            </w:r>
          </w:p>
        </w:tc>
        <w:tc>
          <w:tcPr>
            <w:tcW w:w="18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Finance</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0.50%</w:t>
            </w:r>
          </w:p>
        </w:tc>
        <w:tc>
          <w:tcPr>
            <w:tcW w:w="8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SOFR + 6.25%</w:t>
            </w:r>
          </w:p>
        </w:tc>
        <w:tc>
          <w:tcPr>
            <w:tcW w:w="6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0.75%</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8/31/2028</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(27 )</w:t>
            </w:r>
          </w:p>
        </w:tc>
        <w:tc>
          <w:tcPr>
            <w:tcW w:w="1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(2 )</w:t>
            </w:r>
          </w:p>
        </w:tc>
        <w:tc>
          <w:tcPr>
            <w:tcW w:w="9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(20)</w:t>
            </w:r>
          </w:p>
        </w:tc>
        <w:tc>
          <w:tcPr>
            <w:tcW w:w="0" w:type="dxa"/>
            <w:vAlign w:val="bottom"/>
          </w:tcPr>
          <w:p>
            <w:pPr>
              <w:spacing w:after="0"/>
              <w:rPr>
                <w:sz w:val="1"/>
                <w:szCs w:val="1"/>
                <w:color w:val="auto"/>
              </w:rPr>
            </w:pPr>
          </w:p>
        </w:tc>
      </w:tr>
      <w:tr>
        <w:trPr>
          <w:trHeight w:val="120"/>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Accurate Background, LLC</w:t>
            </w:r>
          </w:p>
        </w:tc>
        <w:tc>
          <w:tcPr>
            <w:tcW w:w="18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0"/>
                <w:szCs w:val="10"/>
                <w:color w:val="auto"/>
              </w:rPr>
              <w:t>Services: Business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0"/>
              </w:rPr>
              <w:t>11.61%</w:t>
            </w:r>
          </w:p>
        </w:tc>
        <w:tc>
          <w:tcPr>
            <w:tcW w:w="860" w:type="dxa"/>
            <w:vAlign w:val="bottom"/>
            <w:shd w:val="clear" w:color="auto" w:fill="CFF0FC"/>
          </w:tcPr>
          <w:p>
            <w:pPr>
              <w:jc w:val="center"/>
              <w:ind w:right="12"/>
              <w:spacing w:after="0"/>
              <w:rPr>
                <w:sz w:val="20"/>
                <w:szCs w:val="20"/>
                <w:color w:val="auto"/>
              </w:rPr>
            </w:pPr>
            <w:r>
              <w:rPr>
                <w:rFonts w:ascii="Times New Roman" w:cs="Times New Roman" w:eastAsia="Times New Roman" w:hAnsi="Times New Roman"/>
                <w:sz w:val="10"/>
                <w:szCs w:val="10"/>
                <w:color w:val="auto"/>
                <w:w w:val="97"/>
              </w:rPr>
              <w:t>SOFR + 6.00%</w:t>
            </w:r>
          </w:p>
        </w:tc>
        <w:tc>
          <w:tcPr>
            <w:tcW w:w="6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3"/>
              </w:rPr>
              <w:t>3/26/2027</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4,412</w:t>
            </w: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4,162</w:t>
            </w: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4,242</w:t>
            </w:r>
          </w:p>
        </w:tc>
        <w:tc>
          <w:tcPr>
            <w:tcW w:w="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1"/>
        </w:trPr>
        <w:tc>
          <w:tcPr>
            <w:tcW w:w="2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Advantage Capital Holdings LLC</w:t>
            </w:r>
          </w:p>
        </w:tc>
        <w:tc>
          <w:tcPr>
            <w:tcW w:w="18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Banking, Finance, Insurance &amp; Real</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0"/>
              </w:rPr>
              <w:t>13.00%</w:t>
            </w:r>
          </w:p>
        </w:tc>
        <w:tc>
          <w:tcPr>
            <w:tcW w:w="8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8"/>
              </w:rPr>
              <w:t>5.00% PIK</w:t>
            </w:r>
          </w:p>
        </w:tc>
        <w:tc>
          <w:tcPr>
            <w:tcW w:w="680" w:type="dxa"/>
            <w:vAlign w:val="bottom"/>
            <w:vMerge w:val="restart"/>
          </w:tcPr>
          <w:p>
            <w:pPr>
              <w:jc w:val="right"/>
              <w:ind w:right="2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4/14/2027</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14,036</w:t>
            </w:r>
          </w:p>
        </w:tc>
        <w:tc>
          <w:tcPr>
            <w:tcW w:w="240" w:type="dxa"/>
            <w:vAlign w:val="bottom"/>
          </w:tcPr>
          <w:p>
            <w:pPr>
              <w:spacing w:after="0"/>
              <w:rPr>
                <w:sz w:val="10"/>
                <w:szCs w:val="10"/>
                <w:color w:val="auto"/>
              </w:rPr>
            </w:pP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14,036</w:t>
            </w:r>
          </w:p>
        </w:tc>
        <w:tc>
          <w:tcPr>
            <w:tcW w:w="140" w:type="dxa"/>
            <w:vAlign w:val="bottom"/>
          </w:tcPr>
          <w:p>
            <w:pPr>
              <w:spacing w:after="0"/>
              <w:rPr>
                <w:sz w:val="10"/>
                <w:szCs w:val="10"/>
                <w:color w:val="auto"/>
              </w:rPr>
            </w:pPr>
          </w:p>
        </w:tc>
        <w:tc>
          <w:tcPr>
            <w:tcW w:w="6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13,773</w:t>
            </w:r>
          </w:p>
        </w:tc>
        <w:tc>
          <w:tcPr>
            <w:tcW w:w="9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64"/>
        </w:trPr>
        <w:tc>
          <w:tcPr>
            <w:tcW w:w="2400" w:type="dxa"/>
            <w:vAlign w:val="bottom"/>
          </w:tcPr>
          <w:p>
            <w:pPr>
              <w:spacing w:after="0"/>
              <w:rPr>
                <w:sz w:val="5"/>
                <w:szCs w:val="5"/>
                <w:color w:val="auto"/>
              </w:rPr>
            </w:pPr>
          </w:p>
        </w:tc>
        <w:tc>
          <w:tcPr>
            <w:tcW w:w="186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auto"/>
              </w:rPr>
              <w:t>Estate</w:t>
            </w:r>
          </w:p>
        </w:tc>
        <w:tc>
          <w:tcPr>
            <w:tcW w:w="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
        </w:trPr>
        <w:tc>
          <w:tcPr>
            <w:tcW w:w="2400" w:type="dxa"/>
            <w:vAlign w:val="bottom"/>
          </w:tcPr>
          <w:p>
            <w:pPr>
              <w:spacing w:after="0"/>
              <w:rPr>
                <w:sz w:val="4"/>
                <w:szCs w:val="4"/>
                <w:color w:val="auto"/>
              </w:rPr>
            </w:pPr>
          </w:p>
        </w:tc>
        <w:tc>
          <w:tcPr>
            <w:tcW w:w="186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AIDC IntermediateCo 2, LLC (Peak Technologies)</w:t>
            </w:r>
          </w:p>
        </w:tc>
        <w:tc>
          <w:tcPr>
            <w:tcW w:w="18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0"/>
                <w:szCs w:val="10"/>
                <w:color w:val="auto"/>
              </w:rPr>
              <w:t>Services: Business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0"/>
              </w:rPr>
              <w:t>11.80%</w:t>
            </w:r>
          </w:p>
        </w:tc>
        <w:tc>
          <w:tcPr>
            <w:tcW w:w="860" w:type="dxa"/>
            <w:vAlign w:val="bottom"/>
            <w:shd w:val="clear" w:color="auto" w:fill="CFF0FC"/>
          </w:tcPr>
          <w:p>
            <w:pPr>
              <w:jc w:val="center"/>
              <w:ind w:right="12"/>
              <w:spacing w:after="0"/>
              <w:rPr>
                <w:sz w:val="20"/>
                <w:szCs w:val="20"/>
                <w:color w:val="auto"/>
              </w:rPr>
            </w:pPr>
            <w:r>
              <w:rPr>
                <w:rFonts w:ascii="Times New Roman" w:cs="Times New Roman" w:eastAsia="Times New Roman" w:hAnsi="Times New Roman"/>
                <w:sz w:val="10"/>
                <w:szCs w:val="10"/>
                <w:color w:val="auto"/>
                <w:w w:val="97"/>
              </w:rPr>
              <w:t>SOFR + 6.40%</w:t>
            </w:r>
          </w:p>
        </w:tc>
        <w:tc>
          <w:tcPr>
            <w:tcW w:w="6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3"/>
              </w:rPr>
              <w:t>7/22/2027</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990</w:t>
            </w: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977</w:t>
            </w: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976</w:t>
            </w:r>
          </w:p>
        </w:tc>
        <w:tc>
          <w:tcPr>
            <w:tcW w:w="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1"/>
        </w:trPr>
        <w:tc>
          <w:tcPr>
            <w:tcW w:w="2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AIS Holdco, LLC</w:t>
            </w:r>
          </w:p>
        </w:tc>
        <w:tc>
          <w:tcPr>
            <w:tcW w:w="18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Banking, Finance, Insurance &amp; Real</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0"/>
              </w:rPr>
              <w:t>10.64%</w:t>
            </w:r>
          </w:p>
        </w:tc>
        <w:tc>
          <w:tcPr>
            <w:tcW w:w="8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SOFR + 5.00%</w:t>
            </w:r>
          </w:p>
        </w:tc>
        <w:tc>
          <w:tcPr>
            <w:tcW w:w="680" w:type="dxa"/>
            <w:vAlign w:val="bottom"/>
            <w:vMerge w:val="restart"/>
          </w:tcPr>
          <w:p>
            <w:pPr>
              <w:jc w:val="right"/>
              <w:ind w:right="2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8/15/2025</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2,223</w:t>
            </w:r>
          </w:p>
        </w:tc>
        <w:tc>
          <w:tcPr>
            <w:tcW w:w="240" w:type="dxa"/>
            <w:vAlign w:val="bottom"/>
          </w:tcPr>
          <w:p>
            <w:pPr>
              <w:spacing w:after="0"/>
              <w:rPr>
                <w:sz w:val="10"/>
                <w:szCs w:val="10"/>
                <w:color w:val="auto"/>
              </w:rPr>
            </w:pP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2,068</w:t>
            </w:r>
          </w:p>
        </w:tc>
        <w:tc>
          <w:tcPr>
            <w:tcW w:w="140" w:type="dxa"/>
            <w:vAlign w:val="bottom"/>
          </w:tcPr>
          <w:p>
            <w:pPr>
              <w:spacing w:after="0"/>
              <w:rPr>
                <w:sz w:val="10"/>
                <w:szCs w:val="10"/>
                <w:color w:val="auto"/>
              </w:rPr>
            </w:pPr>
          </w:p>
        </w:tc>
        <w:tc>
          <w:tcPr>
            <w:tcW w:w="6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2,220</w:t>
            </w:r>
          </w:p>
        </w:tc>
        <w:tc>
          <w:tcPr>
            <w:tcW w:w="9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64"/>
        </w:trPr>
        <w:tc>
          <w:tcPr>
            <w:tcW w:w="2400" w:type="dxa"/>
            <w:vAlign w:val="bottom"/>
          </w:tcPr>
          <w:p>
            <w:pPr>
              <w:spacing w:after="0"/>
              <w:rPr>
                <w:sz w:val="5"/>
                <w:szCs w:val="5"/>
                <w:color w:val="auto"/>
              </w:rPr>
            </w:pPr>
          </w:p>
        </w:tc>
        <w:tc>
          <w:tcPr>
            <w:tcW w:w="186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auto"/>
              </w:rPr>
              <w:t>Estate</w:t>
            </w:r>
          </w:p>
        </w:tc>
        <w:tc>
          <w:tcPr>
            <w:tcW w:w="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
        </w:trPr>
        <w:tc>
          <w:tcPr>
            <w:tcW w:w="2400" w:type="dxa"/>
            <w:vAlign w:val="bottom"/>
          </w:tcPr>
          <w:p>
            <w:pPr>
              <w:spacing w:after="0"/>
              <w:rPr>
                <w:sz w:val="4"/>
                <w:szCs w:val="4"/>
                <w:color w:val="auto"/>
              </w:rPr>
            </w:pPr>
          </w:p>
        </w:tc>
        <w:tc>
          <w:tcPr>
            <w:tcW w:w="186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AMCP Pet Holdings, Inc.</w:t>
            </w:r>
          </w:p>
        </w:tc>
        <w:tc>
          <w:tcPr>
            <w:tcW w:w="18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0"/>
                <w:szCs w:val="10"/>
                <w:color w:val="auto"/>
              </w:rPr>
              <w:t>Beverage, Food and Tobacco</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0"/>
              </w:rPr>
              <w:t>12.50%</w:t>
            </w:r>
          </w:p>
        </w:tc>
        <w:tc>
          <w:tcPr>
            <w:tcW w:w="860" w:type="dxa"/>
            <w:vAlign w:val="bottom"/>
            <w:shd w:val="clear" w:color="auto" w:fill="CFF0FC"/>
          </w:tcPr>
          <w:p>
            <w:pPr>
              <w:jc w:val="center"/>
              <w:ind w:right="12"/>
              <w:spacing w:after="0"/>
              <w:rPr>
                <w:sz w:val="20"/>
                <w:szCs w:val="20"/>
                <w:color w:val="auto"/>
              </w:rPr>
            </w:pPr>
            <w:r>
              <w:rPr>
                <w:rFonts w:ascii="Times New Roman" w:cs="Times New Roman" w:eastAsia="Times New Roman" w:hAnsi="Times New Roman"/>
                <w:sz w:val="10"/>
                <w:szCs w:val="10"/>
                <w:color w:val="auto"/>
                <w:w w:val="93"/>
              </w:rPr>
              <w:t>SOFR + 6.25%,</w:t>
            </w:r>
          </w:p>
        </w:tc>
        <w:tc>
          <w:tcPr>
            <w:tcW w:w="6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3"/>
              </w:rPr>
              <w:t>10/6/2026</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4,869</w:t>
            </w: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4,823</w:t>
            </w: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4,766</w:t>
            </w:r>
          </w:p>
        </w:tc>
        <w:tc>
          <w:tcPr>
            <w:tcW w:w="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2400" w:type="dxa"/>
            <w:vAlign w:val="bottom"/>
            <w:shd w:val="clear" w:color="auto" w:fill="CFF0FC"/>
          </w:tcPr>
          <w:p>
            <w:pPr>
              <w:spacing w:after="0"/>
              <w:rPr>
                <w:sz w:val="10"/>
                <w:szCs w:val="10"/>
                <w:color w:val="auto"/>
              </w:rPr>
            </w:pPr>
          </w:p>
        </w:tc>
        <w:tc>
          <w:tcPr>
            <w:tcW w:w="18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860" w:type="dxa"/>
            <w:vAlign w:val="bottom"/>
            <w:shd w:val="clear" w:color="auto" w:fill="CFF0FC"/>
          </w:tcPr>
          <w:p>
            <w:pPr>
              <w:jc w:val="center"/>
              <w:ind w:right="12"/>
              <w:spacing w:after="0"/>
              <w:rPr>
                <w:sz w:val="20"/>
                <w:szCs w:val="20"/>
                <w:color w:val="auto"/>
              </w:rPr>
            </w:pPr>
            <w:r>
              <w:rPr>
                <w:rFonts w:ascii="Times New Roman" w:cs="Times New Roman" w:eastAsia="Times New Roman" w:hAnsi="Times New Roman"/>
                <w:sz w:val="10"/>
                <w:szCs w:val="10"/>
                <w:color w:val="auto"/>
                <w:w w:val="98"/>
              </w:rPr>
              <w:t>0.75% PIK</w:t>
            </w:r>
          </w:p>
        </w:tc>
        <w:tc>
          <w:tcPr>
            <w:tcW w:w="6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AMCP Pet Holdings, Inc. (Revolver)</w:t>
            </w:r>
          </w:p>
        </w:tc>
        <w:tc>
          <w:tcPr>
            <w:tcW w:w="18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Beverage, Food and Tobacco</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0"/>
              </w:rPr>
              <w:t>12.43%</w:t>
            </w:r>
          </w:p>
        </w:tc>
        <w:tc>
          <w:tcPr>
            <w:tcW w:w="8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SOFR + 7.00%</w:t>
            </w:r>
          </w:p>
        </w:tc>
        <w:tc>
          <w:tcPr>
            <w:tcW w:w="6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10/6/2026</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651</w:t>
            </w:r>
          </w:p>
        </w:tc>
        <w:tc>
          <w:tcPr>
            <w:tcW w:w="240" w:type="dxa"/>
            <w:vAlign w:val="bottom"/>
          </w:tcPr>
          <w:p>
            <w:pPr>
              <w:spacing w:after="0"/>
              <w:rPr>
                <w:sz w:val="10"/>
                <w:szCs w:val="10"/>
                <w:color w:val="auto"/>
              </w:rPr>
            </w:pP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641</w:t>
            </w:r>
          </w:p>
        </w:tc>
        <w:tc>
          <w:tcPr>
            <w:tcW w:w="140" w:type="dxa"/>
            <w:vAlign w:val="bottom"/>
          </w:tcPr>
          <w:p>
            <w:pPr>
              <w:spacing w:after="0"/>
              <w:rPr>
                <w:sz w:val="10"/>
                <w:szCs w:val="10"/>
                <w:color w:val="auto"/>
              </w:rPr>
            </w:pPr>
          </w:p>
        </w:tc>
        <w:tc>
          <w:tcPr>
            <w:tcW w:w="6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630</w:t>
            </w:r>
          </w:p>
        </w:tc>
        <w:tc>
          <w:tcPr>
            <w:tcW w:w="9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(20)</w:t>
            </w:r>
          </w:p>
        </w:tc>
        <w:tc>
          <w:tcPr>
            <w:tcW w:w="0" w:type="dxa"/>
            <w:vAlign w:val="bottom"/>
          </w:tcPr>
          <w:p>
            <w:pPr>
              <w:spacing w:after="0"/>
              <w:rPr>
                <w:sz w:val="1"/>
                <w:szCs w:val="1"/>
                <w:color w:val="auto"/>
              </w:rPr>
            </w:pPr>
          </w:p>
        </w:tc>
      </w:tr>
      <w:tr>
        <w:trPr>
          <w:trHeight w:val="121"/>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American Academy Holdings, LLC</w:t>
            </w:r>
          </w:p>
        </w:tc>
        <w:tc>
          <w:tcPr>
            <w:tcW w:w="18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0"/>
                <w:szCs w:val="10"/>
                <w:color w:val="auto"/>
              </w:rPr>
              <w:t>Healthcare &amp; Pharmaceuticals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0"/>
              </w:rPr>
              <w:t>16.47%</w:t>
            </w:r>
          </w:p>
        </w:tc>
        <w:tc>
          <w:tcPr>
            <w:tcW w:w="860" w:type="dxa"/>
            <w:vAlign w:val="bottom"/>
            <w:shd w:val="clear" w:color="auto" w:fill="CFF0FC"/>
          </w:tcPr>
          <w:p>
            <w:pPr>
              <w:jc w:val="center"/>
              <w:ind w:right="12"/>
              <w:spacing w:after="0"/>
              <w:rPr>
                <w:sz w:val="20"/>
                <w:szCs w:val="20"/>
                <w:color w:val="auto"/>
              </w:rPr>
            </w:pPr>
            <w:r>
              <w:rPr>
                <w:rFonts w:ascii="Times New Roman" w:cs="Times New Roman" w:eastAsia="Times New Roman" w:hAnsi="Times New Roman"/>
                <w:sz w:val="10"/>
                <w:szCs w:val="10"/>
                <w:color w:val="auto"/>
                <w:w w:val="93"/>
              </w:rPr>
              <w:t>SOFR + 5.75%,</w:t>
            </w:r>
          </w:p>
        </w:tc>
        <w:tc>
          <w:tcPr>
            <w:tcW w:w="6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5"/>
              </w:rPr>
              <w:t>1/1/2025</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3,744</w:t>
            </w: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3,732</w:t>
            </w: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3,768</w:t>
            </w:r>
          </w:p>
        </w:tc>
        <w:tc>
          <w:tcPr>
            <w:tcW w:w="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2400" w:type="dxa"/>
            <w:vAlign w:val="bottom"/>
            <w:shd w:val="clear" w:color="auto" w:fill="CFF0FC"/>
          </w:tcPr>
          <w:p>
            <w:pPr>
              <w:spacing w:after="0"/>
              <w:rPr>
                <w:sz w:val="10"/>
                <w:szCs w:val="10"/>
                <w:color w:val="auto"/>
              </w:rPr>
            </w:pPr>
          </w:p>
        </w:tc>
        <w:tc>
          <w:tcPr>
            <w:tcW w:w="18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860" w:type="dxa"/>
            <w:vAlign w:val="bottom"/>
            <w:shd w:val="clear" w:color="auto" w:fill="CFF0FC"/>
          </w:tcPr>
          <w:p>
            <w:pPr>
              <w:jc w:val="center"/>
              <w:ind w:right="12"/>
              <w:spacing w:after="0"/>
              <w:rPr>
                <w:sz w:val="20"/>
                <w:szCs w:val="20"/>
                <w:color w:val="auto"/>
              </w:rPr>
            </w:pPr>
            <w:r>
              <w:rPr>
                <w:rFonts w:ascii="Times New Roman" w:cs="Times New Roman" w:eastAsia="Times New Roman" w:hAnsi="Times New Roman"/>
                <w:sz w:val="10"/>
                <w:szCs w:val="10"/>
                <w:color w:val="auto"/>
                <w:w w:val="98"/>
              </w:rPr>
              <w:t>5.25% PIK</w:t>
            </w:r>
          </w:p>
        </w:tc>
        <w:tc>
          <w:tcPr>
            <w:tcW w:w="6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Ancile Solutions, Inc.</w:t>
            </w:r>
          </w:p>
        </w:tc>
        <w:tc>
          <w:tcPr>
            <w:tcW w:w="18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High Tech Industries</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0"/>
              </w:rPr>
              <w:t>15.65%</w:t>
            </w:r>
          </w:p>
        </w:tc>
        <w:tc>
          <w:tcPr>
            <w:tcW w:w="8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SOFR + 10.00%</w:t>
            </w:r>
          </w:p>
        </w:tc>
        <w:tc>
          <w:tcPr>
            <w:tcW w:w="6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6/11/2026</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6,274</w:t>
            </w:r>
          </w:p>
        </w:tc>
        <w:tc>
          <w:tcPr>
            <w:tcW w:w="240" w:type="dxa"/>
            <w:vAlign w:val="bottom"/>
          </w:tcPr>
          <w:p>
            <w:pPr>
              <w:spacing w:after="0"/>
              <w:rPr>
                <w:sz w:val="10"/>
                <w:szCs w:val="10"/>
                <w:color w:val="auto"/>
              </w:rPr>
            </w:pP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6,187</w:t>
            </w:r>
          </w:p>
        </w:tc>
        <w:tc>
          <w:tcPr>
            <w:tcW w:w="140" w:type="dxa"/>
            <w:vAlign w:val="bottom"/>
          </w:tcPr>
          <w:p>
            <w:pPr>
              <w:spacing w:after="0"/>
              <w:rPr>
                <w:sz w:val="10"/>
                <w:szCs w:val="10"/>
                <w:color w:val="auto"/>
              </w:rPr>
            </w:pPr>
          </w:p>
        </w:tc>
        <w:tc>
          <w:tcPr>
            <w:tcW w:w="6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6,305</w:t>
            </w:r>
          </w:p>
        </w:tc>
        <w:tc>
          <w:tcPr>
            <w:tcW w:w="9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Anthem Sports &amp; Entertainment Inc. (Revolver)</w:t>
            </w:r>
          </w:p>
        </w:tc>
        <w:tc>
          <w:tcPr>
            <w:tcW w:w="18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0"/>
                <w:szCs w:val="10"/>
                <w:color w:val="auto"/>
              </w:rPr>
              <w:t>Media: Broadcasting &amp; Subscription</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0"/>
              </w:rPr>
              <w:t>15.10%</w:t>
            </w:r>
          </w:p>
        </w:tc>
        <w:tc>
          <w:tcPr>
            <w:tcW w:w="860" w:type="dxa"/>
            <w:vAlign w:val="bottom"/>
            <w:shd w:val="clear" w:color="auto" w:fill="CFF0FC"/>
          </w:tcPr>
          <w:p>
            <w:pPr>
              <w:jc w:val="center"/>
              <w:ind w:right="12"/>
              <w:spacing w:after="0"/>
              <w:rPr>
                <w:sz w:val="20"/>
                <w:szCs w:val="20"/>
                <w:color w:val="auto"/>
              </w:rPr>
            </w:pPr>
            <w:r>
              <w:rPr>
                <w:rFonts w:ascii="Times New Roman" w:cs="Times New Roman" w:eastAsia="Times New Roman" w:hAnsi="Times New Roman"/>
                <w:sz w:val="10"/>
                <w:szCs w:val="10"/>
                <w:color w:val="auto"/>
                <w:w w:val="97"/>
              </w:rPr>
              <w:t>SOFR + 9.50%</w:t>
            </w:r>
          </w:p>
        </w:tc>
        <w:tc>
          <w:tcPr>
            <w:tcW w:w="6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6"/>
              </w:rPr>
              <w:t>11/15/2026</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1,084</w:t>
            </w: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1,068</w:t>
            </w: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910</w:t>
            </w:r>
          </w:p>
        </w:tc>
        <w:tc>
          <w:tcPr>
            <w:tcW w:w="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(20)</w:t>
            </w:r>
          </w:p>
        </w:tc>
        <w:tc>
          <w:tcPr>
            <w:tcW w:w="0" w:type="dxa"/>
            <w:vAlign w:val="bottom"/>
          </w:tcPr>
          <w:p>
            <w:pPr>
              <w:spacing w:after="0"/>
              <w:rPr>
                <w:sz w:val="1"/>
                <w:szCs w:val="1"/>
                <w:color w:val="auto"/>
              </w:rPr>
            </w:pPr>
          </w:p>
        </w:tc>
      </w:tr>
      <w:tr>
        <w:trPr>
          <w:trHeight w:val="120"/>
        </w:trPr>
        <w:tc>
          <w:tcPr>
            <w:tcW w:w="2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Anthem Sports &amp; Entertainment Inc. (Revolver 2022)</w:t>
            </w:r>
          </w:p>
        </w:tc>
        <w:tc>
          <w:tcPr>
            <w:tcW w:w="18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Media: Broadcasting &amp; Subscription</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0"/>
              </w:rPr>
              <w:t>15.07%</w:t>
            </w:r>
          </w:p>
        </w:tc>
        <w:tc>
          <w:tcPr>
            <w:tcW w:w="8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SOFR + 9.50%</w:t>
            </w:r>
          </w:p>
        </w:tc>
        <w:tc>
          <w:tcPr>
            <w:tcW w:w="6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6/30/2024</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547</w:t>
            </w:r>
          </w:p>
        </w:tc>
        <w:tc>
          <w:tcPr>
            <w:tcW w:w="240" w:type="dxa"/>
            <w:vAlign w:val="bottom"/>
          </w:tcPr>
          <w:p>
            <w:pPr>
              <w:spacing w:after="0"/>
              <w:rPr>
                <w:sz w:val="10"/>
                <w:szCs w:val="10"/>
                <w:color w:val="auto"/>
              </w:rPr>
            </w:pP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547</w:t>
            </w:r>
          </w:p>
        </w:tc>
        <w:tc>
          <w:tcPr>
            <w:tcW w:w="140" w:type="dxa"/>
            <w:vAlign w:val="bottom"/>
          </w:tcPr>
          <w:p>
            <w:pPr>
              <w:spacing w:after="0"/>
              <w:rPr>
                <w:sz w:val="10"/>
                <w:szCs w:val="10"/>
                <w:color w:val="auto"/>
              </w:rPr>
            </w:pPr>
          </w:p>
        </w:tc>
        <w:tc>
          <w:tcPr>
            <w:tcW w:w="6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465</w:t>
            </w: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Anthem Sports &amp; Entertainment Inc.</w:t>
            </w:r>
          </w:p>
        </w:tc>
        <w:tc>
          <w:tcPr>
            <w:tcW w:w="18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0"/>
                <w:szCs w:val="10"/>
                <w:color w:val="auto"/>
              </w:rPr>
              <w:t>Media: Broadcasting &amp; Subscription</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0"/>
              </w:rPr>
              <w:t>15.11%</w:t>
            </w:r>
          </w:p>
        </w:tc>
        <w:tc>
          <w:tcPr>
            <w:tcW w:w="860" w:type="dxa"/>
            <w:vAlign w:val="bottom"/>
            <w:shd w:val="clear" w:color="auto" w:fill="CFF0FC"/>
          </w:tcPr>
          <w:p>
            <w:pPr>
              <w:jc w:val="center"/>
              <w:ind w:right="12"/>
              <w:spacing w:after="0"/>
              <w:rPr>
                <w:sz w:val="20"/>
                <w:szCs w:val="20"/>
                <w:color w:val="auto"/>
              </w:rPr>
            </w:pPr>
            <w:r>
              <w:rPr>
                <w:rFonts w:ascii="Times New Roman" w:cs="Times New Roman" w:eastAsia="Times New Roman" w:hAnsi="Times New Roman"/>
                <w:sz w:val="10"/>
                <w:szCs w:val="10"/>
                <w:color w:val="auto"/>
                <w:w w:val="93"/>
              </w:rPr>
              <w:t>SOFR + 9.50%,</w:t>
            </w:r>
          </w:p>
        </w:tc>
        <w:tc>
          <w:tcPr>
            <w:tcW w:w="6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6"/>
              </w:rPr>
              <w:t>11/15/2026</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12,880</w:t>
            </w: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12,718</w:t>
            </w: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10,965</w:t>
            </w:r>
          </w:p>
        </w:tc>
        <w:tc>
          <w:tcPr>
            <w:tcW w:w="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2400" w:type="dxa"/>
            <w:vAlign w:val="bottom"/>
            <w:shd w:val="clear" w:color="auto" w:fill="CFF0FC"/>
          </w:tcPr>
          <w:p>
            <w:pPr>
              <w:spacing w:after="0"/>
              <w:rPr>
                <w:sz w:val="10"/>
                <w:szCs w:val="10"/>
                <w:color w:val="auto"/>
              </w:rPr>
            </w:pPr>
          </w:p>
        </w:tc>
        <w:tc>
          <w:tcPr>
            <w:tcW w:w="18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860" w:type="dxa"/>
            <w:vAlign w:val="bottom"/>
            <w:shd w:val="clear" w:color="auto" w:fill="CFF0FC"/>
          </w:tcPr>
          <w:p>
            <w:pPr>
              <w:jc w:val="center"/>
              <w:ind w:right="12"/>
              <w:spacing w:after="0"/>
              <w:rPr>
                <w:sz w:val="20"/>
                <w:szCs w:val="20"/>
                <w:color w:val="auto"/>
              </w:rPr>
            </w:pPr>
            <w:r>
              <w:rPr>
                <w:rFonts w:ascii="Times New Roman" w:cs="Times New Roman" w:eastAsia="Times New Roman" w:hAnsi="Times New Roman"/>
                <w:sz w:val="10"/>
                <w:szCs w:val="10"/>
                <w:color w:val="auto"/>
                <w:w w:val="96"/>
              </w:rPr>
              <w:t>12.11% PIK</w:t>
            </w:r>
          </w:p>
        </w:tc>
        <w:tc>
          <w:tcPr>
            <w:tcW w:w="6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Appfire Technologies, LLC</w:t>
            </w:r>
          </w:p>
        </w:tc>
        <w:tc>
          <w:tcPr>
            <w:tcW w:w="18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High Tech Industries</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0"/>
              </w:rPr>
              <w:t>10.99%</w:t>
            </w:r>
          </w:p>
        </w:tc>
        <w:tc>
          <w:tcPr>
            <w:tcW w:w="8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SOFR + 5.50%</w:t>
            </w:r>
          </w:p>
        </w:tc>
        <w:tc>
          <w:tcPr>
            <w:tcW w:w="6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3/9/2027</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5,894</w:t>
            </w:r>
          </w:p>
        </w:tc>
        <w:tc>
          <w:tcPr>
            <w:tcW w:w="240" w:type="dxa"/>
            <w:vAlign w:val="bottom"/>
          </w:tcPr>
          <w:p>
            <w:pPr>
              <w:spacing w:after="0"/>
              <w:rPr>
                <w:sz w:val="10"/>
                <w:szCs w:val="10"/>
                <w:color w:val="auto"/>
              </w:rPr>
            </w:pP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5,887</w:t>
            </w:r>
          </w:p>
        </w:tc>
        <w:tc>
          <w:tcPr>
            <w:tcW w:w="140" w:type="dxa"/>
            <w:vAlign w:val="bottom"/>
          </w:tcPr>
          <w:p>
            <w:pPr>
              <w:spacing w:after="0"/>
              <w:rPr>
                <w:sz w:val="10"/>
                <w:szCs w:val="10"/>
                <w:color w:val="auto"/>
              </w:rPr>
            </w:pPr>
          </w:p>
        </w:tc>
        <w:tc>
          <w:tcPr>
            <w:tcW w:w="6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5,859</w:t>
            </w:r>
          </w:p>
        </w:tc>
        <w:tc>
          <w:tcPr>
            <w:tcW w:w="9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Aventiv Technologies, LLC</w:t>
            </w:r>
          </w:p>
        </w:tc>
        <w:tc>
          <w:tcPr>
            <w:tcW w:w="18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0"/>
                <w:szCs w:val="10"/>
                <w:color w:val="auto"/>
              </w:rPr>
              <w:t>Alternative Carriers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0"/>
              </w:rPr>
              <w:t>10.50%</w:t>
            </w:r>
          </w:p>
        </w:tc>
        <w:tc>
          <w:tcPr>
            <w:tcW w:w="860" w:type="dxa"/>
            <w:vAlign w:val="bottom"/>
            <w:shd w:val="clear" w:color="auto" w:fill="CFF0FC"/>
          </w:tcPr>
          <w:p>
            <w:pPr>
              <w:jc w:val="center"/>
              <w:ind w:right="12"/>
              <w:spacing w:after="0"/>
              <w:rPr>
                <w:sz w:val="20"/>
                <w:szCs w:val="20"/>
                <w:color w:val="auto"/>
              </w:rPr>
            </w:pPr>
            <w:r>
              <w:rPr>
                <w:rFonts w:ascii="Times New Roman" w:cs="Times New Roman" w:eastAsia="Times New Roman" w:hAnsi="Times New Roman"/>
                <w:sz w:val="10"/>
                <w:szCs w:val="10"/>
                <w:color w:val="auto"/>
                <w:w w:val="97"/>
              </w:rPr>
              <w:t>SOFR + 4.89%</w:t>
            </w:r>
          </w:p>
        </w:tc>
        <w:tc>
          <w:tcPr>
            <w:tcW w:w="6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3"/>
              </w:rPr>
              <w:t>11/1/2024</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989</w:t>
            </w: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971</w:t>
            </w: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937</w:t>
            </w:r>
          </w:p>
        </w:tc>
        <w:tc>
          <w:tcPr>
            <w:tcW w:w="9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BetaNXT, Inc. (Revolver)</w:t>
            </w:r>
          </w:p>
        </w:tc>
        <w:tc>
          <w:tcPr>
            <w:tcW w:w="18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Banking, Finance, Insurance &amp; Real</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9.60%</w:t>
            </w:r>
          </w:p>
        </w:tc>
        <w:tc>
          <w:tcPr>
            <w:tcW w:w="8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SOFR + 4.25%</w:t>
            </w:r>
          </w:p>
        </w:tc>
        <w:tc>
          <w:tcPr>
            <w:tcW w:w="680" w:type="dxa"/>
            <w:vAlign w:val="bottom"/>
            <w:vMerge w:val="restart"/>
          </w:tcPr>
          <w:p>
            <w:pPr>
              <w:jc w:val="right"/>
              <w:ind w:right="2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7/1/2027</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242</w:t>
            </w:r>
          </w:p>
        </w:tc>
        <w:tc>
          <w:tcPr>
            <w:tcW w:w="240" w:type="dxa"/>
            <w:vAlign w:val="bottom"/>
          </w:tcPr>
          <w:p>
            <w:pPr>
              <w:spacing w:after="0"/>
              <w:rPr>
                <w:sz w:val="10"/>
                <w:szCs w:val="10"/>
                <w:color w:val="auto"/>
              </w:rPr>
            </w:pP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242</w:t>
            </w:r>
          </w:p>
        </w:tc>
        <w:tc>
          <w:tcPr>
            <w:tcW w:w="140" w:type="dxa"/>
            <w:vAlign w:val="bottom"/>
          </w:tcPr>
          <w:p>
            <w:pPr>
              <w:spacing w:after="0"/>
              <w:rPr>
                <w:sz w:val="10"/>
                <w:szCs w:val="10"/>
                <w:color w:val="auto"/>
              </w:rPr>
            </w:pPr>
          </w:p>
        </w:tc>
        <w:tc>
          <w:tcPr>
            <w:tcW w:w="6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145</w:t>
            </w:r>
          </w:p>
        </w:tc>
        <w:tc>
          <w:tcPr>
            <w:tcW w:w="9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(20)</w:t>
            </w:r>
          </w:p>
        </w:tc>
        <w:tc>
          <w:tcPr>
            <w:tcW w:w="0" w:type="dxa"/>
            <w:vAlign w:val="bottom"/>
          </w:tcPr>
          <w:p>
            <w:pPr>
              <w:spacing w:after="0"/>
              <w:rPr>
                <w:sz w:val="1"/>
                <w:szCs w:val="1"/>
                <w:color w:val="auto"/>
              </w:rPr>
            </w:pPr>
          </w:p>
        </w:tc>
      </w:tr>
      <w:tr>
        <w:trPr>
          <w:trHeight w:val="64"/>
        </w:trPr>
        <w:tc>
          <w:tcPr>
            <w:tcW w:w="2400" w:type="dxa"/>
            <w:vAlign w:val="bottom"/>
          </w:tcPr>
          <w:p>
            <w:pPr>
              <w:spacing w:after="0"/>
              <w:rPr>
                <w:sz w:val="5"/>
                <w:szCs w:val="5"/>
                <w:color w:val="auto"/>
              </w:rPr>
            </w:pPr>
          </w:p>
        </w:tc>
        <w:tc>
          <w:tcPr>
            <w:tcW w:w="186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auto"/>
              </w:rPr>
              <w:t>Estate</w:t>
            </w:r>
          </w:p>
        </w:tc>
        <w:tc>
          <w:tcPr>
            <w:tcW w:w="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
        </w:trPr>
        <w:tc>
          <w:tcPr>
            <w:tcW w:w="2400" w:type="dxa"/>
            <w:vAlign w:val="bottom"/>
          </w:tcPr>
          <w:p>
            <w:pPr>
              <w:spacing w:after="0"/>
              <w:rPr>
                <w:sz w:val="4"/>
                <w:szCs w:val="4"/>
                <w:color w:val="auto"/>
              </w:rPr>
            </w:pPr>
          </w:p>
        </w:tc>
        <w:tc>
          <w:tcPr>
            <w:tcW w:w="186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BetaNXT, Inc.</w:t>
            </w:r>
          </w:p>
        </w:tc>
        <w:tc>
          <w:tcPr>
            <w:tcW w:w="18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0"/>
                <w:szCs w:val="10"/>
                <w:color w:val="auto"/>
              </w:rPr>
              <w:t>Banking, Finance, Insurance &amp; Real</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0"/>
              </w:rPr>
              <w:t>11.10%</w:t>
            </w:r>
          </w:p>
        </w:tc>
        <w:tc>
          <w:tcPr>
            <w:tcW w:w="860" w:type="dxa"/>
            <w:vAlign w:val="bottom"/>
            <w:shd w:val="clear" w:color="auto" w:fill="CFF0FC"/>
          </w:tcPr>
          <w:p>
            <w:pPr>
              <w:jc w:val="center"/>
              <w:ind w:right="12"/>
              <w:spacing w:after="0"/>
              <w:rPr>
                <w:sz w:val="20"/>
                <w:szCs w:val="20"/>
                <w:color w:val="auto"/>
              </w:rPr>
            </w:pPr>
            <w:r>
              <w:rPr>
                <w:rFonts w:ascii="Times New Roman" w:cs="Times New Roman" w:eastAsia="Times New Roman" w:hAnsi="Times New Roman"/>
                <w:sz w:val="10"/>
                <w:szCs w:val="10"/>
                <w:color w:val="auto"/>
                <w:w w:val="97"/>
              </w:rPr>
              <w:t>SOFR + 5.75%</w:t>
            </w:r>
          </w:p>
        </w:tc>
        <w:tc>
          <w:tcPr>
            <w:tcW w:w="680" w:type="dxa"/>
            <w:vAlign w:val="bottom"/>
            <w:vMerge w:val="restart"/>
            <w:shd w:val="clear" w:color="auto" w:fill="CFF0FC"/>
          </w:tcPr>
          <w:p>
            <w:pPr>
              <w:jc w:val="right"/>
              <w:ind w:right="2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5"/>
              </w:rPr>
              <w:t>7/1/2029</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12,608</w:t>
            </w: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11,964</w:t>
            </w: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12,104</w:t>
            </w:r>
          </w:p>
        </w:tc>
        <w:tc>
          <w:tcPr>
            <w:tcW w:w="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00"/>
        </w:trPr>
        <w:tc>
          <w:tcPr>
            <w:tcW w:w="2400" w:type="dxa"/>
            <w:vAlign w:val="bottom"/>
            <w:tcBorders>
              <w:bottom w:val="single" w:sz="8" w:color="CFF0FC"/>
            </w:tcBorders>
            <w:shd w:val="clear" w:color="auto" w:fill="CFF0FC"/>
          </w:tcPr>
          <w:p>
            <w:pPr>
              <w:spacing w:after="0"/>
              <w:rPr>
                <w:sz w:val="8"/>
                <w:szCs w:val="8"/>
                <w:color w:val="auto"/>
              </w:rPr>
            </w:pPr>
          </w:p>
        </w:tc>
        <w:tc>
          <w:tcPr>
            <w:tcW w:w="1860" w:type="dxa"/>
            <w:vAlign w:val="bottom"/>
            <w:tcBorders>
              <w:bottom w:val="single" w:sz="8" w:color="CFF0FC"/>
            </w:tcBorders>
            <w:shd w:val="clear" w:color="auto" w:fill="CFF0FC"/>
          </w:tcPr>
          <w:p>
            <w:pPr>
              <w:ind w:left="280"/>
              <w:spacing w:after="0" w:line="100" w:lineRule="exact"/>
              <w:rPr>
                <w:sz w:val="20"/>
                <w:szCs w:val="20"/>
                <w:color w:val="auto"/>
              </w:rPr>
            </w:pPr>
            <w:r>
              <w:rPr>
                <w:rFonts w:ascii="Times New Roman" w:cs="Times New Roman" w:eastAsia="Times New Roman" w:hAnsi="Times New Roman"/>
                <w:sz w:val="10"/>
                <w:szCs w:val="10"/>
                <w:color w:val="auto"/>
              </w:rPr>
              <w:t>Estate</w:t>
            </w:r>
          </w:p>
        </w:tc>
        <w:tc>
          <w:tcPr>
            <w:tcW w:w="720" w:type="dxa"/>
            <w:vAlign w:val="bottom"/>
            <w:tcBorders>
              <w:bottom w:val="single" w:sz="8" w:color="CFF0FC"/>
            </w:tcBorders>
            <w:shd w:val="clear" w:color="auto" w:fill="CFF0FC"/>
          </w:tcPr>
          <w:p>
            <w:pPr>
              <w:spacing w:after="0"/>
              <w:rPr>
                <w:sz w:val="8"/>
                <w:szCs w:val="8"/>
                <w:color w:val="auto"/>
              </w:rPr>
            </w:pPr>
          </w:p>
        </w:tc>
        <w:tc>
          <w:tcPr>
            <w:tcW w:w="860" w:type="dxa"/>
            <w:vAlign w:val="bottom"/>
            <w:tcBorders>
              <w:bottom w:val="single" w:sz="8" w:color="CFF0FC"/>
            </w:tcBorders>
            <w:shd w:val="clear" w:color="auto" w:fill="CFF0FC"/>
          </w:tcPr>
          <w:p>
            <w:pPr>
              <w:spacing w:after="0"/>
              <w:rPr>
                <w:sz w:val="8"/>
                <w:szCs w:val="8"/>
                <w:color w:val="auto"/>
              </w:rPr>
            </w:pPr>
          </w:p>
        </w:tc>
        <w:tc>
          <w:tcPr>
            <w:tcW w:w="680" w:type="dxa"/>
            <w:vAlign w:val="bottom"/>
            <w:tcBorders>
              <w:bottom w:val="single" w:sz="8" w:color="CFF0FC"/>
            </w:tcBorders>
            <w:vMerge w:val="continue"/>
            <w:shd w:val="clear" w:color="auto" w:fill="CFF0FC"/>
          </w:tcPr>
          <w:p>
            <w:pPr>
              <w:spacing w:after="0"/>
              <w:rPr>
                <w:sz w:val="8"/>
                <w:szCs w:val="8"/>
                <w:color w:val="auto"/>
              </w:rPr>
            </w:pPr>
          </w:p>
        </w:tc>
        <w:tc>
          <w:tcPr>
            <w:tcW w:w="740" w:type="dxa"/>
            <w:vAlign w:val="bottom"/>
            <w:tcBorders>
              <w:bottom w:val="single" w:sz="8" w:color="CFF0FC"/>
            </w:tcBorders>
            <w:shd w:val="clear" w:color="auto" w:fill="CFF0FC"/>
          </w:tcPr>
          <w:p>
            <w:pPr>
              <w:spacing w:after="0"/>
              <w:rPr>
                <w:sz w:val="8"/>
                <w:szCs w:val="8"/>
                <w:color w:val="auto"/>
              </w:rPr>
            </w:pPr>
          </w:p>
        </w:tc>
        <w:tc>
          <w:tcPr>
            <w:tcW w:w="800" w:type="dxa"/>
            <w:vAlign w:val="bottom"/>
            <w:tcBorders>
              <w:bottom w:val="single" w:sz="8" w:color="CFF0FC"/>
            </w:tcBorders>
            <w:shd w:val="clear" w:color="auto" w:fill="CFF0FC"/>
          </w:tcPr>
          <w:p>
            <w:pPr>
              <w:spacing w:after="0"/>
              <w:rPr>
                <w:sz w:val="8"/>
                <w:szCs w:val="8"/>
                <w:color w:val="auto"/>
              </w:rPr>
            </w:pPr>
          </w:p>
        </w:tc>
        <w:tc>
          <w:tcPr>
            <w:tcW w:w="240" w:type="dxa"/>
            <w:vAlign w:val="bottom"/>
            <w:tcBorders>
              <w:bottom w:val="single" w:sz="8" w:color="CFF0FC"/>
            </w:tcBorders>
            <w:shd w:val="clear" w:color="auto" w:fill="CFF0FC"/>
          </w:tcPr>
          <w:p>
            <w:pPr>
              <w:spacing w:after="0"/>
              <w:rPr>
                <w:sz w:val="8"/>
                <w:szCs w:val="8"/>
                <w:color w:val="auto"/>
              </w:rPr>
            </w:pPr>
          </w:p>
        </w:tc>
        <w:tc>
          <w:tcPr>
            <w:tcW w:w="580" w:type="dxa"/>
            <w:vAlign w:val="bottom"/>
            <w:tcBorders>
              <w:bottom w:val="single" w:sz="8" w:color="CFF0FC"/>
            </w:tcBorders>
            <w:shd w:val="clear" w:color="auto" w:fill="CFF0FC"/>
          </w:tcPr>
          <w:p>
            <w:pPr>
              <w:spacing w:after="0"/>
              <w:rPr>
                <w:sz w:val="8"/>
                <w:szCs w:val="8"/>
                <w:color w:val="auto"/>
              </w:rPr>
            </w:pPr>
          </w:p>
        </w:tc>
        <w:tc>
          <w:tcPr>
            <w:tcW w:w="140" w:type="dxa"/>
            <w:vAlign w:val="bottom"/>
            <w:tcBorders>
              <w:bottom w:val="single" w:sz="8" w:color="CFF0FC"/>
            </w:tcBorders>
            <w:shd w:val="clear" w:color="auto" w:fill="CFF0FC"/>
          </w:tcPr>
          <w:p>
            <w:pPr>
              <w:spacing w:after="0"/>
              <w:rPr>
                <w:sz w:val="8"/>
                <w:szCs w:val="8"/>
                <w:color w:val="auto"/>
              </w:rPr>
            </w:pPr>
          </w:p>
        </w:tc>
        <w:tc>
          <w:tcPr>
            <w:tcW w:w="640" w:type="dxa"/>
            <w:vAlign w:val="bottom"/>
            <w:tcBorders>
              <w:bottom w:val="single" w:sz="8" w:color="CFF0FC"/>
            </w:tcBorders>
            <w:shd w:val="clear" w:color="auto" w:fill="CFF0FC"/>
          </w:tcPr>
          <w:p>
            <w:pPr>
              <w:spacing w:after="0"/>
              <w:rPr>
                <w:sz w:val="8"/>
                <w:szCs w:val="8"/>
                <w:color w:val="auto"/>
              </w:rPr>
            </w:pPr>
          </w:p>
        </w:tc>
        <w:tc>
          <w:tcPr>
            <w:tcW w:w="90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Bradshaw International Parent Corp.</w:t>
            </w:r>
          </w:p>
        </w:tc>
        <w:tc>
          <w:tcPr>
            <w:tcW w:w="18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Consumer goods: Durable</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0"/>
              </w:rPr>
              <w:t>11.21%</w:t>
            </w:r>
          </w:p>
        </w:tc>
        <w:tc>
          <w:tcPr>
            <w:tcW w:w="8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SOFR + 5.75%</w:t>
            </w:r>
          </w:p>
        </w:tc>
        <w:tc>
          <w:tcPr>
            <w:tcW w:w="6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10/21/2027</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496</w:t>
            </w:r>
          </w:p>
        </w:tc>
        <w:tc>
          <w:tcPr>
            <w:tcW w:w="240" w:type="dxa"/>
            <w:vAlign w:val="bottom"/>
          </w:tcPr>
          <w:p>
            <w:pPr>
              <w:spacing w:after="0"/>
              <w:rPr>
                <w:sz w:val="10"/>
                <w:szCs w:val="10"/>
                <w:color w:val="auto"/>
              </w:rPr>
            </w:pP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488</w:t>
            </w:r>
          </w:p>
        </w:tc>
        <w:tc>
          <w:tcPr>
            <w:tcW w:w="140" w:type="dxa"/>
            <w:vAlign w:val="bottom"/>
          </w:tcPr>
          <w:p>
            <w:pPr>
              <w:spacing w:after="0"/>
              <w:rPr>
                <w:sz w:val="10"/>
                <w:szCs w:val="10"/>
                <w:color w:val="auto"/>
              </w:rPr>
            </w:pPr>
          </w:p>
        </w:tc>
        <w:tc>
          <w:tcPr>
            <w:tcW w:w="6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482</w:t>
            </w:r>
          </w:p>
        </w:tc>
        <w:tc>
          <w:tcPr>
            <w:tcW w:w="9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Bradshaw International Parent Corp. (Revolver)</w:t>
            </w:r>
          </w:p>
        </w:tc>
        <w:tc>
          <w:tcPr>
            <w:tcW w:w="18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0"/>
                <w:szCs w:val="10"/>
                <w:color w:val="auto"/>
              </w:rPr>
              <w:t>Consumer goods: Durable</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2"/>
              </w:rPr>
              <w:t>0.50%</w:t>
            </w:r>
          </w:p>
        </w:tc>
        <w:tc>
          <w:tcPr>
            <w:tcW w:w="860" w:type="dxa"/>
            <w:vAlign w:val="bottom"/>
            <w:shd w:val="clear" w:color="auto" w:fill="CFF0FC"/>
          </w:tcPr>
          <w:p>
            <w:pPr>
              <w:jc w:val="center"/>
              <w:ind w:right="12"/>
              <w:spacing w:after="0"/>
              <w:rPr>
                <w:sz w:val="20"/>
                <w:szCs w:val="20"/>
                <w:color w:val="auto"/>
              </w:rPr>
            </w:pPr>
            <w:r>
              <w:rPr>
                <w:rFonts w:ascii="Times New Roman" w:cs="Times New Roman" w:eastAsia="Times New Roman" w:hAnsi="Times New Roman"/>
                <w:sz w:val="10"/>
                <w:szCs w:val="10"/>
                <w:color w:val="auto"/>
                <w:w w:val="97"/>
              </w:rPr>
              <w:t>SOFR + 5.75%</w:t>
            </w:r>
          </w:p>
        </w:tc>
        <w:tc>
          <w:tcPr>
            <w:tcW w:w="6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6"/>
              </w:rPr>
              <w:t>10/21/2026</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(22 )</w:t>
            </w: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(25 )</w:t>
            </w:r>
          </w:p>
        </w:tc>
        <w:tc>
          <w:tcPr>
            <w:tcW w:w="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(20)</w:t>
            </w:r>
          </w:p>
        </w:tc>
        <w:tc>
          <w:tcPr>
            <w:tcW w:w="0" w:type="dxa"/>
            <w:vAlign w:val="bottom"/>
          </w:tcPr>
          <w:p>
            <w:pPr>
              <w:spacing w:after="0"/>
              <w:rPr>
                <w:sz w:val="1"/>
                <w:szCs w:val="1"/>
                <w:color w:val="auto"/>
              </w:rPr>
            </w:pPr>
          </w:p>
        </w:tc>
      </w:tr>
      <w:tr>
        <w:trPr>
          <w:trHeight w:val="120"/>
        </w:trPr>
        <w:tc>
          <w:tcPr>
            <w:tcW w:w="2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Bristol Hospice</w:t>
            </w:r>
          </w:p>
        </w:tc>
        <w:tc>
          <w:tcPr>
            <w:tcW w:w="18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Healthcare &amp; Pharmaceuticals</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0"/>
              </w:rPr>
              <w:t>11.96%</w:t>
            </w:r>
          </w:p>
        </w:tc>
        <w:tc>
          <w:tcPr>
            <w:tcW w:w="8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SOFR + 6.50%</w:t>
            </w:r>
          </w:p>
        </w:tc>
        <w:tc>
          <w:tcPr>
            <w:tcW w:w="6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12/22/2026</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2,809</w:t>
            </w:r>
          </w:p>
        </w:tc>
        <w:tc>
          <w:tcPr>
            <w:tcW w:w="240" w:type="dxa"/>
            <w:vAlign w:val="bottom"/>
          </w:tcPr>
          <w:p>
            <w:pPr>
              <w:spacing w:after="0"/>
              <w:rPr>
                <w:sz w:val="10"/>
                <w:szCs w:val="10"/>
                <w:color w:val="auto"/>
              </w:rPr>
            </w:pP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2,785</w:t>
            </w:r>
          </w:p>
        </w:tc>
        <w:tc>
          <w:tcPr>
            <w:tcW w:w="140" w:type="dxa"/>
            <w:vAlign w:val="bottom"/>
          </w:tcPr>
          <w:p>
            <w:pPr>
              <w:spacing w:after="0"/>
              <w:rPr>
                <w:sz w:val="10"/>
                <w:szCs w:val="10"/>
                <w:color w:val="auto"/>
              </w:rPr>
            </w:pPr>
          </w:p>
        </w:tc>
        <w:tc>
          <w:tcPr>
            <w:tcW w:w="6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2,735</w:t>
            </w:r>
          </w:p>
        </w:tc>
        <w:tc>
          <w:tcPr>
            <w:tcW w:w="9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BW NHHC Holdco Inc.</w:t>
            </w:r>
          </w:p>
        </w:tc>
        <w:tc>
          <w:tcPr>
            <w:tcW w:w="18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0"/>
                <w:szCs w:val="10"/>
                <w:color w:val="auto"/>
              </w:rPr>
              <w:t>Healthcare &amp; Pharmaceuticals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0"/>
              </w:rPr>
              <w:t>12.85%</w:t>
            </w:r>
          </w:p>
        </w:tc>
        <w:tc>
          <w:tcPr>
            <w:tcW w:w="860" w:type="dxa"/>
            <w:vAlign w:val="bottom"/>
            <w:shd w:val="clear" w:color="auto" w:fill="CFF0FC"/>
          </w:tcPr>
          <w:p>
            <w:pPr>
              <w:jc w:val="center"/>
              <w:ind w:right="12"/>
              <w:spacing w:after="0"/>
              <w:rPr>
                <w:sz w:val="20"/>
                <w:szCs w:val="20"/>
                <w:color w:val="auto"/>
              </w:rPr>
            </w:pPr>
            <w:r>
              <w:rPr>
                <w:rFonts w:ascii="Times New Roman" w:cs="Times New Roman" w:eastAsia="Times New Roman" w:hAnsi="Times New Roman"/>
                <w:sz w:val="10"/>
                <w:szCs w:val="10"/>
                <w:color w:val="auto"/>
                <w:w w:val="97"/>
              </w:rPr>
              <w:t>SOFR + 7.50%</w:t>
            </w:r>
          </w:p>
        </w:tc>
        <w:tc>
          <w:tcPr>
            <w:tcW w:w="6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2.00%</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3"/>
              </w:rPr>
              <w:t>1/15/2026</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952</w:t>
            </w: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946</w:t>
            </w: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969</w:t>
            </w:r>
          </w:p>
        </w:tc>
        <w:tc>
          <w:tcPr>
            <w:tcW w:w="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(15)</w:t>
            </w:r>
          </w:p>
        </w:tc>
        <w:tc>
          <w:tcPr>
            <w:tcW w:w="0" w:type="dxa"/>
            <w:vAlign w:val="bottom"/>
          </w:tcPr>
          <w:p>
            <w:pPr>
              <w:spacing w:after="0"/>
              <w:rPr>
                <w:sz w:val="1"/>
                <w:szCs w:val="1"/>
                <w:color w:val="auto"/>
              </w:rPr>
            </w:pPr>
          </w:p>
        </w:tc>
      </w:tr>
      <w:tr>
        <w:trPr>
          <w:trHeight w:val="121"/>
        </w:trPr>
        <w:tc>
          <w:tcPr>
            <w:tcW w:w="2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C.P. Converters, Inc.</w:t>
            </w:r>
          </w:p>
        </w:tc>
        <w:tc>
          <w:tcPr>
            <w:tcW w:w="18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Chemicals, Plastics and Rubber</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0"/>
              </w:rPr>
              <w:t>13.25%</w:t>
            </w:r>
          </w:p>
        </w:tc>
        <w:tc>
          <w:tcPr>
            <w:tcW w:w="8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SOFR + 6.50%,</w:t>
            </w:r>
          </w:p>
        </w:tc>
        <w:tc>
          <w:tcPr>
            <w:tcW w:w="6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9/30/2024</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9,738</w:t>
            </w:r>
          </w:p>
        </w:tc>
        <w:tc>
          <w:tcPr>
            <w:tcW w:w="240" w:type="dxa"/>
            <w:vAlign w:val="bottom"/>
          </w:tcPr>
          <w:p>
            <w:pPr>
              <w:spacing w:after="0"/>
              <w:rPr>
                <w:sz w:val="10"/>
                <w:szCs w:val="10"/>
                <w:color w:val="auto"/>
              </w:rPr>
            </w:pP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9,738</w:t>
            </w:r>
          </w:p>
        </w:tc>
        <w:tc>
          <w:tcPr>
            <w:tcW w:w="140" w:type="dxa"/>
            <w:vAlign w:val="bottom"/>
          </w:tcPr>
          <w:p>
            <w:pPr>
              <w:spacing w:after="0"/>
              <w:rPr>
                <w:sz w:val="10"/>
                <w:szCs w:val="10"/>
                <w:color w:val="auto"/>
              </w:rPr>
            </w:pPr>
          </w:p>
        </w:tc>
        <w:tc>
          <w:tcPr>
            <w:tcW w:w="6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9,835</w:t>
            </w:r>
          </w:p>
        </w:tc>
        <w:tc>
          <w:tcPr>
            <w:tcW w:w="9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24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8"/>
              </w:rPr>
              <w:t>1.00% PIK</w:t>
            </w: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CB MIDCO, LLC</w:t>
            </w:r>
          </w:p>
        </w:tc>
        <w:tc>
          <w:tcPr>
            <w:tcW w:w="18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0"/>
                <w:szCs w:val="10"/>
                <w:color w:val="auto"/>
              </w:rPr>
              <w:t>Consumer goods: Durable</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0"/>
              </w:rPr>
              <w:t>11.21%</w:t>
            </w:r>
          </w:p>
        </w:tc>
        <w:tc>
          <w:tcPr>
            <w:tcW w:w="860" w:type="dxa"/>
            <w:vAlign w:val="bottom"/>
            <w:shd w:val="clear" w:color="auto" w:fill="CFF0FC"/>
          </w:tcPr>
          <w:p>
            <w:pPr>
              <w:jc w:val="center"/>
              <w:ind w:right="12"/>
              <w:spacing w:after="0"/>
              <w:rPr>
                <w:sz w:val="20"/>
                <w:szCs w:val="20"/>
                <w:color w:val="auto"/>
              </w:rPr>
            </w:pPr>
            <w:r>
              <w:rPr>
                <w:rFonts w:ascii="Times New Roman" w:cs="Times New Roman" w:eastAsia="Times New Roman" w:hAnsi="Times New Roman"/>
                <w:sz w:val="10"/>
                <w:szCs w:val="10"/>
                <w:color w:val="auto"/>
                <w:w w:val="97"/>
              </w:rPr>
              <w:t>SOFR + 5.75%</w:t>
            </w:r>
          </w:p>
        </w:tc>
        <w:tc>
          <w:tcPr>
            <w:tcW w:w="6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3"/>
              </w:rPr>
              <w:t>9/27/2027</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3,802</w:t>
            </w: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3,778</w:t>
            </w: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3,525</w:t>
            </w:r>
          </w:p>
        </w:tc>
        <w:tc>
          <w:tcPr>
            <w:tcW w:w="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2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Cenexel Clinical Research, Inc.</w:t>
            </w:r>
          </w:p>
        </w:tc>
        <w:tc>
          <w:tcPr>
            <w:tcW w:w="18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Healthcare &amp; Pharmaceuticals</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0"/>
              </w:rPr>
              <w:t>11.22%</w:t>
            </w:r>
          </w:p>
        </w:tc>
        <w:tc>
          <w:tcPr>
            <w:tcW w:w="8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SOFR + 5.75%</w:t>
            </w:r>
          </w:p>
        </w:tc>
        <w:tc>
          <w:tcPr>
            <w:tcW w:w="6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11/8/2025</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5,773</w:t>
            </w:r>
          </w:p>
        </w:tc>
        <w:tc>
          <w:tcPr>
            <w:tcW w:w="240" w:type="dxa"/>
            <w:vAlign w:val="bottom"/>
          </w:tcPr>
          <w:p>
            <w:pPr>
              <w:spacing w:after="0"/>
              <w:rPr>
                <w:sz w:val="10"/>
                <w:szCs w:val="10"/>
                <w:color w:val="auto"/>
              </w:rPr>
            </w:pP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5,742</w:t>
            </w:r>
          </w:p>
        </w:tc>
        <w:tc>
          <w:tcPr>
            <w:tcW w:w="140" w:type="dxa"/>
            <w:vAlign w:val="bottom"/>
          </w:tcPr>
          <w:p>
            <w:pPr>
              <w:spacing w:after="0"/>
              <w:rPr>
                <w:sz w:val="10"/>
                <w:szCs w:val="10"/>
                <w:color w:val="auto"/>
              </w:rPr>
            </w:pPr>
          </w:p>
        </w:tc>
        <w:tc>
          <w:tcPr>
            <w:tcW w:w="6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5,773</w:t>
            </w:r>
          </w:p>
        </w:tc>
        <w:tc>
          <w:tcPr>
            <w:tcW w:w="9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1"/>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Centric Brands Inc.</w:t>
            </w:r>
          </w:p>
        </w:tc>
        <w:tc>
          <w:tcPr>
            <w:tcW w:w="18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0"/>
                <w:szCs w:val="10"/>
                <w:color w:val="auto"/>
              </w:rPr>
              <w:t>Machinery (Non-Agrclt/Constr/Electr)</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0"/>
              </w:rPr>
              <w:t>14.87%</w:t>
            </w:r>
          </w:p>
        </w:tc>
        <w:tc>
          <w:tcPr>
            <w:tcW w:w="860" w:type="dxa"/>
            <w:vAlign w:val="bottom"/>
            <w:shd w:val="clear" w:color="auto" w:fill="CFF0FC"/>
          </w:tcPr>
          <w:p>
            <w:pPr>
              <w:jc w:val="center"/>
              <w:ind w:right="12"/>
              <w:spacing w:after="0"/>
              <w:rPr>
                <w:sz w:val="20"/>
                <w:szCs w:val="20"/>
                <w:color w:val="auto"/>
              </w:rPr>
            </w:pPr>
            <w:r>
              <w:rPr>
                <w:rFonts w:ascii="Times New Roman" w:cs="Times New Roman" w:eastAsia="Times New Roman" w:hAnsi="Times New Roman"/>
                <w:sz w:val="10"/>
                <w:szCs w:val="10"/>
                <w:color w:val="auto"/>
                <w:w w:val="93"/>
              </w:rPr>
              <w:t>SOFR + 2.50%,</w:t>
            </w:r>
          </w:p>
        </w:tc>
        <w:tc>
          <w:tcPr>
            <w:tcW w:w="680" w:type="dxa"/>
            <w:vAlign w:val="bottom"/>
            <w:vMerge w:val="restart"/>
            <w:shd w:val="clear" w:color="auto" w:fill="CFF0FC"/>
          </w:tcPr>
          <w:p>
            <w:pPr>
              <w:jc w:val="right"/>
              <w:ind w:right="2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3"/>
              </w:rPr>
              <w:t>10/9/2025</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10,487</w:t>
            </w: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9,851</w:t>
            </w: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9,976</w:t>
            </w:r>
          </w:p>
        </w:tc>
        <w:tc>
          <w:tcPr>
            <w:tcW w:w="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00"/>
        </w:trPr>
        <w:tc>
          <w:tcPr>
            <w:tcW w:w="2400" w:type="dxa"/>
            <w:vAlign w:val="bottom"/>
            <w:tcBorders>
              <w:bottom w:val="single" w:sz="8" w:color="CFF0FC"/>
            </w:tcBorders>
            <w:shd w:val="clear" w:color="auto" w:fill="CFF0FC"/>
          </w:tcPr>
          <w:p>
            <w:pPr>
              <w:spacing w:after="0"/>
              <w:rPr>
                <w:sz w:val="8"/>
                <w:szCs w:val="8"/>
                <w:color w:val="auto"/>
              </w:rPr>
            </w:pPr>
          </w:p>
        </w:tc>
        <w:tc>
          <w:tcPr>
            <w:tcW w:w="1860" w:type="dxa"/>
            <w:vAlign w:val="bottom"/>
            <w:tcBorders>
              <w:bottom w:val="single" w:sz="8" w:color="CFF0FC"/>
            </w:tcBorders>
            <w:shd w:val="clear" w:color="auto" w:fill="CFF0FC"/>
          </w:tcPr>
          <w:p>
            <w:pPr>
              <w:spacing w:after="0"/>
              <w:rPr>
                <w:sz w:val="8"/>
                <w:szCs w:val="8"/>
                <w:color w:val="auto"/>
              </w:rPr>
            </w:pPr>
          </w:p>
        </w:tc>
        <w:tc>
          <w:tcPr>
            <w:tcW w:w="720" w:type="dxa"/>
            <w:vAlign w:val="bottom"/>
            <w:tcBorders>
              <w:bottom w:val="single" w:sz="8" w:color="CFF0FC"/>
            </w:tcBorders>
            <w:shd w:val="clear" w:color="auto" w:fill="CFF0FC"/>
          </w:tcPr>
          <w:p>
            <w:pPr>
              <w:spacing w:after="0"/>
              <w:rPr>
                <w:sz w:val="8"/>
                <w:szCs w:val="8"/>
                <w:color w:val="auto"/>
              </w:rPr>
            </w:pPr>
          </w:p>
        </w:tc>
        <w:tc>
          <w:tcPr>
            <w:tcW w:w="860" w:type="dxa"/>
            <w:vAlign w:val="bottom"/>
            <w:tcBorders>
              <w:bottom w:val="single" w:sz="8" w:color="CFF0FC"/>
            </w:tcBorders>
            <w:shd w:val="clear" w:color="auto" w:fill="CFF0FC"/>
          </w:tcPr>
          <w:p>
            <w:pPr>
              <w:jc w:val="center"/>
              <w:ind w:right="12"/>
              <w:spacing w:after="0" w:line="100" w:lineRule="exact"/>
              <w:rPr>
                <w:sz w:val="20"/>
                <w:szCs w:val="20"/>
                <w:color w:val="auto"/>
              </w:rPr>
            </w:pPr>
            <w:r>
              <w:rPr>
                <w:rFonts w:ascii="Times New Roman" w:cs="Times New Roman" w:eastAsia="Times New Roman" w:hAnsi="Times New Roman"/>
                <w:sz w:val="10"/>
                <w:szCs w:val="10"/>
                <w:color w:val="auto"/>
                <w:w w:val="98"/>
              </w:rPr>
              <w:t>7.00% PIK</w:t>
            </w:r>
          </w:p>
        </w:tc>
        <w:tc>
          <w:tcPr>
            <w:tcW w:w="680" w:type="dxa"/>
            <w:vAlign w:val="bottom"/>
            <w:tcBorders>
              <w:bottom w:val="single" w:sz="8" w:color="CFF0FC"/>
            </w:tcBorders>
            <w:vMerge w:val="continue"/>
            <w:shd w:val="clear" w:color="auto" w:fill="CFF0FC"/>
          </w:tcPr>
          <w:p>
            <w:pPr>
              <w:spacing w:after="0"/>
              <w:rPr>
                <w:sz w:val="8"/>
                <w:szCs w:val="8"/>
                <w:color w:val="auto"/>
              </w:rPr>
            </w:pPr>
          </w:p>
        </w:tc>
        <w:tc>
          <w:tcPr>
            <w:tcW w:w="740" w:type="dxa"/>
            <w:vAlign w:val="bottom"/>
            <w:tcBorders>
              <w:bottom w:val="single" w:sz="8" w:color="CFF0FC"/>
            </w:tcBorders>
            <w:shd w:val="clear" w:color="auto" w:fill="CFF0FC"/>
          </w:tcPr>
          <w:p>
            <w:pPr>
              <w:spacing w:after="0"/>
              <w:rPr>
                <w:sz w:val="8"/>
                <w:szCs w:val="8"/>
                <w:color w:val="auto"/>
              </w:rPr>
            </w:pPr>
          </w:p>
        </w:tc>
        <w:tc>
          <w:tcPr>
            <w:tcW w:w="800" w:type="dxa"/>
            <w:vAlign w:val="bottom"/>
            <w:tcBorders>
              <w:bottom w:val="single" w:sz="8" w:color="CFF0FC"/>
            </w:tcBorders>
            <w:shd w:val="clear" w:color="auto" w:fill="CFF0FC"/>
          </w:tcPr>
          <w:p>
            <w:pPr>
              <w:spacing w:after="0"/>
              <w:rPr>
                <w:sz w:val="8"/>
                <w:szCs w:val="8"/>
                <w:color w:val="auto"/>
              </w:rPr>
            </w:pPr>
          </w:p>
        </w:tc>
        <w:tc>
          <w:tcPr>
            <w:tcW w:w="240" w:type="dxa"/>
            <w:vAlign w:val="bottom"/>
            <w:tcBorders>
              <w:bottom w:val="single" w:sz="8" w:color="CFF0FC"/>
            </w:tcBorders>
            <w:shd w:val="clear" w:color="auto" w:fill="CFF0FC"/>
          </w:tcPr>
          <w:p>
            <w:pPr>
              <w:spacing w:after="0"/>
              <w:rPr>
                <w:sz w:val="8"/>
                <w:szCs w:val="8"/>
                <w:color w:val="auto"/>
              </w:rPr>
            </w:pPr>
          </w:p>
        </w:tc>
        <w:tc>
          <w:tcPr>
            <w:tcW w:w="580" w:type="dxa"/>
            <w:vAlign w:val="bottom"/>
            <w:tcBorders>
              <w:bottom w:val="single" w:sz="8" w:color="CFF0FC"/>
            </w:tcBorders>
            <w:shd w:val="clear" w:color="auto" w:fill="CFF0FC"/>
          </w:tcPr>
          <w:p>
            <w:pPr>
              <w:spacing w:after="0"/>
              <w:rPr>
                <w:sz w:val="8"/>
                <w:szCs w:val="8"/>
                <w:color w:val="auto"/>
              </w:rPr>
            </w:pPr>
          </w:p>
        </w:tc>
        <w:tc>
          <w:tcPr>
            <w:tcW w:w="140" w:type="dxa"/>
            <w:vAlign w:val="bottom"/>
            <w:tcBorders>
              <w:bottom w:val="single" w:sz="8" w:color="CFF0FC"/>
            </w:tcBorders>
            <w:shd w:val="clear" w:color="auto" w:fill="CFF0FC"/>
          </w:tcPr>
          <w:p>
            <w:pPr>
              <w:spacing w:after="0"/>
              <w:rPr>
                <w:sz w:val="8"/>
                <w:szCs w:val="8"/>
                <w:color w:val="auto"/>
              </w:rPr>
            </w:pPr>
          </w:p>
        </w:tc>
        <w:tc>
          <w:tcPr>
            <w:tcW w:w="640" w:type="dxa"/>
            <w:vAlign w:val="bottom"/>
            <w:tcBorders>
              <w:bottom w:val="single" w:sz="8" w:color="CFF0FC"/>
            </w:tcBorders>
            <w:shd w:val="clear" w:color="auto" w:fill="CFF0FC"/>
          </w:tcPr>
          <w:p>
            <w:pPr>
              <w:spacing w:after="0"/>
              <w:rPr>
                <w:sz w:val="8"/>
                <w:szCs w:val="8"/>
                <w:color w:val="auto"/>
              </w:rPr>
            </w:pPr>
          </w:p>
        </w:tc>
        <w:tc>
          <w:tcPr>
            <w:tcW w:w="90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Centric Brands Inc. (Revolver)</w:t>
            </w:r>
          </w:p>
        </w:tc>
        <w:tc>
          <w:tcPr>
            <w:tcW w:w="18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Machinery (Non-Agrclt/Constr/Electr)</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0.75%</w:t>
            </w:r>
          </w:p>
        </w:tc>
        <w:tc>
          <w:tcPr>
            <w:tcW w:w="8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SOFR + 2.50%</w:t>
            </w:r>
          </w:p>
        </w:tc>
        <w:tc>
          <w:tcPr>
            <w:tcW w:w="6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10/9/2024</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(15 )</w:t>
            </w:r>
          </w:p>
        </w:tc>
        <w:tc>
          <w:tcPr>
            <w:tcW w:w="140" w:type="dxa"/>
            <w:vAlign w:val="bottom"/>
          </w:tcPr>
          <w:p>
            <w:pPr>
              <w:spacing w:after="0"/>
              <w:rPr>
                <w:sz w:val="10"/>
                <w:szCs w:val="10"/>
                <w:color w:val="auto"/>
              </w:rPr>
            </w:pPr>
          </w:p>
        </w:tc>
        <w:tc>
          <w:tcPr>
            <w:tcW w:w="6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(13)(20)</w:t>
            </w:r>
          </w:p>
        </w:tc>
        <w:tc>
          <w:tcPr>
            <w:tcW w:w="0" w:type="dxa"/>
            <w:vAlign w:val="bottom"/>
          </w:tcPr>
          <w:p>
            <w:pPr>
              <w:spacing w:after="0"/>
              <w:rPr>
                <w:sz w:val="1"/>
                <w:szCs w:val="1"/>
                <w:color w:val="auto"/>
              </w:rPr>
            </w:pPr>
          </w:p>
        </w:tc>
      </w:tr>
      <w:tr>
        <w:trPr>
          <w:trHeight w:val="120"/>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Colonnade Intermediate, LLC</w:t>
            </w:r>
          </w:p>
        </w:tc>
        <w:tc>
          <w:tcPr>
            <w:tcW w:w="18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0"/>
                <w:szCs w:val="10"/>
                <w:color w:val="auto"/>
              </w:rPr>
              <w:t>Services: Business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0"/>
              </w:rPr>
              <w:t>12.45%</w:t>
            </w:r>
          </w:p>
        </w:tc>
        <w:tc>
          <w:tcPr>
            <w:tcW w:w="860" w:type="dxa"/>
            <w:vAlign w:val="bottom"/>
            <w:shd w:val="clear" w:color="auto" w:fill="CFF0FC"/>
          </w:tcPr>
          <w:p>
            <w:pPr>
              <w:jc w:val="center"/>
              <w:ind w:right="12"/>
              <w:spacing w:after="0"/>
              <w:rPr>
                <w:sz w:val="20"/>
                <w:szCs w:val="20"/>
                <w:color w:val="auto"/>
              </w:rPr>
            </w:pPr>
            <w:r>
              <w:rPr>
                <w:rFonts w:ascii="Times New Roman" w:cs="Times New Roman" w:eastAsia="Times New Roman" w:hAnsi="Times New Roman"/>
                <w:sz w:val="10"/>
                <w:szCs w:val="10"/>
                <w:color w:val="auto"/>
                <w:w w:val="97"/>
              </w:rPr>
              <w:t>SOFR + 7.00%</w:t>
            </w:r>
          </w:p>
        </w:tc>
        <w:tc>
          <w:tcPr>
            <w:tcW w:w="6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3"/>
              </w:rPr>
              <w:t>2/27/2024</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7,185</w:t>
            </w: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7,184</w:t>
            </w: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7,137</w:t>
            </w:r>
          </w:p>
        </w:tc>
        <w:tc>
          <w:tcPr>
            <w:tcW w:w="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2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Colonnade Intermediate, LLC (Revolver)</w:t>
            </w:r>
          </w:p>
        </w:tc>
        <w:tc>
          <w:tcPr>
            <w:tcW w:w="18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Services: Business</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0"/>
              </w:rPr>
              <w:t>12.60%</w:t>
            </w:r>
          </w:p>
        </w:tc>
        <w:tc>
          <w:tcPr>
            <w:tcW w:w="8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SOFR +7.00%</w:t>
            </w:r>
          </w:p>
        </w:tc>
        <w:tc>
          <w:tcPr>
            <w:tcW w:w="6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2/27/2024</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576</w:t>
            </w:r>
          </w:p>
        </w:tc>
        <w:tc>
          <w:tcPr>
            <w:tcW w:w="240" w:type="dxa"/>
            <w:vAlign w:val="bottom"/>
          </w:tcPr>
          <w:p>
            <w:pPr>
              <w:spacing w:after="0"/>
              <w:rPr>
                <w:sz w:val="10"/>
                <w:szCs w:val="10"/>
                <w:color w:val="auto"/>
              </w:rPr>
            </w:pP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576</w:t>
            </w:r>
          </w:p>
        </w:tc>
        <w:tc>
          <w:tcPr>
            <w:tcW w:w="140" w:type="dxa"/>
            <w:vAlign w:val="bottom"/>
          </w:tcPr>
          <w:p>
            <w:pPr>
              <w:spacing w:after="0"/>
              <w:rPr>
                <w:sz w:val="10"/>
                <w:szCs w:val="10"/>
                <w:color w:val="auto"/>
              </w:rPr>
            </w:pPr>
          </w:p>
        </w:tc>
        <w:tc>
          <w:tcPr>
            <w:tcW w:w="6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571</w:t>
            </w:r>
          </w:p>
        </w:tc>
        <w:tc>
          <w:tcPr>
            <w:tcW w:w="9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(13)(20)</w:t>
            </w:r>
          </w:p>
        </w:tc>
        <w:tc>
          <w:tcPr>
            <w:tcW w:w="0" w:type="dxa"/>
            <w:vAlign w:val="bottom"/>
          </w:tcPr>
          <w:p>
            <w:pPr>
              <w:spacing w:after="0"/>
              <w:rPr>
                <w:sz w:val="1"/>
                <w:szCs w:val="1"/>
                <w:color w:val="auto"/>
              </w:rPr>
            </w:pPr>
          </w:p>
        </w:tc>
      </w:tr>
      <w:tr>
        <w:trPr>
          <w:trHeight w:val="120"/>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Colonnade Intermediate, LLC (Revolver)</w:t>
            </w:r>
          </w:p>
        </w:tc>
        <w:tc>
          <w:tcPr>
            <w:tcW w:w="18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0"/>
                <w:szCs w:val="10"/>
                <w:color w:val="auto"/>
              </w:rPr>
              <w:t>Services: Business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0"/>
              </w:rPr>
              <w:t>12.60%</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6"/>
              </w:rPr>
              <w:t>PRIME +7.00%</w:t>
            </w:r>
          </w:p>
        </w:tc>
        <w:tc>
          <w:tcPr>
            <w:tcW w:w="6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3"/>
              </w:rPr>
              <w:t>2/27/2024</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41</w:t>
            </w: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41</w:t>
            </w: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41</w:t>
            </w:r>
          </w:p>
        </w:tc>
        <w:tc>
          <w:tcPr>
            <w:tcW w:w="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(13)(20)</w:t>
            </w:r>
          </w:p>
        </w:tc>
        <w:tc>
          <w:tcPr>
            <w:tcW w:w="0" w:type="dxa"/>
            <w:vAlign w:val="bottom"/>
          </w:tcPr>
          <w:p>
            <w:pPr>
              <w:spacing w:after="0"/>
              <w:rPr>
                <w:sz w:val="1"/>
                <w:szCs w:val="1"/>
                <w:color w:val="auto"/>
              </w:rPr>
            </w:pPr>
          </w:p>
        </w:tc>
      </w:tr>
      <w:tr>
        <w:trPr>
          <w:trHeight w:val="120"/>
        </w:trPr>
        <w:tc>
          <w:tcPr>
            <w:tcW w:w="2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Critical Nurse Staffing, LLC</w:t>
            </w:r>
          </w:p>
        </w:tc>
        <w:tc>
          <w:tcPr>
            <w:tcW w:w="18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Healthcare &amp; Pharmaceuticals</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0"/>
              </w:rPr>
              <w:t>12.03%</w:t>
            </w:r>
          </w:p>
        </w:tc>
        <w:tc>
          <w:tcPr>
            <w:tcW w:w="8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SOFR + 6.50%</w:t>
            </w:r>
          </w:p>
        </w:tc>
        <w:tc>
          <w:tcPr>
            <w:tcW w:w="6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10/30/2026</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12,697</w:t>
            </w:r>
          </w:p>
        </w:tc>
        <w:tc>
          <w:tcPr>
            <w:tcW w:w="240" w:type="dxa"/>
            <w:vAlign w:val="bottom"/>
          </w:tcPr>
          <w:p>
            <w:pPr>
              <w:spacing w:after="0"/>
              <w:rPr>
                <w:sz w:val="10"/>
                <w:szCs w:val="10"/>
                <w:color w:val="auto"/>
              </w:rPr>
            </w:pP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12,533</w:t>
            </w:r>
          </w:p>
        </w:tc>
        <w:tc>
          <w:tcPr>
            <w:tcW w:w="140" w:type="dxa"/>
            <w:vAlign w:val="bottom"/>
          </w:tcPr>
          <w:p>
            <w:pPr>
              <w:spacing w:after="0"/>
              <w:rPr>
                <w:sz w:val="10"/>
                <w:szCs w:val="10"/>
                <w:color w:val="auto"/>
              </w:rPr>
            </w:pPr>
          </w:p>
        </w:tc>
        <w:tc>
          <w:tcPr>
            <w:tcW w:w="6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12,506</w:t>
            </w:r>
          </w:p>
        </w:tc>
        <w:tc>
          <w:tcPr>
            <w:tcW w:w="9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Critical Nurse Staffing, LLC (Revolver)</w:t>
            </w:r>
          </w:p>
        </w:tc>
        <w:tc>
          <w:tcPr>
            <w:tcW w:w="18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0"/>
                <w:szCs w:val="10"/>
                <w:color w:val="auto"/>
              </w:rPr>
              <w:t>Healthcare &amp; Pharmaceuticals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2"/>
              </w:rPr>
              <w:t>0.50%</w:t>
            </w:r>
          </w:p>
        </w:tc>
        <w:tc>
          <w:tcPr>
            <w:tcW w:w="860" w:type="dxa"/>
            <w:vAlign w:val="bottom"/>
            <w:shd w:val="clear" w:color="auto" w:fill="CFF0FC"/>
          </w:tcPr>
          <w:p>
            <w:pPr>
              <w:jc w:val="center"/>
              <w:ind w:right="12"/>
              <w:spacing w:after="0"/>
              <w:rPr>
                <w:sz w:val="20"/>
                <w:szCs w:val="20"/>
                <w:color w:val="auto"/>
              </w:rPr>
            </w:pPr>
            <w:r>
              <w:rPr>
                <w:rFonts w:ascii="Times New Roman" w:cs="Times New Roman" w:eastAsia="Times New Roman" w:hAnsi="Times New Roman"/>
                <w:sz w:val="10"/>
                <w:szCs w:val="10"/>
                <w:color w:val="auto"/>
                <w:w w:val="97"/>
              </w:rPr>
              <w:t>SOFR + 6.50%</w:t>
            </w:r>
          </w:p>
        </w:tc>
        <w:tc>
          <w:tcPr>
            <w:tcW w:w="6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6"/>
              </w:rPr>
              <w:t>10/30/2026</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(35 )</w:t>
            </w: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(30 )</w:t>
            </w:r>
          </w:p>
        </w:tc>
        <w:tc>
          <w:tcPr>
            <w:tcW w:w="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(20)</w:t>
            </w:r>
          </w:p>
        </w:tc>
        <w:tc>
          <w:tcPr>
            <w:tcW w:w="0" w:type="dxa"/>
            <w:vAlign w:val="bottom"/>
          </w:tcPr>
          <w:p>
            <w:pPr>
              <w:spacing w:after="0"/>
              <w:rPr>
                <w:sz w:val="1"/>
                <w:szCs w:val="1"/>
                <w:color w:val="auto"/>
              </w:rPr>
            </w:pPr>
          </w:p>
        </w:tc>
      </w:tr>
      <w:tr>
        <w:trPr>
          <w:trHeight w:val="120"/>
        </w:trPr>
        <w:tc>
          <w:tcPr>
            <w:tcW w:w="2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Datalink, LLC</w:t>
            </w:r>
          </w:p>
        </w:tc>
        <w:tc>
          <w:tcPr>
            <w:tcW w:w="18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Healthcare &amp; Pharmaceuticals</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0"/>
              </w:rPr>
              <w:t>12.21%</w:t>
            </w:r>
          </w:p>
        </w:tc>
        <w:tc>
          <w:tcPr>
            <w:tcW w:w="8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SOFR + 6.75%</w:t>
            </w:r>
          </w:p>
        </w:tc>
        <w:tc>
          <w:tcPr>
            <w:tcW w:w="6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11/23/2026</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2,715</w:t>
            </w:r>
          </w:p>
        </w:tc>
        <w:tc>
          <w:tcPr>
            <w:tcW w:w="240" w:type="dxa"/>
            <w:vAlign w:val="bottom"/>
          </w:tcPr>
          <w:p>
            <w:pPr>
              <w:spacing w:after="0"/>
              <w:rPr>
                <w:sz w:val="10"/>
                <w:szCs w:val="10"/>
                <w:color w:val="auto"/>
              </w:rPr>
            </w:pP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2,679</w:t>
            </w:r>
          </w:p>
        </w:tc>
        <w:tc>
          <w:tcPr>
            <w:tcW w:w="140" w:type="dxa"/>
            <w:vAlign w:val="bottom"/>
          </w:tcPr>
          <w:p>
            <w:pPr>
              <w:spacing w:after="0"/>
              <w:rPr>
                <w:sz w:val="10"/>
                <w:szCs w:val="10"/>
                <w:color w:val="auto"/>
              </w:rPr>
            </w:pPr>
          </w:p>
        </w:tc>
        <w:tc>
          <w:tcPr>
            <w:tcW w:w="6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2,715</w:t>
            </w:r>
          </w:p>
        </w:tc>
        <w:tc>
          <w:tcPr>
            <w:tcW w:w="9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Dentive, LLC</w:t>
            </w:r>
          </w:p>
        </w:tc>
        <w:tc>
          <w:tcPr>
            <w:tcW w:w="18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0"/>
                <w:szCs w:val="10"/>
                <w:color w:val="auto"/>
              </w:rPr>
              <w:t>Healthcare &amp; Pharmaceuticals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0"/>
              </w:rPr>
              <w:t>12.35%</w:t>
            </w:r>
          </w:p>
        </w:tc>
        <w:tc>
          <w:tcPr>
            <w:tcW w:w="860" w:type="dxa"/>
            <w:vAlign w:val="bottom"/>
            <w:shd w:val="clear" w:color="auto" w:fill="CFF0FC"/>
          </w:tcPr>
          <w:p>
            <w:pPr>
              <w:jc w:val="center"/>
              <w:ind w:right="12"/>
              <w:spacing w:after="0"/>
              <w:rPr>
                <w:sz w:val="20"/>
                <w:szCs w:val="20"/>
                <w:color w:val="auto"/>
              </w:rPr>
            </w:pPr>
            <w:r>
              <w:rPr>
                <w:rFonts w:ascii="Times New Roman" w:cs="Times New Roman" w:eastAsia="Times New Roman" w:hAnsi="Times New Roman"/>
                <w:sz w:val="10"/>
                <w:szCs w:val="10"/>
                <w:color w:val="auto"/>
                <w:w w:val="97"/>
              </w:rPr>
              <w:t>SOFR + 7.00%</w:t>
            </w:r>
          </w:p>
        </w:tc>
        <w:tc>
          <w:tcPr>
            <w:tcW w:w="6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0.75%</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6"/>
              </w:rPr>
              <w:t>12/26/2028</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1,824</w:t>
            </w: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1,777</w:t>
            </w: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1,786</w:t>
            </w:r>
          </w:p>
        </w:tc>
        <w:tc>
          <w:tcPr>
            <w:tcW w:w="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(13)(20)</w:t>
            </w:r>
          </w:p>
        </w:tc>
        <w:tc>
          <w:tcPr>
            <w:tcW w:w="0" w:type="dxa"/>
            <w:vAlign w:val="bottom"/>
          </w:tcPr>
          <w:p>
            <w:pPr>
              <w:spacing w:after="0"/>
              <w:rPr>
                <w:sz w:val="1"/>
                <w:szCs w:val="1"/>
                <w:color w:val="auto"/>
              </w:rPr>
            </w:pPr>
          </w:p>
        </w:tc>
      </w:tr>
      <w:tr>
        <w:trPr>
          <w:trHeight w:val="120"/>
        </w:trPr>
        <w:tc>
          <w:tcPr>
            <w:tcW w:w="2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Dentive, LLC (Revolver)</w:t>
            </w:r>
          </w:p>
        </w:tc>
        <w:tc>
          <w:tcPr>
            <w:tcW w:w="18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Healthcare &amp; Pharmaceuticals</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0"/>
              </w:rPr>
              <w:t>12.39%</w:t>
            </w:r>
          </w:p>
        </w:tc>
        <w:tc>
          <w:tcPr>
            <w:tcW w:w="8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SOFR + 7.00%</w:t>
            </w:r>
          </w:p>
        </w:tc>
        <w:tc>
          <w:tcPr>
            <w:tcW w:w="6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0.75%</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12/23/2028</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48</w:t>
            </w:r>
          </w:p>
        </w:tc>
        <w:tc>
          <w:tcPr>
            <w:tcW w:w="240" w:type="dxa"/>
            <w:vAlign w:val="bottom"/>
          </w:tcPr>
          <w:p>
            <w:pPr>
              <w:spacing w:after="0"/>
              <w:rPr>
                <w:sz w:val="10"/>
                <w:szCs w:val="10"/>
                <w:color w:val="auto"/>
              </w:rPr>
            </w:pP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42</w:t>
            </w:r>
          </w:p>
        </w:tc>
        <w:tc>
          <w:tcPr>
            <w:tcW w:w="140" w:type="dxa"/>
            <w:vAlign w:val="bottom"/>
          </w:tcPr>
          <w:p>
            <w:pPr>
              <w:spacing w:after="0"/>
              <w:rPr>
                <w:sz w:val="10"/>
                <w:szCs w:val="10"/>
                <w:color w:val="auto"/>
              </w:rPr>
            </w:pPr>
          </w:p>
        </w:tc>
        <w:tc>
          <w:tcPr>
            <w:tcW w:w="6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44</w:t>
            </w:r>
          </w:p>
        </w:tc>
        <w:tc>
          <w:tcPr>
            <w:tcW w:w="9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(20)</w:t>
            </w:r>
          </w:p>
        </w:tc>
        <w:tc>
          <w:tcPr>
            <w:tcW w:w="0" w:type="dxa"/>
            <w:vAlign w:val="bottom"/>
          </w:tcPr>
          <w:p>
            <w:pPr>
              <w:spacing w:after="0"/>
              <w:rPr>
                <w:sz w:val="1"/>
                <w:szCs w:val="1"/>
                <w:color w:val="auto"/>
              </w:rPr>
            </w:pPr>
          </w:p>
        </w:tc>
      </w:tr>
      <w:tr>
        <w:trPr>
          <w:trHeight w:val="120"/>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Dodge Data &amp; Analytics LLC</w:t>
            </w:r>
          </w:p>
        </w:tc>
        <w:tc>
          <w:tcPr>
            <w:tcW w:w="18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0"/>
                <w:szCs w:val="10"/>
                <w:color w:val="auto"/>
              </w:rPr>
              <w:t>Construction &amp; Building</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0"/>
              </w:rPr>
              <w:t>10.25%</w:t>
            </w:r>
          </w:p>
        </w:tc>
        <w:tc>
          <w:tcPr>
            <w:tcW w:w="860" w:type="dxa"/>
            <w:vAlign w:val="bottom"/>
            <w:shd w:val="clear" w:color="auto" w:fill="CFF0FC"/>
          </w:tcPr>
          <w:p>
            <w:pPr>
              <w:jc w:val="center"/>
              <w:ind w:right="12"/>
              <w:spacing w:after="0"/>
              <w:rPr>
                <w:sz w:val="20"/>
                <w:szCs w:val="20"/>
                <w:color w:val="auto"/>
              </w:rPr>
            </w:pPr>
            <w:r>
              <w:rPr>
                <w:rFonts w:ascii="Times New Roman" w:cs="Times New Roman" w:eastAsia="Times New Roman" w:hAnsi="Times New Roman"/>
                <w:sz w:val="10"/>
                <w:szCs w:val="10"/>
                <w:color w:val="auto"/>
                <w:w w:val="97"/>
              </w:rPr>
              <w:t>SOFR + 4.75%</w:t>
            </w:r>
          </w:p>
        </w:tc>
        <w:tc>
          <w:tcPr>
            <w:tcW w:w="6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0.50%</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3"/>
              </w:rPr>
              <w:t>2/10/2029</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1,478</w:t>
            </w: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1,461</w:t>
            </w: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1,165</w:t>
            </w:r>
          </w:p>
        </w:tc>
        <w:tc>
          <w:tcPr>
            <w:tcW w:w="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(13)(15)</w:t>
            </w:r>
          </w:p>
        </w:tc>
        <w:tc>
          <w:tcPr>
            <w:tcW w:w="0" w:type="dxa"/>
            <w:vAlign w:val="bottom"/>
          </w:tcPr>
          <w:p>
            <w:pPr>
              <w:spacing w:after="0"/>
              <w:rPr>
                <w:sz w:val="1"/>
                <w:szCs w:val="1"/>
                <w:color w:val="auto"/>
              </w:rPr>
            </w:pPr>
          </w:p>
        </w:tc>
      </w:tr>
      <w:tr>
        <w:trPr>
          <w:trHeight w:val="120"/>
        </w:trPr>
        <w:tc>
          <w:tcPr>
            <w:tcW w:w="2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ELO Touch Solutions, Inc.</w:t>
            </w:r>
          </w:p>
        </w:tc>
        <w:tc>
          <w:tcPr>
            <w:tcW w:w="18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High Tech Industries</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0"/>
              </w:rPr>
              <w:t>11.97%</w:t>
            </w:r>
          </w:p>
        </w:tc>
        <w:tc>
          <w:tcPr>
            <w:tcW w:w="8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SOFR + 6.50%</w:t>
            </w:r>
          </w:p>
        </w:tc>
        <w:tc>
          <w:tcPr>
            <w:tcW w:w="68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12/14/2025</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2,049</w:t>
            </w:r>
          </w:p>
        </w:tc>
        <w:tc>
          <w:tcPr>
            <w:tcW w:w="240" w:type="dxa"/>
            <w:vAlign w:val="bottom"/>
          </w:tcPr>
          <w:p>
            <w:pPr>
              <w:spacing w:after="0"/>
              <w:rPr>
                <w:sz w:val="10"/>
                <w:szCs w:val="10"/>
                <w:color w:val="auto"/>
              </w:rPr>
            </w:pP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1,928</w:t>
            </w:r>
          </w:p>
        </w:tc>
        <w:tc>
          <w:tcPr>
            <w:tcW w:w="140" w:type="dxa"/>
            <w:vAlign w:val="bottom"/>
          </w:tcPr>
          <w:p>
            <w:pPr>
              <w:spacing w:after="0"/>
              <w:rPr>
                <w:sz w:val="10"/>
                <w:szCs w:val="10"/>
                <w:color w:val="auto"/>
              </w:rPr>
            </w:pPr>
          </w:p>
        </w:tc>
        <w:tc>
          <w:tcPr>
            <w:tcW w:w="6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1,983</w:t>
            </w:r>
          </w:p>
        </w:tc>
        <w:tc>
          <w:tcPr>
            <w:tcW w:w="9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(13)(15)</w:t>
            </w:r>
          </w:p>
        </w:tc>
        <w:tc>
          <w:tcPr>
            <w:tcW w:w="0" w:type="dxa"/>
            <w:vAlign w:val="bottom"/>
          </w:tcPr>
          <w:p>
            <w:pPr>
              <w:spacing w:after="0"/>
              <w:rPr>
                <w:sz w:val="1"/>
                <w:szCs w:val="1"/>
                <w:color w:val="auto"/>
              </w:rPr>
            </w:pPr>
          </w:p>
        </w:tc>
      </w:tr>
      <w:tr>
        <w:trPr>
          <w:trHeight w:val="120"/>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Florida Food Products, LLC</w:t>
            </w:r>
          </w:p>
        </w:tc>
        <w:tc>
          <w:tcPr>
            <w:tcW w:w="18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0"/>
                <w:szCs w:val="10"/>
                <w:color w:val="auto"/>
              </w:rPr>
              <w:t>Beverage, Food and Tobacco</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0"/>
              </w:rPr>
              <w:t>10.44%</w:t>
            </w:r>
          </w:p>
        </w:tc>
        <w:tc>
          <w:tcPr>
            <w:tcW w:w="860" w:type="dxa"/>
            <w:vAlign w:val="bottom"/>
            <w:shd w:val="clear" w:color="auto" w:fill="CFF0FC"/>
          </w:tcPr>
          <w:p>
            <w:pPr>
              <w:jc w:val="center"/>
              <w:ind w:right="12"/>
              <w:spacing w:after="0"/>
              <w:rPr>
                <w:sz w:val="20"/>
                <w:szCs w:val="20"/>
                <w:color w:val="auto"/>
              </w:rPr>
            </w:pPr>
            <w:r>
              <w:rPr>
                <w:rFonts w:ascii="Times New Roman" w:cs="Times New Roman" w:eastAsia="Times New Roman" w:hAnsi="Times New Roman"/>
                <w:sz w:val="10"/>
                <w:szCs w:val="10"/>
                <w:color w:val="auto"/>
                <w:w w:val="97"/>
              </w:rPr>
              <w:t>SOFR + 5.00%</w:t>
            </w:r>
          </w:p>
        </w:tc>
        <w:tc>
          <w:tcPr>
            <w:tcW w:w="6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0.75%</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6"/>
              </w:rPr>
              <w:t>10/18/2028</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6,893</w:t>
            </w: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6,756</w:t>
            </w: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6,048</w:t>
            </w:r>
          </w:p>
        </w:tc>
        <w:tc>
          <w:tcPr>
            <w:tcW w:w="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(13)(15)</w:t>
            </w:r>
          </w:p>
        </w:tc>
        <w:tc>
          <w:tcPr>
            <w:tcW w:w="0" w:type="dxa"/>
            <w:vAlign w:val="bottom"/>
          </w:tcPr>
          <w:p>
            <w:pPr>
              <w:spacing w:after="0"/>
              <w:rPr>
                <w:sz w:val="1"/>
                <w:szCs w:val="1"/>
                <w:color w:val="auto"/>
              </w:rPr>
            </w:pPr>
          </w:p>
        </w:tc>
      </w:tr>
      <w:tr>
        <w:trPr>
          <w:trHeight w:val="120"/>
        </w:trPr>
        <w:tc>
          <w:tcPr>
            <w:tcW w:w="2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Franchise Group, Inc.</w:t>
            </w:r>
          </w:p>
        </w:tc>
        <w:tc>
          <w:tcPr>
            <w:tcW w:w="18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Retail</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0"/>
              </w:rPr>
              <w:t>10.44%</w:t>
            </w:r>
          </w:p>
        </w:tc>
        <w:tc>
          <w:tcPr>
            <w:tcW w:w="8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SOFR + 4.75%</w:t>
            </w:r>
          </w:p>
        </w:tc>
        <w:tc>
          <w:tcPr>
            <w:tcW w:w="6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0.75%</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2/25/2026</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2,900</w:t>
            </w:r>
          </w:p>
        </w:tc>
        <w:tc>
          <w:tcPr>
            <w:tcW w:w="240" w:type="dxa"/>
            <w:vAlign w:val="bottom"/>
          </w:tcPr>
          <w:p>
            <w:pPr>
              <w:spacing w:after="0"/>
              <w:rPr>
                <w:sz w:val="10"/>
                <w:szCs w:val="10"/>
                <w:color w:val="auto"/>
              </w:rPr>
            </w:pP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2,890</w:t>
            </w:r>
          </w:p>
        </w:tc>
        <w:tc>
          <w:tcPr>
            <w:tcW w:w="140" w:type="dxa"/>
            <w:vAlign w:val="bottom"/>
          </w:tcPr>
          <w:p>
            <w:pPr>
              <w:spacing w:after="0"/>
              <w:rPr>
                <w:sz w:val="10"/>
                <w:szCs w:val="10"/>
                <w:color w:val="auto"/>
              </w:rPr>
            </w:pPr>
          </w:p>
        </w:tc>
        <w:tc>
          <w:tcPr>
            <w:tcW w:w="6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2,350</w:t>
            </w:r>
          </w:p>
        </w:tc>
        <w:tc>
          <w:tcPr>
            <w:tcW w:w="9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(7)(13)(15)</w:t>
            </w:r>
          </w:p>
        </w:tc>
        <w:tc>
          <w:tcPr>
            <w:tcW w:w="0" w:type="dxa"/>
            <w:vAlign w:val="bottom"/>
          </w:tcPr>
          <w:p>
            <w:pPr>
              <w:spacing w:after="0"/>
              <w:rPr>
                <w:sz w:val="1"/>
                <w:szCs w:val="1"/>
                <w:color w:val="auto"/>
              </w:rPr>
            </w:pPr>
          </w:p>
        </w:tc>
      </w:tr>
      <w:tr>
        <w:trPr>
          <w:trHeight w:val="120"/>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Global Integrated Flooring Systems Inc.</w:t>
            </w:r>
          </w:p>
        </w:tc>
        <w:tc>
          <w:tcPr>
            <w:tcW w:w="18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0"/>
                <w:szCs w:val="10"/>
                <w:color w:val="auto"/>
              </w:rPr>
              <w:t>Consumer goods: Durable</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0"/>
              </w:rPr>
              <w:t>14.76%</w:t>
            </w:r>
          </w:p>
        </w:tc>
        <w:tc>
          <w:tcPr>
            <w:tcW w:w="860" w:type="dxa"/>
            <w:vAlign w:val="bottom"/>
            <w:shd w:val="clear" w:color="auto" w:fill="CFF0FC"/>
          </w:tcPr>
          <w:p>
            <w:pPr>
              <w:jc w:val="center"/>
              <w:ind w:right="12"/>
              <w:spacing w:after="0"/>
              <w:rPr>
                <w:sz w:val="20"/>
                <w:szCs w:val="20"/>
                <w:color w:val="auto"/>
              </w:rPr>
            </w:pPr>
            <w:r>
              <w:rPr>
                <w:rFonts w:ascii="Times New Roman" w:cs="Times New Roman" w:eastAsia="Times New Roman" w:hAnsi="Times New Roman"/>
                <w:sz w:val="10"/>
                <w:szCs w:val="10"/>
                <w:color w:val="auto"/>
                <w:w w:val="93"/>
              </w:rPr>
              <w:t>SOFR + 8.36%,</w:t>
            </w:r>
          </w:p>
        </w:tc>
        <w:tc>
          <w:tcPr>
            <w:tcW w:w="680" w:type="dxa"/>
            <w:vAlign w:val="bottom"/>
            <w:vMerge w:val="restart"/>
            <w:shd w:val="clear" w:color="auto" w:fill="CFF0FC"/>
          </w:tcPr>
          <w:p>
            <w:pPr>
              <w:jc w:val="right"/>
              <w:ind w:right="2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3"/>
              </w:rPr>
              <w:t>5/15/2024</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6,852</w:t>
            </w: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6,124</w:t>
            </w: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4,127</w:t>
            </w:r>
          </w:p>
        </w:tc>
        <w:tc>
          <w:tcPr>
            <w:tcW w:w="9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2400" w:type="dxa"/>
            <w:vAlign w:val="bottom"/>
            <w:tcBorders>
              <w:bottom w:val="single" w:sz="8" w:color="CFF0FC"/>
            </w:tcBorders>
            <w:shd w:val="clear" w:color="auto" w:fill="CFF0FC"/>
          </w:tcPr>
          <w:p>
            <w:pPr>
              <w:spacing w:after="0"/>
              <w:rPr>
                <w:sz w:val="8"/>
                <w:szCs w:val="8"/>
                <w:color w:val="auto"/>
              </w:rPr>
            </w:pPr>
          </w:p>
        </w:tc>
        <w:tc>
          <w:tcPr>
            <w:tcW w:w="1860" w:type="dxa"/>
            <w:vAlign w:val="bottom"/>
            <w:tcBorders>
              <w:bottom w:val="single" w:sz="8" w:color="CFF0FC"/>
            </w:tcBorders>
            <w:shd w:val="clear" w:color="auto" w:fill="CFF0FC"/>
          </w:tcPr>
          <w:p>
            <w:pPr>
              <w:spacing w:after="0"/>
              <w:rPr>
                <w:sz w:val="8"/>
                <w:szCs w:val="8"/>
                <w:color w:val="auto"/>
              </w:rPr>
            </w:pPr>
          </w:p>
        </w:tc>
        <w:tc>
          <w:tcPr>
            <w:tcW w:w="720" w:type="dxa"/>
            <w:vAlign w:val="bottom"/>
            <w:tcBorders>
              <w:bottom w:val="single" w:sz="8" w:color="CFF0FC"/>
            </w:tcBorders>
            <w:shd w:val="clear" w:color="auto" w:fill="CFF0FC"/>
          </w:tcPr>
          <w:p>
            <w:pPr>
              <w:spacing w:after="0"/>
              <w:rPr>
                <w:sz w:val="8"/>
                <w:szCs w:val="8"/>
                <w:color w:val="auto"/>
              </w:rPr>
            </w:pPr>
          </w:p>
        </w:tc>
        <w:tc>
          <w:tcPr>
            <w:tcW w:w="860" w:type="dxa"/>
            <w:vAlign w:val="bottom"/>
            <w:tcBorders>
              <w:bottom w:val="single" w:sz="8" w:color="CFF0FC"/>
            </w:tcBorders>
            <w:shd w:val="clear" w:color="auto" w:fill="CFF0FC"/>
          </w:tcPr>
          <w:p>
            <w:pPr>
              <w:jc w:val="center"/>
              <w:ind w:right="12"/>
              <w:spacing w:after="0" w:line="100" w:lineRule="exact"/>
              <w:rPr>
                <w:sz w:val="20"/>
                <w:szCs w:val="20"/>
                <w:color w:val="auto"/>
              </w:rPr>
            </w:pPr>
            <w:r>
              <w:rPr>
                <w:rFonts w:ascii="Times New Roman" w:cs="Times New Roman" w:eastAsia="Times New Roman" w:hAnsi="Times New Roman"/>
                <w:sz w:val="10"/>
                <w:szCs w:val="10"/>
                <w:color w:val="auto"/>
                <w:w w:val="98"/>
              </w:rPr>
              <w:t>1.00% PIK</w:t>
            </w:r>
          </w:p>
        </w:tc>
        <w:tc>
          <w:tcPr>
            <w:tcW w:w="680" w:type="dxa"/>
            <w:vAlign w:val="bottom"/>
            <w:tcBorders>
              <w:bottom w:val="single" w:sz="8" w:color="CFF0FC"/>
            </w:tcBorders>
            <w:vMerge w:val="continue"/>
            <w:shd w:val="clear" w:color="auto" w:fill="CFF0FC"/>
          </w:tcPr>
          <w:p>
            <w:pPr>
              <w:spacing w:after="0"/>
              <w:rPr>
                <w:sz w:val="8"/>
                <w:szCs w:val="8"/>
                <w:color w:val="auto"/>
              </w:rPr>
            </w:pPr>
          </w:p>
        </w:tc>
        <w:tc>
          <w:tcPr>
            <w:tcW w:w="740" w:type="dxa"/>
            <w:vAlign w:val="bottom"/>
            <w:tcBorders>
              <w:bottom w:val="single" w:sz="8" w:color="CFF0FC"/>
            </w:tcBorders>
            <w:shd w:val="clear" w:color="auto" w:fill="CFF0FC"/>
          </w:tcPr>
          <w:p>
            <w:pPr>
              <w:spacing w:after="0"/>
              <w:rPr>
                <w:sz w:val="8"/>
                <w:szCs w:val="8"/>
                <w:color w:val="auto"/>
              </w:rPr>
            </w:pPr>
          </w:p>
        </w:tc>
        <w:tc>
          <w:tcPr>
            <w:tcW w:w="800" w:type="dxa"/>
            <w:vAlign w:val="bottom"/>
            <w:tcBorders>
              <w:bottom w:val="single" w:sz="8" w:color="CFF0FC"/>
            </w:tcBorders>
            <w:shd w:val="clear" w:color="auto" w:fill="CFF0FC"/>
          </w:tcPr>
          <w:p>
            <w:pPr>
              <w:spacing w:after="0"/>
              <w:rPr>
                <w:sz w:val="8"/>
                <w:szCs w:val="8"/>
                <w:color w:val="auto"/>
              </w:rPr>
            </w:pPr>
          </w:p>
        </w:tc>
        <w:tc>
          <w:tcPr>
            <w:tcW w:w="240" w:type="dxa"/>
            <w:vAlign w:val="bottom"/>
            <w:tcBorders>
              <w:bottom w:val="single" w:sz="8" w:color="CFF0FC"/>
            </w:tcBorders>
            <w:shd w:val="clear" w:color="auto" w:fill="CFF0FC"/>
          </w:tcPr>
          <w:p>
            <w:pPr>
              <w:spacing w:after="0"/>
              <w:rPr>
                <w:sz w:val="8"/>
                <w:szCs w:val="8"/>
                <w:color w:val="auto"/>
              </w:rPr>
            </w:pPr>
          </w:p>
        </w:tc>
        <w:tc>
          <w:tcPr>
            <w:tcW w:w="580" w:type="dxa"/>
            <w:vAlign w:val="bottom"/>
            <w:tcBorders>
              <w:bottom w:val="single" w:sz="8" w:color="CFF0FC"/>
            </w:tcBorders>
            <w:shd w:val="clear" w:color="auto" w:fill="CFF0FC"/>
          </w:tcPr>
          <w:p>
            <w:pPr>
              <w:spacing w:after="0"/>
              <w:rPr>
                <w:sz w:val="8"/>
                <w:szCs w:val="8"/>
                <w:color w:val="auto"/>
              </w:rPr>
            </w:pPr>
          </w:p>
        </w:tc>
        <w:tc>
          <w:tcPr>
            <w:tcW w:w="140" w:type="dxa"/>
            <w:vAlign w:val="bottom"/>
            <w:tcBorders>
              <w:bottom w:val="single" w:sz="8" w:color="CFF0FC"/>
            </w:tcBorders>
            <w:shd w:val="clear" w:color="auto" w:fill="CFF0FC"/>
          </w:tcPr>
          <w:p>
            <w:pPr>
              <w:spacing w:after="0"/>
              <w:rPr>
                <w:sz w:val="8"/>
                <w:szCs w:val="8"/>
                <w:color w:val="auto"/>
              </w:rPr>
            </w:pPr>
          </w:p>
        </w:tc>
        <w:tc>
          <w:tcPr>
            <w:tcW w:w="640" w:type="dxa"/>
            <w:vAlign w:val="bottom"/>
            <w:tcBorders>
              <w:bottom w:val="single" w:sz="8" w:color="CFF0FC"/>
            </w:tcBorders>
            <w:shd w:val="clear" w:color="auto" w:fill="CFF0FC"/>
          </w:tcPr>
          <w:p>
            <w:pPr>
              <w:spacing w:after="0"/>
              <w:rPr>
                <w:sz w:val="8"/>
                <w:szCs w:val="8"/>
                <w:color w:val="auto"/>
              </w:rPr>
            </w:pPr>
          </w:p>
        </w:tc>
        <w:tc>
          <w:tcPr>
            <w:tcW w:w="90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Global Integrated Flooring Systems Inc. (Revolver)</w:t>
            </w:r>
          </w:p>
        </w:tc>
        <w:tc>
          <w:tcPr>
            <w:tcW w:w="18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Consumer goods: Durable</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0"/>
              </w:rPr>
              <w:t>13.72%</w:t>
            </w:r>
          </w:p>
        </w:tc>
        <w:tc>
          <w:tcPr>
            <w:tcW w:w="8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SOFR + 8.36%</w:t>
            </w:r>
          </w:p>
        </w:tc>
        <w:tc>
          <w:tcPr>
            <w:tcW w:w="68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5/15/2024</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51</w:t>
            </w:r>
          </w:p>
        </w:tc>
        <w:tc>
          <w:tcPr>
            <w:tcW w:w="240" w:type="dxa"/>
            <w:vAlign w:val="bottom"/>
          </w:tcPr>
          <w:p>
            <w:pPr>
              <w:spacing w:after="0"/>
              <w:rPr>
                <w:sz w:val="10"/>
                <w:szCs w:val="10"/>
                <w:color w:val="auto"/>
              </w:rPr>
            </w:pP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44</w:t>
            </w:r>
          </w:p>
        </w:tc>
        <w:tc>
          <w:tcPr>
            <w:tcW w:w="140" w:type="dxa"/>
            <w:vAlign w:val="bottom"/>
          </w:tcPr>
          <w:p>
            <w:pPr>
              <w:spacing w:after="0"/>
              <w:rPr>
                <w:sz w:val="10"/>
                <w:szCs w:val="10"/>
                <w:color w:val="auto"/>
              </w:rPr>
            </w:pPr>
          </w:p>
        </w:tc>
        <w:tc>
          <w:tcPr>
            <w:tcW w:w="6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31</w:t>
            </w: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H.W. Lochner, Inc.</w:t>
            </w:r>
          </w:p>
        </w:tc>
        <w:tc>
          <w:tcPr>
            <w:tcW w:w="18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0"/>
                <w:szCs w:val="10"/>
                <w:color w:val="auto"/>
              </w:rPr>
              <w:t>Services: Business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0"/>
              </w:rPr>
              <w:t>11.81%</w:t>
            </w:r>
          </w:p>
        </w:tc>
        <w:tc>
          <w:tcPr>
            <w:tcW w:w="860" w:type="dxa"/>
            <w:vAlign w:val="bottom"/>
            <w:shd w:val="clear" w:color="auto" w:fill="CFF0FC"/>
          </w:tcPr>
          <w:p>
            <w:pPr>
              <w:jc w:val="center"/>
              <w:ind w:right="12"/>
              <w:spacing w:after="0"/>
              <w:rPr>
                <w:sz w:val="20"/>
                <w:szCs w:val="20"/>
                <w:color w:val="auto"/>
              </w:rPr>
            </w:pPr>
            <w:r>
              <w:rPr>
                <w:rFonts w:ascii="Times New Roman" w:cs="Times New Roman" w:eastAsia="Times New Roman" w:hAnsi="Times New Roman"/>
                <w:sz w:val="10"/>
                <w:szCs w:val="10"/>
                <w:color w:val="auto"/>
                <w:w w:val="97"/>
              </w:rPr>
              <w:t>SOFR + 6.25%</w:t>
            </w:r>
          </w:p>
        </w:tc>
        <w:tc>
          <w:tcPr>
            <w:tcW w:w="6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5"/>
              </w:rPr>
              <w:t>7/2/2027</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14,663</w:t>
            </w: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14,491</w:t>
            </w: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14,149</w:t>
            </w:r>
          </w:p>
        </w:tc>
        <w:tc>
          <w:tcPr>
            <w:tcW w:w="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2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H.W. Lochner, Inc. (Revolver)</w:t>
            </w:r>
          </w:p>
        </w:tc>
        <w:tc>
          <w:tcPr>
            <w:tcW w:w="18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Services: Business</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0"/>
              </w:rPr>
              <w:t>11.76%</w:t>
            </w:r>
          </w:p>
        </w:tc>
        <w:tc>
          <w:tcPr>
            <w:tcW w:w="8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SOFR + 6.25%</w:t>
            </w:r>
          </w:p>
        </w:tc>
        <w:tc>
          <w:tcPr>
            <w:tcW w:w="6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7/2/2027</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3,858</w:t>
            </w:r>
          </w:p>
        </w:tc>
        <w:tc>
          <w:tcPr>
            <w:tcW w:w="240" w:type="dxa"/>
            <w:vAlign w:val="bottom"/>
          </w:tcPr>
          <w:p>
            <w:pPr>
              <w:spacing w:after="0"/>
              <w:rPr>
                <w:sz w:val="10"/>
                <w:szCs w:val="10"/>
                <w:color w:val="auto"/>
              </w:rPr>
            </w:pP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3,764</w:t>
            </w:r>
          </w:p>
        </w:tc>
        <w:tc>
          <w:tcPr>
            <w:tcW w:w="140" w:type="dxa"/>
            <w:vAlign w:val="bottom"/>
          </w:tcPr>
          <w:p>
            <w:pPr>
              <w:spacing w:after="0"/>
              <w:rPr>
                <w:sz w:val="10"/>
                <w:szCs w:val="10"/>
                <w:color w:val="auto"/>
              </w:rPr>
            </w:pPr>
          </w:p>
        </w:tc>
        <w:tc>
          <w:tcPr>
            <w:tcW w:w="6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3,578</w:t>
            </w:r>
          </w:p>
        </w:tc>
        <w:tc>
          <w:tcPr>
            <w:tcW w:w="9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(20)</w:t>
            </w:r>
          </w:p>
        </w:tc>
        <w:tc>
          <w:tcPr>
            <w:tcW w:w="0" w:type="dxa"/>
            <w:vAlign w:val="bottom"/>
          </w:tcPr>
          <w:p>
            <w:pPr>
              <w:spacing w:after="0"/>
              <w:rPr>
                <w:sz w:val="1"/>
                <w:szCs w:val="1"/>
                <w:color w:val="auto"/>
              </w:rPr>
            </w:pPr>
          </w:p>
        </w:tc>
      </w:tr>
      <w:tr>
        <w:trPr>
          <w:trHeight w:val="121"/>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H-CA II, LLC</w:t>
            </w:r>
          </w:p>
        </w:tc>
        <w:tc>
          <w:tcPr>
            <w:tcW w:w="18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0"/>
                <w:szCs w:val="10"/>
                <w:color w:val="auto"/>
              </w:rPr>
              <w:t>Banking, Finance, Insurance &amp; Real</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0"/>
              </w:rPr>
              <w:t>16.00%</w:t>
            </w:r>
          </w:p>
        </w:tc>
        <w:tc>
          <w:tcPr>
            <w:tcW w:w="8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80" w:type="dxa"/>
            <w:vAlign w:val="bottom"/>
            <w:vMerge w:val="restart"/>
            <w:shd w:val="clear" w:color="auto" w:fill="CFF0FC"/>
          </w:tcPr>
          <w:p>
            <w:pPr>
              <w:jc w:val="right"/>
              <w:ind w:right="2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5"/>
              </w:rPr>
              <w:t>4/1/2024</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1,854</w:t>
            </w: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1,854</w:t>
            </w: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1,854</w:t>
            </w:r>
          </w:p>
        </w:tc>
        <w:tc>
          <w:tcPr>
            <w:tcW w:w="9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2400" w:type="dxa"/>
            <w:vAlign w:val="bottom"/>
            <w:tcBorders>
              <w:bottom w:val="single" w:sz="8" w:color="CFF0FC"/>
            </w:tcBorders>
            <w:shd w:val="clear" w:color="auto" w:fill="CFF0FC"/>
          </w:tcPr>
          <w:p>
            <w:pPr>
              <w:spacing w:after="0"/>
              <w:rPr>
                <w:sz w:val="8"/>
                <w:szCs w:val="8"/>
                <w:color w:val="auto"/>
              </w:rPr>
            </w:pPr>
          </w:p>
        </w:tc>
        <w:tc>
          <w:tcPr>
            <w:tcW w:w="1860" w:type="dxa"/>
            <w:vAlign w:val="bottom"/>
            <w:tcBorders>
              <w:bottom w:val="single" w:sz="8" w:color="CFF0FC"/>
            </w:tcBorders>
            <w:shd w:val="clear" w:color="auto" w:fill="CFF0FC"/>
          </w:tcPr>
          <w:p>
            <w:pPr>
              <w:ind w:left="280"/>
              <w:spacing w:after="0" w:line="100" w:lineRule="exact"/>
              <w:rPr>
                <w:sz w:val="20"/>
                <w:szCs w:val="20"/>
                <w:color w:val="auto"/>
              </w:rPr>
            </w:pPr>
            <w:r>
              <w:rPr>
                <w:rFonts w:ascii="Times New Roman" w:cs="Times New Roman" w:eastAsia="Times New Roman" w:hAnsi="Times New Roman"/>
                <w:sz w:val="10"/>
                <w:szCs w:val="10"/>
                <w:color w:val="auto"/>
              </w:rPr>
              <w:t>Estate</w:t>
            </w:r>
          </w:p>
        </w:tc>
        <w:tc>
          <w:tcPr>
            <w:tcW w:w="720" w:type="dxa"/>
            <w:vAlign w:val="bottom"/>
            <w:tcBorders>
              <w:bottom w:val="single" w:sz="8" w:color="CFF0FC"/>
            </w:tcBorders>
            <w:shd w:val="clear" w:color="auto" w:fill="CFF0FC"/>
          </w:tcPr>
          <w:p>
            <w:pPr>
              <w:spacing w:after="0"/>
              <w:rPr>
                <w:sz w:val="8"/>
                <w:szCs w:val="8"/>
                <w:color w:val="auto"/>
              </w:rPr>
            </w:pPr>
          </w:p>
        </w:tc>
        <w:tc>
          <w:tcPr>
            <w:tcW w:w="860" w:type="dxa"/>
            <w:vAlign w:val="bottom"/>
            <w:tcBorders>
              <w:bottom w:val="single" w:sz="8" w:color="CFF0FC"/>
            </w:tcBorders>
            <w:vMerge w:val="continue"/>
            <w:shd w:val="clear" w:color="auto" w:fill="CFF0FC"/>
          </w:tcPr>
          <w:p>
            <w:pPr>
              <w:spacing w:after="0"/>
              <w:rPr>
                <w:sz w:val="8"/>
                <w:szCs w:val="8"/>
                <w:color w:val="auto"/>
              </w:rPr>
            </w:pPr>
          </w:p>
        </w:tc>
        <w:tc>
          <w:tcPr>
            <w:tcW w:w="680" w:type="dxa"/>
            <w:vAlign w:val="bottom"/>
            <w:tcBorders>
              <w:bottom w:val="single" w:sz="8" w:color="CFF0FC"/>
            </w:tcBorders>
            <w:vMerge w:val="continue"/>
            <w:shd w:val="clear" w:color="auto" w:fill="CFF0FC"/>
          </w:tcPr>
          <w:p>
            <w:pPr>
              <w:spacing w:after="0"/>
              <w:rPr>
                <w:sz w:val="8"/>
                <w:szCs w:val="8"/>
                <w:color w:val="auto"/>
              </w:rPr>
            </w:pPr>
          </w:p>
        </w:tc>
        <w:tc>
          <w:tcPr>
            <w:tcW w:w="740" w:type="dxa"/>
            <w:vAlign w:val="bottom"/>
            <w:tcBorders>
              <w:bottom w:val="single" w:sz="8" w:color="CFF0FC"/>
            </w:tcBorders>
            <w:shd w:val="clear" w:color="auto" w:fill="CFF0FC"/>
          </w:tcPr>
          <w:p>
            <w:pPr>
              <w:spacing w:after="0"/>
              <w:rPr>
                <w:sz w:val="8"/>
                <w:szCs w:val="8"/>
                <w:color w:val="auto"/>
              </w:rPr>
            </w:pPr>
          </w:p>
        </w:tc>
        <w:tc>
          <w:tcPr>
            <w:tcW w:w="800" w:type="dxa"/>
            <w:vAlign w:val="bottom"/>
            <w:tcBorders>
              <w:bottom w:val="single" w:sz="8" w:color="CFF0FC"/>
            </w:tcBorders>
            <w:shd w:val="clear" w:color="auto" w:fill="CFF0FC"/>
          </w:tcPr>
          <w:p>
            <w:pPr>
              <w:spacing w:after="0"/>
              <w:rPr>
                <w:sz w:val="8"/>
                <w:szCs w:val="8"/>
                <w:color w:val="auto"/>
              </w:rPr>
            </w:pPr>
          </w:p>
        </w:tc>
        <w:tc>
          <w:tcPr>
            <w:tcW w:w="240" w:type="dxa"/>
            <w:vAlign w:val="bottom"/>
            <w:tcBorders>
              <w:bottom w:val="single" w:sz="8" w:color="CFF0FC"/>
            </w:tcBorders>
            <w:shd w:val="clear" w:color="auto" w:fill="CFF0FC"/>
          </w:tcPr>
          <w:p>
            <w:pPr>
              <w:spacing w:after="0"/>
              <w:rPr>
                <w:sz w:val="8"/>
                <w:szCs w:val="8"/>
                <w:color w:val="auto"/>
              </w:rPr>
            </w:pPr>
          </w:p>
        </w:tc>
        <w:tc>
          <w:tcPr>
            <w:tcW w:w="580" w:type="dxa"/>
            <w:vAlign w:val="bottom"/>
            <w:tcBorders>
              <w:bottom w:val="single" w:sz="8" w:color="CFF0FC"/>
            </w:tcBorders>
            <w:shd w:val="clear" w:color="auto" w:fill="CFF0FC"/>
          </w:tcPr>
          <w:p>
            <w:pPr>
              <w:spacing w:after="0"/>
              <w:rPr>
                <w:sz w:val="8"/>
                <w:szCs w:val="8"/>
                <w:color w:val="auto"/>
              </w:rPr>
            </w:pPr>
          </w:p>
        </w:tc>
        <w:tc>
          <w:tcPr>
            <w:tcW w:w="140" w:type="dxa"/>
            <w:vAlign w:val="bottom"/>
            <w:tcBorders>
              <w:bottom w:val="single" w:sz="8" w:color="CFF0FC"/>
            </w:tcBorders>
            <w:shd w:val="clear" w:color="auto" w:fill="CFF0FC"/>
          </w:tcPr>
          <w:p>
            <w:pPr>
              <w:spacing w:after="0"/>
              <w:rPr>
                <w:sz w:val="8"/>
                <w:szCs w:val="8"/>
                <w:color w:val="auto"/>
              </w:rPr>
            </w:pPr>
          </w:p>
        </w:tc>
        <w:tc>
          <w:tcPr>
            <w:tcW w:w="640" w:type="dxa"/>
            <w:vAlign w:val="bottom"/>
            <w:tcBorders>
              <w:bottom w:val="single" w:sz="8" w:color="CFF0FC"/>
            </w:tcBorders>
            <w:shd w:val="clear" w:color="auto" w:fill="CFF0FC"/>
          </w:tcPr>
          <w:p>
            <w:pPr>
              <w:spacing w:after="0"/>
              <w:rPr>
                <w:sz w:val="8"/>
                <w:szCs w:val="8"/>
                <w:color w:val="auto"/>
              </w:rPr>
            </w:pPr>
          </w:p>
        </w:tc>
        <w:tc>
          <w:tcPr>
            <w:tcW w:w="90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HDC/HW Intermediate Holdings, LLC (Term Loan A)</w:t>
            </w:r>
          </w:p>
        </w:tc>
        <w:tc>
          <w:tcPr>
            <w:tcW w:w="18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High Tech Industries</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0"/>
              </w:rPr>
              <w:t>14.83%</w:t>
            </w:r>
          </w:p>
        </w:tc>
        <w:tc>
          <w:tcPr>
            <w:tcW w:w="8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SOFR + 7.50%,</w:t>
            </w:r>
          </w:p>
        </w:tc>
        <w:tc>
          <w:tcPr>
            <w:tcW w:w="6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12/21/2023</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7,525</w:t>
            </w:r>
          </w:p>
        </w:tc>
        <w:tc>
          <w:tcPr>
            <w:tcW w:w="240" w:type="dxa"/>
            <w:vAlign w:val="bottom"/>
          </w:tcPr>
          <w:p>
            <w:pPr>
              <w:spacing w:after="0"/>
              <w:rPr>
                <w:sz w:val="10"/>
                <w:szCs w:val="10"/>
                <w:color w:val="auto"/>
              </w:rPr>
            </w:pP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7,087</w:t>
            </w:r>
          </w:p>
        </w:tc>
        <w:tc>
          <w:tcPr>
            <w:tcW w:w="140" w:type="dxa"/>
            <w:vAlign w:val="bottom"/>
          </w:tcPr>
          <w:p>
            <w:pPr>
              <w:spacing w:after="0"/>
              <w:rPr>
                <w:sz w:val="10"/>
                <w:szCs w:val="10"/>
                <w:color w:val="auto"/>
              </w:rPr>
            </w:pPr>
          </w:p>
        </w:tc>
        <w:tc>
          <w:tcPr>
            <w:tcW w:w="6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4,252</w:t>
            </w:r>
          </w:p>
        </w:tc>
        <w:tc>
          <w:tcPr>
            <w:tcW w:w="9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(5)(13)</w:t>
            </w:r>
          </w:p>
        </w:tc>
        <w:tc>
          <w:tcPr>
            <w:tcW w:w="0" w:type="dxa"/>
            <w:vAlign w:val="bottom"/>
          </w:tcPr>
          <w:p>
            <w:pPr>
              <w:spacing w:after="0"/>
              <w:rPr>
                <w:sz w:val="1"/>
                <w:szCs w:val="1"/>
                <w:color w:val="auto"/>
              </w:rPr>
            </w:pPr>
          </w:p>
        </w:tc>
      </w:tr>
      <w:tr>
        <w:trPr>
          <w:trHeight w:val="120"/>
        </w:trPr>
        <w:tc>
          <w:tcPr>
            <w:tcW w:w="24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8"/>
              </w:rPr>
              <w:t>2.00% PIK</w:t>
            </w: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HDC/HW Intermediate Holdings, LLC (Revolver)</w:t>
            </w:r>
          </w:p>
        </w:tc>
        <w:tc>
          <w:tcPr>
            <w:tcW w:w="18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0"/>
                <w:szCs w:val="10"/>
                <w:color w:val="auto"/>
              </w:rPr>
              <w:t>High Tech Industries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0"/>
              </w:rPr>
              <w:t>14.83%</w:t>
            </w:r>
          </w:p>
        </w:tc>
        <w:tc>
          <w:tcPr>
            <w:tcW w:w="860" w:type="dxa"/>
            <w:vAlign w:val="bottom"/>
            <w:shd w:val="clear" w:color="auto" w:fill="CFF0FC"/>
          </w:tcPr>
          <w:p>
            <w:pPr>
              <w:jc w:val="center"/>
              <w:ind w:right="12"/>
              <w:spacing w:after="0"/>
              <w:rPr>
                <w:sz w:val="20"/>
                <w:szCs w:val="20"/>
                <w:color w:val="auto"/>
              </w:rPr>
            </w:pPr>
            <w:r>
              <w:rPr>
                <w:rFonts w:ascii="Times New Roman" w:cs="Times New Roman" w:eastAsia="Times New Roman" w:hAnsi="Times New Roman"/>
                <w:sz w:val="10"/>
                <w:szCs w:val="10"/>
                <w:color w:val="auto"/>
                <w:w w:val="93"/>
              </w:rPr>
              <w:t>SOFR + 7.50%,</w:t>
            </w:r>
          </w:p>
        </w:tc>
        <w:tc>
          <w:tcPr>
            <w:tcW w:w="6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6"/>
              </w:rPr>
              <w:t>12/21/2023</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773</w:t>
            </w: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728</w:t>
            </w: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437</w:t>
            </w:r>
          </w:p>
        </w:tc>
        <w:tc>
          <w:tcPr>
            <w:tcW w:w="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(5)(13)</w:t>
            </w:r>
          </w:p>
        </w:tc>
        <w:tc>
          <w:tcPr>
            <w:tcW w:w="0" w:type="dxa"/>
            <w:vAlign w:val="bottom"/>
          </w:tcPr>
          <w:p>
            <w:pPr>
              <w:spacing w:after="0"/>
              <w:rPr>
                <w:sz w:val="1"/>
                <w:szCs w:val="1"/>
                <w:color w:val="auto"/>
              </w:rPr>
            </w:pPr>
          </w:p>
        </w:tc>
      </w:tr>
      <w:tr>
        <w:trPr>
          <w:trHeight w:val="120"/>
        </w:trPr>
        <w:tc>
          <w:tcPr>
            <w:tcW w:w="2400" w:type="dxa"/>
            <w:vAlign w:val="bottom"/>
            <w:shd w:val="clear" w:color="auto" w:fill="CFF0FC"/>
          </w:tcPr>
          <w:p>
            <w:pPr>
              <w:spacing w:after="0"/>
              <w:rPr>
                <w:sz w:val="10"/>
                <w:szCs w:val="10"/>
                <w:color w:val="auto"/>
              </w:rPr>
            </w:pPr>
          </w:p>
        </w:tc>
        <w:tc>
          <w:tcPr>
            <w:tcW w:w="18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860" w:type="dxa"/>
            <w:vAlign w:val="bottom"/>
            <w:shd w:val="clear" w:color="auto" w:fill="CFF0FC"/>
          </w:tcPr>
          <w:p>
            <w:pPr>
              <w:jc w:val="center"/>
              <w:ind w:right="12"/>
              <w:spacing w:after="0"/>
              <w:rPr>
                <w:sz w:val="20"/>
                <w:szCs w:val="20"/>
                <w:color w:val="auto"/>
              </w:rPr>
            </w:pPr>
            <w:r>
              <w:rPr>
                <w:rFonts w:ascii="Times New Roman" w:cs="Times New Roman" w:eastAsia="Times New Roman" w:hAnsi="Times New Roman"/>
                <w:sz w:val="10"/>
                <w:szCs w:val="10"/>
                <w:color w:val="auto"/>
                <w:w w:val="98"/>
              </w:rPr>
              <w:t>2.00% PIK</w:t>
            </w:r>
          </w:p>
        </w:tc>
        <w:tc>
          <w:tcPr>
            <w:tcW w:w="6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Help Systems Holdings, Inc.</w:t>
            </w:r>
          </w:p>
        </w:tc>
        <w:tc>
          <w:tcPr>
            <w:tcW w:w="18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High Tech Industries</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9.48%</w:t>
            </w:r>
          </w:p>
        </w:tc>
        <w:tc>
          <w:tcPr>
            <w:tcW w:w="8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SOFR + 4.00%</w:t>
            </w:r>
          </w:p>
        </w:tc>
        <w:tc>
          <w:tcPr>
            <w:tcW w:w="6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0.75%</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11/19/2026</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1,974</w:t>
            </w:r>
          </w:p>
        </w:tc>
        <w:tc>
          <w:tcPr>
            <w:tcW w:w="240" w:type="dxa"/>
            <w:vAlign w:val="bottom"/>
          </w:tcPr>
          <w:p>
            <w:pPr>
              <w:spacing w:after="0"/>
              <w:rPr>
                <w:sz w:val="10"/>
                <w:szCs w:val="10"/>
                <w:color w:val="auto"/>
              </w:rPr>
            </w:pP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1,849</w:t>
            </w:r>
          </w:p>
        </w:tc>
        <w:tc>
          <w:tcPr>
            <w:tcW w:w="140" w:type="dxa"/>
            <w:vAlign w:val="bottom"/>
          </w:tcPr>
          <w:p>
            <w:pPr>
              <w:spacing w:after="0"/>
              <w:rPr>
                <w:sz w:val="10"/>
                <w:szCs w:val="10"/>
                <w:color w:val="auto"/>
              </w:rPr>
            </w:pPr>
          </w:p>
        </w:tc>
        <w:tc>
          <w:tcPr>
            <w:tcW w:w="6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1,876</w:t>
            </w:r>
          </w:p>
        </w:tc>
        <w:tc>
          <w:tcPr>
            <w:tcW w:w="9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(13)(15)</w:t>
            </w:r>
          </w:p>
        </w:tc>
        <w:tc>
          <w:tcPr>
            <w:tcW w:w="0" w:type="dxa"/>
            <w:vAlign w:val="bottom"/>
          </w:tcPr>
          <w:p>
            <w:pPr>
              <w:spacing w:after="0"/>
              <w:rPr>
                <w:sz w:val="1"/>
                <w:szCs w:val="1"/>
                <w:color w:val="auto"/>
              </w:rPr>
            </w:pPr>
          </w:p>
        </w:tc>
      </w:tr>
      <w:tr>
        <w:trPr>
          <w:trHeight w:val="120"/>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Hollander Intermediate LLC</w:t>
            </w:r>
          </w:p>
        </w:tc>
        <w:tc>
          <w:tcPr>
            <w:tcW w:w="18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0"/>
                <w:szCs w:val="10"/>
                <w:color w:val="auto"/>
              </w:rPr>
              <w:t>Consumer goods: Durable</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0"/>
              </w:rPr>
              <w:t>14.22%</w:t>
            </w:r>
          </w:p>
        </w:tc>
        <w:tc>
          <w:tcPr>
            <w:tcW w:w="860" w:type="dxa"/>
            <w:vAlign w:val="bottom"/>
            <w:shd w:val="clear" w:color="auto" w:fill="CFF0FC"/>
          </w:tcPr>
          <w:p>
            <w:pPr>
              <w:jc w:val="center"/>
              <w:ind w:right="12"/>
              <w:spacing w:after="0"/>
              <w:rPr>
                <w:sz w:val="20"/>
                <w:szCs w:val="20"/>
                <w:color w:val="auto"/>
              </w:rPr>
            </w:pPr>
            <w:r>
              <w:rPr>
                <w:rFonts w:ascii="Times New Roman" w:cs="Times New Roman" w:eastAsia="Times New Roman" w:hAnsi="Times New Roman"/>
                <w:sz w:val="10"/>
                <w:szCs w:val="10"/>
                <w:color w:val="auto"/>
                <w:w w:val="97"/>
              </w:rPr>
              <w:t>SOFR + 8.75%</w:t>
            </w:r>
          </w:p>
        </w:tc>
        <w:tc>
          <w:tcPr>
            <w:tcW w:w="6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2.00%</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3"/>
              </w:rPr>
              <w:t>9/19/2026</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5,508</w:t>
            </w: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5,395</w:t>
            </w: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5,260</w:t>
            </w:r>
          </w:p>
        </w:tc>
        <w:tc>
          <w:tcPr>
            <w:tcW w:w="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2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IDC Infusion Services</w:t>
            </w:r>
          </w:p>
        </w:tc>
        <w:tc>
          <w:tcPr>
            <w:tcW w:w="18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Healthcare &amp; Pharmaceuticals</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0"/>
              </w:rPr>
              <w:t>11.98%</w:t>
            </w:r>
          </w:p>
        </w:tc>
        <w:tc>
          <w:tcPr>
            <w:tcW w:w="8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SOFR + 6.50%</w:t>
            </w:r>
          </w:p>
        </w:tc>
        <w:tc>
          <w:tcPr>
            <w:tcW w:w="6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0.50%</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7/7/2028</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2,928</w:t>
            </w:r>
          </w:p>
        </w:tc>
        <w:tc>
          <w:tcPr>
            <w:tcW w:w="240" w:type="dxa"/>
            <w:vAlign w:val="bottom"/>
          </w:tcPr>
          <w:p>
            <w:pPr>
              <w:spacing w:after="0"/>
              <w:rPr>
                <w:sz w:val="10"/>
                <w:szCs w:val="10"/>
                <w:color w:val="auto"/>
              </w:rPr>
            </w:pP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2,853</w:t>
            </w:r>
          </w:p>
        </w:tc>
        <w:tc>
          <w:tcPr>
            <w:tcW w:w="140" w:type="dxa"/>
            <w:vAlign w:val="bottom"/>
          </w:tcPr>
          <w:p>
            <w:pPr>
              <w:spacing w:after="0"/>
              <w:rPr>
                <w:sz w:val="10"/>
                <w:szCs w:val="10"/>
                <w:color w:val="auto"/>
              </w:rPr>
            </w:pPr>
          </w:p>
        </w:tc>
        <w:tc>
          <w:tcPr>
            <w:tcW w:w="6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2,863</w:t>
            </w:r>
          </w:p>
        </w:tc>
        <w:tc>
          <w:tcPr>
            <w:tcW w:w="9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(13)(20)</w:t>
            </w:r>
          </w:p>
        </w:tc>
        <w:tc>
          <w:tcPr>
            <w:tcW w:w="0" w:type="dxa"/>
            <w:vAlign w:val="bottom"/>
          </w:tcPr>
          <w:p>
            <w:pPr>
              <w:spacing w:after="0"/>
              <w:rPr>
                <w:sz w:val="1"/>
                <w:szCs w:val="1"/>
                <w:color w:val="auto"/>
              </w:rPr>
            </w:pPr>
          </w:p>
        </w:tc>
      </w:tr>
      <w:tr>
        <w:trPr>
          <w:trHeight w:val="120"/>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Intermedia Holdings, INC.</w:t>
            </w:r>
          </w:p>
        </w:tc>
        <w:tc>
          <w:tcPr>
            <w:tcW w:w="18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0"/>
                <w:szCs w:val="10"/>
                <w:color w:val="auto"/>
              </w:rPr>
              <w:t>High Tech Industries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0"/>
              </w:rPr>
              <w:t>11.47%</w:t>
            </w:r>
          </w:p>
        </w:tc>
        <w:tc>
          <w:tcPr>
            <w:tcW w:w="860" w:type="dxa"/>
            <w:vAlign w:val="bottom"/>
            <w:shd w:val="clear" w:color="auto" w:fill="CFF0FC"/>
          </w:tcPr>
          <w:p>
            <w:pPr>
              <w:jc w:val="center"/>
              <w:ind w:right="12"/>
              <w:spacing w:after="0"/>
              <w:rPr>
                <w:sz w:val="20"/>
                <w:szCs w:val="20"/>
                <w:color w:val="auto"/>
              </w:rPr>
            </w:pPr>
            <w:r>
              <w:rPr>
                <w:rFonts w:ascii="Times New Roman" w:cs="Times New Roman" w:eastAsia="Times New Roman" w:hAnsi="Times New Roman"/>
                <w:sz w:val="10"/>
                <w:szCs w:val="10"/>
                <w:color w:val="auto"/>
                <w:w w:val="97"/>
              </w:rPr>
              <w:t>SOFR + 6.00%</w:t>
            </w:r>
          </w:p>
        </w:tc>
        <w:tc>
          <w:tcPr>
            <w:tcW w:w="6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3"/>
              </w:rPr>
              <w:t>7/21/2025</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2,613</w:t>
            </w: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2,498</w:t>
            </w: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2,531</w:t>
            </w:r>
          </w:p>
        </w:tc>
        <w:tc>
          <w:tcPr>
            <w:tcW w:w="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2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Ivanti Software, Inc.</w:t>
            </w:r>
          </w:p>
        </w:tc>
        <w:tc>
          <w:tcPr>
            <w:tcW w:w="18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High Tech Industries</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9.91%</w:t>
            </w:r>
          </w:p>
        </w:tc>
        <w:tc>
          <w:tcPr>
            <w:tcW w:w="8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SOFR + 4.25%</w:t>
            </w:r>
          </w:p>
        </w:tc>
        <w:tc>
          <w:tcPr>
            <w:tcW w:w="6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0.75%</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12/1/2027</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987</w:t>
            </w:r>
          </w:p>
        </w:tc>
        <w:tc>
          <w:tcPr>
            <w:tcW w:w="240" w:type="dxa"/>
            <w:vAlign w:val="bottom"/>
          </w:tcPr>
          <w:p>
            <w:pPr>
              <w:spacing w:after="0"/>
              <w:rPr>
                <w:sz w:val="10"/>
                <w:szCs w:val="10"/>
                <w:color w:val="auto"/>
              </w:rPr>
            </w:pP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813</w:t>
            </w:r>
          </w:p>
        </w:tc>
        <w:tc>
          <w:tcPr>
            <w:tcW w:w="140" w:type="dxa"/>
            <w:vAlign w:val="bottom"/>
          </w:tcPr>
          <w:p>
            <w:pPr>
              <w:spacing w:after="0"/>
              <w:rPr>
                <w:sz w:val="10"/>
                <w:szCs w:val="10"/>
                <w:color w:val="auto"/>
              </w:rPr>
            </w:pPr>
          </w:p>
        </w:tc>
        <w:tc>
          <w:tcPr>
            <w:tcW w:w="6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940</w:t>
            </w:r>
          </w:p>
        </w:tc>
        <w:tc>
          <w:tcPr>
            <w:tcW w:w="9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1"/>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JO ET Holdings Limited</w:t>
            </w:r>
          </w:p>
        </w:tc>
        <w:tc>
          <w:tcPr>
            <w:tcW w:w="18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0"/>
                <w:szCs w:val="10"/>
                <w:color w:val="auto"/>
              </w:rPr>
              <w:t>Telecommunications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0"/>
              </w:rPr>
              <w:t>18.38%</w:t>
            </w:r>
          </w:p>
        </w:tc>
        <w:tc>
          <w:tcPr>
            <w:tcW w:w="860" w:type="dxa"/>
            <w:vAlign w:val="bottom"/>
            <w:shd w:val="clear" w:color="auto" w:fill="CFF0FC"/>
          </w:tcPr>
          <w:p>
            <w:pPr>
              <w:jc w:val="center"/>
              <w:ind w:right="12"/>
              <w:spacing w:after="0"/>
              <w:rPr>
                <w:sz w:val="20"/>
                <w:szCs w:val="20"/>
                <w:color w:val="auto"/>
              </w:rPr>
            </w:pPr>
            <w:r>
              <w:rPr>
                <w:rFonts w:ascii="Times New Roman" w:cs="Times New Roman" w:eastAsia="Times New Roman" w:hAnsi="Times New Roman"/>
                <w:sz w:val="10"/>
                <w:szCs w:val="10"/>
                <w:color w:val="auto"/>
                <w:w w:val="93"/>
              </w:rPr>
              <w:t>SOFR + 6.00%,</w:t>
            </w:r>
          </w:p>
        </w:tc>
        <w:tc>
          <w:tcPr>
            <w:tcW w:w="6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6"/>
              </w:rPr>
              <w:t>12/15/2026</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2,260</w:t>
            </w: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2,236</w:t>
            </w: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2,254</w:t>
            </w:r>
          </w:p>
        </w:tc>
        <w:tc>
          <w:tcPr>
            <w:tcW w:w="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(3)(7)</w:t>
            </w:r>
          </w:p>
        </w:tc>
        <w:tc>
          <w:tcPr>
            <w:tcW w:w="0" w:type="dxa"/>
            <w:vAlign w:val="bottom"/>
          </w:tcPr>
          <w:p>
            <w:pPr>
              <w:spacing w:after="0"/>
              <w:rPr>
                <w:sz w:val="1"/>
                <w:szCs w:val="1"/>
                <w:color w:val="auto"/>
              </w:rPr>
            </w:pPr>
          </w:p>
        </w:tc>
      </w:tr>
      <w:tr>
        <w:trPr>
          <w:trHeight w:val="120"/>
        </w:trPr>
        <w:tc>
          <w:tcPr>
            <w:tcW w:w="2400" w:type="dxa"/>
            <w:vAlign w:val="bottom"/>
            <w:shd w:val="clear" w:color="auto" w:fill="CFF0FC"/>
          </w:tcPr>
          <w:p>
            <w:pPr>
              <w:spacing w:after="0"/>
              <w:rPr>
                <w:sz w:val="10"/>
                <w:szCs w:val="10"/>
                <w:color w:val="auto"/>
              </w:rPr>
            </w:pPr>
          </w:p>
        </w:tc>
        <w:tc>
          <w:tcPr>
            <w:tcW w:w="18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860" w:type="dxa"/>
            <w:vAlign w:val="bottom"/>
            <w:shd w:val="clear" w:color="auto" w:fill="CFF0FC"/>
          </w:tcPr>
          <w:p>
            <w:pPr>
              <w:jc w:val="center"/>
              <w:ind w:right="12"/>
              <w:spacing w:after="0"/>
              <w:rPr>
                <w:sz w:val="20"/>
                <w:szCs w:val="20"/>
                <w:color w:val="auto"/>
              </w:rPr>
            </w:pPr>
            <w:r>
              <w:rPr>
                <w:rFonts w:ascii="Times New Roman" w:cs="Times New Roman" w:eastAsia="Times New Roman" w:hAnsi="Times New Roman"/>
                <w:sz w:val="10"/>
                <w:szCs w:val="10"/>
                <w:color w:val="auto"/>
                <w:w w:val="98"/>
              </w:rPr>
              <w:t>7.00% PIK</w:t>
            </w:r>
          </w:p>
        </w:tc>
        <w:tc>
          <w:tcPr>
            <w:tcW w:w="6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Keg Logistics LLC</w:t>
            </w:r>
          </w:p>
        </w:tc>
        <w:tc>
          <w:tcPr>
            <w:tcW w:w="18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Services: Business</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0"/>
              </w:rPr>
              <w:t>11.53%</w:t>
            </w:r>
          </w:p>
        </w:tc>
        <w:tc>
          <w:tcPr>
            <w:tcW w:w="8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SOFR + 6.00%</w:t>
            </w:r>
          </w:p>
        </w:tc>
        <w:tc>
          <w:tcPr>
            <w:tcW w:w="6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11/23/2027</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11,999</w:t>
            </w:r>
          </w:p>
        </w:tc>
        <w:tc>
          <w:tcPr>
            <w:tcW w:w="240" w:type="dxa"/>
            <w:vAlign w:val="bottom"/>
          </w:tcPr>
          <w:p>
            <w:pPr>
              <w:spacing w:after="0"/>
              <w:rPr>
                <w:sz w:val="10"/>
                <w:szCs w:val="10"/>
                <w:color w:val="auto"/>
              </w:rPr>
            </w:pP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11,882</w:t>
            </w:r>
          </w:p>
        </w:tc>
        <w:tc>
          <w:tcPr>
            <w:tcW w:w="140" w:type="dxa"/>
            <w:vAlign w:val="bottom"/>
          </w:tcPr>
          <w:p>
            <w:pPr>
              <w:spacing w:after="0"/>
              <w:rPr>
                <w:sz w:val="10"/>
                <w:szCs w:val="10"/>
                <w:color w:val="auto"/>
              </w:rPr>
            </w:pPr>
          </w:p>
        </w:tc>
        <w:tc>
          <w:tcPr>
            <w:tcW w:w="6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11,579</w:t>
            </w:r>
          </w:p>
        </w:tc>
        <w:tc>
          <w:tcPr>
            <w:tcW w:w="9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bl>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1"/>
          <w:szCs w:val="11"/>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PORTMAN RIDGE FINANCE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5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Reference Rate</w:t>
            </w: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Par/Shares</w:t>
            </w: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Investment (2), (4), (12), (14), (23), (24)</w:t>
            </w:r>
          </w:p>
        </w:tc>
        <w:tc>
          <w:tcPr>
            <w:tcW w:w="1680" w:type="dxa"/>
            <w:vAlign w:val="bottom"/>
          </w:tcPr>
          <w:p>
            <w:pPr>
              <w:ind w:left="700"/>
              <w:spacing w:after="0"/>
              <w:rPr>
                <w:sz w:val="20"/>
                <w:szCs w:val="20"/>
                <w:color w:val="auto"/>
              </w:rPr>
            </w:pPr>
            <w:r>
              <w:rPr>
                <w:rFonts w:ascii="Times New Roman" w:cs="Times New Roman" w:eastAsia="Times New Roman" w:hAnsi="Times New Roman"/>
                <w:sz w:val="10"/>
                <w:szCs w:val="10"/>
                <w:b w:val="1"/>
                <w:bCs w:val="1"/>
                <w:color w:val="auto"/>
              </w:rPr>
              <w:t>Industry</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Interest Rate (1)</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and Spread (1)</w:t>
            </w:r>
          </w:p>
        </w:tc>
        <w:tc>
          <w:tcPr>
            <w:tcW w:w="660" w:type="dxa"/>
            <w:vAlign w:val="bottom"/>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Floor (1)</w:t>
            </w:r>
          </w:p>
        </w:tc>
        <w:tc>
          <w:tcPr>
            <w:tcW w:w="74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80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0"/>
                <w:szCs w:val="10"/>
                <w:color w:val="auto"/>
              </w:rPr>
            </w:pPr>
          </w:p>
        </w:tc>
        <w:tc>
          <w:tcPr>
            <w:tcW w:w="540" w:type="dxa"/>
            <w:vAlign w:val="bottom"/>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60" w:type="dxa"/>
            <w:vAlign w:val="bottom"/>
          </w:tcPr>
          <w:p>
            <w:pPr>
              <w:spacing w:after="0"/>
              <w:rPr>
                <w:sz w:val="10"/>
                <w:szCs w:val="10"/>
                <w:color w:val="auto"/>
              </w:rPr>
            </w:pP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w w:val="91"/>
              </w:rPr>
              <w:t>Fair Value</w:t>
            </w:r>
          </w:p>
        </w:tc>
        <w:tc>
          <w:tcPr>
            <w:tcW w:w="600" w:type="dxa"/>
            <w:vAlign w:val="bottom"/>
          </w:tcPr>
          <w:p>
            <w:pPr>
              <w:ind w:left="160"/>
              <w:spacing w:after="0"/>
              <w:rPr>
                <w:sz w:val="20"/>
                <w:szCs w:val="20"/>
                <w:color w:val="auto"/>
              </w:rPr>
            </w:pPr>
            <w:r>
              <w:rPr>
                <w:rFonts w:ascii="Times New Roman" w:cs="Times New Roman" w:eastAsia="Times New Roman" w:hAnsi="Times New Roman"/>
                <w:sz w:val="10"/>
                <w:szCs w:val="10"/>
                <w:b w:val="1"/>
                <w:bCs w:val="1"/>
                <w:color w:val="auto"/>
              </w:rPr>
              <w:t>Footnotes</w:t>
            </w:r>
          </w:p>
        </w:tc>
        <w:tc>
          <w:tcPr>
            <w:tcW w:w="0" w:type="dxa"/>
            <w:vAlign w:val="bottom"/>
          </w:tcPr>
          <w:p>
            <w:pPr>
              <w:spacing w:after="0"/>
              <w:rPr>
                <w:sz w:val="1"/>
                <w:szCs w:val="1"/>
                <w:color w:val="auto"/>
              </w:rPr>
            </w:pPr>
          </w:p>
        </w:tc>
      </w:tr>
      <w:tr>
        <w:trPr>
          <w:trHeight w:val="120"/>
        </w:trPr>
        <w:tc>
          <w:tcPr>
            <w:tcW w:w="2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Keg Logistics LLC (Revolver)</w:t>
            </w:r>
          </w:p>
        </w:tc>
        <w:tc>
          <w:tcPr>
            <w:tcW w:w="16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Services: Business</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11.53%</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SOFR + 6.00%</w:t>
            </w:r>
          </w:p>
        </w:tc>
        <w:tc>
          <w:tcPr>
            <w:tcW w:w="6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11/23/2027</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872</w:t>
            </w:r>
          </w:p>
        </w:tc>
        <w:tc>
          <w:tcPr>
            <w:tcW w:w="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859</w:t>
            </w:r>
          </w:p>
        </w:tc>
        <w:tc>
          <w:tcPr>
            <w:tcW w:w="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842</w:t>
            </w: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Lifescan Global Corporation</w:t>
            </w:r>
          </w:p>
        </w:tc>
        <w:tc>
          <w:tcPr>
            <w:tcW w:w="1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Healthcare &amp; Pharmaceuticals</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7"/>
              </w:rPr>
              <w:t>11.98%</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4"/>
              </w:rPr>
              <w:t>SOFR + 6.50%</w:t>
            </w:r>
          </w:p>
        </w:tc>
        <w:tc>
          <w:tcPr>
            <w:tcW w:w="66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2"/>
              </w:rPr>
              <w:t>12/31/2026</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2,381</w:t>
            </w: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2,256</w:t>
            </w:r>
          </w:p>
        </w:tc>
        <w:tc>
          <w:tcPr>
            <w:tcW w:w="16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1,792</w:t>
            </w:r>
          </w:p>
        </w:tc>
        <w:tc>
          <w:tcPr>
            <w:tcW w:w="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2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Lucky Bucks, LLC (Second Out)</w:t>
            </w:r>
          </w:p>
        </w:tc>
        <w:tc>
          <w:tcPr>
            <w:tcW w:w="16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Hotel, Gaming &amp; Leisure</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13.03%</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SOFR + 7.65%</w:t>
            </w:r>
          </w:p>
        </w:tc>
        <w:tc>
          <w:tcPr>
            <w:tcW w:w="6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10/2/2029</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892</w:t>
            </w:r>
          </w:p>
        </w:tc>
        <w:tc>
          <w:tcPr>
            <w:tcW w:w="220" w:type="dxa"/>
            <w:vAlign w:val="bottom"/>
          </w:tcPr>
          <w:p>
            <w:pPr>
              <w:spacing w:after="0"/>
              <w:rPr>
                <w:sz w:val="10"/>
                <w:szCs w:val="10"/>
                <w:color w:val="auto"/>
              </w:rPr>
            </w:pP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892</w:t>
            </w:r>
          </w:p>
        </w:tc>
        <w:tc>
          <w:tcPr>
            <w:tcW w:w="160" w:type="dxa"/>
            <w:vAlign w:val="bottom"/>
          </w:tcPr>
          <w:p>
            <w:pPr>
              <w:spacing w:after="0"/>
              <w:rPr>
                <w:sz w:val="10"/>
                <w:szCs w:val="10"/>
                <w:color w:val="auto"/>
              </w:rPr>
            </w:pPr>
          </w:p>
        </w:tc>
        <w:tc>
          <w:tcPr>
            <w:tcW w:w="6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853</w:t>
            </w:r>
          </w:p>
        </w:tc>
        <w:tc>
          <w:tcPr>
            <w:tcW w:w="6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Lucky Bucks, LLC (First Out)</w:t>
            </w:r>
          </w:p>
        </w:tc>
        <w:tc>
          <w:tcPr>
            <w:tcW w:w="1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Hotel, Gaming &amp; Leisure</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7"/>
              </w:rPr>
              <w:t>13.03%</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4"/>
              </w:rPr>
              <w:t>SOFR + 7.65%</w:t>
            </w:r>
          </w:p>
        </w:tc>
        <w:tc>
          <w:tcPr>
            <w:tcW w:w="66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3"/>
              </w:rPr>
              <w:t>10/2/2028</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469</w:t>
            </w: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457</w:t>
            </w:r>
          </w:p>
        </w:tc>
        <w:tc>
          <w:tcPr>
            <w:tcW w:w="16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473</w:t>
            </w:r>
          </w:p>
        </w:tc>
        <w:tc>
          <w:tcPr>
            <w:tcW w:w="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2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Luminii LLC</w:t>
            </w:r>
          </w:p>
        </w:tc>
        <w:tc>
          <w:tcPr>
            <w:tcW w:w="16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Construction &amp; Building</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12.74%</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SOFR + 7.25%</w:t>
            </w:r>
          </w:p>
        </w:tc>
        <w:tc>
          <w:tcPr>
            <w:tcW w:w="6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4/11/2025</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5,933</w:t>
            </w:r>
          </w:p>
        </w:tc>
        <w:tc>
          <w:tcPr>
            <w:tcW w:w="220" w:type="dxa"/>
            <w:vAlign w:val="bottom"/>
          </w:tcPr>
          <w:p>
            <w:pPr>
              <w:spacing w:after="0"/>
              <w:rPr>
                <w:sz w:val="10"/>
                <w:szCs w:val="10"/>
                <w:color w:val="auto"/>
              </w:rPr>
            </w:pP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5,933</w:t>
            </w:r>
          </w:p>
        </w:tc>
        <w:tc>
          <w:tcPr>
            <w:tcW w:w="160" w:type="dxa"/>
            <w:vAlign w:val="bottom"/>
          </w:tcPr>
          <w:p>
            <w:pPr>
              <w:spacing w:after="0"/>
              <w:rPr>
                <w:sz w:val="10"/>
                <w:szCs w:val="10"/>
                <w:color w:val="auto"/>
              </w:rPr>
            </w:pPr>
          </w:p>
        </w:tc>
        <w:tc>
          <w:tcPr>
            <w:tcW w:w="6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5,933</w:t>
            </w:r>
          </w:p>
        </w:tc>
        <w:tc>
          <w:tcPr>
            <w:tcW w:w="6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Luminii LLC (Revolver)</w:t>
            </w:r>
          </w:p>
        </w:tc>
        <w:tc>
          <w:tcPr>
            <w:tcW w:w="1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Construction &amp; Building</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7"/>
              </w:rPr>
              <w:t>12.74%</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4"/>
              </w:rPr>
              <w:t>SOFR + 7.35%</w:t>
            </w:r>
          </w:p>
        </w:tc>
        <w:tc>
          <w:tcPr>
            <w:tcW w:w="66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3"/>
              </w:rPr>
              <w:t>4/11/2025</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343</w:t>
            </w: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343</w:t>
            </w:r>
          </w:p>
        </w:tc>
        <w:tc>
          <w:tcPr>
            <w:tcW w:w="16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343</w:t>
            </w:r>
          </w:p>
        </w:tc>
        <w:tc>
          <w:tcPr>
            <w:tcW w:w="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(13)(20)</w:t>
            </w:r>
          </w:p>
        </w:tc>
        <w:tc>
          <w:tcPr>
            <w:tcW w:w="0" w:type="dxa"/>
            <w:vAlign w:val="bottom"/>
          </w:tcPr>
          <w:p>
            <w:pPr>
              <w:spacing w:after="0"/>
              <w:rPr>
                <w:sz w:val="1"/>
                <w:szCs w:val="1"/>
                <w:color w:val="auto"/>
              </w:rPr>
            </w:pPr>
          </w:p>
        </w:tc>
      </w:tr>
      <w:tr>
        <w:trPr>
          <w:trHeight w:val="120"/>
        </w:trPr>
        <w:tc>
          <w:tcPr>
            <w:tcW w:w="2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 DS Corp.</w:t>
            </w:r>
          </w:p>
        </w:tc>
        <w:tc>
          <w:tcPr>
            <w:tcW w:w="16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Aerospace and Defense</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10.95%</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SOFR + 5.50%</w:t>
            </w:r>
          </w:p>
        </w:tc>
        <w:tc>
          <w:tcPr>
            <w:tcW w:w="6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4/1/2027</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3,664</w:t>
            </w:r>
          </w:p>
        </w:tc>
        <w:tc>
          <w:tcPr>
            <w:tcW w:w="220" w:type="dxa"/>
            <w:vAlign w:val="bottom"/>
          </w:tcPr>
          <w:p>
            <w:pPr>
              <w:spacing w:after="0"/>
              <w:rPr>
                <w:sz w:val="10"/>
                <w:szCs w:val="10"/>
                <w:color w:val="auto"/>
              </w:rPr>
            </w:pP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3,347</w:t>
            </w:r>
          </w:p>
        </w:tc>
        <w:tc>
          <w:tcPr>
            <w:tcW w:w="160" w:type="dxa"/>
            <w:vAlign w:val="bottom"/>
          </w:tcPr>
          <w:p>
            <w:pPr>
              <w:spacing w:after="0"/>
              <w:rPr>
                <w:sz w:val="10"/>
                <w:szCs w:val="10"/>
                <w:color w:val="auto"/>
              </w:rPr>
            </w:pPr>
          </w:p>
        </w:tc>
        <w:tc>
          <w:tcPr>
            <w:tcW w:w="6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3,520</w:t>
            </w:r>
          </w:p>
        </w:tc>
        <w:tc>
          <w:tcPr>
            <w:tcW w:w="6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Money Transfer Acquisition Inc.</w:t>
            </w:r>
          </w:p>
        </w:tc>
        <w:tc>
          <w:tcPr>
            <w:tcW w:w="1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Finance</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7"/>
              </w:rPr>
              <w:t>13.71%</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4"/>
              </w:rPr>
              <w:t>SOFR + 8.25%</w:t>
            </w:r>
          </w:p>
        </w:tc>
        <w:tc>
          <w:tcPr>
            <w:tcW w:w="66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2"/>
              </w:rPr>
              <w:t>12/14/2027</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9,750</w:t>
            </w: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9,596</w:t>
            </w:r>
          </w:p>
        </w:tc>
        <w:tc>
          <w:tcPr>
            <w:tcW w:w="16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9,506</w:t>
            </w:r>
          </w:p>
        </w:tc>
        <w:tc>
          <w:tcPr>
            <w:tcW w:w="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2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Morae Global Corporation</w:t>
            </w:r>
          </w:p>
        </w:tc>
        <w:tc>
          <w:tcPr>
            <w:tcW w:w="16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IT Consulting &amp; Other Services</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13.53%</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SOFR + 8.00%</w:t>
            </w:r>
          </w:p>
        </w:tc>
        <w:tc>
          <w:tcPr>
            <w:tcW w:w="6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2.00%</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10/26/2026</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2,277</w:t>
            </w:r>
          </w:p>
        </w:tc>
        <w:tc>
          <w:tcPr>
            <w:tcW w:w="220" w:type="dxa"/>
            <w:vAlign w:val="bottom"/>
          </w:tcPr>
          <w:p>
            <w:pPr>
              <w:spacing w:after="0"/>
              <w:rPr>
                <w:sz w:val="10"/>
                <w:szCs w:val="10"/>
                <w:color w:val="auto"/>
              </w:rPr>
            </w:pP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2,138</w:t>
            </w:r>
          </w:p>
        </w:tc>
        <w:tc>
          <w:tcPr>
            <w:tcW w:w="160" w:type="dxa"/>
            <w:vAlign w:val="bottom"/>
          </w:tcPr>
          <w:p>
            <w:pPr>
              <w:spacing w:after="0"/>
              <w:rPr>
                <w:sz w:val="10"/>
                <w:szCs w:val="10"/>
                <w:color w:val="auto"/>
              </w:rPr>
            </w:pPr>
          </w:p>
        </w:tc>
        <w:tc>
          <w:tcPr>
            <w:tcW w:w="6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2,169</w:t>
            </w:r>
          </w:p>
        </w:tc>
        <w:tc>
          <w:tcPr>
            <w:tcW w:w="6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Morae Global Corporation (Revolver)</w:t>
            </w:r>
          </w:p>
        </w:tc>
        <w:tc>
          <w:tcPr>
            <w:tcW w:w="1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IT Consulting &amp; Other Services</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rPr>
              <w:t>0.50%</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6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2.00%</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2"/>
              </w:rPr>
              <w:t>10/26/2026</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(11 )</w:t>
            </w:r>
          </w:p>
        </w:tc>
        <w:tc>
          <w:tcPr>
            <w:tcW w:w="16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(10 )</w:t>
            </w:r>
          </w:p>
        </w:tc>
        <w:tc>
          <w:tcPr>
            <w:tcW w:w="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(20)</w:t>
            </w:r>
          </w:p>
        </w:tc>
        <w:tc>
          <w:tcPr>
            <w:tcW w:w="0" w:type="dxa"/>
            <w:vAlign w:val="bottom"/>
          </w:tcPr>
          <w:p>
            <w:pPr>
              <w:spacing w:after="0"/>
              <w:rPr>
                <w:sz w:val="1"/>
                <w:szCs w:val="1"/>
                <w:color w:val="auto"/>
              </w:rPr>
            </w:pPr>
          </w:p>
        </w:tc>
      </w:tr>
      <w:tr>
        <w:trPr>
          <w:trHeight w:val="120"/>
        </w:trPr>
        <w:tc>
          <w:tcPr>
            <w:tcW w:w="2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MSM Acquisitions, Inc.</w:t>
            </w:r>
          </w:p>
        </w:tc>
        <w:tc>
          <w:tcPr>
            <w:tcW w:w="16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Services: Business</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11.50%</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SOFR + 6.00%</w:t>
            </w:r>
          </w:p>
        </w:tc>
        <w:tc>
          <w:tcPr>
            <w:tcW w:w="6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12/9/2026</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9,828</w:t>
            </w:r>
          </w:p>
        </w:tc>
        <w:tc>
          <w:tcPr>
            <w:tcW w:w="220" w:type="dxa"/>
            <w:vAlign w:val="bottom"/>
          </w:tcPr>
          <w:p>
            <w:pPr>
              <w:spacing w:after="0"/>
              <w:rPr>
                <w:sz w:val="10"/>
                <w:szCs w:val="10"/>
                <w:color w:val="auto"/>
              </w:rPr>
            </w:pP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9,787</w:t>
            </w:r>
          </w:p>
        </w:tc>
        <w:tc>
          <w:tcPr>
            <w:tcW w:w="160" w:type="dxa"/>
            <w:vAlign w:val="bottom"/>
          </w:tcPr>
          <w:p>
            <w:pPr>
              <w:spacing w:after="0"/>
              <w:rPr>
                <w:sz w:val="10"/>
                <w:szCs w:val="10"/>
                <w:color w:val="auto"/>
              </w:rPr>
            </w:pPr>
          </w:p>
        </w:tc>
        <w:tc>
          <w:tcPr>
            <w:tcW w:w="6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9,423</w:t>
            </w:r>
          </w:p>
        </w:tc>
        <w:tc>
          <w:tcPr>
            <w:tcW w:w="6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Neptune Bidco US Inc.</w:t>
            </w:r>
          </w:p>
        </w:tc>
        <w:tc>
          <w:tcPr>
            <w:tcW w:w="1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Media: Broadcasting &amp; Subscription</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7"/>
              </w:rPr>
              <w:t>10.51%</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4"/>
              </w:rPr>
              <w:t>SOFR + 5.00%</w:t>
            </w:r>
          </w:p>
        </w:tc>
        <w:tc>
          <w:tcPr>
            <w:tcW w:w="66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0.50%</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3"/>
              </w:rPr>
              <w:t>4/11/2029</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2,488</w:t>
            </w: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2,257</w:t>
            </w:r>
          </w:p>
        </w:tc>
        <w:tc>
          <w:tcPr>
            <w:tcW w:w="16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2,279</w:t>
            </w:r>
          </w:p>
        </w:tc>
        <w:tc>
          <w:tcPr>
            <w:tcW w:w="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(13)(15)</w:t>
            </w:r>
          </w:p>
        </w:tc>
        <w:tc>
          <w:tcPr>
            <w:tcW w:w="0" w:type="dxa"/>
            <w:vAlign w:val="bottom"/>
          </w:tcPr>
          <w:p>
            <w:pPr>
              <w:spacing w:after="0"/>
              <w:rPr>
                <w:sz w:val="1"/>
                <w:szCs w:val="1"/>
                <w:color w:val="auto"/>
              </w:rPr>
            </w:pPr>
          </w:p>
        </w:tc>
      </w:tr>
      <w:tr>
        <w:trPr>
          <w:trHeight w:val="120"/>
        </w:trPr>
        <w:tc>
          <w:tcPr>
            <w:tcW w:w="2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Netwrix Corporation</w:t>
            </w:r>
          </w:p>
        </w:tc>
        <w:tc>
          <w:tcPr>
            <w:tcW w:w="16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High Tech Industries</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10.39%</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SOFR + 5.00%</w:t>
            </w:r>
          </w:p>
        </w:tc>
        <w:tc>
          <w:tcPr>
            <w:tcW w:w="6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0.75%</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6/9/2029</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3,379</w:t>
            </w:r>
          </w:p>
        </w:tc>
        <w:tc>
          <w:tcPr>
            <w:tcW w:w="220" w:type="dxa"/>
            <w:vAlign w:val="bottom"/>
          </w:tcPr>
          <w:p>
            <w:pPr>
              <w:spacing w:after="0"/>
              <w:rPr>
                <w:sz w:val="10"/>
                <w:szCs w:val="10"/>
                <w:color w:val="auto"/>
              </w:rPr>
            </w:pP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3,358</w:t>
            </w:r>
          </w:p>
        </w:tc>
        <w:tc>
          <w:tcPr>
            <w:tcW w:w="160" w:type="dxa"/>
            <w:vAlign w:val="bottom"/>
          </w:tcPr>
          <w:p>
            <w:pPr>
              <w:spacing w:after="0"/>
              <w:rPr>
                <w:sz w:val="10"/>
                <w:szCs w:val="10"/>
                <w:color w:val="auto"/>
              </w:rPr>
            </w:pPr>
          </w:p>
        </w:tc>
        <w:tc>
          <w:tcPr>
            <w:tcW w:w="6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3,364</w:t>
            </w:r>
          </w:p>
        </w:tc>
        <w:tc>
          <w:tcPr>
            <w:tcW w:w="6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(13)(20)</w:t>
            </w:r>
          </w:p>
        </w:tc>
        <w:tc>
          <w:tcPr>
            <w:tcW w:w="0" w:type="dxa"/>
            <w:vAlign w:val="bottom"/>
          </w:tcPr>
          <w:p>
            <w:pPr>
              <w:spacing w:after="0"/>
              <w:rPr>
                <w:sz w:val="1"/>
                <w:szCs w:val="1"/>
                <w:color w:val="auto"/>
              </w:rPr>
            </w:pPr>
          </w:p>
        </w:tc>
      </w:tr>
      <w:tr>
        <w:trPr>
          <w:trHeight w:val="120"/>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Netwrix Corporation (Revolver)</w:t>
            </w:r>
          </w:p>
        </w:tc>
        <w:tc>
          <w:tcPr>
            <w:tcW w:w="1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High Tech Industries</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rPr>
              <w:t>0.25%</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4"/>
              </w:rPr>
              <w:t>SOFR + 5.00%</w:t>
            </w:r>
          </w:p>
        </w:tc>
        <w:tc>
          <w:tcPr>
            <w:tcW w:w="66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0.75%</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5"/>
              </w:rPr>
              <w:t>6/9/2029</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(9 )</w:t>
            </w:r>
          </w:p>
        </w:tc>
        <w:tc>
          <w:tcPr>
            <w:tcW w:w="16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(4 )</w:t>
            </w:r>
          </w:p>
        </w:tc>
        <w:tc>
          <w:tcPr>
            <w:tcW w:w="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(20)</w:t>
            </w:r>
          </w:p>
        </w:tc>
        <w:tc>
          <w:tcPr>
            <w:tcW w:w="0" w:type="dxa"/>
            <w:vAlign w:val="bottom"/>
          </w:tcPr>
          <w:p>
            <w:pPr>
              <w:spacing w:after="0"/>
              <w:rPr>
                <w:sz w:val="1"/>
                <w:szCs w:val="1"/>
                <w:color w:val="auto"/>
              </w:rPr>
            </w:pPr>
          </w:p>
        </w:tc>
      </w:tr>
      <w:tr>
        <w:trPr>
          <w:trHeight w:val="120"/>
        </w:trPr>
        <w:tc>
          <w:tcPr>
            <w:tcW w:w="2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One Stop Mailing LLC</w:t>
            </w:r>
          </w:p>
        </w:tc>
        <w:tc>
          <w:tcPr>
            <w:tcW w:w="16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Transportation: Consumer</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11.72%</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SOFR + 6.25%</w:t>
            </w:r>
          </w:p>
        </w:tc>
        <w:tc>
          <w:tcPr>
            <w:tcW w:w="6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4/29/2027</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7,550</w:t>
            </w:r>
          </w:p>
        </w:tc>
        <w:tc>
          <w:tcPr>
            <w:tcW w:w="220" w:type="dxa"/>
            <w:vAlign w:val="bottom"/>
          </w:tcPr>
          <w:p>
            <w:pPr>
              <w:spacing w:after="0"/>
              <w:rPr>
                <w:sz w:val="10"/>
                <w:szCs w:val="10"/>
                <w:color w:val="auto"/>
              </w:rPr>
            </w:pP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7,465</w:t>
            </w:r>
          </w:p>
        </w:tc>
        <w:tc>
          <w:tcPr>
            <w:tcW w:w="160" w:type="dxa"/>
            <w:vAlign w:val="bottom"/>
          </w:tcPr>
          <w:p>
            <w:pPr>
              <w:spacing w:after="0"/>
              <w:rPr>
                <w:sz w:val="10"/>
                <w:szCs w:val="10"/>
                <w:color w:val="auto"/>
              </w:rPr>
            </w:pPr>
          </w:p>
        </w:tc>
        <w:tc>
          <w:tcPr>
            <w:tcW w:w="6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7,409</w:t>
            </w:r>
          </w:p>
        </w:tc>
        <w:tc>
          <w:tcPr>
            <w:tcW w:w="6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PhyNet Dermatology LLC</w:t>
            </w:r>
          </w:p>
        </w:tc>
        <w:tc>
          <w:tcPr>
            <w:tcW w:w="1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Healthcare &amp; Pharmaceuticals</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7"/>
              </w:rPr>
              <w:t>11.99%</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4"/>
              </w:rPr>
              <w:t>SOFR + 6.50%</w:t>
            </w:r>
          </w:p>
        </w:tc>
        <w:tc>
          <w:tcPr>
            <w:tcW w:w="66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2"/>
              </w:rPr>
              <w:t>10/20/2029</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1,307</w:t>
            </w: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1,275</w:t>
            </w:r>
          </w:p>
        </w:tc>
        <w:tc>
          <w:tcPr>
            <w:tcW w:w="16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1,287</w:t>
            </w:r>
          </w:p>
        </w:tc>
        <w:tc>
          <w:tcPr>
            <w:tcW w:w="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(13)(20)</w:t>
            </w:r>
          </w:p>
        </w:tc>
        <w:tc>
          <w:tcPr>
            <w:tcW w:w="0" w:type="dxa"/>
            <w:vAlign w:val="bottom"/>
          </w:tcPr>
          <w:p>
            <w:pPr>
              <w:spacing w:after="0"/>
              <w:rPr>
                <w:sz w:val="1"/>
                <w:szCs w:val="1"/>
                <w:color w:val="auto"/>
              </w:rPr>
            </w:pPr>
          </w:p>
        </w:tc>
      </w:tr>
      <w:tr>
        <w:trPr>
          <w:trHeight w:val="120"/>
        </w:trPr>
        <w:tc>
          <w:tcPr>
            <w:tcW w:w="2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Pomeroy Technologies, LLC (Super Senior A)</w:t>
            </w:r>
          </w:p>
        </w:tc>
        <w:tc>
          <w:tcPr>
            <w:tcW w:w="16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High Tech Industries</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10.00% PIK</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4/4/2026</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422</w:t>
            </w:r>
          </w:p>
        </w:tc>
        <w:tc>
          <w:tcPr>
            <w:tcW w:w="220" w:type="dxa"/>
            <w:vAlign w:val="bottom"/>
          </w:tcPr>
          <w:p>
            <w:pPr>
              <w:spacing w:after="0"/>
              <w:rPr>
                <w:sz w:val="10"/>
                <w:szCs w:val="10"/>
                <w:color w:val="auto"/>
              </w:rPr>
            </w:pP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420</w:t>
            </w:r>
          </w:p>
        </w:tc>
        <w:tc>
          <w:tcPr>
            <w:tcW w:w="160" w:type="dxa"/>
            <w:vAlign w:val="bottom"/>
          </w:tcPr>
          <w:p>
            <w:pPr>
              <w:spacing w:after="0"/>
              <w:rPr>
                <w:sz w:val="10"/>
                <w:szCs w:val="10"/>
                <w:color w:val="auto"/>
              </w:rPr>
            </w:pPr>
          </w:p>
        </w:tc>
        <w:tc>
          <w:tcPr>
            <w:tcW w:w="6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398</w:t>
            </w: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Pomeroy Technologies, LLC (Super Senior B)</w:t>
            </w:r>
          </w:p>
        </w:tc>
        <w:tc>
          <w:tcPr>
            <w:tcW w:w="1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High Tech Industries</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4"/>
              </w:rPr>
              <w:t>9.00% PIK</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60" w:type="dxa"/>
            <w:vAlign w:val="bottom"/>
            <w:shd w:val="clear" w:color="auto" w:fill="CFF0FC"/>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5"/>
              </w:rPr>
              <w:t>4/4/2026</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1,261</w:t>
            </w: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1,254</w:t>
            </w:r>
          </w:p>
        </w:tc>
        <w:tc>
          <w:tcPr>
            <w:tcW w:w="16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1,170</w:t>
            </w:r>
          </w:p>
        </w:tc>
        <w:tc>
          <w:tcPr>
            <w:tcW w:w="6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Pomeroy Technologies, LLC (Senior A)</w:t>
            </w:r>
          </w:p>
        </w:tc>
        <w:tc>
          <w:tcPr>
            <w:tcW w:w="16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High Tech Industries</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5.17% PIK</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4/4/2026</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1,766</w:t>
            </w:r>
          </w:p>
        </w:tc>
        <w:tc>
          <w:tcPr>
            <w:tcW w:w="220" w:type="dxa"/>
            <w:vAlign w:val="bottom"/>
          </w:tcPr>
          <w:p>
            <w:pPr>
              <w:spacing w:after="0"/>
              <w:rPr>
                <w:sz w:val="10"/>
                <w:szCs w:val="10"/>
                <w:color w:val="auto"/>
              </w:rPr>
            </w:pP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1,608</w:t>
            </w:r>
          </w:p>
        </w:tc>
        <w:tc>
          <w:tcPr>
            <w:tcW w:w="160" w:type="dxa"/>
            <w:vAlign w:val="bottom"/>
          </w:tcPr>
          <w:p>
            <w:pPr>
              <w:spacing w:after="0"/>
              <w:rPr>
                <w:sz w:val="10"/>
                <w:szCs w:val="10"/>
                <w:color w:val="auto"/>
              </w:rPr>
            </w:pPr>
          </w:p>
        </w:tc>
        <w:tc>
          <w:tcPr>
            <w:tcW w:w="6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1,043</w:t>
            </w: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Pomeroy Technologies, LLC (Senior B)</w:t>
            </w:r>
          </w:p>
        </w:tc>
        <w:tc>
          <w:tcPr>
            <w:tcW w:w="1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High Tech Industries</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4"/>
              </w:rPr>
              <w:t>7.00% PIK</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60" w:type="dxa"/>
            <w:vAlign w:val="bottom"/>
            <w:shd w:val="clear" w:color="auto" w:fill="CFF0FC"/>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5"/>
              </w:rPr>
              <w:t>4/4/2026</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1,593</w:t>
            </w: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1,456</w:t>
            </w:r>
          </w:p>
        </w:tc>
        <w:tc>
          <w:tcPr>
            <w:tcW w:w="16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193</w:t>
            </w:r>
          </w:p>
        </w:tc>
        <w:tc>
          <w:tcPr>
            <w:tcW w:w="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(5)</w:t>
            </w:r>
          </w:p>
        </w:tc>
        <w:tc>
          <w:tcPr>
            <w:tcW w:w="0" w:type="dxa"/>
            <w:vAlign w:val="bottom"/>
          </w:tcPr>
          <w:p>
            <w:pPr>
              <w:spacing w:after="0"/>
              <w:rPr>
                <w:sz w:val="1"/>
                <w:szCs w:val="1"/>
                <w:color w:val="auto"/>
              </w:rPr>
            </w:pPr>
          </w:p>
        </w:tc>
      </w:tr>
      <w:tr>
        <w:trPr>
          <w:trHeight w:val="120"/>
        </w:trPr>
        <w:tc>
          <w:tcPr>
            <w:tcW w:w="2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Premier Imaging, LLC</w:t>
            </w:r>
          </w:p>
        </w:tc>
        <w:tc>
          <w:tcPr>
            <w:tcW w:w="16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Healthcare &amp; Pharmaceuticals</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11.61%</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SOFR + 6.00%</w:t>
            </w:r>
          </w:p>
        </w:tc>
        <w:tc>
          <w:tcPr>
            <w:tcW w:w="6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1/2/2025</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2,570</w:t>
            </w:r>
          </w:p>
        </w:tc>
        <w:tc>
          <w:tcPr>
            <w:tcW w:w="220" w:type="dxa"/>
            <w:vAlign w:val="bottom"/>
          </w:tcPr>
          <w:p>
            <w:pPr>
              <w:spacing w:after="0"/>
              <w:rPr>
                <w:sz w:val="10"/>
                <w:szCs w:val="10"/>
                <w:color w:val="auto"/>
              </w:rPr>
            </w:pP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2,558</w:t>
            </w:r>
          </w:p>
        </w:tc>
        <w:tc>
          <w:tcPr>
            <w:tcW w:w="160" w:type="dxa"/>
            <w:vAlign w:val="bottom"/>
          </w:tcPr>
          <w:p>
            <w:pPr>
              <w:spacing w:after="0"/>
              <w:rPr>
                <w:sz w:val="10"/>
                <w:szCs w:val="10"/>
                <w:color w:val="auto"/>
              </w:rPr>
            </w:pPr>
          </w:p>
        </w:tc>
        <w:tc>
          <w:tcPr>
            <w:tcW w:w="6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2,471</w:t>
            </w:r>
          </w:p>
        </w:tc>
        <w:tc>
          <w:tcPr>
            <w:tcW w:w="6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Priority Holdings, LLC</w:t>
            </w:r>
          </w:p>
        </w:tc>
        <w:tc>
          <w:tcPr>
            <w:tcW w:w="1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High Tech Industries</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7"/>
              </w:rPr>
              <w:t>11.21%</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4"/>
              </w:rPr>
              <w:t>SOFR + 5.75%</w:t>
            </w:r>
          </w:p>
        </w:tc>
        <w:tc>
          <w:tcPr>
            <w:tcW w:w="66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3"/>
              </w:rPr>
              <w:t>4/22/2027</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5,612</w:t>
            </w: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5,590</w:t>
            </w:r>
          </w:p>
        </w:tc>
        <w:tc>
          <w:tcPr>
            <w:tcW w:w="16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5,591</w:t>
            </w:r>
          </w:p>
        </w:tc>
        <w:tc>
          <w:tcPr>
            <w:tcW w:w="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2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Project Castle, Inc.</w:t>
            </w:r>
          </w:p>
        </w:tc>
        <w:tc>
          <w:tcPr>
            <w:tcW w:w="16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Transportation: Cargo</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10.90%</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SOFR + 5.50%</w:t>
            </w:r>
          </w:p>
        </w:tc>
        <w:tc>
          <w:tcPr>
            <w:tcW w:w="6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0.50%</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6/8/2029</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7,900</w:t>
            </w:r>
          </w:p>
        </w:tc>
        <w:tc>
          <w:tcPr>
            <w:tcW w:w="220" w:type="dxa"/>
            <w:vAlign w:val="bottom"/>
          </w:tcPr>
          <w:p>
            <w:pPr>
              <w:spacing w:after="0"/>
              <w:rPr>
                <w:sz w:val="10"/>
                <w:szCs w:val="10"/>
                <w:color w:val="auto"/>
              </w:rPr>
            </w:pP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7,249</w:t>
            </w:r>
          </w:p>
        </w:tc>
        <w:tc>
          <w:tcPr>
            <w:tcW w:w="160" w:type="dxa"/>
            <w:vAlign w:val="bottom"/>
          </w:tcPr>
          <w:p>
            <w:pPr>
              <w:spacing w:after="0"/>
              <w:rPr>
                <w:sz w:val="10"/>
                <w:szCs w:val="10"/>
                <w:color w:val="auto"/>
              </w:rPr>
            </w:pPr>
          </w:p>
        </w:tc>
        <w:tc>
          <w:tcPr>
            <w:tcW w:w="6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7,018</w:t>
            </w:r>
          </w:p>
        </w:tc>
        <w:tc>
          <w:tcPr>
            <w:tcW w:w="6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Project Leopard Holdings, Inc.</w:t>
            </w:r>
          </w:p>
        </w:tc>
        <w:tc>
          <w:tcPr>
            <w:tcW w:w="1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High Tech Industries</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7"/>
              </w:rPr>
              <w:t>10.73%</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4"/>
              </w:rPr>
              <w:t>SOFR + 5.25%</w:t>
            </w:r>
          </w:p>
        </w:tc>
        <w:tc>
          <w:tcPr>
            <w:tcW w:w="66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0.50%</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3"/>
              </w:rPr>
              <w:t>7/20/2029</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7,920</w:t>
            </w: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7,481</w:t>
            </w:r>
          </w:p>
        </w:tc>
        <w:tc>
          <w:tcPr>
            <w:tcW w:w="16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7,201</w:t>
            </w:r>
          </w:p>
        </w:tc>
        <w:tc>
          <w:tcPr>
            <w:tcW w:w="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(13)(15)</w:t>
            </w:r>
          </w:p>
        </w:tc>
        <w:tc>
          <w:tcPr>
            <w:tcW w:w="0" w:type="dxa"/>
            <w:vAlign w:val="bottom"/>
          </w:tcPr>
          <w:p>
            <w:pPr>
              <w:spacing w:after="0"/>
              <w:rPr>
                <w:sz w:val="1"/>
                <w:szCs w:val="1"/>
                <w:color w:val="auto"/>
              </w:rPr>
            </w:pPr>
          </w:p>
        </w:tc>
      </w:tr>
      <w:tr>
        <w:trPr>
          <w:trHeight w:val="120"/>
        </w:trPr>
        <w:tc>
          <w:tcPr>
            <w:tcW w:w="2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PVHC Holding Corp</w:t>
            </w:r>
          </w:p>
        </w:tc>
        <w:tc>
          <w:tcPr>
            <w:tcW w:w="16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Containers, Packaging and Glass</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11.75%</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SOFR + 5.50%,</w:t>
            </w:r>
          </w:p>
        </w:tc>
        <w:tc>
          <w:tcPr>
            <w:tcW w:w="6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2.50%</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2/17/2027</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2,736</w:t>
            </w:r>
          </w:p>
        </w:tc>
        <w:tc>
          <w:tcPr>
            <w:tcW w:w="220" w:type="dxa"/>
            <w:vAlign w:val="bottom"/>
          </w:tcPr>
          <w:p>
            <w:pPr>
              <w:spacing w:after="0"/>
              <w:rPr>
                <w:sz w:val="10"/>
                <w:szCs w:val="10"/>
                <w:color w:val="auto"/>
              </w:rPr>
            </w:pP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2,734</w:t>
            </w:r>
          </w:p>
        </w:tc>
        <w:tc>
          <w:tcPr>
            <w:tcW w:w="160" w:type="dxa"/>
            <w:vAlign w:val="bottom"/>
          </w:tcPr>
          <w:p>
            <w:pPr>
              <w:spacing w:after="0"/>
              <w:rPr>
                <w:sz w:val="10"/>
                <w:szCs w:val="10"/>
                <w:color w:val="auto"/>
              </w:rPr>
            </w:pPr>
          </w:p>
        </w:tc>
        <w:tc>
          <w:tcPr>
            <w:tcW w:w="6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2,665</w:t>
            </w:r>
          </w:p>
        </w:tc>
        <w:tc>
          <w:tcPr>
            <w:tcW w:w="6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25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0.75% PIK</w:t>
            </w: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Qualtek LLC</w:t>
            </w:r>
          </w:p>
        </w:tc>
        <w:tc>
          <w:tcPr>
            <w:tcW w:w="1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High Tech Industries</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7"/>
              </w:rPr>
              <w:t>15.39%</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6"/>
              </w:rPr>
              <w:t>SOFR + 1.00%,</w:t>
            </w:r>
          </w:p>
        </w:tc>
        <w:tc>
          <w:tcPr>
            <w:tcW w:w="66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3"/>
              </w:rPr>
              <w:t>7/14/2025</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4,373</w:t>
            </w: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4,373</w:t>
            </w:r>
          </w:p>
        </w:tc>
        <w:tc>
          <w:tcPr>
            <w:tcW w:w="16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4,209</w:t>
            </w:r>
          </w:p>
        </w:tc>
        <w:tc>
          <w:tcPr>
            <w:tcW w:w="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(15)</w:t>
            </w:r>
          </w:p>
        </w:tc>
        <w:tc>
          <w:tcPr>
            <w:tcW w:w="0" w:type="dxa"/>
            <w:vAlign w:val="bottom"/>
          </w:tcPr>
          <w:p>
            <w:pPr>
              <w:spacing w:after="0"/>
              <w:rPr>
                <w:sz w:val="1"/>
                <w:szCs w:val="1"/>
                <w:color w:val="auto"/>
              </w:rPr>
            </w:pPr>
          </w:p>
        </w:tc>
      </w:tr>
      <w:tr>
        <w:trPr>
          <w:trHeight w:val="120"/>
        </w:trPr>
        <w:tc>
          <w:tcPr>
            <w:tcW w:w="2540" w:type="dxa"/>
            <w:vAlign w:val="bottom"/>
            <w:shd w:val="clear" w:color="auto" w:fill="CFF0FC"/>
          </w:tcPr>
          <w:p>
            <w:pPr>
              <w:spacing w:after="0"/>
              <w:rPr>
                <w:sz w:val="10"/>
                <w:szCs w:val="10"/>
                <w:color w:val="auto"/>
              </w:rPr>
            </w:pPr>
          </w:p>
        </w:tc>
        <w:tc>
          <w:tcPr>
            <w:tcW w:w="168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4"/>
              </w:rPr>
              <w:t>9.00% PIK</w:t>
            </w:r>
          </w:p>
        </w:tc>
        <w:tc>
          <w:tcPr>
            <w:tcW w:w="6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Radiology Partners, Inc</w:t>
            </w:r>
          </w:p>
        </w:tc>
        <w:tc>
          <w:tcPr>
            <w:tcW w:w="16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Healthcare &amp; Pharmaceuticals</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10.18%</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SOFR + 4.25%</w:t>
            </w:r>
          </w:p>
        </w:tc>
        <w:tc>
          <w:tcPr>
            <w:tcW w:w="6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7/9/2025</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6,966</w:t>
            </w:r>
          </w:p>
        </w:tc>
        <w:tc>
          <w:tcPr>
            <w:tcW w:w="220" w:type="dxa"/>
            <w:vAlign w:val="bottom"/>
          </w:tcPr>
          <w:p>
            <w:pPr>
              <w:spacing w:after="0"/>
              <w:rPr>
                <w:sz w:val="10"/>
                <w:szCs w:val="10"/>
                <w:color w:val="auto"/>
              </w:rPr>
            </w:pP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6,575</w:t>
            </w:r>
          </w:p>
        </w:tc>
        <w:tc>
          <w:tcPr>
            <w:tcW w:w="160" w:type="dxa"/>
            <w:vAlign w:val="bottom"/>
          </w:tcPr>
          <w:p>
            <w:pPr>
              <w:spacing w:after="0"/>
              <w:rPr>
                <w:sz w:val="10"/>
                <w:szCs w:val="10"/>
                <w:color w:val="auto"/>
              </w:rPr>
            </w:pPr>
          </w:p>
        </w:tc>
        <w:tc>
          <w:tcPr>
            <w:tcW w:w="6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5,654</w:t>
            </w:r>
          </w:p>
        </w:tc>
        <w:tc>
          <w:tcPr>
            <w:tcW w:w="6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(13)(15)</w:t>
            </w:r>
          </w:p>
        </w:tc>
        <w:tc>
          <w:tcPr>
            <w:tcW w:w="0" w:type="dxa"/>
            <w:vAlign w:val="bottom"/>
          </w:tcPr>
          <w:p>
            <w:pPr>
              <w:spacing w:after="0"/>
              <w:rPr>
                <w:sz w:val="1"/>
                <w:szCs w:val="1"/>
                <w:color w:val="auto"/>
              </w:rPr>
            </w:pPr>
          </w:p>
        </w:tc>
      </w:tr>
      <w:tr>
        <w:trPr>
          <w:trHeight w:val="120"/>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Radius Aerospace, Inc.</w:t>
            </w:r>
          </w:p>
        </w:tc>
        <w:tc>
          <w:tcPr>
            <w:tcW w:w="1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Aerospace and Defense</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7"/>
              </w:rPr>
              <w:t>11.25%</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4"/>
              </w:rPr>
              <w:t>SOFR + 5.75%</w:t>
            </w:r>
          </w:p>
        </w:tc>
        <w:tc>
          <w:tcPr>
            <w:tcW w:w="66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3"/>
              </w:rPr>
              <w:t>3/29/2025</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6,131</w:t>
            </w: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6,111</w:t>
            </w:r>
          </w:p>
        </w:tc>
        <w:tc>
          <w:tcPr>
            <w:tcW w:w="16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6,064</w:t>
            </w:r>
          </w:p>
        </w:tc>
        <w:tc>
          <w:tcPr>
            <w:tcW w:w="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2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Reception Purchaser, LLC</w:t>
            </w:r>
          </w:p>
        </w:tc>
        <w:tc>
          <w:tcPr>
            <w:tcW w:w="16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Transportation: Cargo</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11.50%</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SOFR + 6.00%</w:t>
            </w:r>
          </w:p>
        </w:tc>
        <w:tc>
          <w:tcPr>
            <w:tcW w:w="6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0.75%</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3/24/2028</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4,439</w:t>
            </w:r>
          </w:p>
        </w:tc>
        <w:tc>
          <w:tcPr>
            <w:tcW w:w="220" w:type="dxa"/>
            <w:vAlign w:val="bottom"/>
          </w:tcPr>
          <w:p>
            <w:pPr>
              <w:spacing w:after="0"/>
              <w:rPr>
                <w:sz w:val="10"/>
                <w:szCs w:val="10"/>
                <w:color w:val="auto"/>
              </w:rPr>
            </w:pP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4,357</w:t>
            </w:r>
          </w:p>
        </w:tc>
        <w:tc>
          <w:tcPr>
            <w:tcW w:w="160" w:type="dxa"/>
            <w:vAlign w:val="bottom"/>
          </w:tcPr>
          <w:p>
            <w:pPr>
              <w:spacing w:after="0"/>
              <w:rPr>
                <w:sz w:val="10"/>
                <w:szCs w:val="10"/>
                <w:color w:val="auto"/>
              </w:rPr>
            </w:pPr>
          </w:p>
        </w:tc>
        <w:tc>
          <w:tcPr>
            <w:tcW w:w="6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3,285</w:t>
            </w:r>
          </w:p>
        </w:tc>
        <w:tc>
          <w:tcPr>
            <w:tcW w:w="6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(13)(15)</w:t>
            </w:r>
          </w:p>
        </w:tc>
        <w:tc>
          <w:tcPr>
            <w:tcW w:w="0" w:type="dxa"/>
            <w:vAlign w:val="bottom"/>
          </w:tcPr>
          <w:p>
            <w:pPr>
              <w:spacing w:after="0"/>
              <w:rPr>
                <w:sz w:val="1"/>
                <w:szCs w:val="1"/>
                <w:color w:val="auto"/>
              </w:rPr>
            </w:pPr>
          </w:p>
        </w:tc>
      </w:tr>
      <w:tr>
        <w:trPr>
          <w:trHeight w:val="120"/>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South Street Securities Holdings, Inc</w:t>
            </w:r>
          </w:p>
        </w:tc>
        <w:tc>
          <w:tcPr>
            <w:tcW w:w="1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Banking, Finance, Insurance &amp; Real</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rPr>
              <w:t>9.00%</w:t>
            </w:r>
          </w:p>
        </w:tc>
        <w:tc>
          <w:tcPr>
            <w:tcW w:w="9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60" w:type="dxa"/>
            <w:vAlign w:val="bottom"/>
            <w:vMerge w:val="restart"/>
            <w:shd w:val="clear" w:color="auto" w:fill="CFF0FC"/>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3"/>
              </w:rPr>
              <w:t>9/20/2027</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3,150</w:t>
            </w: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2,760</w:t>
            </w:r>
          </w:p>
        </w:tc>
        <w:tc>
          <w:tcPr>
            <w:tcW w:w="16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2,528</w:t>
            </w:r>
          </w:p>
        </w:tc>
        <w:tc>
          <w:tcPr>
            <w:tcW w:w="6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2540" w:type="dxa"/>
            <w:vAlign w:val="bottom"/>
            <w:tcBorders>
              <w:bottom w:val="single" w:sz="8" w:color="CFF0FC"/>
            </w:tcBorders>
            <w:shd w:val="clear" w:color="auto" w:fill="CFF0FC"/>
          </w:tcPr>
          <w:p>
            <w:pPr>
              <w:spacing w:after="0"/>
              <w:rPr>
                <w:sz w:val="8"/>
                <w:szCs w:val="8"/>
                <w:color w:val="auto"/>
              </w:rPr>
            </w:pPr>
          </w:p>
        </w:tc>
        <w:tc>
          <w:tcPr>
            <w:tcW w:w="1680" w:type="dxa"/>
            <w:vAlign w:val="bottom"/>
            <w:tcBorders>
              <w:bottom w:val="single" w:sz="8" w:color="CFF0FC"/>
            </w:tcBorders>
            <w:shd w:val="clear" w:color="auto" w:fill="CFF0FC"/>
          </w:tcPr>
          <w:p>
            <w:pPr>
              <w:ind w:left="100"/>
              <w:spacing w:after="0" w:line="100" w:lineRule="exact"/>
              <w:rPr>
                <w:sz w:val="20"/>
                <w:szCs w:val="20"/>
                <w:color w:val="auto"/>
              </w:rPr>
            </w:pPr>
            <w:r>
              <w:rPr>
                <w:rFonts w:ascii="Times New Roman" w:cs="Times New Roman" w:eastAsia="Times New Roman" w:hAnsi="Times New Roman"/>
                <w:sz w:val="10"/>
                <w:szCs w:val="10"/>
                <w:color w:val="auto"/>
              </w:rPr>
              <w:t>Estate</w:t>
            </w:r>
          </w:p>
        </w:tc>
        <w:tc>
          <w:tcPr>
            <w:tcW w:w="1000" w:type="dxa"/>
            <w:vAlign w:val="bottom"/>
            <w:tcBorders>
              <w:bottom w:val="single" w:sz="8" w:color="CFF0FC"/>
            </w:tcBorders>
            <w:shd w:val="clear" w:color="auto" w:fill="CFF0FC"/>
          </w:tcPr>
          <w:p>
            <w:pPr>
              <w:spacing w:after="0"/>
              <w:rPr>
                <w:sz w:val="8"/>
                <w:szCs w:val="8"/>
                <w:color w:val="auto"/>
              </w:rPr>
            </w:pPr>
          </w:p>
        </w:tc>
        <w:tc>
          <w:tcPr>
            <w:tcW w:w="960" w:type="dxa"/>
            <w:vAlign w:val="bottom"/>
            <w:tcBorders>
              <w:bottom w:val="single" w:sz="8" w:color="CFF0FC"/>
            </w:tcBorders>
            <w:vMerge w:val="continue"/>
            <w:shd w:val="clear" w:color="auto" w:fill="CFF0FC"/>
          </w:tcPr>
          <w:p>
            <w:pPr>
              <w:spacing w:after="0"/>
              <w:rPr>
                <w:sz w:val="8"/>
                <w:szCs w:val="8"/>
                <w:color w:val="auto"/>
              </w:rPr>
            </w:pPr>
          </w:p>
        </w:tc>
        <w:tc>
          <w:tcPr>
            <w:tcW w:w="660" w:type="dxa"/>
            <w:vAlign w:val="bottom"/>
            <w:tcBorders>
              <w:bottom w:val="single" w:sz="8" w:color="CFF0FC"/>
            </w:tcBorders>
            <w:vMerge w:val="continue"/>
            <w:shd w:val="clear" w:color="auto" w:fill="CFF0FC"/>
          </w:tcPr>
          <w:p>
            <w:pPr>
              <w:spacing w:after="0"/>
              <w:rPr>
                <w:sz w:val="8"/>
                <w:szCs w:val="8"/>
                <w:color w:val="auto"/>
              </w:rPr>
            </w:pPr>
          </w:p>
        </w:tc>
        <w:tc>
          <w:tcPr>
            <w:tcW w:w="740" w:type="dxa"/>
            <w:vAlign w:val="bottom"/>
            <w:tcBorders>
              <w:bottom w:val="single" w:sz="8" w:color="CFF0FC"/>
            </w:tcBorders>
            <w:shd w:val="clear" w:color="auto" w:fill="CFF0FC"/>
          </w:tcPr>
          <w:p>
            <w:pPr>
              <w:spacing w:after="0"/>
              <w:rPr>
                <w:sz w:val="8"/>
                <w:szCs w:val="8"/>
                <w:color w:val="auto"/>
              </w:rPr>
            </w:pPr>
          </w:p>
        </w:tc>
        <w:tc>
          <w:tcPr>
            <w:tcW w:w="800" w:type="dxa"/>
            <w:vAlign w:val="bottom"/>
            <w:tcBorders>
              <w:bottom w:val="single" w:sz="8" w:color="CFF0FC"/>
            </w:tcBorders>
            <w:shd w:val="clear" w:color="auto" w:fill="CFF0FC"/>
          </w:tcPr>
          <w:p>
            <w:pPr>
              <w:spacing w:after="0"/>
              <w:rPr>
                <w:sz w:val="8"/>
                <w:szCs w:val="8"/>
                <w:color w:val="auto"/>
              </w:rPr>
            </w:pPr>
          </w:p>
        </w:tc>
        <w:tc>
          <w:tcPr>
            <w:tcW w:w="220" w:type="dxa"/>
            <w:vAlign w:val="bottom"/>
            <w:tcBorders>
              <w:bottom w:val="single" w:sz="8" w:color="CFF0FC"/>
            </w:tcBorders>
            <w:shd w:val="clear" w:color="auto" w:fill="CFF0FC"/>
          </w:tcPr>
          <w:p>
            <w:pPr>
              <w:spacing w:after="0"/>
              <w:rPr>
                <w:sz w:val="8"/>
                <w:szCs w:val="8"/>
                <w:color w:val="auto"/>
              </w:rPr>
            </w:pPr>
          </w:p>
        </w:tc>
        <w:tc>
          <w:tcPr>
            <w:tcW w:w="540" w:type="dxa"/>
            <w:vAlign w:val="bottom"/>
            <w:tcBorders>
              <w:bottom w:val="single" w:sz="8" w:color="CFF0FC"/>
            </w:tcBorders>
            <w:shd w:val="clear" w:color="auto" w:fill="CFF0FC"/>
          </w:tcPr>
          <w:p>
            <w:pPr>
              <w:spacing w:after="0"/>
              <w:rPr>
                <w:sz w:val="8"/>
                <w:szCs w:val="8"/>
                <w:color w:val="auto"/>
              </w:rPr>
            </w:pPr>
          </w:p>
        </w:tc>
        <w:tc>
          <w:tcPr>
            <w:tcW w:w="160" w:type="dxa"/>
            <w:vAlign w:val="bottom"/>
            <w:tcBorders>
              <w:bottom w:val="single" w:sz="8" w:color="CFF0FC"/>
            </w:tcBorders>
            <w:shd w:val="clear" w:color="auto" w:fill="CFF0FC"/>
          </w:tcPr>
          <w:p>
            <w:pPr>
              <w:spacing w:after="0"/>
              <w:rPr>
                <w:sz w:val="8"/>
                <w:szCs w:val="8"/>
                <w:color w:val="auto"/>
              </w:rPr>
            </w:pPr>
          </w:p>
        </w:tc>
        <w:tc>
          <w:tcPr>
            <w:tcW w:w="660" w:type="dxa"/>
            <w:vAlign w:val="bottom"/>
            <w:tcBorders>
              <w:bottom w:val="single" w:sz="8" w:color="CFF0FC"/>
            </w:tcBorders>
            <w:shd w:val="clear" w:color="auto" w:fill="CFF0FC"/>
          </w:tcPr>
          <w:p>
            <w:pPr>
              <w:spacing w:after="0"/>
              <w:rPr>
                <w:sz w:val="8"/>
                <w:szCs w:val="8"/>
                <w:color w:val="auto"/>
              </w:rPr>
            </w:pPr>
          </w:p>
        </w:tc>
        <w:tc>
          <w:tcPr>
            <w:tcW w:w="60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Sundance Holdings Group, LLC</w:t>
            </w:r>
          </w:p>
        </w:tc>
        <w:tc>
          <w:tcPr>
            <w:tcW w:w="16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Retail</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23.03%</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SOFR + 8.00%,</w:t>
            </w:r>
          </w:p>
        </w:tc>
        <w:tc>
          <w:tcPr>
            <w:tcW w:w="6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5/1/2024</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6,528</w:t>
            </w:r>
          </w:p>
        </w:tc>
        <w:tc>
          <w:tcPr>
            <w:tcW w:w="220" w:type="dxa"/>
            <w:vAlign w:val="bottom"/>
          </w:tcPr>
          <w:p>
            <w:pPr>
              <w:spacing w:after="0"/>
              <w:rPr>
                <w:sz w:val="10"/>
                <w:szCs w:val="10"/>
                <w:color w:val="auto"/>
              </w:rPr>
            </w:pP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6,445</w:t>
            </w:r>
          </w:p>
        </w:tc>
        <w:tc>
          <w:tcPr>
            <w:tcW w:w="160" w:type="dxa"/>
            <w:vAlign w:val="bottom"/>
          </w:tcPr>
          <w:p>
            <w:pPr>
              <w:spacing w:after="0"/>
              <w:rPr>
                <w:sz w:val="10"/>
                <w:szCs w:val="10"/>
                <w:color w:val="auto"/>
              </w:rPr>
            </w:pPr>
          </w:p>
        </w:tc>
        <w:tc>
          <w:tcPr>
            <w:tcW w:w="6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6,313</w:t>
            </w:r>
          </w:p>
        </w:tc>
        <w:tc>
          <w:tcPr>
            <w:tcW w:w="6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25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9.50% PIK</w:t>
            </w: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Symplr Software, Inc.</w:t>
            </w:r>
          </w:p>
        </w:tc>
        <w:tc>
          <w:tcPr>
            <w:tcW w:w="1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Healthcare &amp; Pharmaceuticals</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rPr>
              <w:t>9.98%</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4"/>
              </w:rPr>
              <w:t>SOFR + 4.50%</w:t>
            </w:r>
          </w:p>
        </w:tc>
        <w:tc>
          <w:tcPr>
            <w:tcW w:w="66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0.75%</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2"/>
              </w:rPr>
              <w:t>12/22/2027</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1,670</w:t>
            </w: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1,667</w:t>
            </w:r>
          </w:p>
        </w:tc>
        <w:tc>
          <w:tcPr>
            <w:tcW w:w="16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1,502</w:t>
            </w:r>
          </w:p>
        </w:tc>
        <w:tc>
          <w:tcPr>
            <w:tcW w:w="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(13)(15)</w:t>
            </w:r>
          </w:p>
        </w:tc>
        <w:tc>
          <w:tcPr>
            <w:tcW w:w="0" w:type="dxa"/>
            <w:vAlign w:val="bottom"/>
          </w:tcPr>
          <w:p>
            <w:pPr>
              <w:spacing w:after="0"/>
              <w:rPr>
                <w:sz w:val="1"/>
                <w:szCs w:val="1"/>
                <w:color w:val="auto"/>
              </w:rPr>
            </w:pPr>
          </w:p>
        </w:tc>
      </w:tr>
      <w:tr>
        <w:trPr>
          <w:trHeight w:val="120"/>
        </w:trPr>
        <w:tc>
          <w:tcPr>
            <w:tcW w:w="2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Synamedia Americas Holdings, Inc.</w:t>
            </w:r>
          </w:p>
        </w:tc>
        <w:tc>
          <w:tcPr>
            <w:tcW w:w="16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Interactive Media &amp; Services</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13.10%</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SOFR + 7.75%</w:t>
            </w:r>
          </w:p>
        </w:tc>
        <w:tc>
          <w:tcPr>
            <w:tcW w:w="6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12/5/2028</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2,759</w:t>
            </w:r>
          </w:p>
        </w:tc>
        <w:tc>
          <w:tcPr>
            <w:tcW w:w="220" w:type="dxa"/>
            <w:vAlign w:val="bottom"/>
          </w:tcPr>
          <w:p>
            <w:pPr>
              <w:spacing w:after="0"/>
              <w:rPr>
                <w:sz w:val="10"/>
                <w:szCs w:val="10"/>
                <w:color w:val="auto"/>
              </w:rPr>
            </w:pP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2,663</w:t>
            </w:r>
          </w:p>
        </w:tc>
        <w:tc>
          <w:tcPr>
            <w:tcW w:w="160" w:type="dxa"/>
            <w:vAlign w:val="bottom"/>
          </w:tcPr>
          <w:p>
            <w:pPr>
              <w:spacing w:after="0"/>
              <w:rPr>
                <w:sz w:val="10"/>
                <w:szCs w:val="10"/>
                <w:color w:val="auto"/>
              </w:rPr>
            </w:pPr>
          </w:p>
        </w:tc>
        <w:tc>
          <w:tcPr>
            <w:tcW w:w="6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2,662</w:t>
            </w:r>
          </w:p>
        </w:tc>
        <w:tc>
          <w:tcPr>
            <w:tcW w:w="6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1"/>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TA/WEG Holdings, LLC</w:t>
            </w:r>
          </w:p>
        </w:tc>
        <w:tc>
          <w:tcPr>
            <w:tcW w:w="1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Banking, Finance, Insurance &amp; Real</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7"/>
              </w:rPr>
              <w:t>10.99%</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4"/>
              </w:rPr>
              <w:t>SOFR + 5.50%</w:t>
            </w:r>
          </w:p>
        </w:tc>
        <w:tc>
          <w:tcPr>
            <w:tcW w:w="66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3"/>
              </w:rPr>
              <w:t>10/2/2027</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12,092</w:t>
            </w: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12,071</w:t>
            </w:r>
          </w:p>
        </w:tc>
        <w:tc>
          <w:tcPr>
            <w:tcW w:w="16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12,092</w:t>
            </w:r>
          </w:p>
        </w:tc>
        <w:tc>
          <w:tcPr>
            <w:tcW w:w="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(13)(20)</w:t>
            </w:r>
          </w:p>
        </w:tc>
        <w:tc>
          <w:tcPr>
            <w:tcW w:w="0" w:type="dxa"/>
            <w:vAlign w:val="bottom"/>
          </w:tcPr>
          <w:p>
            <w:pPr>
              <w:spacing w:after="0"/>
              <w:rPr>
                <w:sz w:val="1"/>
                <w:szCs w:val="1"/>
                <w:color w:val="auto"/>
              </w:rPr>
            </w:pPr>
          </w:p>
        </w:tc>
      </w:tr>
      <w:tr>
        <w:trPr>
          <w:trHeight w:val="120"/>
        </w:trPr>
        <w:tc>
          <w:tcPr>
            <w:tcW w:w="2540" w:type="dxa"/>
            <w:vAlign w:val="bottom"/>
            <w:shd w:val="clear" w:color="auto" w:fill="CFF0FC"/>
          </w:tcPr>
          <w:p>
            <w:pPr>
              <w:spacing w:after="0"/>
              <w:rPr>
                <w:sz w:val="10"/>
                <w:szCs w:val="10"/>
                <w:color w:val="auto"/>
              </w:rPr>
            </w:pPr>
          </w:p>
        </w:tc>
        <w:tc>
          <w:tcPr>
            <w:tcW w:w="1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Estate</w:t>
            </w:r>
          </w:p>
        </w:tc>
        <w:tc>
          <w:tcPr>
            <w:tcW w:w="10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TA/WEG Holdings, LLC (Revolver)</w:t>
            </w:r>
          </w:p>
        </w:tc>
        <w:tc>
          <w:tcPr>
            <w:tcW w:w="16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Banking, Finance, Insurance &amp; Real</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0.50%</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SOFR + 5.75%</w:t>
            </w:r>
          </w:p>
        </w:tc>
        <w:tc>
          <w:tcPr>
            <w:tcW w:w="6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10/2/2027</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(3 )</w:t>
            </w:r>
          </w:p>
        </w:tc>
        <w:tc>
          <w:tcPr>
            <w:tcW w:w="160" w:type="dxa"/>
            <w:vAlign w:val="bottom"/>
          </w:tcPr>
          <w:p>
            <w:pPr>
              <w:spacing w:after="0"/>
              <w:rPr>
                <w:sz w:val="10"/>
                <w:szCs w:val="10"/>
                <w:color w:val="auto"/>
              </w:rPr>
            </w:pPr>
          </w:p>
        </w:tc>
        <w:tc>
          <w:tcPr>
            <w:tcW w:w="6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(20)</w:t>
            </w:r>
          </w:p>
        </w:tc>
        <w:tc>
          <w:tcPr>
            <w:tcW w:w="0" w:type="dxa"/>
            <w:vAlign w:val="bottom"/>
          </w:tcPr>
          <w:p>
            <w:pPr>
              <w:spacing w:after="0"/>
              <w:rPr>
                <w:sz w:val="1"/>
                <w:szCs w:val="1"/>
                <w:color w:val="auto"/>
              </w:rPr>
            </w:pPr>
          </w:p>
        </w:tc>
      </w:tr>
      <w:tr>
        <w:trPr>
          <w:trHeight w:val="120"/>
        </w:trPr>
        <w:tc>
          <w:tcPr>
            <w:tcW w:w="2540" w:type="dxa"/>
            <w:vAlign w:val="bottom"/>
          </w:tcPr>
          <w:p>
            <w:pPr>
              <w:spacing w:after="0"/>
              <w:rPr>
                <w:sz w:val="10"/>
                <w:szCs w:val="10"/>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Estate</w:t>
            </w:r>
          </w:p>
        </w:tc>
        <w:tc>
          <w:tcPr>
            <w:tcW w:w="10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Tactical Air Support, Inc.</w:t>
            </w:r>
          </w:p>
        </w:tc>
        <w:tc>
          <w:tcPr>
            <w:tcW w:w="1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Aerospace and Defense</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7"/>
              </w:rPr>
              <w:t>13.96%</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4"/>
              </w:rPr>
              <w:t>SOFR + 8.50%</w:t>
            </w:r>
          </w:p>
        </w:tc>
        <w:tc>
          <w:tcPr>
            <w:tcW w:w="66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2"/>
              </w:rPr>
              <w:t>12/22/2028</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1,714</w:t>
            </w: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1,672</w:t>
            </w:r>
          </w:p>
        </w:tc>
        <w:tc>
          <w:tcPr>
            <w:tcW w:w="16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1,671</w:t>
            </w:r>
          </w:p>
        </w:tc>
        <w:tc>
          <w:tcPr>
            <w:tcW w:w="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(13)(20)</w:t>
            </w:r>
          </w:p>
        </w:tc>
        <w:tc>
          <w:tcPr>
            <w:tcW w:w="0" w:type="dxa"/>
            <w:vAlign w:val="bottom"/>
          </w:tcPr>
          <w:p>
            <w:pPr>
              <w:spacing w:after="0"/>
              <w:rPr>
                <w:sz w:val="1"/>
                <w:szCs w:val="1"/>
                <w:color w:val="auto"/>
              </w:rPr>
            </w:pPr>
          </w:p>
        </w:tc>
      </w:tr>
      <w:tr>
        <w:trPr>
          <w:trHeight w:val="120"/>
        </w:trPr>
        <w:tc>
          <w:tcPr>
            <w:tcW w:w="2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TLE Holdings, LLC</w:t>
            </w:r>
          </w:p>
        </w:tc>
        <w:tc>
          <w:tcPr>
            <w:tcW w:w="16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Healthcare, Education and Childcare</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10.96%</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SOFR + 5.50%</w:t>
            </w:r>
          </w:p>
        </w:tc>
        <w:tc>
          <w:tcPr>
            <w:tcW w:w="6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6/28/2024</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6,180</w:t>
            </w:r>
          </w:p>
        </w:tc>
        <w:tc>
          <w:tcPr>
            <w:tcW w:w="220" w:type="dxa"/>
            <w:vAlign w:val="bottom"/>
          </w:tcPr>
          <w:p>
            <w:pPr>
              <w:spacing w:after="0"/>
              <w:rPr>
                <w:sz w:val="10"/>
                <w:szCs w:val="10"/>
                <w:color w:val="auto"/>
              </w:rPr>
            </w:pP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6,175</w:t>
            </w:r>
          </w:p>
        </w:tc>
        <w:tc>
          <w:tcPr>
            <w:tcW w:w="160" w:type="dxa"/>
            <w:vAlign w:val="bottom"/>
          </w:tcPr>
          <w:p>
            <w:pPr>
              <w:spacing w:after="0"/>
              <w:rPr>
                <w:sz w:val="10"/>
                <w:szCs w:val="10"/>
                <w:color w:val="auto"/>
              </w:rPr>
            </w:pPr>
          </w:p>
        </w:tc>
        <w:tc>
          <w:tcPr>
            <w:tcW w:w="6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6,162</w:t>
            </w:r>
          </w:p>
        </w:tc>
        <w:tc>
          <w:tcPr>
            <w:tcW w:w="6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VBC Spine Opco LLC (DxTx Pain and Spine LLC)</w:t>
            </w:r>
          </w:p>
        </w:tc>
        <w:tc>
          <w:tcPr>
            <w:tcW w:w="1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Healthcare &amp; Pharmaceuticals</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7"/>
              </w:rPr>
              <w:t>13.54%</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4"/>
              </w:rPr>
              <w:t>SOFR + 8.00%</w:t>
            </w:r>
          </w:p>
        </w:tc>
        <w:tc>
          <w:tcPr>
            <w:tcW w:w="66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2.00%</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3"/>
              </w:rPr>
              <w:t>6/14/2028</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3,500</w:t>
            </w: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3,404</w:t>
            </w:r>
          </w:p>
        </w:tc>
        <w:tc>
          <w:tcPr>
            <w:tcW w:w="16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3,432</w:t>
            </w:r>
          </w:p>
        </w:tc>
        <w:tc>
          <w:tcPr>
            <w:tcW w:w="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(13)(20)</w:t>
            </w:r>
          </w:p>
        </w:tc>
        <w:tc>
          <w:tcPr>
            <w:tcW w:w="0" w:type="dxa"/>
            <w:vAlign w:val="bottom"/>
          </w:tcPr>
          <w:p>
            <w:pPr>
              <w:spacing w:after="0"/>
              <w:rPr>
                <w:sz w:val="1"/>
                <w:szCs w:val="1"/>
                <w:color w:val="auto"/>
              </w:rPr>
            </w:pPr>
          </w:p>
        </w:tc>
      </w:tr>
      <w:tr>
        <w:trPr>
          <w:trHeight w:val="120"/>
        </w:trPr>
        <w:tc>
          <w:tcPr>
            <w:tcW w:w="254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98"/>
              </w:rPr>
              <w:t>VBC Spine Opco LLC (DxTx Pain and Spine LLC) (Revolver)</w:t>
            </w:r>
          </w:p>
        </w:tc>
        <w:tc>
          <w:tcPr>
            <w:tcW w:w="16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Healthcare &amp; Pharmaceuticals</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13.52%</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SOFR + 8.00%</w:t>
            </w:r>
          </w:p>
        </w:tc>
        <w:tc>
          <w:tcPr>
            <w:tcW w:w="6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2.00%</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6/14/2028</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129</w:t>
            </w:r>
          </w:p>
        </w:tc>
        <w:tc>
          <w:tcPr>
            <w:tcW w:w="220" w:type="dxa"/>
            <w:vAlign w:val="bottom"/>
          </w:tcPr>
          <w:p>
            <w:pPr>
              <w:spacing w:after="0"/>
              <w:rPr>
                <w:sz w:val="10"/>
                <w:szCs w:val="10"/>
                <w:color w:val="auto"/>
              </w:rPr>
            </w:pP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122</w:t>
            </w:r>
          </w:p>
        </w:tc>
        <w:tc>
          <w:tcPr>
            <w:tcW w:w="160" w:type="dxa"/>
            <w:vAlign w:val="bottom"/>
          </w:tcPr>
          <w:p>
            <w:pPr>
              <w:spacing w:after="0"/>
              <w:rPr>
                <w:sz w:val="10"/>
                <w:szCs w:val="10"/>
                <w:color w:val="auto"/>
              </w:rPr>
            </w:pPr>
          </w:p>
        </w:tc>
        <w:tc>
          <w:tcPr>
            <w:tcW w:w="6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124</w:t>
            </w:r>
          </w:p>
        </w:tc>
        <w:tc>
          <w:tcPr>
            <w:tcW w:w="6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(20)</w:t>
            </w:r>
          </w:p>
        </w:tc>
        <w:tc>
          <w:tcPr>
            <w:tcW w:w="0" w:type="dxa"/>
            <w:vAlign w:val="bottom"/>
          </w:tcPr>
          <w:p>
            <w:pPr>
              <w:spacing w:after="0"/>
              <w:rPr>
                <w:sz w:val="1"/>
                <w:szCs w:val="1"/>
                <w:color w:val="auto"/>
              </w:rPr>
            </w:pPr>
          </w:p>
        </w:tc>
      </w:tr>
      <w:tr>
        <w:trPr>
          <w:trHeight w:val="120"/>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Wonder Love, Inc.</w:t>
            </w:r>
          </w:p>
        </w:tc>
        <w:tc>
          <w:tcPr>
            <w:tcW w:w="1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Media: Diversified &amp; Production</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7"/>
              </w:rPr>
              <w:t>10.35%</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4"/>
              </w:rPr>
              <w:t>SOFR + 5.00%</w:t>
            </w:r>
          </w:p>
        </w:tc>
        <w:tc>
          <w:tcPr>
            <w:tcW w:w="66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2"/>
              </w:rPr>
              <w:t>11/18/2024</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1,125</w:t>
            </w: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1,121</w:t>
            </w:r>
          </w:p>
        </w:tc>
        <w:tc>
          <w:tcPr>
            <w:tcW w:w="16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1,124</w:t>
            </w:r>
          </w:p>
        </w:tc>
        <w:tc>
          <w:tcPr>
            <w:tcW w:w="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25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Lien/Senior Secured Debt</w:t>
            </w:r>
          </w:p>
        </w:tc>
        <w:tc>
          <w:tcPr>
            <w:tcW w:w="1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351,858</w:t>
            </w:r>
          </w:p>
        </w:tc>
        <w:tc>
          <w:tcPr>
            <w:tcW w:w="160" w:type="dxa"/>
            <w:vAlign w:val="bottom"/>
          </w:tcPr>
          <w:p>
            <w:pPr>
              <w:spacing w:after="0"/>
              <w:rPr>
                <w:sz w:val="10"/>
                <w:szCs w:val="10"/>
                <w:color w:val="auto"/>
              </w:rPr>
            </w:pPr>
          </w:p>
        </w:tc>
        <w:tc>
          <w:tcPr>
            <w:tcW w:w="6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336,599</w:t>
            </w: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Second Lien/Senior Secured Debt - 17.7%</w:t>
            </w:r>
          </w:p>
        </w:tc>
        <w:tc>
          <w:tcPr>
            <w:tcW w:w="168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American Academy Holdings, LLC</w:t>
            </w:r>
          </w:p>
        </w:tc>
        <w:tc>
          <w:tcPr>
            <w:tcW w:w="16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Healthcare &amp; Pharmaceuticals</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14.50% PIK</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3/1/2028</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5,909</w:t>
            </w:r>
          </w:p>
        </w:tc>
        <w:tc>
          <w:tcPr>
            <w:tcW w:w="220" w:type="dxa"/>
            <w:vAlign w:val="bottom"/>
          </w:tcPr>
          <w:p>
            <w:pPr>
              <w:spacing w:after="0"/>
              <w:rPr>
                <w:sz w:val="10"/>
                <w:szCs w:val="10"/>
                <w:color w:val="auto"/>
              </w:rPr>
            </w:pP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5,814</w:t>
            </w:r>
          </w:p>
        </w:tc>
        <w:tc>
          <w:tcPr>
            <w:tcW w:w="160" w:type="dxa"/>
            <w:vAlign w:val="bottom"/>
          </w:tcPr>
          <w:p>
            <w:pPr>
              <w:spacing w:after="0"/>
              <w:rPr>
                <w:sz w:val="10"/>
                <w:szCs w:val="10"/>
                <w:color w:val="auto"/>
              </w:rPr>
            </w:pPr>
          </w:p>
        </w:tc>
        <w:tc>
          <w:tcPr>
            <w:tcW w:w="6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5,237</w:t>
            </w:r>
          </w:p>
        </w:tc>
        <w:tc>
          <w:tcPr>
            <w:tcW w:w="6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Confluence Technologies, Inc.</w:t>
            </w:r>
          </w:p>
        </w:tc>
        <w:tc>
          <w:tcPr>
            <w:tcW w:w="1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Services: Business</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7"/>
              </w:rPr>
              <w:t>12.00%</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4"/>
              </w:rPr>
              <w:t>SOFR + 6.50%</w:t>
            </w:r>
          </w:p>
        </w:tc>
        <w:tc>
          <w:tcPr>
            <w:tcW w:w="66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0.50%</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3"/>
              </w:rPr>
              <w:t>7/23/2029</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4,000</w:t>
            </w: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3,979</w:t>
            </w:r>
          </w:p>
        </w:tc>
        <w:tc>
          <w:tcPr>
            <w:tcW w:w="16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3,605</w:t>
            </w:r>
          </w:p>
        </w:tc>
        <w:tc>
          <w:tcPr>
            <w:tcW w:w="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2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Dcert Buyer, Inc.</w:t>
            </w:r>
          </w:p>
        </w:tc>
        <w:tc>
          <w:tcPr>
            <w:tcW w:w="16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High Tech Industries</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12.36%</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SOFR + 7.00%</w:t>
            </w:r>
          </w:p>
        </w:tc>
        <w:tc>
          <w:tcPr>
            <w:tcW w:w="6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2/16/2029</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5,400</w:t>
            </w:r>
          </w:p>
        </w:tc>
        <w:tc>
          <w:tcPr>
            <w:tcW w:w="220" w:type="dxa"/>
            <w:vAlign w:val="bottom"/>
          </w:tcPr>
          <w:p>
            <w:pPr>
              <w:spacing w:after="0"/>
              <w:rPr>
                <w:sz w:val="10"/>
                <w:szCs w:val="10"/>
                <w:color w:val="auto"/>
              </w:rPr>
            </w:pP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5,391</w:t>
            </w:r>
          </w:p>
        </w:tc>
        <w:tc>
          <w:tcPr>
            <w:tcW w:w="160" w:type="dxa"/>
            <w:vAlign w:val="bottom"/>
          </w:tcPr>
          <w:p>
            <w:pPr>
              <w:spacing w:after="0"/>
              <w:rPr>
                <w:sz w:val="10"/>
                <w:szCs w:val="10"/>
                <w:color w:val="auto"/>
              </w:rPr>
            </w:pPr>
          </w:p>
        </w:tc>
        <w:tc>
          <w:tcPr>
            <w:tcW w:w="6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4,941</w:t>
            </w:r>
          </w:p>
        </w:tc>
        <w:tc>
          <w:tcPr>
            <w:tcW w:w="6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(13)(15)</w:t>
            </w:r>
          </w:p>
        </w:tc>
        <w:tc>
          <w:tcPr>
            <w:tcW w:w="0" w:type="dxa"/>
            <w:vAlign w:val="bottom"/>
          </w:tcPr>
          <w:p>
            <w:pPr>
              <w:spacing w:after="0"/>
              <w:rPr>
                <w:sz w:val="1"/>
                <w:szCs w:val="1"/>
                <w:color w:val="auto"/>
              </w:rPr>
            </w:pPr>
          </w:p>
        </w:tc>
      </w:tr>
      <w:tr>
        <w:trPr>
          <w:trHeight w:val="120"/>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Global Tel*Link Corporation</w:t>
            </w:r>
          </w:p>
        </w:tc>
        <w:tc>
          <w:tcPr>
            <w:tcW w:w="1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Telecommunications</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7"/>
              </w:rPr>
              <w:t>15.53%</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3"/>
              </w:rPr>
              <w:t>SOFR + 10.00%</w:t>
            </w:r>
          </w:p>
        </w:tc>
        <w:tc>
          <w:tcPr>
            <w:tcW w:w="660" w:type="dxa"/>
            <w:vAlign w:val="bottom"/>
            <w:shd w:val="clear" w:color="auto" w:fill="CFF0FC"/>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2"/>
              </w:rPr>
              <w:t>11/29/2026</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1,500</w:t>
            </w: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1,491</w:t>
            </w:r>
          </w:p>
        </w:tc>
        <w:tc>
          <w:tcPr>
            <w:tcW w:w="16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1,336</w:t>
            </w:r>
          </w:p>
        </w:tc>
        <w:tc>
          <w:tcPr>
            <w:tcW w:w="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(13)(15)</w:t>
            </w:r>
          </w:p>
        </w:tc>
        <w:tc>
          <w:tcPr>
            <w:tcW w:w="0" w:type="dxa"/>
            <w:vAlign w:val="bottom"/>
          </w:tcPr>
          <w:p>
            <w:pPr>
              <w:spacing w:after="0"/>
              <w:rPr>
                <w:sz w:val="1"/>
                <w:szCs w:val="1"/>
                <w:color w:val="auto"/>
              </w:rPr>
            </w:pPr>
          </w:p>
        </w:tc>
      </w:tr>
      <w:tr>
        <w:trPr>
          <w:trHeight w:val="124"/>
        </w:trPr>
        <w:tc>
          <w:tcPr>
            <w:tcW w:w="2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Idera, Inc.</w:t>
            </w:r>
          </w:p>
        </w:tc>
        <w:tc>
          <w:tcPr>
            <w:tcW w:w="16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High Tech Industries</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12.28%</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SOFR + 6.75%</w:t>
            </w:r>
          </w:p>
        </w:tc>
        <w:tc>
          <w:tcPr>
            <w:tcW w:w="6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0.75%</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2/4/2029</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6,000</w:t>
            </w:r>
          </w:p>
        </w:tc>
        <w:tc>
          <w:tcPr>
            <w:tcW w:w="220" w:type="dxa"/>
            <w:vAlign w:val="bottom"/>
          </w:tcPr>
          <w:p>
            <w:pPr>
              <w:spacing w:after="0"/>
              <w:rPr>
                <w:sz w:val="10"/>
                <w:szCs w:val="10"/>
                <w:color w:val="auto"/>
              </w:rPr>
            </w:pP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5,960</w:t>
            </w:r>
          </w:p>
        </w:tc>
        <w:tc>
          <w:tcPr>
            <w:tcW w:w="160" w:type="dxa"/>
            <w:vAlign w:val="bottom"/>
          </w:tcPr>
          <w:p>
            <w:pPr>
              <w:spacing w:after="0"/>
              <w:rPr>
                <w:sz w:val="10"/>
                <w:szCs w:val="10"/>
                <w:color w:val="auto"/>
              </w:rPr>
            </w:pPr>
          </w:p>
        </w:tc>
        <w:tc>
          <w:tcPr>
            <w:tcW w:w="6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5,811</w:t>
            </w:r>
          </w:p>
        </w:tc>
        <w:tc>
          <w:tcPr>
            <w:tcW w:w="6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bl>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1"/>
          <w:szCs w:val="11"/>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PORTMAN RIDGE FINANCE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4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Interest Rate</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Reference Rate</w:t>
            </w: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Par/Shares</w:t>
            </w: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Investment (2), (4), (12), (14), (23), (24)</w:t>
            </w:r>
          </w:p>
        </w:tc>
        <w:tc>
          <w:tcPr>
            <w:tcW w:w="1860" w:type="dxa"/>
            <w:vAlign w:val="bottom"/>
          </w:tcPr>
          <w:p>
            <w:pPr>
              <w:ind w:left="860"/>
              <w:spacing w:after="0"/>
              <w:rPr>
                <w:sz w:val="20"/>
                <w:szCs w:val="20"/>
                <w:color w:val="auto"/>
              </w:rPr>
            </w:pPr>
            <w:r>
              <w:rPr>
                <w:rFonts w:ascii="Times New Roman" w:cs="Times New Roman" w:eastAsia="Times New Roman" w:hAnsi="Times New Roman"/>
                <w:sz w:val="10"/>
                <w:szCs w:val="10"/>
                <w:b w:val="1"/>
                <w:bCs w:val="1"/>
                <w:color w:val="auto"/>
              </w:rPr>
              <w:t>Industry</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and Spread (1)</w:t>
            </w:r>
          </w:p>
        </w:tc>
        <w:tc>
          <w:tcPr>
            <w:tcW w:w="640" w:type="dxa"/>
            <w:vAlign w:val="bottom"/>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rPr>
              <w:t>Floor (1)</w:t>
            </w:r>
          </w:p>
        </w:tc>
        <w:tc>
          <w:tcPr>
            <w:tcW w:w="74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80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0"/>
                <w:szCs w:val="10"/>
                <w:color w:val="auto"/>
              </w:rPr>
            </w:pPr>
          </w:p>
        </w:tc>
        <w:tc>
          <w:tcPr>
            <w:tcW w:w="560" w:type="dxa"/>
            <w:vAlign w:val="bottom"/>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60" w:type="dxa"/>
            <w:vAlign w:val="bottom"/>
          </w:tcPr>
          <w:p>
            <w:pPr>
              <w:spacing w:after="0"/>
              <w:rPr>
                <w:sz w:val="10"/>
                <w:szCs w:val="10"/>
                <w:color w:val="auto"/>
              </w:rPr>
            </w:pPr>
          </w:p>
        </w:tc>
        <w:tc>
          <w:tcPr>
            <w:tcW w:w="620" w:type="dxa"/>
            <w:vAlign w:val="bottom"/>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w w:val="91"/>
              </w:rPr>
              <w:t>Fair Value</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b w:val="1"/>
                <w:bCs w:val="1"/>
                <w:color w:val="auto"/>
              </w:rPr>
              <w:t>Footnotes</w:t>
            </w:r>
          </w:p>
        </w:tc>
        <w:tc>
          <w:tcPr>
            <w:tcW w:w="0" w:type="dxa"/>
            <w:vAlign w:val="bottom"/>
          </w:tcPr>
          <w:p>
            <w:pPr>
              <w:spacing w:after="0"/>
              <w:rPr>
                <w:sz w:val="1"/>
                <w:szCs w:val="1"/>
                <w:color w:val="auto"/>
              </w:rPr>
            </w:pPr>
          </w:p>
        </w:tc>
      </w:tr>
      <w:tr>
        <w:trPr>
          <w:trHeight w:val="120"/>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Ivanti Software, Inc.</w:t>
            </w:r>
          </w:p>
        </w:tc>
        <w:tc>
          <w:tcPr>
            <w:tcW w:w="18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0"/>
                <w:szCs w:val="10"/>
                <w:color w:val="auto"/>
              </w:rPr>
              <w:t>High Tech Industries</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7"/>
              </w:rPr>
              <w:t>12.91%</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4"/>
              </w:rPr>
              <w:t>SOFR + 7.25%</w:t>
            </w:r>
          </w:p>
        </w:tc>
        <w:tc>
          <w:tcPr>
            <w:tcW w:w="64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0.50%</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8"/>
              </w:rPr>
              <w:t>12/1/2028</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6,000</w:t>
            </w:r>
          </w:p>
        </w:tc>
        <w:tc>
          <w:tcPr>
            <w:tcW w:w="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5,965</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4,870</w:t>
            </w:r>
          </w:p>
        </w:tc>
        <w:tc>
          <w:tcPr>
            <w:tcW w:w="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2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Phoenix Guarantor Inc.</w:t>
            </w:r>
          </w:p>
        </w:tc>
        <w:tc>
          <w:tcPr>
            <w:tcW w:w="18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Healthcare &amp; Pharmaceuticals</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13.97%</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SOFR + 8.50%</w:t>
            </w: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3/5/2027</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1,200</w:t>
            </w:r>
          </w:p>
        </w:tc>
        <w:tc>
          <w:tcPr>
            <w:tcW w:w="22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1,149</w:t>
            </w:r>
          </w:p>
        </w:tc>
        <w:tc>
          <w:tcPr>
            <w:tcW w:w="1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1,131</w:t>
            </w: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(13)(15)</w:t>
            </w:r>
          </w:p>
        </w:tc>
        <w:tc>
          <w:tcPr>
            <w:tcW w:w="0" w:type="dxa"/>
            <w:vAlign w:val="bottom"/>
          </w:tcPr>
          <w:p>
            <w:pPr>
              <w:spacing w:after="0"/>
              <w:rPr>
                <w:sz w:val="1"/>
                <w:szCs w:val="1"/>
                <w:color w:val="auto"/>
              </w:rPr>
            </w:pPr>
          </w:p>
        </w:tc>
      </w:tr>
      <w:tr>
        <w:trPr>
          <w:trHeight w:val="120"/>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Project Leopard Holdings, Inc.</w:t>
            </w:r>
          </w:p>
        </w:tc>
        <w:tc>
          <w:tcPr>
            <w:tcW w:w="18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0"/>
                <w:szCs w:val="10"/>
                <w:color w:val="auto"/>
              </w:rPr>
              <w:t>High Tech Industries</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7"/>
              </w:rPr>
              <w:t>13.13%</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4"/>
              </w:rPr>
              <w:t>SOFR + 7.75%</w:t>
            </w:r>
          </w:p>
        </w:tc>
        <w:tc>
          <w:tcPr>
            <w:tcW w:w="64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0.50%</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8"/>
              </w:rPr>
              <w:t>7/20/2030</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5,000</w:t>
            </w: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4,918</w:t>
            </w: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4,719</w:t>
            </w:r>
          </w:p>
        </w:tc>
        <w:tc>
          <w:tcPr>
            <w:tcW w:w="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(15)</w:t>
            </w:r>
          </w:p>
        </w:tc>
        <w:tc>
          <w:tcPr>
            <w:tcW w:w="0" w:type="dxa"/>
            <w:vAlign w:val="bottom"/>
          </w:tcPr>
          <w:p>
            <w:pPr>
              <w:spacing w:after="0"/>
              <w:rPr>
                <w:sz w:val="1"/>
                <w:szCs w:val="1"/>
                <w:color w:val="auto"/>
              </w:rPr>
            </w:pPr>
          </w:p>
        </w:tc>
      </w:tr>
      <w:tr>
        <w:trPr>
          <w:trHeight w:val="121"/>
        </w:trPr>
        <w:tc>
          <w:tcPr>
            <w:tcW w:w="2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Qualtek LLC</w:t>
            </w:r>
          </w:p>
        </w:tc>
        <w:tc>
          <w:tcPr>
            <w:tcW w:w="18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High Tech Industries</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15.39%</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SOFR + 1.00%,</w:t>
            </w: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1/14/2027</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4,146</w:t>
            </w:r>
          </w:p>
        </w:tc>
        <w:tc>
          <w:tcPr>
            <w:tcW w:w="22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4,146</w:t>
            </w:r>
          </w:p>
        </w:tc>
        <w:tc>
          <w:tcPr>
            <w:tcW w:w="1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2,913</w:t>
            </w: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(13)(15)</w:t>
            </w:r>
          </w:p>
        </w:tc>
        <w:tc>
          <w:tcPr>
            <w:tcW w:w="0" w:type="dxa"/>
            <w:vAlign w:val="bottom"/>
          </w:tcPr>
          <w:p>
            <w:pPr>
              <w:spacing w:after="0"/>
              <w:rPr>
                <w:sz w:val="1"/>
                <w:szCs w:val="1"/>
                <w:color w:val="auto"/>
              </w:rPr>
            </w:pPr>
          </w:p>
        </w:tc>
      </w:tr>
      <w:tr>
        <w:trPr>
          <w:trHeight w:val="120"/>
        </w:trPr>
        <w:tc>
          <w:tcPr>
            <w:tcW w:w="24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9.00% PIK</w:t>
            </w: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Redstone Holdco 2 LP</w:t>
            </w:r>
          </w:p>
        </w:tc>
        <w:tc>
          <w:tcPr>
            <w:tcW w:w="18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0"/>
                <w:szCs w:val="10"/>
                <w:color w:val="auto"/>
              </w:rPr>
              <w:t>High Tech Industries</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7"/>
              </w:rPr>
              <w:t>13.22%</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4"/>
              </w:rPr>
              <w:t>SOFR + 7.75%</w:t>
            </w:r>
          </w:p>
        </w:tc>
        <w:tc>
          <w:tcPr>
            <w:tcW w:w="64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0.75%</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8"/>
              </w:rPr>
              <w:t>4/16/2029</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4,566</w:t>
            </w: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4,509</w:t>
            </w: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2,831</w:t>
            </w:r>
          </w:p>
        </w:tc>
        <w:tc>
          <w:tcPr>
            <w:tcW w:w="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(13)(15)</w:t>
            </w:r>
          </w:p>
        </w:tc>
        <w:tc>
          <w:tcPr>
            <w:tcW w:w="0" w:type="dxa"/>
            <w:vAlign w:val="bottom"/>
          </w:tcPr>
          <w:p>
            <w:pPr>
              <w:spacing w:after="0"/>
              <w:rPr>
                <w:sz w:val="1"/>
                <w:szCs w:val="1"/>
                <w:color w:val="auto"/>
              </w:rPr>
            </w:pPr>
          </w:p>
        </w:tc>
      </w:tr>
      <w:tr>
        <w:trPr>
          <w:trHeight w:val="120"/>
        </w:trPr>
        <w:tc>
          <w:tcPr>
            <w:tcW w:w="2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Robertshaw US Holding Corp.</w:t>
            </w:r>
          </w:p>
        </w:tc>
        <w:tc>
          <w:tcPr>
            <w:tcW w:w="18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Capital Equipment</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13.45%</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SOFR + 8.00%</w:t>
            </w: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2/28/2026</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3,000</w:t>
            </w:r>
          </w:p>
        </w:tc>
        <w:tc>
          <w:tcPr>
            <w:tcW w:w="22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2,992</w:t>
            </w:r>
          </w:p>
        </w:tc>
        <w:tc>
          <w:tcPr>
            <w:tcW w:w="1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300</w:t>
            </w: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Total Second Lien/Senior Secured Debt</w:t>
            </w:r>
          </w:p>
        </w:tc>
        <w:tc>
          <w:tcPr>
            <w:tcW w:w="18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46,314</w:t>
            </w: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37,694</w:t>
            </w: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Subordinated Debt - 0.6%</w:t>
            </w:r>
          </w:p>
        </w:tc>
        <w:tc>
          <w:tcPr>
            <w:tcW w:w="1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Lucky Bucks Holdings LLC</w:t>
            </w:r>
          </w:p>
        </w:tc>
        <w:tc>
          <w:tcPr>
            <w:tcW w:w="18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0"/>
                <w:szCs w:val="10"/>
                <w:color w:val="auto"/>
              </w:rPr>
              <w:t>Hotel, Gaming &amp; Leisure</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2"/>
              </w:rPr>
              <w:t>12.50% PIK</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4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8"/>
              </w:rPr>
              <w:t>5/29/2028</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6,198</w:t>
            </w: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5,568</w:t>
            </w: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1,181</w:t>
            </w:r>
          </w:p>
        </w:tc>
        <w:tc>
          <w:tcPr>
            <w:tcW w:w="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(5)</w:t>
            </w:r>
          </w:p>
        </w:tc>
        <w:tc>
          <w:tcPr>
            <w:tcW w:w="0" w:type="dxa"/>
            <w:vAlign w:val="bottom"/>
          </w:tcPr>
          <w:p>
            <w:pPr>
              <w:spacing w:after="0"/>
              <w:rPr>
                <w:sz w:val="1"/>
                <w:szCs w:val="1"/>
                <w:color w:val="auto"/>
              </w:rPr>
            </w:pPr>
          </w:p>
        </w:tc>
      </w:tr>
      <w:tr>
        <w:trPr>
          <w:trHeight w:val="120"/>
        </w:trPr>
        <w:tc>
          <w:tcPr>
            <w:tcW w:w="2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TRSO II, Inc.</w:t>
            </w:r>
          </w:p>
        </w:tc>
        <w:tc>
          <w:tcPr>
            <w:tcW w:w="18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Energy: Oil &amp; Gas</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1.69% PIK</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4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1/24/2025</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75</w:t>
            </w:r>
          </w:p>
        </w:tc>
        <w:tc>
          <w:tcPr>
            <w:tcW w:w="22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75</w:t>
            </w:r>
          </w:p>
        </w:tc>
        <w:tc>
          <w:tcPr>
            <w:tcW w:w="1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(5)</w:t>
            </w:r>
          </w:p>
        </w:tc>
        <w:tc>
          <w:tcPr>
            <w:tcW w:w="0" w:type="dxa"/>
            <w:vAlign w:val="bottom"/>
          </w:tcPr>
          <w:p>
            <w:pPr>
              <w:spacing w:after="0"/>
              <w:rPr>
                <w:sz w:val="1"/>
                <w:szCs w:val="1"/>
                <w:color w:val="auto"/>
              </w:rPr>
            </w:pPr>
          </w:p>
        </w:tc>
      </w:tr>
      <w:tr>
        <w:trPr>
          <w:trHeight w:val="120"/>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Total Subordinated Debt</w:t>
            </w:r>
          </w:p>
        </w:tc>
        <w:tc>
          <w:tcPr>
            <w:tcW w:w="18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5,643</w:t>
            </w: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1,181</w:t>
            </w: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Collateralized Loan Obligations - 4.2%</w:t>
            </w:r>
          </w:p>
        </w:tc>
        <w:tc>
          <w:tcPr>
            <w:tcW w:w="1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Catamaran CLO 2014-1 Ltd.</w:t>
            </w:r>
          </w:p>
        </w:tc>
        <w:tc>
          <w:tcPr>
            <w:tcW w:w="18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0"/>
                <w:szCs w:val="10"/>
                <w:color w:val="auto"/>
              </w:rPr>
              <w:t>CLO Fund Securities</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7"/>
              </w:rPr>
              <w:t>13.70%</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4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8"/>
              </w:rPr>
              <w:t>4/20/2030</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15,161</w:t>
            </w: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1,024</w:t>
            </w: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904</w:t>
            </w:r>
          </w:p>
        </w:tc>
        <w:tc>
          <w:tcPr>
            <w:tcW w:w="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(3)(7)(10)</w:t>
            </w:r>
          </w:p>
        </w:tc>
        <w:tc>
          <w:tcPr>
            <w:tcW w:w="0" w:type="dxa"/>
            <w:vAlign w:val="bottom"/>
          </w:tcPr>
          <w:p>
            <w:pPr>
              <w:spacing w:after="0"/>
              <w:rPr>
                <w:sz w:val="1"/>
                <w:szCs w:val="1"/>
                <w:color w:val="auto"/>
              </w:rPr>
            </w:pPr>
          </w:p>
        </w:tc>
      </w:tr>
      <w:tr>
        <w:trPr>
          <w:trHeight w:val="120"/>
        </w:trPr>
        <w:tc>
          <w:tcPr>
            <w:tcW w:w="2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Catamaran CLO 2018-1 Ltd</w:t>
            </w:r>
          </w:p>
        </w:tc>
        <w:tc>
          <w:tcPr>
            <w:tcW w:w="18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CLO Fund Securities</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25.00%</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4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10/27/2031</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10,000</w:t>
            </w:r>
          </w:p>
        </w:tc>
        <w:tc>
          <w:tcPr>
            <w:tcW w:w="22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3,923</w:t>
            </w:r>
          </w:p>
        </w:tc>
        <w:tc>
          <w:tcPr>
            <w:tcW w:w="1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3,923</w:t>
            </w: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(3)(7)(10)</w:t>
            </w:r>
          </w:p>
        </w:tc>
        <w:tc>
          <w:tcPr>
            <w:tcW w:w="0" w:type="dxa"/>
            <w:vAlign w:val="bottom"/>
          </w:tcPr>
          <w:p>
            <w:pPr>
              <w:spacing w:after="0"/>
              <w:rPr>
                <w:sz w:val="1"/>
                <w:szCs w:val="1"/>
                <w:color w:val="auto"/>
              </w:rPr>
            </w:pPr>
          </w:p>
        </w:tc>
      </w:tr>
      <w:tr>
        <w:trPr>
          <w:trHeight w:val="120"/>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Dryden 30 Senior Loan Fund</w:t>
            </w:r>
          </w:p>
        </w:tc>
        <w:tc>
          <w:tcPr>
            <w:tcW w:w="18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0"/>
                <w:szCs w:val="10"/>
                <w:color w:val="auto"/>
              </w:rPr>
              <w:t>CLO Fund Securities</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7"/>
              </w:rPr>
              <w:t>25.40%</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4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8"/>
              </w:rPr>
              <w:t>11/1/2028</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3,250</w:t>
            </w: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424</w:t>
            </w: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409</w:t>
            </w:r>
          </w:p>
        </w:tc>
        <w:tc>
          <w:tcPr>
            <w:tcW w:w="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(3)(7)(10)</w:t>
            </w:r>
          </w:p>
        </w:tc>
        <w:tc>
          <w:tcPr>
            <w:tcW w:w="0" w:type="dxa"/>
            <w:vAlign w:val="bottom"/>
          </w:tcPr>
          <w:p>
            <w:pPr>
              <w:spacing w:after="0"/>
              <w:rPr>
                <w:sz w:val="1"/>
                <w:szCs w:val="1"/>
                <w:color w:val="auto"/>
              </w:rPr>
            </w:pPr>
          </w:p>
        </w:tc>
      </w:tr>
      <w:tr>
        <w:trPr>
          <w:trHeight w:val="120"/>
        </w:trPr>
        <w:tc>
          <w:tcPr>
            <w:tcW w:w="2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JMP Credit Advisors CLO IV LTD</w:t>
            </w:r>
          </w:p>
        </w:tc>
        <w:tc>
          <w:tcPr>
            <w:tcW w:w="18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CLO Fund Securities</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19.80%</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4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7/17/2029</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18,407</w:t>
            </w:r>
          </w:p>
        </w:tc>
        <w:tc>
          <w:tcPr>
            <w:tcW w:w="22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683</w:t>
            </w:r>
          </w:p>
        </w:tc>
        <w:tc>
          <w:tcPr>
            <w:tcW w:w="1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683</w:t>
            </w: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(3)(7)(10)</w:t>
            </w:r>
          </w:p>
        </w:tc>
        <w:tc>
          <w:tcPr>
            <w:tcW w:w="0" w:type="dxa"/>
            <w:vAlign w:val="bottom"/>
          </w:tcPr>
          <w:p>
            <w:pPr>
              <w:spacing w:after="0"/>
              <w:rPr>
                <w:sz w:val="1"/>
                <w:szCs w:val="1"/>
                <w:color w:val="auto"/>
              </w:rPr>
            </w:pPr>
          </w:p>
        </w:tc>
      </w:tr>
      <w:tr>
        <w:trPr>
          <w:trHeight w:val="120"/>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JMP Credit Advisors CLO V LTD</w:t>
            </w:r>
          </w:p>
        </w:tc>
        <w:tc>
          <w:tcPr>
            <w:tcW w:w="18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0"/>
                <w:szCs w:val="10"/>
                <w:color w:val="auto"/>
              </w:rPr>
              <w:t>CLO Fund Securities</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7"/>
              </w:rPr>
              <w:t>25.30%</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4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8"/>
              </w:rPr>
              <w:t>7/17/2030</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17,074</w:t>
            </w: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3,049</w:t>
            </w: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3,049</w:t>
            </w:r>
          </w:p>
        </w:tc>
        <w:tc>
          <w:tcPr>
            <w:tcW w:w="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(3)(7)(10)</w:t>
            </w:r>
          </w:p>
        </w:tc>
        <w:tc>
          <w:tcPr>
            <w:tcW w:w="0" w:type="dxa"/>
            <w:vAlign w:val="bottom"/>
          </w:tcPr>
          <w:p>
            <w:pPr>
              <w:spacing w:after="0"/>
              <w:rPr>
                <w:sz w:val="1"/>
                <w:szCs w:val="1"/>
                <w:color w:val="auto"/>
              </w:rPr>
            </w:pPr>
          </w:p>
        </w:tc>
      </w:tr>
      <w:tr>
        <w:trPr>
          <w:trHeight w:val="120"/>
        </w:trPr>
        <w:tc>
          <w:tcPr>
            <w:tcW w:w="24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Collateralized Loan Obligations</w:t>
            </w:r>
          </w:p>
        </w:tc>
        <w:tc>
          <w:tcPr>
            <w:tcW w:w="1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9,103</w:t>
            </w:r>
          </w:p>
        </w:tc>
        <w:tc>
          <w:tcPr>
            <w:tcW w:w="1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8,968</w:t>
            </w: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Preferred Stock and Units - 3.1%</w:t>
            </w:r>
          </w:p>
        </w:tc>
        <w:tc>
          <w:tcPr>
            <w:tcW w:w="18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4L Ultimate Topco Corporation</w:t>
            </w:r>
          </w:p>
        </w:tc>
        <w:tc>
          <w:tcPr>
            <w:tcW w:w="18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Services: Business</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4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321</w:t>
            </w:r>
          </w:p>
        </w:tc>
        <w:tc>
          <w:tcPr>
            <w:tcW w:w="22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29</w:t>
            </w:r>
          </w:p>
        </w:tc>
        <w:tc>
          <w:tcPr>
            <w:tcW w:w="1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29</w:t>
            </w: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AAPC Holdings, LLC</w:t>
            </w:r>
          </w:p>
        </w:tc>
        <w:tc>
          <w:tcPr>
            <w:tcW w:w="18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0"/>
                <w:szCs w:val="10"/>
                <w:color w:val="auto"/>
              </w:rPr>
              <w:t>Healthcare &amp; Pharmaceuticals</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2"/>
              </w:rPr>
              <w:t>18.00% PIK</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4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146,214</w:t>
            </w: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4</w:t>
            </w: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195</w:t>
            </w:r>
          </w:p>
        </w:tc>
        <w:tc>
          <w:tcPr>
            <w:tcW w:w="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(22)(25)</w:t>
            </w:r>
          </w:p>
        </w:tc>
        <w:tc>
          <w:tcPr>
            <w:tcW w:w="0" w:type="dxa"/>
            <w:vAlign w:val="bottom"/>
          </w:tcPr>
          <w:p>
            <w:pPr>
              <w:spacing w:after="0"/>
              <w:rPr>
                <w:sz w:val="1"/>
                <w:szCs w:val="1"/>
                <w:color w:val="auto"/>
              </w:rPr>
            </w:pPr>
          </w:p>
        </w:tc>
      </w:tr>
      <w:tr>
        <w:trPr>
          <w:trHeight w:val="121"/>
        </w:trPr>
        <w:tc>
          <w:tcPr>
            <w:tcW w:w="2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Advantage Capital Holdings LLC</w:t>
            </w:r>
          </w:p>
        </w:tc>
        <w:tc>
          <w:tcPr>
            <w:tcW w:w="18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Banking, Finance, Insurance &amp; Real</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12.50% PIK</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40" w:type="dxa"/>
            <w:vAlign w:val="bottom"/>
            <w:vMerge w:val="restart"/>
          </w:tcPr>
          <w:p>
            <w:pPr>
              <w:jc w:val="right"/>
              <w:ind w:right="2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2,470,210</w:t>
            </w:r>
          </w:p>
        </w:tc>
        <w:tc>
          <w:tcPr>
            <w:tcW w:w="22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2,470</w:t>
            </w:r>
          </w:p>
        </w:tc>
        <w:tc>
          <w:tcPr>
            <w:tcW w:w="1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2,733</w:t>
            </w: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(13)(25)</w:t>
            </w:r>
          </w:p>
        </w:tc>
        <w:tc>
          <w:tcPr>
            <w:tcW w:w="0" w:type="dxa"/>
            <w:vAlign w:val="bottom"/>
          </w:tcPr>
          <w:p>
            <w:pPr>
              <w:spacing w:after="0"/>
              <w:rPr>
                <w:sz w:val="1"/>
                <w:szCs w:val="1"/>
                <w:color w:val="auto"/>
              </w:rPr>
            </w:pPr>
          </w:p>
        </w:tc>
      </w:tr>
      <w:tr>
        <w:trPr>
          <w:trHeight w:val="64"/>
        </w:trPr>
        <w:tc>
          <w:tcPr>
            <w:tcW w:w="2420" w:type="dxa"/>
            <w:vAlign w:val="bottom"/>
          </w:tcPr>
          <w:p>
            <w:pPr>
              <w:spacing w:after="0"/>
              <w:rPr>
                <w:sz w:val="5"/>
                <w:szCs w:val="5"/>
                <w:color w:val="auto"/>
              </w:rPr>
            </w:pPr>
          </w:p>
        </w:tc>
        <w:tc>
          <w:tcPr>
            <w:tcW w:w="186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auto"/>
              </w:rPr>
              <w:t>Estate</w:t>
            </w:r>
          </w:p>
        </w:tc>
        <w:tc>
          <w:tcPr>
            <w:tcW w:w="7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
        </w:trPr>
        <w:tc>
          <w:tcPr>
            <w:tcW w:w="2420" w:type="dxa"/>
            <w:vAlign w:val="bottom"/>
          </w:tcPr>
          <w:p>
            <w:pPr>
              <w:spacing w:after="0"/>
              <w:rPr>
                <w:sz w:val="4"/>
                <w:szCs w:val="4"/>
                <w:color w:val="auto"/>
              </w:rPr>
            </w:pPr>
          </w:p>
        </w:tc>
        <w:tc>
          <w:tcPr>
            <w:tcW w:w="18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8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Aperture Dodge 18 LLC</w:t>
            </w:r>
          </w:p>
        </w:tc>
        <w:tc>
          <w:tcPr>
            <w:tcW w:w="18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0"/>
                <w:szCs w:val="10"/>
                <w:color w:val="auto"/>
              </w:rPr>
              <w:t>Banking, Finance, Insurance &amp; Real</w:t>
            </w:r>
          </w:p>
        </w:tc>
        <w:tc>
          <w:tcPr>
            <w:tcW w:w="7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40" w:type="dxa"/>
            <w:vAlign w:val="bottom"/>
            <w:vMerge w:val="restart"/>
            <w:shd w:val="clear" w:color="auto" w:fill="CFF0FC"/>
          </w:tcPr>
          <w:p>
            <w:pPr>
              <w:jc w:val="right"/>
              <w:ind w:right="2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3,067,908</w:t>
            </w: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3,068</w:t>
            </w: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3,237</w:t>
            </w: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2420" w:type="dxa"/>
            <w:vAlign w:val="bottom"/>
            <w:tcBorders>
              <w:bottom w:val="single" w:sz="8" w:color="CFF0FC"/>
            </w:tcBorders>
            <w:shd w:val="clear" w:color="auto" w:fill="CFF0FC"/>
          </w:tcPr>
          <w:p>
            <w:pPr>
              <w:spacing w:after="0"/>
              <w:rPr>
                <w:sz w:val="8"/>
                <w:szCs w:val="8"/>
                <w:color w:val="auto"/>
              </w:rPr>
            </w:pPr>
          </w:p>
        </w:tc>
        <w:tc>
          <w:tcPr>
            <w:tcW w:w="1860" w:type="dxa"/>
            <w:vAlign w:val="bottom"/>
            <w:tcBorders>
              <w:bottom w:val="single" w:sz="8" w:color="CFF0FC"/>
            </w:tcBorders>
            <w:shd w:val="clear" w:color="auto" w:fill="CFF0FC"/>
          </w:tcPr>
          <w:p>
            <w:pPr>
              <w:ind w:left="280"/>
              <w:spacing w:after="0" w:line="100" w:lineRule="exact"/>
              <w:rPr>
                <w:sz w:val="20"/>
                <w:szCs w:val="20"/>
                <w:color w:val="auto"/>
              </w:rPr>
            </w:pPr>
            <w:r>
              <w:rPr>
                <w:rFonts w:ascii="Times New Roman" w:cs="Times New Roman" w:eastAsia="Times New Roman" w:hAnsi="Times New Roman"/>
                <w:sz w:val="10"/>
                <w:szCs w:val="10"/>
                <w:color w:val="auto"/>
              </w:rPr>
              <w:t>Estate</w:t>
            </w:r>
          </w:p>
        </w:tc>
        <w:tc>
          <w:tcPr>
            <w:tcW w:w="740" w:type="dxa"/>
            <w:vAlign w:val="bottom"/>
            <w:tcBorders>
              <w:bottom w:val="single" w:sz="8" w:color="CFF0FC"/>
            </w:tcBorders>
            <w:vMerge w:val="continue"/>
            <w:shd w:val="clear" w:color="auto" w:fill="CFF0FC"/>
          </w:tcPr>
          <w:p>
            <w:pPr>
              <w:spacing w:after="0"/>
              <w:rPr>
                <w:sz w:val="8"/>
                <w:szCs w:val="8"/>
                <w:color w:val="auto"/>
              </w:rPr>
            </w:pPr>
          </w:p>
        </w:tc>
        <w:tc>
          <w:tcPr>
            <w:tcW w:w="880" w:type="dxa"/>
            <w:vAlign w:val="bottom"/>
            <w:tcBorders>
              <w:bottom w:val="single" w:sz="8" w:color="CFF0FC"/>
            </w:tcBorders>
            <w:vMerge w:val="continue"/>
            <w:shd w:val="clear" w:color="auto" w:fill="CFF0FC"/>
          </w:tcPr>
          <w:p>
            <w:pPr>
              <w:spacing w:after="0"/>
              <w:rPr>
                <w:sz w:val="8"/>
                <w:szCs w:val="8"/>
                <w:color w:val="auto"/>
              </w:rPr>
            </w:pPr>
          </w:p>
        </w:tc>
        <w:tc>
          <w:tcPr>
            <w:tcW w:w="640" w:type="dxa"/>
            <w:vAlign w:val="bottom"/>
            <w:tcBorders>
              <w:bottom w:val="single" w:sz="8" w:color="CFF0FC"/>
            </w:tcBorders>
            <w:vMerge w:val="continue"/>
            <w:shd w:val="clear" w:color="auto" w:fill="CFF0FC"/>
          </w:tcPr>
          <w:p>
            <w:pPr>
              <w:spacing w:after="0"/>
              <w:rPr>
                <w:sz w:val="8"/>
                <w:szCs w:val="8"/>
                <w:color w:val="auto"/>
              </w:rPr>
            </w:pPr>
          </w:p>
        </w:tc>
        <w:tc>
          <w:tcPr>
            <w:tcW w:w="740" w:type="dxa"/>
            <w:vAlign w:val="bottom"/>
            <w:tcBorders>
              <w:bottom w:val="single" w:sz="8" w:color="CFF0FC"/>
            </w:tcBorders>
            <w:vMerge w:val="continue"/>
            <w:shd w:val="clear" w:color="auto" w:fill="CFF0FC"/>
          </w:tcPr>
          <w:p>
            <w:pPr>
              <w:spacing w:after="0"/>
              <w:rPr>
                <w:sz w:val="8"/>
                <w:szCs w:val="8"/>
                <w:color w:val="auto"/>
              </w:rPr>
            </w:pPr>
          </w:p>
        </w:tc>
        <w:tc>
          <w:tcPr>
            <w:tcW w:w="800" w:type="dxa"/>
            <w:vAlign w:val="bottom"/>
            <w:tcBorders>
              <w:bottom w:val="single" w:sz="8" w:color="CFF0FC"/>
            </w:tcBorders>
            <w:shd w:val="clear" w:color="auto" w:fill="CFF0FC"/>
          </w:tcPr>
          <w:p>
            <w:pPr>
              <w:spacing w:after="0"/>
              <w:rPr>
                <w:sz w:val="8"/>
                <w:szCs w:val="8"/>
                <w:color w:val="auto"/>
              </w:rPr>
            </w:pPr>
          </w:p>
        </w:tc>
        <w:tc>
          <w:tcPr>
            <w:tcW w:w="220" w:type="dxa"/>
            <w:vAlign w:val="bottom"/>
            <w:tcBorders>
              <w:bottom w:val="single" w:sz="8" w:color="CFF0FC"/>
            </w:tcBorders>
            <w:shd w:val="clear" w:color="auto" w:fill="CFF0FC"/>
          </w:tcPr>
          <w:p>
            <w:pPr>
              <w:spacing w:after="0"/>
              <w:rPr>
                <w:sz w:val="8"/>
                <w:szCs w:val="8"/>
                <w:color w:val="auto"/>
              </w:rPr>
            </w:pPr>
          </w:p>
        </w:tc>
        <w:tc>
          <w:tcPr>
            <w:tcW w:w="560" w:type="dxa"/>
            <w:vAlign w:val="bottom"/>
            <w:tcBorders>
              <w:bottom w:val="single" w:sz="8" w:color="CFF0FC"/>
            </w:tcBorders>
            <w:shd w:val="clear" w:color="auto" w:fill="CFF0FC"/>
          </w:tcPr>
          <w:p>
            <w:pPr>
              <w:spacing w:after="0"/>
              <w:rPr>
                <w:sz w:val="8"/>
                <w:szCs w:val="8"/>
                <w:color w:val="auto"/>
              </w:rPr>
            </w:pPr>
          </w:p>
        </w:tc>
        <w:tc>
          <w:tcPr>
            <w:tcW w:w="160" w:type="dxa"/>
            <w:vAlign w:val="bottom"/>
            <w:tcBorders>
              <w:bottom w:val="single" w:sz="8" w:color="CFF0FC"/>
            </w:tcBorders>
            <w:shd w:val="clear" w:color="auto" w:fill="CFF0FC"/>
          </w:tcPr>
          <w:p>
            <w:pPr>
              <w:spacing w:after="0"/>
              <w:rPr>
                <w:sz w:val="8"/>
                <w:szCs w:val="8"/>
                <w:color w:val="auto"/>
              </w:rPr>
            </w:pPr>
          </w:p>
        </w:tc>
        <w:tc>
          <w:tcPr>
            <w:tcW w:w="620" w:type="dxa"/>
            <w:vAlign w:val="bottom"/>
            <w:tcBorders>
              <w:bottom w:val="single" w:sz="8" w:color="CFF0FC"/>
            </w:tcBorders>
            <w:shd w:val="clear" w:color="auto" w:fill="CFF0FC"/>
          </w:tcPr>
          <w:p>
            <w:pPr>
              <w:spacing w:after="0"/>
              <w:rPr>
                <w:sz w:val="8"/>
                <w:szCs w:val="8"/>
                <w:color w:val="auto"/>
              </w:rPr>
            </w:pPr>
          </w:p>
        </w:tc>
        <w:tc>
          <w:tcPr>
            <w:tcW w:w="92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Prosper Marketplace</w:t>
            </w:r>
          </w:p>
        </w:tc>
        <w:tc>
          <w:tcPr>
            <w:tcW w:w="18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Consumer goods: Durable</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4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912,865</w:t>
            </w:r>
          </w:p>
        </w:tc>
        <w:tc>
          <w:tcPr>
            <w:tcW w:w="22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279</w:t>
            </w:r>
          </w:p>
        </w:tc>
        <w:tc>
          <w:tcPr>
            <w:tcW w:w="1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324</w:t>
            </w: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(6)</w:t>
            </w:r>
          </w:p>
        </w:tc>
        <w:tc>
          <w:tcPr>
            <w:tcW w:w="0" w:type="dxa"/>
            <w:vAlign w:val="bottom"/>
          </w:tcPr>
          <w:p>
            <w:pPr>
              <w:spacing w:after="0"/>
              <w:rPr>
                <w:sz w:val="1"/>
                <w:szCs w:val="1"/>
                <w:color w:val="auto"/>
              </w:rPr>
            </w:pPr>
          </w:p>
        </w:tc>
      </w:tr>
      <w:tr>
        <w:trPr>
          <w:trHeight w:val="120"/>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Total Preferred Stock and Units</w:t>
            </w:r>
          </w:p>
        </w:tc>
        <w:tc>
          <w:tcPr>
            <w:tcW w:w="18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5,850</w:t>
            </w: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6,518</w:t>
            </w: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Common Stock and Membership Units - 3.4%</w:t>
            </w:r>
          </w:p>
        </w:tc>
        <w:tc>
          <w:tcPr>
            <w:tcW w:w="1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Advantage Capital Holdings LLC</w:t>
            </w:r>
          </w:p>
        </w:tc>
        <w:tc>
          <w:tcPr>
            <w:tcW w:w="18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0"/>
                <w:szCs w:val="10"/>
                <w:color w:val="auto"/>
              </w:rPr>
              <w:t>Banking, Finance, Insurance &amp; Real</w:t>
            </w:r>
          </w:p>
        </w:tc>
        <w:tc>
          <w:tcPr>
            <w:tcW w:w="7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40" w:type="dxa"/>
            <w:vAlign w:val="bottom"/>
            <w:vMerge w:val="restart"/>
            <w:shd w:val="clear" w:color="auto" w:fill="CFF0FC"/>
          </w:tcPr>
          <w:p>
            <w:pPr>
              <w:jc w:val="right"/>
              <w:ind w:right="2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822</w:t>
            </w: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502</w:t>
            </w: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2,828</w:t>
            </w:r>
          </w:p>
        </w:tc>
        <w:tc>
          <w:tcPr>
            <w:tcW w:w="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(13)(22)</w:t>
            </w:r>
          </w:p>
        </w:tc>
        <w:tc>
          <w:tcPr>
            <w:tcW w:w="0" w:type="dxa"/>
            <w:vAlign w:val="bottom"/>
          </w:tcPr>
          <w:p>
            <w:pPr>
              <w:spacing w:after="0"/>
              <w:rPr>
                <w:sz w:val="1"/>
                <w:szCs w:val="1"/>
                <w:color w:val="auto"/>
              </w:rPr>
            </w:pPr>
          </w:p>
        </w:tc>
      </w:tr>
      <w:tr>
        <w:trPr>
          <w:trHeight w:val="100"/>
        </w:trPr>
        <w:tc>
          <w:tcPr>
            <w:tcW w:w="2420" w:type="dxa"/>
            <w:vAlign w:val="bottom"/>
            <w:tcBorders>
              <w:bottom w:val="single" w:sz="8" w:color="CFF0FC"/>
            </w:tcBorders>
            <w:shd w:val="clear" w:color="auto" w:fill="CFF0FC"/>
          </w:tcPr>
          <w:p>
            <w:pPr>
              <w:spacing w:after="0"/>
              <w:rPr>
                <w:sz w:val="8"/>
                <w:szCs w:val="8"/>
                <w:color w:val="auto"/>
              </w:rPr>
            </w:pPr>
          </w:p>
        </w:tc>
        <w:tc>
          <w:tcPr>
            <w:tcW w:w="1860" w:type="dxa"/>
            <w:vAlign w:val="bottom"/>
            <w:tcBorders>
              <w:bottom w:val="single" w:sz="8" w:color="CFF0FC"/>
            </w:tcBorders>
            <w:shd w:val="clear" w:color="auto" w:fill="CFF0FC"/>
          </w:tcPr>
          <w:p>
            <w:pPr>
              <w:ind w:left="280"/>
              <w:spacing w:after="0" w:line="100" w:lineRule="exact"/>
              <w:rPr>
                <w:sz w:val="20"/>
                <w:szCs w:val="20"/>
                <w:color w:val="auto"/>
              </w:rPr>
            </w:pPr>
            <w:r>
              <w:rPr>
                <w:rFonts w:ascii="Times New Roman" w:cs="Times New Roman" w:eastAsia="Times New Roman" w:hAnsi="Times New Roman"/>
                <w:sz w:val="10"/>
                <w:szCs w:val="10"/>
                <w:color w:val="auto"/>
              </w:rPr>
              <w:t>Estate</w:t>
            </w:r>
          </w:p>
        </w:tc>
        <w:tc>
          <w:tcPr>
            <w:tcW w:w="740" w:type="dxa"/>
            <w:vAlign w:val="bottom"/>
            <w:tcBorders>
              <w:bottom w:val="single" w:sz="8" w:color="CFF0FC"/>
            </w:tcBorders>
            <w:vMerge w:val="continue"/>
            <w:shd w:val="clear" w:color="auto" w:fill="CFF0FC"/>
          </w:tcPr>
          <w:p>
            <w:pPr>
              <w:spacing w:after="0"/>
              <w:rPr>
                <w:sz w:val="8"/>
                <w:szCs w:val="8"/>
                <w:color w:val="auto"/>
              </w:rPr>
            </w:pPr>
          </w:p>
        </w:tc>
        <w:tc>
          <w:tcPr>
            <w:tcW w:w="880" w:type="dxa"/>
            <w:vAlign w:val="bottom"/>
            <w:tcBorders>
              <w:bottom w:val="single" w:sz="8" w:color="CFF0FC"/>
            </w:tcBorders>
            <w:vMerge w:val="continue"/>
            <w:shd w:val="clear" w:color="auto" w:fill="CFF0FC"/>
          </w:tcPr>
          <w:p>
            <w:pPr>
              <w:spacing w:after="0"/>
              <w:rPr>
                <w:sz w:val="8"/>
                <w:szCs w:val="8"/>
                <w:color w:val="auto"/>
              </w:rPr>
            </w:pPr>
          </w:p>
        </w:tc>
        <w:tc>
          <w:tcPr>
            <w:tcW w:w="640" w:type="dxa"/>
            <w:vAlign w:val="bottom"/>
            <w:tcBorders>
              <w:bottom w:val="single" w:sz="8" w:color="CFF0FC"/>
            </w:tcBorders>
            <w:vMerge w:val="continue"/>
            <w:shd w:val="clear" w:color="auto" w:fill="CFF0FC"/>
          </w:tcPr>
          <w:p>
            <w:pPr>
              <w:spacing w:after="0"/>
              <w:rPr>
                <w:sz w:val="8"/>
                <w:szCs w:val="8"/>
                <w:color w:val="auto"/>
              </w:rPr>
            </w:pPr>
          </w:p>
        </w:tc>
        <w:tc>
          <w:tcPr>
            <w:tcW w:w="740" w:type="dxa"/>
            <w:vAlign w:val="bottom"/>
            <w:tcBorders>
              <w:bottom w:val="single" w:sz="8" w:color="CFF0FC"/>
            </w:tcBorders>
            <w:vMerge w:val="continue"/>
            <w:shd w:val="clear" w:color="auto" w:fill="CFF0FC"/>
          </w:tcPr>
          <w:p>
            <w:pPr>
              <w:spacing w:after="0"/>
              <w:rPr>
                <w:sz w:val="8"/>
                <w:szCs w:val="8"/>
                <w:color w:val="auto"/>
              </w:rPr>
            </w:pPr>
          </w:p>
        </w:tc>
        <w:tc>
          <w:tcPr>
            <w:tcW w:w="800" w:type="dxa"/>
            <w:vAlign w:val="bottom"/>
            <w:tcBorders>
              <w:bottom w:val="single" w:sz="8" w:color="CFF0FC"/>
            </w:tcBorders>
            <w:shd w:val="clear" w:color="auto" w:fill="CFF0FC"/>
          </w:tcPr>
          <w:p>
            <w:pPr>
              <w:spacing w:after="0"/>
              <w:rPr>
                <w:sz w:val="8"/>
                <w:szCs w:val="8"/>
                <w:color w:val="auto"/>
              </w:rPr>
            </w:pPr>
          </w:p>
        </w:tc>
        <w:tc>
          <w:tcPr>
            <w:tcW w:w="220" w:type="dxa"/>
            <w:vAlign w:val="bottom"/>
            <w:tcBorders>
              <w:bottom w:val="single" w:sz="8" w:color="CFF0FC"/>
            </w:tcBorders>
            <w:shd w:val="clear" w:color="auto" w:fill="CFF0FC"/>
          </w:tcPr>
          <w:p>
            <w:pPr>
              <w:spacing w:after="0"/>
              <w:rPr>
                <w:sz w:val="8"/>
                <w:szCs w:val="8"/>
                <w:color w:val="auto"/>
              </w:rPr>
            </w:pPr>
          </w:p>
        </w:tc>
        <w:tc>
          <w:tcPr>
            <w:tcW w:w="560" w:type="dxa"/>
            <w:vAlign w:val="bottom"/>
            <w:tcBorders>
              <w:bottom w:val="single" w:sz="8" w:color="CFF0FC"/>
            </w:tcBorders>
            <w:shd w:val="clear" w:color="auto" w:fill="CFF0FC"/>
          </w:tcPr>
          <w:p>
            <w:pPr>
              <w:spacing w:after="0"/>
              <w:rPr>
                <w:sz w:val="8"/>
                <w:szCs w:val="8"/>
                <w:color w:val="auto"/>
              </w:rPr>
            </w:pPr>
          </w:p>
        </w:tc>
        <w:tc>
          <w:tcPr>
            <w:tcW w:w="160" w:type="dxa"/>
            <w:vAlign w:val="bottom"/>
            <w:tcBorders>
              <w:bottom w:val="single" w:sz="8" w:color="CFF0FC"/>
            </w:tcBorders>
            <w:shd w:val="clear" w:color="auto" w:fill="CFF0FC"/>
          </w:tcPr>
          <w:p>
            <w:pPr>
              <w:spacing w:after="0"/>
              <w:rPr>
                <w:sz w:val="8"/>
                <w:szCs w:val="8"/>
                <w:color w:val="auto"/>
              </w:rPr>
            </w:pPr>
          </w:p>
        </w:tc>
        <w:tc>
          <w:tcPr>
            <w:tcW w:w="620" w:type="dxa"/>
            <w:vAlign w:val="bottom"/>
            <w:tcBorders>
              <w:bottom w:val="single" w:sz="8" w:color="CFF0FC"/>
            </w:tcBorders>
            <w:shd w:val="clear" w:color="auto" w:fill="CFF0FC"/>
          </w:tcPr>
          <w:p>
            <w:pPr>
              <w:spacing w:after="0"/>
              <w:rPr>
                <w:sz w:val="8"/>
                <w:szCs w:val="8"/>
                <w:color w:val="auto"/>
              </w:rPr>
            </w:pPr>
          </w:p>
        </w:tc>
        <w:tc>
          <w:tcPr>
            <w:tcW w:w="92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Anthem Sports &amp; Entertainment Inc. - Class A Warrant</w:t>
            </w:r>
          </w:p>
        </w:tc>
        <w:tc>
          <w:tcPr>
            <w:tcW w:w="18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Media: Broadcasting &amp; Subscription</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4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510</w:t>
            </w:r>
          </w:p>
        </w:tc>
        <w:tc>
          <w:tcPr>
            <w:tcW w:w="22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46</w:t>
            </w:r>
          </w:p>
        </w:tc>
        <w:tc>
          <w:tcPr>
            <w:tcW w:w="1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Anthem Sports &amp; Entertainment Inc. - Class B Warrant</w:t>
            </w:r>
          </w:p>
        </w:tc>
        <w:tc>
          <w:tcPr>
            <w:tcW w:w="18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0"/>
                <w:szCs w:val="10"/>
                <w:color w:val="auto"/>
              </w:rPr>
              <w:t>Media: Broadcasting &amp; Subscription</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4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88</w:t>
            </w: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Anthem Sports &amp; Entertainment Inc. - Warrant for CS</w:t>
            </w:r>
          </w:p>
        </w:tc>
        <w:tc>
          <w:tcPr>
            <w:tcW w:w="18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Media: Broadcasting &amp; Subscription</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4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1,644</w:t>
            </w:r>
          </w:p>
        </w:tc>
        <w:tc>
          <w:tcPr>
            <w:tcW w:w="22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AAPC Holdings, LLC Equity</w:t>
            </w:r>
          </w:p>
        </w:tc>
        <w:tc>
          <w:tcPr>
            <w:tcW w:w="18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0"/>
                <w:szCs w:val="10"/>
                <w:color w:val="auto"/>
              </w:rPr>
              <w:t>Healthcare &amp; Pharmaceuticals</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4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493</w:t>
            </w:r>
          </w:p>
        </w:tc>
        <w:tc>
          <w:tcPr>
            <w:tcW w:w="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(22)</w:t>
            </w:r>
          </w:p>
        </w:tc>
        <w:tc>
          <w:tcPr>
            <w:tcW w:w="0" w:type="dxa"/>
            <w:vAlign w:val="bottom"/>
          </w:tcPr>
          <w:p>
            <w:pPr>
              <w:spacing w:after="0"/>
              <w:rPr>
                <w:sz w:val="1"/>
                <w:szCs w:val="1"/>
                <w:color w:val="auto"/>
              </w:rPr>
            </w:pPr>
          </w:p>
        </w:tc>
      </w:tr>
      <w:tr>
        <w:trPr>
          <w:trHeight w:val="120"/>
        </w:trPr>
        <w:tc>
          <w:tcPr>
            <w:tcW w:w="2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ATP Oil &amp; Gas Corporation</w:t>
            </w:r>
          </w:p>
        </w:tc>
        <w:tc>
          <w:tcPr>
            <w:tcW w:w="18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Energy: Oil &amp; Gas</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4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57</w:t>
            </w: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(11)</w:t>
            </w:r>
          </w:p>
        </w:tc>
        <w:tc>
          <w:tcPr>
            <w:tcW w:w="0" w:type="dxa"/>
            <w:vAlign w:val="bottom"/>
          </w:tcPr>
          <w:p>
            <w:pPr>
              <w:spacing w:after="0"/>
              <w:rPr>
                <w:sz w:val="1"/>
                <w:szCs w:val="1"/>
                <w:color w:val="auto"/>
              </w:rPr>
            </w:pPr>
          </w:p>
        </w:tc>
      </w:tr>
      <w:tr>
        <w:trPr>
          <w:trHeight w:val="120"/>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Carestream Health Holdings, Inc.</w:t>
            </w:r>
          </w:p>
        </w:tc>
        <w:tc>
          <w:tcPr>
            <w:tcW w:w="18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0"/>
                <w:szCs w:val="10"/>
                <w:color w:val="auto"/>
              </w:rPr>
              <w:t>Healthcare &amp; Pharmaceuticals</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4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4,099</w:t>
            </w: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53</w:t>
            </w: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93</w:t>
            </w: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Centric Brands Inc.</w:t>
            </w:r>
          </w:p>
        </w:tc>
        <w:tc>
          <w:tcPr>
            <w:tcW w:w="18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Machinery (Non-Agrclt/Constr/Electr)</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4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36,342</w:t>
            </w:r>
          </w:p>
        </w:tc>
        <w:tc>
          <w:tcPr>
            <w:tcW w:w="22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121</w:t>
            </w: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DxTx Pain and Spine LLC</w:t>
            </w:r>
          </w:p>
        </w:tc>
        <w:tc>
          <w:tcPr>
            <w:tcW w:w="18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0"/>
                <w:szCs w:val="10"/>
                <w:color w:val="auto"/>
              </w:rPr>
              <w:t>Healthcare &amp; Pharmaceuticals</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4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158,166</w:t>
            </w: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258</w:t>
            </w: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258</w:t>
            </w:r>
          </w:p>
        </w:tc>
        <w:tc>
          <w:tcPr>
            <w:tcW w:w="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(22)</w:t>
            </w:r>
          </w:p>
        </w:tc>
        <w:tc>
          <w:tcPr>
            <w:tcW w:w="0" w:type="dxa"/>
            <w:vAlign w:val="bottom"/>
          </w:tcPr>
          <w:p>
            <w:pPr>
              <w:spacing w:after="0"/>
              <w:rPr>
                <w:sz w:val="1"/>
                <w:szCs w:val="1"/>
                <w:color w:val="auto"/>
              </w:rPr>
            </w:pPr>
          </w:p>
        </w:tc>
      </w:tr>
      <w:tr>
        <w:trPr>
          <w:trHeight w:val="120"/>
        </w:trPr>
        <w:tc>
          <w:tcPr>
            <w:tcW w:w="2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Everyware Global, Inc.</w:t>
            </w:r>
          </w:p>
        </w:tc>
        <w:tc>
          <w:tcPr>
            <w:tcW w:w="18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Consumer goods: Durable</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4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1,085,565</w:t>
            </w:r>
          </w:p>
        </w:tc>
        <w:tc>
          <w:tcPr>
            <w:tcW w:w="22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346</w:t>
            </w:r>
          </w:p>
        </w:tc>
        <w:tc>
          <w:tcPr>
            <w:tcW w:w="1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174</w:t>
            </w: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(16)</w:t>
            </w:r>
          </w:p>
        </w:tc>
        <w:tc>
          <w:tcPr>
            <w:tcW w:w="0" w:type="dxa"/>
            <w:vAlign w:val="bottom"/>
          </w:tcPr>
          <w:p>
            <w:pPr>
              <w:spacing w:after="0"/>
              <w:rPr>
                <w:sz w:val="1"/>
                <w:szCs w:val="1"/>
                <w:color w:val="auto"/>
              </w:rPr>
            </w:pPr>
          </w:p>
        </w:tc>
      </w:tr>
      <w:tr>
        <w:trPr>
          <w:trHeight w:val="120"/>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FP WRCA Coinvestment Fund VII, Ltd. - Class A</w:t>
            </w:r>
          </w:p>
        </w:tc>
        <w:tc>
          <w:tcPr>
            <w:tcW w:w="18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0"/>
                <w:szCs w:val="10"/>
                <w:color w:val="auto"/>
              </w:rPr>
              <w:t>Capital Equipment</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4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100</w:t>
            </w: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1,500</w:t>
            </w: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903</w:t>
            </w:r>
          </w:p>
        </w:tc>
        <w:tc>
          <w:tcPr>
            <w:tcW w:w="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(3)(7)</w:t>
            </w:r>
          </w:p>
        </w:tc>
        <w:tc>
          <w:tcPr>
            <w:tcW w:w="0" w:type="dxa"/>
            <w:vAlign w:val="bottom"/>
          </w:tcPr>
          <w:p>
            <w:pPr>
              <w:spacing w:after="0"/>
              <w:rPr>
                <w:sz w:val="1"/>
                <w:szCs w:val="1"/>
                <w:color w:val="auto"/>
              </w:rPr>
            </w:pPr>
          </w:p>
        </w:tc>
      </w:tr>
      <w:tr>
        <w:trPr>
          <w:trHeight w:val="120"/>
        </w:trPr>
        <w:tc>
          <w:tcPr>
            <w:tcW w:w="2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Fusion Connect, Inc.</w:t>
            </w:r>
          </w:p>
        </w:tc>
        <w:tc>
          <w:tcPr>
            <w:tcW w:w="18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Telecommunications</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4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121,871</w:t>
            </w:r>
          </w:p>
        </w:tc>
        <w:tc>
          <w:tcPr>
            <w:tcW w:w="22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866</w:t>
            </w:r>
          </w:p>
        </w:tc>
        <w:tc>
          <w:tcPr>
            <w:tcW w:w="1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LB NewHoldCo LLC</w:t>
            </w:r>
          </w:p>
        </w:tc>
        <w:tc>
          <w:tcPr>
            <w:tcW w:w="18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0"/>
                <w:szCs w:val="10"/>
                <w:color w:val="auto"/>
              </w:rPr>
              <w:t>Hotel, Gaming &amp; Leisure</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4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96,523</w:t>
            </w: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1,441</w:t>
            </w: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1,442</w:t>
            </w:r>
          </w:p>
        </w:tc>
        <w:tc>
          <w:tcPr>
            <w:tcW w:w="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2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Morae Global Holdings Inc. - Warrant</w:t>
            </w:r>
          </w:p>
        </w:tc>
        <w:tc>
          <w:tcPr>
            <w:tcW w:w="18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IT Consulting &amp; Other Services</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4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w:t>
            </w:r>
          </w:p>
        </w:tc>
        <w:tc>
          <w:tcPr>
            <w:tcW w:w="22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87</w:t>
            </w:r>
          </w:p>
        </w:tc>
        <w:tc>
          <w:tcPr>
            <w:tcW w:w="1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99</w:t>
            </w: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Ohene Holdings B.V. - Warrant</w:t>
            </w:r>
          </w:p>
        </w:tc>
        <w:tc>
          <w:tcPr>
            <w:tcW w:w="18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0"/>
                <w:szCs w:val="10"/>
                <w:color w:val="auto"/>
              </w:rPr>
              <w:t>High Tech Industries</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4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4</w:t>
            </w: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(3)(7)</w:t>
            </w:r>
          </w:p>
        </w:tc>
        <w:tc>
          <w:tcPr>
            <w:tcW w:w="0" w:type="dxa"/>
            <w:vAlign w:val="bottom"/>
          </w:tcPr>
          <w:p>
            <w:pPr>
              <w:spacing w:after="0"/>
              <w:rPr>
                <w:sz w:val="1"/>
                <w:szCs w:val="1"/>
                <w:color w:val="auto"/>
              </w:rPr>
            </w:pPr>
          </w:p>
        </w:tc>
      </w:tr>
      <w:tr>
        <w:trPr>
          <w:trHeight w:val="92"/>
        </w:trPr>
        <w:tc>
          <w:tcPr>
            <w:tcW w:w="2420" w:type="dxa"/>
            <w:vAlign w:val="bottom"/>
            <w:shd w:val="clear" w:color="auto" w:fill="CFF0FC"/>
          </w:tcPr>
          <w:p>
            <w:pPr>
              <w:spacing w:after="0"/>
              <w:rPr>
                <w:sz w:val="8"/>
                <w:szCs w:val="8"/>
                <w:color w:val="auto"/>
              </w:rPr>
            </w:pPr>
          </w:p>
        </w:tc>
        <w:tc>
          <w:tcPr>
            <w:tcW w:w="186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Qualtek LLC</w:t>
            </w:r>
          </w:p>
        </w:tc>
        <w:tc>
          <w:tcPr>
            <w:tcW w:w="18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High Tech Industries</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4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150,262</w:t>
            </w:r>
          </w:p>
        </w:tc>
        <w:tc>
          <w:tcPr>
            <w:tcW w:w="22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1,277</w:t>
            </w:r>
          </w:p>
        </w:tc>
        <w:tc>
          <w:tcPr>
            <w:tcW w:w="1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(13)(15)</w:t>
            </w:r>
          </w:p>
        </w:tc>
        <w:tc>
          <w:tcPr>
            <w:tcW w:w="0" w:type="dxa"/>
            <w:vAlign w:val="bottom"/>
          </w:tcPr>
          <w:p>
            <w:pPr>
              <w:spacing w:after="0"/>
              <w:rPr>
                <w:sz w:val="1"/>
                <w:szCs w:val="1"/>
                <w:color w:val="auto"/>
              </w:rPr>
            </w:pPr>
          </w:p>
        </w:tc>
      </w:tr>
      <w:tr>
        <w:trPr>
          <w:trHeight w:val="120"/>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Roscoe Investors, LLC - Class A</w:t>
            </w:r>
          </w:p>
        </w:tc>
        <w:tc>
          <w:tcPr>
            <w:tcW w:w="18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0"/>
                <w:szCs w:val="10"/>
                <w:color w:val="auto"/>
              </w:rPr>
              <w:t>Healthcare &amp; Pharmaceuticals</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4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10,000</w:t>
            </w: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1,000</w:t>
            </w: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425</w:t>
            </w: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South Street Securities Holdings, Inc - Warrant</w:t>
            </w:r>
          </w:p>
        </w:tc>
        <w:tc>
          <w:tcPr>
            <w:tcW w:w="18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Banking, Finance, Insurance &amp; Real</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40" w:type="dxa"/>
            <w:vAlign w:val="bottom"/>
            <w:vMerge w:val="restart"/>
          </w:tcPr>
          <w:p>
            <w:pPr>
              <w:jc w:val="right"/>
              <w:ind w:right="2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3,966</w:t>
            </w:r>
          </w:p>
        </w:tc>
        <w:tc>
          <w:tcPr>
            <w:tcW w:w="22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455</w:t>
            </w:r>
          </w:p>
        </w:tc>
        <w:tc>
          <w:tcPr>
            <w:tcW w:w="1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403</w:t>
            </w: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420" w:type="dxa"/>
            <w:vAlign w:val="bottom"/>
          </w:tcPr>
          <w:p>
            <w:pPr>
              <w:spacing w:after="0"/>
              <w:rPr>
                <w:sz w:val="5"/>
                <w:szCs w:val="5"/>
                <w:color w:val="auto"/>
              </w:rPr>
            </w:pPr>
          </w:p>
        </w:tc>
        <w:tc>
          <w:tcPr>
            <w:tcW w:w="186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auto"/>
              </w:rPr>
              <w:t>Estate</w:t>
            </w:r>
          </w:p>
        </w:tc>
        <w:tc>
          <w:tcPr>
            <w:tcW w:w="74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
        </w:trPr>
        <w:tc>
          <w:tcPr>
            <w:tcW w:w="2420" w:type="dxa"/>
            <w:vAlign w:val="bottom"/>
          </w:tcPr>
          <w:p>
            <w:pPr>
              <w:spacing w:after="0"/>
              <w:rPr>
                <w:sz w:val="4"/>
                <w:szCs w:val="4"/>
                <w:color w:val="auto"/>
              </w:rPr>
            </w:pPr>
          </w:p>
        </w:tc>
        <w:tc>
          <w:tcPr>
            <w:tcW w:w="18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8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Sundance Holdings Group, LLC</w:t>
            </w:r>
          </w:p>
        </w:tc>
        <w:tc>
          <w:tcPr>
            <w:tcW w:w="18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0"/>
                <w:szCs w:val="10"/>
                <w:color w:val="auto"/>
              </w:rPr>
              <w:t>Retail</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4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14,603</w:t>
            </w: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69</w:t>
            </w:r>
          </w:p>
        </w:tc>
        <w:tc>
          <w:tcPr>
            <w:tcW w:w="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1"/>
        </w:trPr>
        <w:tc>
          <w:tcPr>
            <w:tcW w:w="2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World Business Lenders, LLC</w:t>
            </w:r>
          </w:p>
        </w:tc>
        <w:tc>
          <w:tcPr>
            <w:tcW w:w="18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Banking, Finance, Insurance &amp; Real</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40" w:type="dxa"/>
            <w:vAlign w:val="bottom"/>
            <w:vMerge w:val="restart"/>
          </w:tcPr>
          <w:p>
            <w:pPr>
              <w:jc w:val="right"/>
              <w:ind w:right="2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49,209</w:t>
            </w:r>
          </w:p>
        </w:tc>
        <w:tc>
          <w:tcPr>
            <w:tcW w:w="22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(7)</w:t>
            </w:r>
          </w:p>
        </w:tc>
        <w:tc>
          <w:tcPr>
            <w:tcW w:w="0" w:type="dxa"/>
            <w:vAlign w:val="bottom"/>
          </w:tcPr>
          <w:p>
            <w:pPr>
              <w:spacing w:after="0"/>
              <w:rPr>
                <w:sz w:val="1"/>
                <w:szCs w:val="1"/>
                <w:color w:val="auto"/>
              </w:rPr>
            </w:pPr>
          </w:p>
        </w:tc>
      </w:tr>
      <w:tr>
        <w:trPr>
          <w:trHeight w:val="64"/>
        </w:trPr>
        <w:tc>
          <w:tcPr>
            <w:tcW w:w="2420" w:type="dxa"/>
            <w:vAlign w:val="bottom"/>
          </w:tcPr>
          <w:p>
            <w:pPr>
              <w:spacing w:after="0"/>
              <w:rPr>
                <w:sz w:val="5"/>
                <w:szCs w:val="5"/>
                <w:color w:val="auto"/>
              </w:rPr>
            </w:pPr>
          </w:p>
        </w:tc>
        <w:tc>
          <w:tcPr>
            <w:tcW w:w="186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auto"/>
              </w:rPr>
              <w:t>Estate</w:t>
            </w:r>
          </w:p>
        </w:tc>
        <w:tc>
          <w:tcPr>
            <w:tcW w:w="74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
        </w:trPr>
        <w:tc>
          <w:tcPr>
            <w:tcW w:w="2420" w:type="dxa"/>
            <w:vAlign w:val="bottom"/>
          </w:tcPr>
          <w:p>
            <w:pPr>
              <w:spacing w:after="0"/>
              <w:rPr>
                <w:sz w:val="4"/>
                <w:szCs w:val="4"/>
                <w:color w:val="auto"/>
              </w:rPr>
            </w:pPr>
          </w:p>
        </w:tc>
        <w:tc>
          <w:tcPr>
            <w:tcW w:w="18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8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Total Common Stock and Membership Units</w:t>
            </w:r>
          </w:p>
        </w:tc>
        <w:tc>
          <w:tcPr>
            <w:tcW w:w="18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7,831</w:t>
            </w: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7,365</w:t>
            </w: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1"/>
          <w:szCs w:val="11"/>
          <w:color w:val="auto"/>
        </w:rPr>
        <w:t>See accompanying notes to consolidated financial statements.</w:t>
      </w:r>
    </w:p>
    <w:p>
      <w:pPr>
        <w:spacing w:after="0" w:line="10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1"/>
          <w:szCs w:val="11"/>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PORTMAN RIDGE FINANCE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5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Interest Rate</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4"/>
              </w:rPr>
              <w:t>Reference Rate</w:t>
            </w: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Par/Shares</w:t>
            </w: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Investment (2), (4), (12), (14), (23), (24)</w:t>
            </w:r>
          </w:p>
        </w:tc>
        <w:tc>
          <w:tcPr>
            <w:tcW w:w="1680" w:type="dxa"/>
            <w:vAlign w:val="bottom"/>
          </w:tcPr>
          <w:p>
            <w:pPr>
              <w:ind w:left="720"/>
              <w:spacing w:after="0"/>
              <w:rPr>
                <w:sz w:val="20"/>
                <w:szCs w:val="20"/>
                <w:color w:val="auto"/>
              </w:rPr>
            </w:pPr>
            <w:r>
              <w:rPr>
                <w:rFonts w:ascii="Times New Roman" w:cs="Times New Roman" w:eastAsia="Times New Roman" w:hAnsi="Times New Roman"/>
                <w:sz w:val="10"/>
                <w:szCs w:val="10"/>
                <w:b w:val="1"/>
                <w:bCs w:val="1"/>
                <w:color w:val="auto"/>
              </w:rPr>
              <w:t>Industry</w:t>
            </w:r>
          </w:p>
        </w:tc>
        <w:tc>
          <w:tcPr>
            <w:tcW w:w="740" w:type="dxa"/>
            <w:vAlign w:val="bottom"/>
          </w:tcPr>
          <w:p>
            <w:pPr>
              <w:jc w:val="center"/>
              <w:ind w:left="12"/>
              <w:spacing w:after="0"/>
              <w:rPr>
                <w:sz w:val="20"/>
                <w:szCs w:val="20"/>
                <w:color w:val="auto"/>
              </w:rPr>
            </w:pPr>
            <w:r>
              <w:rPr>
                <w:rFonts w:ascii="Times New Roman" w:cs="Times New Roman" w:eastAsia="Times New Roman" w:hAnsi="Times New Roman"/>
                <w:sz w:val="10"/>
                <w:szCs w:val="10"/>
                <w:b w:val="1"/>
                <w:bCs w:val="1"/>
                <w:color w:val="auto"/>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and Spread (1)</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Floor (1)</w:t>
            </w:r>
          </w:p>
        </w:tc>
        <w:tc>
          <w:tcPr>
            <w:tcW w:w="72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80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Pr>
          <w:p>
            <w:pPr>
              <w:spacing w:after="0"/>
              <w:rPr>
                <w:sz w:val="10"/>
                <w:szCs w:val="10"/>
                <w:color w:val="auto"/>
              </w:rPr>
            </w:pPr>
          </w:p>
        </w:tc>
        <w:tc>
          <w:tcPr>
            <w:tcW w:w="560" w:type="dxa"/>
            <w:vAlign w:val="bottom"/>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60" w:type="dxa"/>
            <w:vAlign w:val="bottom"/>
          </w:tcPr>
          <w:p>
            <w:pPr>
              <w:spacing w:after="0"/>
              <w:rPr>
                <w:sz w:val="10"/>
                <w:szCs w:val="10"/>
                <w:color w:val="auto"/>
              </w:rPr>
            </w:pPr>
          </w:p>
        </w:tc>
        <w:tc>
          <w:tcPr>
            <w:tcW w:w="620" w:type="dxa"/>
            <w:vAlign w:val="bottom"/>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w w:val="91"/>
              </w:rPr>
              <w:t>Fair Value</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b w:val="1"/>
                <w:bCs w:val="1"/>
                <w:color w:val="auto"/>
              </w:rPr>
              <w:t>Footnotes</w:t>
            </w:r>
          </w:p>
        </w:tc>
        <w:tc>
          <w:tcPr>
            <w:tcW w:w="0" w:type="dxa"/>
            <w:vAlign w:val="bottom"/>
          </w:tcPr>
          <w:p>
            <w:pPr>
              <w:spacing w:after="0"/>
              <w:rPr>
                <w:sz w:val="1"/>
                <w:szCs w:val="1"/>
                <w:color w:val="auto"/>
              </w:rPr>
            </w:pPr>
          </w:p>
        </w:tc>
      </w:tr>
      <w:tr>
        <w:trPr>
          <w:trHeight w:val="120"/>
        </w:trPr>
        <w:tc>
          <w:tcPr>
            <w:tcW w:w="2560" w:type="dxa"/>
            <w:vAlign w:val="bottom"/>
            <w:shd w:val="clear" w:color="auto" w:fill="CFF0FC"/>
          </w:tcPr>
          <w:p>
            <w:pPr>
              <w:ind w:left="20"/>
              <w:spacing w:after="0" w:line="120" w:lineRule="exact"/>
              <w:rPr>
                <w:sz w:val="20"/>
                <w:szCs w:val="20"/>
                <w:color w:val="auto"/>
              </w:rPr>
            </w:pPr>
            <w:r>
              <w:rPr>
                <w:rFonts w:ascii="Times New Roman" w:cs="Times New Roman" w:eastAsia="Times New Roman" w:hAnsi="Times New Roman"/>
                <w:sz w:val="10"/>
                <w:szCs w:val="10"/>
                <w:b w:val="1"/>
                <w:bCs w:val="1"/>
                <w:color w:val="auto"/>
              </w:rPr>
              <w:t>Derivatives - 0.0%</w:t>
            </w:r>
            <w:r>
              <w:rPr>
                <w:rFonts w:ascii="Times New Roman" w:cs="Times New Roman" w:eastAsia="Times New Roman" w:hAnsi="Times New Roman"/>
                <w:sz w:val="12"/>
                <w:szCs w:val="12"/>
                <w:b w:val="1"/>
                <w:bCs w:val="1"/>
                <w:color w:val="auto"/>
                <w:vertAlign w:val="superscript"/>
              </w:rPr>
              <w:t>(19)</w:t>
            </w:r>
          </w:p>
        </w:tc>
        <w:tc>
          <w:tcPr>
            <w:tcW w:w="16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Advantage Capital Holdings LLC</w:t>
            </w:r>
          </w:p>
        </w:tc>
        <w:tc>
          <w:tcPr>
            <w:tcW w:w="168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Banking, Finance, Insurance &amp; Real</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164</w:t>
            </w:r>
          </w:p>
        </w:tc>
        <w:tc>
          <w:tcPr>
            <w:tcW w:w="24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(7)(22)</w:t>
            </w:r>
          </w:p>
        </w:tc>
        <w:tc>
          <w:tcPr>
            <w:tcW w:w="0" w:type="dxa"/>
            <w:vAlign w:val="bottom"/>
          </w:tcPr>
          <w:p>
            <w:pPr>
              <w:spacing w:after="0"/>
              <w:rPr>
                <w:sz w:val="1"/>
                <w:szCs w:val="1"/>
                <w:color w:val="auto"/>
              </w:rPr>
            </w:pPr>
          </w:p>
        </w:tc>
      </w:tr>
      <w:tr>
        <w:trPr>
          <w:trHeight w:val="64"/>
        </w:trPr>
        <w:tc>
          <w:tcPr>
            <w:tcW w:w="2560" w:type="dxa"/>
            <w:vAlign w:val="bottom"/>
          </w:tcPr>
          <w:p>
            <w:pPr>
              <w:spacing w:after="0"/>
              <w:rPr>
                <w:sz w:val="5"/>
                <w:szCs w:val="5"/>
                <w:color w:val="auto"/>
              </w:rPr>
            </w:pPr>
          </w:p>
        </w:tc>
        <w:tc>
          <w:tcPr>
            <w:tcW w:w="1680" w:type="dxa"/>
            <w:vAlign w:val="bottom"/>
            <w:vMerge w:val="restart"/>
          </w:tcPr>
          <w:p>
            <w:pPr>
              <w:ind w:left="140"/>
              <w:spacing w:after="0"/>
              <w:rPr>
                <w:sz w:val="20"/>
                <w:szCs w:val="20"/>
                <w:color w:val="auto"/>
              </w:rPr>
            </w:pPr>
            <w:r>
              <w:rPr>
                <w:rFonts w:ascii="Times New Roman" w:cs="Times New Roman" w:eastAsia="Times New Roman" w:hAnsi="Times New Roman"/>
                <w:sz w:val="10"/>
                <w:szCs w:val="10"/>
                <w:color w:val="auto"/>
              </w:rPr>
              <w:t>Estate</w:t>
            </w:r>
          </w:p>
        </w:tc>
        <w:tc>
          <w:tcPr>
            <w:tcW w:w="74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
        </w:trPr>
        <w:tc>
          <w:tcPr>
            <w:tcW w:w="2560" w:type="dxa"/>
            <w:vAlign w:val="bottom"/>
          </w:tcPr>
          <w:p>
            <w:pPr>
              <w:spacing w:after="0"/>
              <w:rPr>
                <w:sz w:val="4"/>
                <w:szCs w:val="4"/>
                <w:color w:val="auto"/>
              </w:rPr>
            </w:pPr>
          </w:p>
        </w:tc>
        <w:tc>
          <w:tcPr>
            <w:tcW w:w="168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HDNet Holdco LLC (Anthem Sports &amp; Entertainment Inc.)</w:t>
            </w:r>
          </w:p>
        </w:tc>
        <w:tc>
          <w:tcPr>
            <w:tcW w:w="1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Media: Broadcasting &amp; Subscription</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0.2</w:t>
            </w:r>
          </w:p>
        </w:tc>
        <w:tc>
          <w:tcPr>
            <w:tcW w:w="24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31</w:t>
            </w: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(7)(19)</w:t>
            </w:r>
          </w:p>
        </w:tc>
        <w:tc>
          <w:tcPr>
            <w:tcW w:w="0" w:type="dxa"/>
            <w:vAlign w:val="bottom"/>
          </w:tcPr>
          <w:p>
            <w:pPr>
              <w:spacing w:after="0"/>
              <w:rPr>
                <w:sz w:val="1"/>
                <w:szCs w:val="1"/>
                <w:color w:val="auto"/>
              </w:rPr>
            </w:pPr>
          </w:p>
        </w:tc>
      </w:tr>
      <w:tr>
        <w:trPr>
          <w:trHeight w:val="120"/>
        </w:trPr>
        <w:tc>
          <w:tcPr>
            <w:tcW w:w="25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Derivatives</w:t>
            </w:r>
          </w:p>
        </w:tc>
        <w:tc>
          <w:tcPr>
            <w:tcW w:w="1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31</w:t>
            </w:r>
          </w:p>
        </w:tc>
        <w:tc>
          <w:tcPr>
            <w:tcW w:w="1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in Non-Control, Non-Affiliate Portfolio</w:t>
            </w:r>
          </w:p>
        </w:tc>
        <w:tc>
          <w:tcPr>
            <w:tcW w:w="16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426,630</w:t>
            </w: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398,325</w:t>
            </w: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Companies</w:t>
            </w:r>
          </w:p>
        </w:tc>
        <w:tc>
          <w:tcPr>
            <w:tcW w:w="16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b w:val="1"/>
                <w:bCs w:val="1"/>
                <w:color w:val="auto"/>
              </w:rPr>
              <w:t>Investments in Affiliate Portfolio Companies - 25.9%</w:t>
            </w:r>
            <w:r>
              <w:rPr>
                <w:rFonts w:ascii="Times New Roman" w:cs="Times New Roman" w:eastAsia="Times New Roman" w:hAnsi="Times New Roman"/>
                <w:sz w:val="12"/>
                <w:szCs w:val="12"/>
                <w:b w:val="1"/>
                <w:bCs w:val="1"/>
                <w:color w:val="auto"/>
                <w:vertAlign w:val="superscript"/>
              </w:rPr>
              <w:t>(17)</w:t>
            </w:r>
          </w:p>
        </w:tc>
        <w:tc>
          <w:tcPr>
            <w:tcW w:w="1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Second Lien/Senior Secured Debt - 1.7%</w:t>
            </w:r>
          </w:p>
        </w:tc>
        <w:tc>
          <w:tcPr>
            <w:tcW w:w="16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Northeast Metal Works LLC</w:t>
            </w:r>
          </w:p>
        </w:tc>
        <w:tc>
          <w:tcPr>
            <w:tcW w:w="168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Metals &amp; Mining</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8.00%</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4/5/2028</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4,500</w:t>
            </w:r>
          </w:p>
        </w:tc>
        <w:tc>
          <w:tcPr>
            <w:tcW w:w="24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4,500</w:t>
            </w:r>
          </w:p>
        </w:tc>
        <w:tc>
          <w:tcPr>
            <w:tcW w:w="1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3,560</w:t>
            </w: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Total Second Lien/Senior Secured Debt</w:t>
            </w:r>
          </w:p>
        </w:tc>
        <w:tc>
          <w:tcPr>
            <w:tcW w:w="16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4,500</w:t>
            </w: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3,560</w:t>
            </w: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Joint Ventures - 21.1%</w:t>
            </w:r>
          </w:p>
        </w:tc>
        <w:tc>
          <w:tcPr>
            <w:tcW w:w="1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Series A-Great Lakes Funding II LLC</w:t>
            </w:r>
          </w:p>
        </w:tc>
        <w:tc>
          <w:tcPr>
            <w:tcW w:w="1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Joint Venture</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44,000</w:t>
            </w: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45,012</w:t>
            </w:r>
          </w:p>
        </w:tc>
        <w:tc>
          <w:tcPr>
            <w:tcW w:w="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(7)(9)(20)(26)</w:t>
            </w:r>
          </w:p>
        </w:tc>
        <w:tc>
          <w:tcPr>
            <w:tcW w:w="0" w:type="dxa"/>
            <w:vAlign w:val="bottom"/>
          </w:tcPr>
          <w:p>
            <w:pPr>
              <w:spacing w:after="0"/>
              <w:rPr>
                <w:sz w:val="1"/>
                <w:szCs w:val="1"/>
                <w:color w:val="auto"/>
              </w:rPr>
            </w:pPr>
          </w:p>
        </w:tc>
      </w:tr>
      <w:tr>
        <w:trPr>
          <w:trHeight w:val="120"/>
        </w:trPr>
        <w:tc>
          <w:tcPr>
            <w:tcW w:w="25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Joint Ventures</w:t>
            </w:r>
          </w:p>
        </w:tc>
        <w:tc>
          <w:tcPr>
            <w:tcW w:w="1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44,000</w:t>
            </w:r>
          </w:p>
        </w:tc>
        <w:tc>
          <w:tcPr>
            <w:tcW w:w="1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45,012</w:t>
            </w: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Preferred Stock and Units - 2.6%</w:t>
            </w:r>
          </w:p>
        </w:tc>
        <w:tc>
          <w:tcPr>
            <w:tcW w:w="16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BMP Slappey Holdco, LLC</w:t>
            </w:r>
          </w:p>
        </w:tc>
        <w:tc>
          <w:tcPr>
            <w:tcW w:w="168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Telecommunications</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200,000</w:t>
            </w:r>
          </w:p>
        </w:tc>
        <w:tc>
          <w:tcPr>
            <w:tcW w:w="24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467</w:t>
            </w:r>
          </w:p>
        </w:tc>
        <w:tc>
          <w:tcPr>
            <w:tcW w:w="1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553</w:t>
            </w: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(21)</w:t>
            </w:r>
          </w:p>
        </w:tc>
        <w:tc>
          <w:tcPr>
            <w:tcW w:w="0" w:type="dxa"/>
            <w:vAlign w:val="bottom"/>
          </w:tcPr>
          <w:p>
            <w:pPr>
              <w:spacing w:after="0"/>
              <w:rPr>
                <w:sz w:val="1"/>
                <w:szCs w:val="1"/>
                <w:color w:val="auto"/>
              </w:rPr>
            </w:pPr>
          </w:p>
        </w:tc>
      </w:tr>
      <w:tr>
        <w:trPr>
          <w:trHeight w:val="120"/>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BMP Slappey Investment II</w:t>
            </w:r>
          </w:p>
        </w:tc>
        <w:tc>
          <w:tcPr>
            <w:tcW w:w="1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Telecommunications</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88,946</w:t>
            </w:r>
          </w:p>
        </w:tc>
        <w:tc>
          <w:tcPr>
            <w:tcW w:w="24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208</w:t>
            </w: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246</w:t>
            </w:r>
          </w:p>
        </w:tc>
        <w:tc>
          <w:tcPr>
            <w:tcW w:w="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(21)</w:t>
            </w:r>
          </w:p>
        </w:tc>
        <w:tc>
          <w:tcPr>
            <w:tcW w:w="0" w:type="dxa"/>
            <w:vAlign w:val="bottom"/>
          </w:tcPr>
          <w:p>
            <w:pPr>
              <w:spacing w:after="0"/>
              <w:rPr>
                <w:sz w:val="1"/>
                <w:szCs w:val="1"/>
                <w:color w:val="auto"/>
              </w:rPr>
            </w:pPr>
          </w:p>
        </w:tc>
      </w:tr>
      <w:tr>
        <w:trPr>
          <w:trHeight w:val="120"/>
        </w:trPr>
        <w:tc>
          <w:tcPr>
            <w:tcW w:w="2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GreenPark Infrastructure, LLC - Series A</w:t>
            </w:r>
          </w:p>
        </w:tc>
        <w:tc>
          <w:tcPr>
            <w:tcW w:w="168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Energy: Electricity</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1,000</w:t>
            </w:r>
          </w:p>
        </w:tc>
        <w:tc>
          <w:tcPr>
            <w:tcW w:w="24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500</w:t>
            </w:r>
          </w:p>
        </w:tc>
        <w:tc>
          <w:tcPr>
            <w:tcW w:w="1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500</w:t>
            </w: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(22)</w:t>
            </w:r>
          </w:p>
        </w:tc>
        <w:tc>
          <w:tcPr>
            <w:tcW w:w="0" w:type="dxa"/>
            <w:vAlign w:val="bottom"/>
          </w:tcPr>
          <w:p>
            <w:pPr>
              <w:spacing w:after="0"/>
              <w:rPr>
                <w:sz w:val="1"/>
                <w:szCs w:val="1"/>
                <w:color w:val="auto"/>
              </w:rPr>
            </w:pPr>
          </w:p>
        </w:tc>
      </w:tr>
      <w:tr>
        <w:trPr>
          <w:trHeight w:val="120"/>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Northeast Metal Works LLC - Class O Preferred</w:t>
            </w:r>
          </w:p>
        </w:tc>
        <w:tc>
          <w:tcPr>
            <w:tcW w:w="1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Metals &amp; Mining</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4,500,000</w:t>
            </w:r>
          </w:p>
        </w:tc>
        <w:tc>
          <w:tcPr>
            <w:tcW w:w="24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4,500</w:t>
            </w: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4,182</w:t>
            </w:r>
          </w:p>
        </w:tc>
        <w:tc>
          <w:tcPr>
            <w:tcW w:w="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(25)</w:t>
            </w:r>
          </w:p>
        </w:tc>
        <w:tc>
          <w:tcPr>
            <w:tcW w:w="0" w:type="dxa"/>
            <w:vAlign w:val="bottom"/>
          </w:tcPr>
          <w:p>
            <w:pPr>
              <w:spacing w:after="0"/>
              <w:rPr>
                <w:sz w:val="1"/>
                <w:szCs w:val="1"/>
                <w:color w:val="auto"/>
              </w:rPr>
            </w:pPr>
          </w:p>
        </w:tc>
      </w:tr>
      <w:tr>
        <w:trPr>
          <w:trHeight w:val="120"/>
        </w:trPr>
        <w:tc>
          <w:tcPr>
            <w:tcW w:w="2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Northeast Metal Works LLC - Preferred</w:t>
            </w:r>
          </w:p>
        </w:tc>
        <w:tc>
          <w:tcPr>
            <w:tcW w:w="168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Metals &amp; Mining</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2,368</w:t>
            </w:r>
          </w:p>
        </w:tc>
        <w:tc>
          <w:tcPr>
            <w:tcW w:w="24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(21)</w:t>
            </w:r>
          </w:p>
        </w:tc>
        <w:tc>
          <w:tcPr>
            <w:tcW w:w="0" w:type="dxa"/>
            <w:vAlign w:val="bottom"/>
          </w:tcPr>
          <w:p>
            <w:pPr>
              <w:spacing w:after="0"/>
              <w:rPr>
                <w:sz w:val="1"/>
                <w:szCs w:val="1"/>
                <w:color w:val="auto"/>
              </w:rPr>
            </w:pPr>
          </w:p>
        </w:tc>
      </w:tr>
      <w:tr>
        <w:trPr>
          <w:trHeight w:val="120"/>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Total Preferred Stock and Units</w:t>
            </w:r>
          </w:p>
        </w:tc>
        <w:tc>
          <w:tcPr>
            <w:tcW w:w="16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5,675</w:t>
            </w: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5,481</w:t>
            </w: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Common Stock and Membership Units - 0.5%</w:t>
            </w:r>
          </w:p>
        </w:tc>
        <w:tc>
          <w:tcPr>
            <w:tcW w:w="1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GreenPark Infrastructure, LLC - Series M-1</w:t>
            </w:r>
          </w:p>
        </w:tc>
        <w:tc>
          <w:tcPr>
            <w:tcW w:w="1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Energy: Electricity</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500</w:t>
            </w:r>
          </w:p>
        </w:tc>
        <w:tc>
          <w:tcPr>
            <w:tcW w:w="24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171</w:t>
            </w: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171</w:t>
            </w:r>
          </w:p>
        </w:tc>
        <w:tc>
          <w:tcPr>
            <w:tcW w:w="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(20)(22)</w:t>
            </w:r>
          </w:p>
        </w:tc>
        <w:tc>
          <w:tcPr>
            <w:tcW w:w="0" w:type="dxa"/>
            <w:vAlign w:val="bottom"/>
          </w:tcPr>
          <w:p>
            <w:pPr>
              <w:spacing w:after="0"/>
              <w:rPr>
                <w:sz w:val="1"/>
                <w:szCs w:val="1"/>
                <w:color w:val="auto"/>
              </w:rPr>
            </w:pPr>
          </w:p>
        </w:tc>
      </w:tr>
      <w:tr>
        <w:trPr>
          <w:trHeight w:val="120"/>
        </w:trPr>
        <w:tc>
          <w:tcPr>
            <w:tcW w:w="2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Kleen-Tech Acquisition, LLC</w:t>
            </w:r>
          </w:p>
        </w:tc>
        <w:tc>
          <w:tcPr>
            <w:tcW w:w="168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Services: Business</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250,000</w:t>
            </w:r>
          </w:p>
        </w:tc>
        <w:tc>
          <w:tcPr>
            <w:tcW w:w="24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1,265</w:t>
            </w:r>
          </w:p>
        </w:tc>
        <w:tc>
          <w:tcPr>
            <w:tcW w:w="1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998</w:t>
            </w: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(21)</w:t>
            </w:r>
          </w:p>
        </w:tc>
        <w:tc>
          <w:tcPr>
            <w:tcW w:w="0" w:type="dxa"/>
            <w:vAlign w:val="bottom"/>
          </w:tcPr>
          <w:p>
            <w:pPr>
              <w:spacing w:after="0"/>
              <w:rPr>
                <w:sz w:val="1"/>
                <w:szCs w:val="1"/>
                <w:color w:val="auto"/>
              </w:rPr>
            </w:pPr>
          </w:p>
        </w:tc>
      </w:tr>
      <w:tr>
        <w:trPr>
          <w:trHeight w:val="120"/>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Total Common Stock and Membership Units</w:t>
            </w:r>
          </w:p>
        </w:tc>
        <w:tc>
          <w:tcPr>
            <w:tcW w:w="16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1,436</w:t>
            </w: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1,169</w:t>
            </w: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in Affiliate Portfolio Companies</w:t>
            </w:r>
          </w:p>
        </w:tc>
        <w:tc>
          <w:tcPr>
            <w:tcW w:w="1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55,611</w:t>
            </w:r>
          </w:p>
        </w:tc>
        <w:tc>
          <w:tcPr>
            <w:tcW w:w="1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55,222</w:t>
            </w: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Investments in Controlled Afilliated Portfolio Companies -</w:t>
            </w:r>
          </w:p>
        </w:tc>
        <w:tc>
          <w:tcPr>
            <w:tcW w:w="16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6.7%</w:t>
            </w:r>
            <w:r>
              <w:rPr>
                <w:rFonts w:ascii="Times New Roman" w:cs="Times New Roman" w:eastAsia="Times New Roman" w:hAnsi="Times New Roman"/>
                <w:sz w:val="12"/>
                <w:szCs w:val="12"/>
                <w:b w:val="1"/>
                <w:bCs w:val="1"/>
                <w:color w:val="auto"/>
                <w:vertAlign w:val="superscript"/>
              </w:rPr>
              <w:t>(8)</w:t>
            </w:r>
          </w:p>
        </w:tc>
        <w:tc>
          <w:tcPr>
            <w:tcW w:w="168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CFF0FC"/>
            </w:tcBorders>
            <w:shd w:val="clear" w:color="auto" w:fill="CFF0FC"/>
          </w:tcPr>
          <w:p>
            <w:pPr>
              <w:spacing w:after="0"/>
              <w:rPr>
                <w:sz w:val="14"/>
                <w:szCs w:val="14"/>
                <w:color w:val="auto"/>
              </w:rPr>
            </w:pPr>
          </w:p>
        </w:tc>
        <w:tc>
          <w:tcPr>
            <w:tcW w:w="88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5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Subordinated Debt - 0.0%</w:t>
            </w:r>
          </w:p>
        </w:tc>
        <w:tc>
          <w:tcPr>
            <w:tcW w:w="1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ProAir, LLC</w:t>
            </w:r>
          </w:p>
        </w:tc>
        <w:tc>
          <w:tcPr>
            <w:tcW w:w="1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Capital Equipment</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2"/>
              </w:rPr>
              <w:t>17.75% PIK</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8"/>
              </w:rPr>
              <w:t>1/31/2023</w:t>
            </w:r>
          </w:p>
        </w:tc>
        <w:tc>
          <w:tcPr>
            <w:tcW w:w="8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2,020</w:t>
            </w:r>
          </w:p>
        </w:tc>
        <w:tc>
          <w:tcPr>
            <w:tcW w:w="24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1,931</w:t>
            </w: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(5)</w:t>
            </w:r>
          </w:p>
        </w:tc>
        <w:tc>
          <w:tcPr>
            <w:tcW w:w="0" w:type="dxa"/>
            <w:vAlign w:val="bottom"/>
          </w:tcPr>
          <w:p>
            <w:pPr>
              <w:spacing w:after="0"/>
              <w:rPr>
                <w:sz w:val="1"/>
                <w:szCs w:val="1"/>
                <w:color w:val="auto"/>
              </w:rPr>
            </w:pPr>
          </w:p>
        </w:tc>
      </w:tr>
      <w:tr>
        <w:trPr>
          <w:trHeight w:val="120"/>
        </w:trPr>
        <w:tc>
          <w:tcPr>
            <w:tcW w:w="2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Tank Partners Equipment Holdings LLC</w:t>
            </w:r>
          </w:p>
        </w:tc>
        <w:tc>
          <w:tcPr>
            <w:tcW w:w="168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Energy: Oil &amp; Gas</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10.00% PIK</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2/15/2022</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511</w:t>
            </w:r>
          </w:p>
        </w:tc>
        <w:tc>
          <w:tcPr>
            <w:tcW w:w="24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416</w:t>
            </w:r>
          </w:p>
        </w:tc>
        <w:tc>
          <w:tcPr>
            <w:tcW w:w="1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43</w:t>
            </w: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(5)</w:t>
            </w:r>
          </w:p>
        </w:tc>
        <w:tc>
          <w:tcPr>
            <w:tcW w:w="0" w:type="dxa"/>
            <w:vAlign w:val="bottom"/>
          </w:tcPr>
          <w:p>
            <w:pPr>
              <w:spacing w:after="0"/>
              <w:rPr>
                <w:sz w:val="1"/>
                <w:szCs w:val="1"/>
                <w:color w:val="auto"/>
              </w:rPr>
            </w:pPr>
          </w:p>
        </w:tc>
      </w:tr>
      <w:tr>
        <w:trPr>
          <w:trHeight w:val="120"/>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Total Subordinated Debt</w:t>
            </w:r>
          </w:p>
        </w:tc>
        <w:tc>
          <w:tcPr>
            <w:tcW w:w="16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2,347</w:t>
            </w: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43</w:t>
            </w: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Common Stock and Membership Units - 0.0%</w:t>
            </w:r>
          </w:p>
        </w:tc>
        <w:tc>
          <w:tcPr>
            <w:tcW w:w="1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ProAir HoldCo, LLC</w:t>
            </w:r>
          </w:p>
        </w:tc>
        <w:tc>
          <w:tcPr>
            <w:tcW w:w="1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Capital Equipment</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2,749,997</w:t>
            </w:r>
          </w:p>
        </w:tc>
        <w:tc>
          <w:tcPr>
            <w:tcW w:w="24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4,260</w:t>
            </w: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Tank Partners Equipment Holdings LLC - Class A</w:t>
            </w:r>
          </w:p>
        </w:tc>
        <w:tc>
          <w:tcPr>
            <w:tcW w:w="168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Energy: Oil &amp; Gas</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49,000</w:t>
            </w:r>
          </w:p>
        </w:tc>
        <w:tc>
          <w:tcPr>
            <w:tcW w:w="24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6,228</w:t>
            </w:r>
          </w:p>
        </w:tc>
        <w:tc>
          <w:tcPr>
            <w:tcW w:w="1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(5)</w:t>
            </w:r>
          </w:p>
        </w:tc>
        <w:tc>
          <w:tcPr>
            <w:tcW w:w="0" w:type="dxa"/>
            <w:vAlign w:val="bottom"/>
          </w:tcPr>
          <w:p>
            <w:pPr>
              <w:spacing w:after="0"/>
              <w:rPr>
                <w:sz w:val="1"/>
                <w:szCs w:val="1"/>
                <w:color w:val="auto"/>
              </w:rPr>
            </w:pPr>
          </w:p>
        </w:tc>
      </w:tr>
      <w:tr>
        <w:trPr>
          <w:trHeight w:val="120"/>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Total Common Stock and Membership Units</w:t>
            </w:r>
          </w:p>
        </w:tc>
        <w:tc>
          <w:tcPr>
            <w:tcW w:w="16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10,488</w:t>
            </w: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Joint Ventures - 6.7%</w:t>
            </w:r>
          </w:p>
        </w:tc>
        <w:tc>
          <w:tcPr>
            <w:tcW w:w="1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KCAP Freedom 3 LLC</w:t>
            </w:r>
          </w:p>
        </w:tc>
        <w:tc>
          <w:tcPr>
            <w:tcW w:w="1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Joint Venture</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27,415</w:t>
            </w: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14,275</w:t>
            </w:r>
          </w:p>
        </w:tc>
        <w:tc>
          <w:tcPr>
            <w:tcW w:w="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(7)</w:t>
            </w:r>
          </w:p>
        </w:tc>
        <w:tc>
          <w:tcPr>
            <w:tcW w:w="0" w:type="dxa"/>
            <w:vAlign w:val="bottom"/>
          </w:tcPr>
          <w:p>
            <w:pPr>
              <w:spacing w:after="0"/>
              <w:rPr>
                <w:sz w:val="1"/>
                <w:szCs w:val="1"/>
                <w:color w:val="auto"/>
              </w:rPr>
            </w:pPr>
          </w:p>
        </w:tc>
      </w:tr>
      <w:tr>
        <w:trPr>
          <w:trHeight w:val="120"/>
        </w:trPr>
        <w:tc>
          <w:tcPr>
            <w:tcW w:w="25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Joint Ventures</w:t>
            </w:r>
          </w:p>
        </w:tc>
        <w:tc>
          <w:tcPr>
            <w:tcW w:w="1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27,415</w:t>
            </w:r>
          </w:p>
        </w:tc>
        <w:tc>
          <w:tcPr>
            <w:tcW w:w="1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14,275</w:t>
            </w: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Asset Manager Affiliates - 0.0%</w:t>
            </w:r>
          </w:p>
        </w:tc>
        <w:tc>
          <w:tcPr>
            <w:tcW w:w="16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Asset Management Company</w:t>
            </w:r>
          </w:p>
        </w:tc>
        <w:tc>
          <w:tcPr>
            <w:tcW w:w="168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Asset Management Company</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17,791</w:t>
            </w:r>
          </w:p>
        </w:tc>
        <w:tc>
          <w:tcPr>
            <w:tcW w:w="1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(7)</w:t>
            </w:r>
          </w:p>
        </w:tc>
        <w:tc>
          <w:tcPr>
            <w:tcW w:w="0" w:type="dxa"/>
            <w:vAlign w:val="bottom"/>
          </w:tcPr>
          <w:p>
            <w:pPr>
              <w:spacing w:after="0"/>
              <w:rPr>
                <w:sz w:val="1"/>
                <w:szCs w:val="1"/>
                <w:color w:val="auto"/>
              </w:rPr>
            </w:pPr>
          </w:p>
        </w:tc>
      </w:tr>
      <w:tr>
        <w:trPr>
          <w:trHeight w:val="120"/>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Total Asset Manager Affiliates</w:t>
            </w:r>
          </w:p>
        </w:tc>
        <w:tc>
          <w:tcPr>
            <w:tcW w:w="16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17,791</w:t>
            </w: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5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in Controlled Affiliated Portfolio</w:t>
            </w:r>
          </w:p>
        </w:tc>
        <w:tc>
          <w:tcPr>
            <w:tcW w:w="1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Companies</w:t>
            </w:r>
          </w:p>
        </w:tc>
        <w:tc>
          <w:tcPr>
            <w:tcW w:w="1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58,041</w:t>
            </w:r>
          </w:p>
        </w:tc>
        <w:tc>
          <w:tcPr>
            <w:tcW w:w="1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14,318</w:t>
            </w: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- 219.1%</w:t>
            </w:r>
          </w:p>
        </w:tc>
        <w:tc>
          <w:tcPr>
            <w:tcW w:w="16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540,282</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467,865</w:t>
            </w: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1"/>
          <w:szCs w:val="11"/>
          <w:color w:val="auto"/>
        </w:rPr>
        <w:t>See accompanying notes to consolidated financial statements.</w:t>
      </w:r>
    </w:p>
    <w:p>
      <w:pPr>
        <w:spacing w:after="0" w:line="10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1"/>
          <w:szCs w:val="11"/>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71" w:name="page72"/>
    <w:bookmarkEnd w:id="71"/>
    <w:p>
      <w:pPr>
        <w:jc w:val="center"/>
        <w:ind w:right="-25"/>
        <w:spacing w:after="0"/>
        <w:rPr>
          <w:sz w:val="20"/>
          <w:szCs w:val="20"/>
          <w:color w:val="auto"/>
        </w:rPr>
      </w:pPr>
      <w:r>
        <w:rPr>
          <w:rFonts w:ascii="Times New Roman" w:cs="Times New Roman" w:eastAsia="Times New Roman" w:hAnsi="Times New Roman"/>
          <w:sz w:val="13"/>
          <w:szCs w:val="13"/>
          <w:b w:val="1"/>
          <w:bCs w:val="1"/>
          <w:color w:val="auto"/>
        </w:rPr>
        <w:t>PORTMAN RIDGE FINANCE CORPORATION</w:t>
      </w:r>
    </w:p>
    <w:p>
      <w:pPr>
        <w:spacing w:after="0" w:line="23"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 CONTINUED</w:t>
      </w:r>
    </w:p>
    <w:p>
      <w:pPr>
        <w:spacing w:after="0" w:line="7"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7"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232" w:lineRule="exact"/>
        <w:rPr>
          <w:sz w:val="20"/>
          <w:szCs w:val="20"/>
          <w:color w:val="auto"/>
        </w:rPr>
      </w:pPr>
    </w:p>
    <w:p>
      <w:pPr>
        <w:ind w:left="6" w:right="40"/>
        <w:spacing w:after="0" w:line="259" w:lineRule="auto"/>
        <w:rPr>
          <w:sz w:val="20"/>
          <w:szCs w:val="20"/>
          <w:color w:val="auto"/>
        </w:rPr>
      </w:pPr>
      <w:r>
        <w:rPr>
          <w:rFonts w:ascii="Times New Roman" w:cs="Times New Roman" w:eastAsia="Times New Roman" w:hAnsi="Times New Roman"/>
          <w:sz w:val="11"/>
          <w:szCs w:val="11"/>
          <w:color w:val="auto"/>
        </w:rPr>
        <w:t>(1)A majority of the variable rate loans in the Company’s investment portfolio bear interest at a rate that may be determined by reference to either SOFR or an alternate Base Rate (commonly based on the Federal Funds Rate or the Prime Rate), which typically resets semi-annually, quarterly, or monthly at the borrower’s option. The Borrower may also elect to have multiple interest reset periods for each December 31, 2023 loan. L loans are typically indexed to 12 month, 6 month, 3 month, 2 month or 1 month S rates. For each such loan, the Company has provided the weighted average annual stated interest rate in effect at December 31, 2023. As noted in the table above, 77.4% (based on par) of debt securities contain floors which range between 0.50% and 2.50%.</w:t>
      </w:r>
    </w:p>
    <w:p>
      <w:pPr>
        <w:spacing w:after="0" w:line="78" w:lineRule="exact"/>
        <w:rPr>
          <w:sz w:val="20"/>
          <w:szCs w:val="20"/>
          <w:color w:val="auto"/>
        </w:rPr>
      </w:pPr>
    </w:p>
    <w:p>
      <w:pPr>
        <w:ind w:left="6" w:right="100"/>
        <w:spacing w:after="0" w:line="276" w:lineRule="auto"/>
        <w:rPr>
          <w:sz w:val="20"/>
          <w:szCs w:val="20"/>
          <w:color w:val="auto"/>
        </w:rPr>
      </w:pPr>
      <w:r>
        <w:rPr>
          <w:rFonts w:ascii="Times New Roman" w:cs="Times New Roman" w:eastAsia="Times New Roman" w:hAnsi="Times New Roman"/>
          <w:sz w:val="11"/>
          <w:szCs w:val="11"/>
          <w:color w:val="auto"/>
        </w:rPr>
        <w:t>(2)Reflects the fair market value of all investments as of December 31, 2023 as determined in good faith using significant unobservable inputs by the Adviser in its role as “valuation designee” in accordance with Rule 2a-5 under the 1940 Act, pursuant to valuation policies and procedures that have been approved by the Company’s board of directors (the “Board”).</w:t>
      </w:r>
    </w:p>
    <w:p>
      <w:pPr>
        <w:spacing w:after="0" w:line="6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1"/>
          <w:szCs w:val="11"/>
          <w:color w:val="auto"/>
        </w:rPr>
        <w:t>(3)Non-U.S. company or principal place of business outside the U.S.</w:t>
      </w:r>
    </w:p>
    <w:p>
      <w:pPr>
        <w:spacing w:after="0" w:line="102" w:lineRule="exact"/>
        <w:rPr>
          <w:sz w:val="20"/>
          <w:szCs w:val="20"/>
          <w:color w:val="auto"/>
        </w:rPr>
      </w:pPr>
    </w:p>
    <w:p>
      <w:pPr>
        <w:ind w:left="6" w:right="160"/>
        <w:spacing w:after="0" w:line="276" w:lineRule="auto"/>
        <w:rPr>
          <w:sz w:val="20"/>
          <w:szCs w:val="20"/>
          <w:color w:val="auto"/>
        </w:rPr>
      </w:pPr>
      <w:r>
        <w:rPr>
          <w:rFonts w:ascii="Times New Roman" w:cs="Times New Roman" w:eastAsia="Times New Roman" w:hAnsi="Times New Roman"/>
          <w:sz w:val="11"/>
          <w:szCs w:val="11"/>
          <w:color w:val="auto"/>
        </w:rPr>
        <w:t>(4)The aggregate cost of investments for federal income tax purposes is approximately $539.8 million. The aggregate gross unrealized appreciation is approximately $36.3 million, the aggregate gross unrealized depreciation is approximately $34.7 million, and the net unrealized depreciation is approximately $1.6 million.</w:t>
      </w:r>
    </w:p>
    <w:p>
      <w:pPr>
        <w:spacing w:after="0" w:line="6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1"/>
          <w:szCs w:val="11"/>
          <w:color w:val="auto"/>
        </w:rPr>
        <w:t>(5)Loan or debt security is on non-accrual status and therefore is considered non-income producing.</w:t>
      </w:r>
    </w:p>
    <w:p>
      <w:pPr>
        <w:spacing w:after="0" w:line="10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1"/>
          <w:szCs w:val="11"/>
          <w:color w:val="auto"/>
        </w:rPr>
        <w:t>(6)Held through Garrison Capital Equity Holdings II LLC and net of non-controlling member’s interest of 17.5% pursuant to the Amended and Restated Limited Liability Company Agreement of Garrison Capital Equity Holdings II LLC.</w:t>
      </w:r>
    </w:p>
    <w:p>
      <w:pPr>
        <w:spacing w:after="0" w:line="102" w:lineRule="exact"/>
        <w:rPr>
          <w:sz w:val="20"/>
          <w:szCs w:val="20"/>
          <w:color w:val="auto"/>
        </w:rPr>
      </w:pPr>
    </w:p>
    <w:p>
      <w:pPr>
        <w:ind w:left="6" w:right="80"/>
        <w:spacing w:after="0" w:line="276" w:lineRule="auto"/>
        <w:rPr>
          <w:sz w:val="20"/>
          <w:szCs w:val="20"/>
          <w:color w:val="auto"/>
        </w:rPr>
      </w:pPr>
      <w:r>
        <w:rPr>
          <w:rFonts w:ascii="Times New Roman" w:cs="Times New Roman" w:eastAsia="Times New Roman" w:hAnsi="Times New Roman"/>
          <w:sz w:val="11"/>
          <w:szCs w:val="11"/>
          <w:color w:val="auto"/>
        </w:rPr>
        <w:t>(7)The investment is treated as a non-qualifying asset under Section 55(a) of the 1940 Act. Under the 1940 Act, we may not acquire any non-qualifying asset unless, at the time the acquisition is made, qualifying assets represent at least 70% of our total assets. As of December 31, 2023, qualifying assets represent 86.6% of the Company's total assets and non-qualifying assets represent 13.4% of the Company's total assets.</w:t>
      </w:r>
    </w:p>
    <w:p>
      <w:pPr>
        <w:spacing w:after="0" w:line="69" w:lineRule="exact"/>
        <w:rPr>
          <w:sz w:val="20"/>
          <w:szCs w:val="20"/>
          <w:color w:val="auto"/>
        </w:rPr>
      </w:pPr>
    </w:p>
    <w:p>
      <w:pPr>
        <w:ind w:left="6" w:right="240"/>
        <w:spacing w:after="0" w:line="276" w:lineRule="auto"/>
        <w:rPr>
          <w:sz w:val="20"/>
          <w:szCs w:val="20"/>
          <w:color w:val="auto"/>
        </w:rPr>
      </w:pPr>
      <w:r>
        <w:rPr>
          <w:rFonts w:ascii="Times New Roman" w:cs="Times New Roman" w:eastAsia="Times New Roman" w:hAnsi="Times New Roman"/>
          <w:sz w:val="11"/>
          <w:szCs w:val="11"/>
          <w:color w:val="auto"/>
        </w:rPr>
        <w:t>(8)As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spacing w:after="0" w:line="6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1"/>
          <w:szCs w:val="11"/>
          <w:color w:val="auto"/>
        </w:rPr>
        <w:t>(9)Non-voting.</w:t>
      </w:r>
    </w:p>
    <w:p>
      <w:pPr>
        <w:spacing w:after="0" w:line="102" w:lineRule="exact"/>
        <w:rPr>
          <w:sz w:val="20"/>
          <w:szCs w:val="20"/>
          <w:color w:val="auto"/>
        </w:rPr>
      </w:pPr>
    </w:p>
    <w:p>
      <w:pPr>
        <w:jc w:val="both"/>
        <w:ind w:left="6" w:right="300"/>
        <w:spacing w:after="0" w:line="263" w:lineRule="auto"/>
        <w:rPr>
          <w:sz w:val="20"/>
          <w:szCs w:val="20"/>
          <w:color w:val="auto"/>
        </w:rPr>
      </w:pPr>
      <w:r>
        <w:rPr>
          <w:rFonts w:ascii="Times New Roman" w:cs="Times New Roman" w:eastAsia="Times New Roman" w:hAnsi="Times New Roman"/>
          <w:sz w:val="11"/>
          <w:szCs w:val="11"/>
          <w:color w:val="auto"/>
        </w:rPr>
        <w:t>(10)CLO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7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1"/>
          <w:szCs w:val="11"/>
          <w:color w:val="auto"/>
        </w:rPr>
        <w:t>(11)This investment is on non-accrual status and receives a 5% royalty interest on oil being produced on certain fields. All production payments received are being applied to the cost basis and are considered return of capital.</w:t>
      </w:r>
    </w:p>
    <w:p>
      <w:pPr>
        <w:spacing w:after="0" w:line="10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1"/>
          <w:szCs w:val="11"/>
          <w:color w:val="auto"/>
        </w:rPr>
        <w:t>(12)All investments valued using unobservable inputs (Level III), unless otherwise noted.</w:t>
      </w:r>
    </w:p>
    <w:p>
      <w:pPr>
        <w:spacing w:after="0" w:line="10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1"/>
          <w:szCs w:val="11"/>
          <w:color w:val="auto"/>
        </w:rPr>
        <w:t>(13)As of December 31, 2023, this investment is pledged to secure the Company’s debt obligations.</w:t>
      </w:r>
    </w:p>
    <w:p>
      <w:pPr>
        <w:spacing w:after="0" w:line="102" w:lineRule="exact"/>
        <w:rPr>
          <w:sz w:val="20"/>
          <w:szCs w:val="20"/>
          <w:color w:val="auto"/>
        </w:rPr>
      </w:pPr>
    </w:p>
    <w:p>
      <w:pPr>
        <w:ind w:left="6"/>
        <w:spacing w:after="0" w:line="276" w:lineRule="auto"/>
        <w:rPr>
          <w:sz w:val="20"/>
          <w:szCs w:val="20"/>
          <w:color w:val="auto"/>
        </w:rPr>
      </w:pPr>
      <w:r>
        <w:rPr>
          <w:rFonts w:ascii="Times New Roman" w:cs="Times New Roman" w:eastAsia="Times New Roman" w:hAnsi="Times New Roman"/>
          <w:sz w:val="11"/>
          <w:szCs w:val="11"/>
          <w:color w:val="auto"/>
        </w:rPr>
        <w:t>(14)The Company's investments are generally acquired in private transactions exempt from registration under the Securities Act of 1933, as amended (the “Securities Act”) and, therefore, are generally subject to limitations on resale, and may be deemed to be “restricted securities'' under the Securities Act of 1933.</w:t>
      </w:r>
    </w:p>
    <w:p>
      <w:pPr>
        <w:spacing w:after="0" w:line="6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1"/>
          <w:szCs w:val="11"/>
          <w:color w:val="auto"/>
        </w:rPr>
        <w:t>(15)This investment is classified as Level II.</w:t>
      </w:r>
    </w:p>
    <w:p>
      <w:pPr>
        <w:spacing w:after="0" w:line="10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1"/>
          <w:szCs w:val="11"/>
          <w:color w:val="auto"/>
        </w:rPr>
        <w:t>(16)This investment is held by the Company's wholly-owned subsidiary Garrison Capital Equity Holdings XI LLC.</w:t>
      </w:r>
    </w:p>
    <w:p>
      <w:pPr>
        <w:spacing w:after="0" w:line="102" w:lineRule="exact"/>
        <w:rPr>
          <w:sz w:val="20"/>
          <w:szCs w:val="20"/>
          <w:color w:val="auto"/>
        </w:rPr>
      </w:pPr>
    </w:p>
    <w:p>
      <w:pPr>
        <w:ind w:left="6" w:right="20"/>
        <w:spacing w:after="0" w:line="276" w:lineRule="auto"/>
        <w:rPr>
          <w:sz w:val="20"/>
          <w:szCs w:val="20"/>
          <w:color w:val="auto"/>
        </w:rPr>
      </w:pPr>
      <w:r>
        <w:rPr>
          <w:rFonts w:ascii="Times New Roman" w:cs="Times New Roman" w:eastAsia="Times New Roman" w:hAnsi="Times New Roman"/>
          <w:sz w:val="11"/>
          <w:szCs w:val="11"/>
          <w:color w:val="auto"/>
        </w:rPr>
        <w:t>(17)Under the 1940 Act, the Company is deemed to be an “Affiliated Person” of, as defined in the 1940 Act, this portfolio company as the Company owns at least 5% of the portfolio company’s outstanding voting securities or is under common control with such portfolio company.</w:t>
      </w:r>
    </w:p>
    <w:p>
      <w:pPr>
        <w:spacing w:after="0" w:line="6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1"/>
          <w:szCs w:val="11"/>
          <w:color w:val="auto"/>
        </w:rPr>
        <w:t>(18)Non-income producing.</w:t>
      </w:r>
    </w:p>
    <w:p>
      <w:pPr>
        <w:spacing w:after="0" w:line="10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1"/>
          <w:szCs w:val="11"/>
          <w:color w:val="auto"/>
        </w:rPr>
        <w:t>(19)Information related to the Company’s derivatives is presented below as of December 31, 2023:</w:t>
      </w:r>
    </w:p>
    <w:p>
      <w:pPr>
        <w:spacing w:after="0" w:line="28" w:lineRule="exact"/>
        <w:rPr>
          <w:sz w:val="20"/>
          <w:szCs w:val="20"/>
          <w:color w:val="auto"/>
        </w:rPr>
      </w:pPr>
    </w:p>
    <w:tbl>
      <w:tblPr>
        <w:tblLayout w:type="fixed"/>
        <w:tblInd w:w="6" w:type="dxa"/>
        <w:tblCellMar>
          <w:top w:w="0" w:type="dxa"/>
          <w:left w:w="0" w:type="dxa"/>
          <w:bottom w:w="0" w:type="dxa"/>
          <w:right w:w="0" w:type="dxa"/>
        </w:tblCellMar>
      </w:tblPr>
      <w:tr>
        <w:trPr>
          <w:trHeight w:val="126"/>
        </w:trPr>
        <w:tc>
          <w:tcPr>
            <w:tcW w:w="8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 in thousands)</w:t>
            </w:r>
          </w:p>
        </w:tc>
        <w:tc>
          <w:tcPr>
            <w:tcW w:w="2960" w:type="dxa"/>
            <w:vAlign w:val="bottom"/>
          </w:tcPr>
          <w:p>
            <w:pPr>
              <w:spacing w:after="0"/>
              <w:rPr>
                <w:sz w:val="10"/>
                <w:szCs w:val="10"/>
                <w:color w:val="auto"/>
              </w:rPr>
            </w:pPr>
          </w:p>
        </w:tc>
        <w:tc>
          <w:tcPr>
            <w:tcW w:w="1540" w:type="dxa"/>
            <w:vAlign w:val="bottom"/>
            <w:vMerge w:val="restart"/>
          </w:tcPr>
          <w:p>
            <w:pPr>
              <w:jc w:val="center"/>
              <w:ind w:left="532"/>
              <w:spacing w:after="0"/>
              <w:rPr>
                <w:sz w:val="20"/>
                <w:szCs w:val="20"/>
                <w:color w:val="auto"/>
              </w:rPr>
            </w:pPr>
            <w:r>
              <w:rPr>
                <w:rFonts w:ascii="Times New Roman" w:cs="Times New Roman" w:eastAsia="Times New Roman" w:hAnsi="Times New Roman"/>
                <w:sz w:val="10"/>
                <w:szCs w:val="10"/>
                <w:b w:val="1"/>
                <w:bCs w:val="1"/>
                <w:color w:val="auto"/>
                <w:w w:val="94"/>
              </w:rPr>
              <w:t>Number of</w:t>
            </w: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80" w:type="dxa"/>
            <w:vAlign w:val="bottom"/>
          </w:tcPr>
          <w:p>
            <w:pPr>
              <w:spacing w:after="0"/>
              <w:rPr>
                <w:sz w:val="9"/>
                <w:szCs w:val="9"/>
                <w:color w:val="auto"/>
              </w:rPr>
            </w:pPr>
          </w:p>
        </w:tc>
        <w:tc>
          <w:tcPr>
            <w:tcW w:w="2960" w:type="dxa"/>
            <w:vAlign w:val="bottom"/>
          </w:tcPr>
          <w:p>
            <w:pPr>
              <w:spacing w:after="0"/>
              <w:rPr>
                <w:sz w:val="9"/>
                <w:szCs w:val="9"/>
                <w:color w:val="auto"/>
              </w:rPr>
            </w:pPr>
          </w:p>
        </w:tc>
        <w:tc>
          <w:tcPr>
            <w:tcW w:w="15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880" w:type="dxa"/>
            <w:vAlign w:val="bottom"/>
          </w:tcPr>
          <w:p>
            <w:pPr>
              <w:ind w:left="22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2960" w:type="dxa"/>
            <w:vAlign w:val="bottom"/>
          </w:tcPr>
          <w:p>
            <w:pPr>
              <w:ind w:left="1560"/>
              <w:spacing w:after="0"/>
              <w:rPr>
                <w:sz w:val="20"/>
                <w:szCs w:val="20"/>
                <w:color w:val="auto"/>
              </w:rPr>
            </w:pPr>
            <w:r>
              <w:rPr>
                <w:rFonts w:ascii="Times New Roman" w:cs="Times New Roman" w:eastAsia="Times New Roman" w:hAnsi="Times New Roman"/>
                <w:sz w:val="10"/>
                <w:szCs w:val="10"/>
                <w:b w:val="1"/>
                <w:bCs w:val="1"/>
                <w:color w:val="auto"/>
              </w:rPr>
              <w:t>Counterparty</w:t>
            </w:r>
          </w:p>
        </w:tc>
        <w:tc>
          <w:tcPr>
            <w:tcW w:w="1540" w:type="dxa"/>
            <w:vAlign w:val="bottom"/>
          </w:tcPr>
          <w:p>
            <w:pPr>
              <w:jc w:val="center"/>
              <w:ind w:left="512"/>
              <w:spacing w:after="0"/>
              <w:rPr>
                <w:sz w:val="20"/>
                <w:szCs w:val="20"/>
                <w:color w:val="auto"/>
              </w:rPr>
            </w:pPr>
            <w:r>
              <w:rPr>
                <w:rFonts w:ascii="Times New Roman" w:cs="Times New Roman" w:eastAsia="Times New Roman" w:hAnsi="Times New Roman"/>
                <w:sz w:val="10"/>
                <w:szCs w:val="10"/>
                <w:b w:val="1"/>
                <w:bCs w:val="1"/>
                <w:color w:val="auto"/>
                <w:w w:val="95"/>
              </w:rPr>
              <w:t>shares</w:t>
            </w:r>
          </w:p>
        </w:tc>
        <w:tc>
          <w:tcPr>
            <w:tcW w:w="260" w:type="dxa"/>
            <w:vAlign w:val="bottom"/>
          </w:tcPr>
          <w:p>
            <w:pPr>
              <w:spacing w:after="0"/>
              <w:rPr>
                <w:sz w:val="10"/>
                <w:szCs w:val="10"/>
                <w:color w:val="auto"/>
              </w:rPr>
            </w:pP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w w:val="99"/>
              </w:rPr>
              <w:t>Notional amount</w:t>
            </w:r>
          </w:p>
        </w:tc>
        <w:tc>
          <w:tcPr>
            <w:tcW w:w="1160" w:type="dxa"/>
            <w:vAlign w:val="bottom"/>
          </w:tcPr>
          <w:p>
            <w:pPr>
              <w:jc w:val="right"/>
              <w:ind w:right="312"/>
              <w:spacing w:after="0"/>
              <w:rPr>
                <w:sz w:val="20"/>
                <w:szCs w:val="20"/>
                <w:color w:val="auto"/>
              </w:rPr>
            </w:pPr>
            <w:r>
              <w:rPr>
                <w:rFonts w:ascii="Times New Roman" w:cs="Times New Roman" w:eastAsia="Times New Roman" w:hAnsi="Times New Roman"/>
                <w:sz w:val="10"/>
                <w:szCs w:val="10"/>
                <w:b w:val="1"/>
                <w:bCs w:val="1"/>
                <w:color w:val="auto"/>
              </w:rPr>
              <w:t>Exercise price</w:t>
            </w:r>
          </w:p>
        </w:tc>
        <w:tc>
          <w:tcPr>
            <w:tcW w:w="1340" w:type="dxa"/>
            <w:vAlign w:val="bottom"/>
          </w:tcPr>
          <w:p>
            <w:pPr>
              <w:ind w:left="460"/>
              <w:spacing w:after="0"/>
              <w:rPr>
                <w:sz w:val="20"/>
                <w:szCs w:val="20"/>
                <w:color w:val="auto"/>
              </w:rPr>
            </w:pPr>
            <w:r>
              <w:rPr>
                <w:rFonts w:ascii="Times New Roman" w:cs="Times New Roman" w:eastAsia="Times New Roman" w:hAnsi="Times New Roman"/>
                <w:sz w:val="10"/>
                <w:szCs w:val="10"/>
                <w:b w:val="1"/>
                <w:bCs w:val="1"/>
                <w:color w:val="auto"/>
              </w:rPr>
              <w:t>Expiration date</w:t>
            </w:r>
          </w:p>
        </w:tc>
        <w:tc>
          <w:tcPr>
            <w:tcW w:w="460" w:type="dxa"/>
            <w:vAlign w:val="bottom"/>
          </w:tcPr>
          <w:p>
            <w:pPr>
              <w:spacing w:after="0"/>
              <w:rPr>
                <w:sz w:val="10"/>
                <w:szCs w:val="10"/>
                <w:color w:val="auto"/>
              </w:rPr>
            </w:pPr>
          </w:p>
        </w:tc>
        <w:tc>
          <w:tcPr>
            <w:tcW w:w="880" w:type="dxa"/>
            <w:vAlign w:val="bottom"/>
          </w:tcPr>
          <w:p>
            <w:pPr>
              <w:jc w:val="right"/>
              <w:ind w:right="432"/>
              <w:spacing w:after="0"/>
              <w:rPr>
                <w:sz w:val="20"/>
                <w:szCs w:val="20"/>
                <w:color w:val="auto"/>
              </w:rPr>
            </w:pPr>
            <w:r>
              <w:rPr>
                <w:rFonts w:ascii="Times New Roman" w:cs="Times New Roman" w:eastAsia="Times New Roman" w:hAnsi="Times New Roman"/>
                <w:sz w:val="10"/>
                <w:szCs w:val="10"/>
                <w:b w:val="1"/>
                <w:bCs w:val="1"/>
                <w:color w:val="auto"/>
              </w:rPr>
              <w:t>Value</w:t>
            </w:r>
          </w:p>
        </w:tc>
        <w:tc>
          <w:tcPr>
            <w:tcW w:w="0" w:type="dxa"/>
            <w:vAlign w:val="bottom"/>
          </w:tcPr>
          <w:p>
            <w:pPr>
              <w:spacing w:after="0"/>
              <w:rPr>
                <w:sz w:val="1"/>
                <w:szCs w:val="1"/>
                <w:color w:val="auto"/>
              </w:rPr>
            </w:pPr>
          </w:p>
        </w:tc>
      </w:tr>
      <w:tr>
        <w:trPr>
          <w:trHeight w:val="120"/>
        </w:trPr>
        <w:tc>
          <w:tcPr>
            <w:tcW w:w="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Call option</w:t>
            </w:r>
          </w:p>
        </w:tc>
        <w:tc>
          <w:tcPr>
            <w:tcW w:w="2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0"/>
                <w:szCs w:val="10"/>
                <w:color w:val="auto"/>
              </w:rPr>
              <w:t>HDNet Holdco LLC</w:t>
            </w:r>
          </w:p>
        </w:tc>
        <w:tc>
          <w:tcPr>
            <w:tcW w:w="15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0.2</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8</w:t>
            </w:r>
          </w:p>
        </w:tc>
        <w:tc>
          <w:tcPr>
            <w:tcW w:w="11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0.01</w:t>
            </w:r>
          </w:p>
        </w:tc>
        <w:tc>
          <w:tcPr>
            <w:tcW w:w="1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N/A</w:t>
            </w:r>
          </w:p>
        </w:tc>
        <w:tc>
          <w:tcPr>
            <w:tcW w:w="4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239"/>
        </w:trPr>
        <w:tc>
          <w:tcPr>
            <w:tcW w:w="8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540" w:type="dxa"/>
            <w:vAlign w:val="bottom"/>
          </w:tcPr>
          <w:p>
            <w:pPr>
              <w:jc w:val="center"/>
              <w:ind w:left="532"/>
              <w:spacing w:after="0"/>
              <w:rPr>
                <w:sz w:val="20"/>
                <w:szCs w:val="20"/>
                <w:color w:val="auto"/>
              </w:rPr>
            </w:pPr>
            <w:r>
              <w:rPr>
                <w:rFonts w:ascii="Times New Roman" w:cs="Times New Roman" w:eastAsia="Times New Roman" w:hAnsi="Times New Roman"/>
                <w:sz w:val="10"/>
                <w:szCs w:val="10"/>
                <w:b w:val="1"/>
                <w:bCs w:val="1"/>
                <w:color w:val="auto"/>
                <w:w w:val="94"/>
              </w:rPr>
              <w:t>Number of</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880" w:type="dxa"/>
            <w:vAlign w:val="bottom"/>
          </w:tcPr>
          <w:p>
            <w:pPr>
              <w:ind w:left="22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2960" w:type="dxa"/>
            <w:vAlign w:val="bottom"/>
          </w:tcPr>
          <w:p>
            <w:pPr>
              <w:ind w:left="1560"/>
              <w:spacing w:after="0"/>
              <w:rPr>
                <w:sz w:val="20"/>
                <w:szCs w:val="20"/>
                <w:color w:val="auto"/>
              </w:rPr>
            </w:pPr>
            <w:r>
              <w:rPr>
                <w:rFonts w:ascii="Times New Roman" w:cs="Times New Roman" w:eastAsia="Times New Roman" w:hAnsi="Times New Roman"/>
                <w:sz w:val="10"/>
                <w:szCs w:val="10"/>
                <w:b w:val="1"/>
                <w:bCs w:val="1"/>
                <w:color w:val="auto"/>
              </w:rPr>
              <w:t>Counterparty</w:t>
            </w:r>
          </w:p>
        </w:tc>
        <w:tc>
          <w:tcPr>
            <w:tcW w:w="1540" w:type="dxa"/>
            <w:vAlign w:val="bottom"/>
          </w:tcPr>
          <w:p>
            <w:pPr>
              <w:jc w:val="center"/>
              <w:ind w:left="512"/>
              <w:spacing w:after="0"/>
              <w:rPr>
                <w:sz w:val="20"/>
                <w:szCs w:val="20"/>
                <w:color w:val="auto"/>
              </w:rPr>
            </w:pPr>
            <w:r>
              <w:rPr>
                <w:rFonts w:ascii="Times New Roman" w:cs="Times New Roman" w:eastAsia="Times New Roman" w:hAnsi="Times New Roman"/>
                <w:sz w:val="10"/>
                <w:szCs w:val="10"/>
                <w:b w:val="1"/>
                <w:bCs w:val="1"/>
                <w:color w:val="auto"/>
                <w:w w:val="95"/>
              </w:rPr>
              <w:t>shares</w:t>
            </w:r>
          </w:p>
        </w:tc>
        <w:tc>
          <w:tcPr>
            <w:tcW w:w="260" w:type="dxa"/>
            <w:vAlign w:val="bottom"/>
          </w:tcPr>
          <w:p>
            <w:pPr>
              <w:spacing w:after="0"/>
              <w:rPr>
                <w:sz w:val="10"/>
                <w:szCs w:val="10"/>
                <w:color w:val="auto"/>
              </w:rPr>
            </w:pP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w w:val="99"/>
              </w:rPr>
              <w:t>Notional amount</w:t>
            </w:r>
          </w:p>
        </w:tc>
        <w:tc>
          <w:tcPr>
            <w:tcW w:w="1160" w:type="dxa"/>
            <w:vAlign w:val="bottom"/>
          </w:tcPr>
          <w:p>
            <w:pPr>
              <w:jc w:val="right"/>
              <w:ind w:right="312"/>
              <w:spacing w:after="0"/>
              <w:rPr>
                <w:sz w:val="20"/>
                <w:szCs w:val="20"/>
                <w:color w:val="auto"/>
              </w:rPr>
            </w:pPr>
            <w:r>
              <w:rPr>
                <w:rFonts w:ascii="Times New Roman" w:cs="Times New Roman" w:eastAsia="Times New Roman" w:hAnsi="Times New Roman"/>
                <w:sz w:val="10"/>
                <w:szCs w:val="10"/>
                <w:b w:val="1"/>
                <w:bCs w:val="1"/>
                <w:color w:val="auto"/>
              </w:rPr>
              <w:t>Exercise price</w:t>
            </w:r>
          </w:p>
        </w:tc>
        <w:tc>
          <w:tcPr>
            <w:tcW w:w="1340" w:type="dxa"/>
            <w:vAlign w:val="bottom"/>
          </w:tcPr>
          <w:p>
            <w:pPr>
              <w:ind w:left="460"/>
              <w:spacing w:after="0"/>
              <w:rPr>
                <w:sz w:val="20"/>
                <w:szCs w:val="20"/>
                <w:color w:val="auto"/>
              </w:rPr>
            </w:pPr>
            <w:r>
              <w:rPr>
                <w:rFonts w:ascii="Times New Roman" w:cs="Times New Roman" w:eastAsia="Times New Roman" w:hAnsi="Times New Roman"/>
                <w:sz w:val="10"/>
                <w:szCs w:val="10"/>
                <w:b w:val="1"/>
                <w:bCs w:val="1"/>
                <w:color w:val="auto"/>
              </w:rPr>
              <w:t>Expiration date</w:t>
            </w:r>
          </w:p>
        </w:tc>
        <w:tc>
          <w:tcPr>
            <w:tcW w:w="460" w:type="dxa"/>
            <w:vAlign w:val="bottom"/>
          </w:tcPr>
          <w:p>
            <w:pPr>
              <w:spacing w:after="0"/>
              <w:rPr>
                <w:sz w:val="10"/>
                <w:szCs w:val="10"/>
                <w:color w:val="auto"/>
              </w:rPr>
            </w:pPr>
          </w:p>
        </w:tc>
        <w:tc>
          <w:tcPr>
            <w:tcW w:w="880" w:type="dxa"/>
            <w:vAlign w:val="bottom"/>
          </w:tcPr>
          <w:p>
            <w:pPr>
              <w:jc w:val="right"/>
              <w:ind w:right="432"/>
              <w:spacing w:after="0"/>
              <w:rPr>
                <w:sz w:val="20"/>
                <w:szCs w:val="20"/>
                <w:color w:val="auto"/>
              </w:rPr>
            </w:pPr>
            <w:r>
              <w:rPr>
                <w:rFonts w:ascii="Times New Roman" w:cs="Times New Roman" w:eastAsia="Times New Roman" w:hAnsi="Times New Roman"/>
                <w:sz w:val="10"/>
                <w:szCs w:val="10"/>
                <w:b w:val="1"/>
                <w:bCs w:val="1"/>
                <w:color w:val="auto"/>
              </w:rPr>
              <w:t>Value</w:t>
            </w:r>
          </w:p>
        </w:tc>
        <w:tc>
          <w:tcPr>
            <w:tcW w:w="0" w:type="dxa"/>
            <w:vAlign w:val="bottom"/>
          </w:tcPr>
          <w:p>
            <w:pPr>
              <w:spacing w:after="0"/>
              <w:rPr>
                <w:sz w:val="1"/>
                <w:szCs w:val="1"/>
                <w:color w:val="auto"/>
              </w:rPr>
            </w:pPr>
          </w:p>
        </w:tc>
      </w:tr>
      <w:tr>
        <w:trPr>
          <w:trHeight w:val="120"/>
        </w:trPr>
        <w:tc>
          <w:tcPr>
            <w:tcW w:w="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Put option</w:t>
            </w:r>
          </w:p>
        </w:tc>
        <w:tc>
          <w:tcPr>
            <w:tcW w:w="2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0"/>
                <w:szCs w:val="10"/>
                <w:color w:val="auto"/>
              </w:rPr>
              <w:t>Advantage Capital Holdings LLC.</w:t>
            </w:r>
          </w:p>
        </w:tc>
        <w:tc>
          <w:tcPr>
            <w:tcW w:w="15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164</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563</w:t>
            </w:r>
          </w:p>
        </w:tc>
        <w:tc>
          <w:tcPr>
            <w:tcW w:w="11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20</w:t>
            </w:r>
          </w:p>
        </w:tc>
        <w:tc>
          <w:tcPr>
            <w:tcW w:w="1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N/A</w:t>
            </w:r>
          </w:p>
        </w:tc>
        <w:tc>
          <w:tcPr>
            <w:tcW w:w="4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1"/>
          <w:szCs w:val="11"/>
          <w:color w:val="auto"/>
        </w:rPr>
        <w:t>(20)Debt security has an unfunded commitment in addition to the amounts shown in the Consolidated Schedule of Investments. See Note 8 for additional information on the Company’s commitments and contingencies.</w:t>
      </w:r>
    </w:p>
    <w:p>
      <w:pPr>
        <w:spacing w:after="0" w:line="11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1"/>
          <w:szCs w:val="11"/>
          <w:color w:val="auto"/>
        </w:rPr>
        <w:t>(21)This investment is owned by HCAP Equity Holdings, LLC, one of the Company’s taxable blocker subsidiaries.</w:t>
      </w:r>
    </w:p>
    <w:p>
      <w:pPr>
        <w:spacing w:after="0" w:line="11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1"/>
          <w:szCs w:val="11"/>
          <w:color w:val="auto"/>
        </w:rPr>
        <w:t>(22)This investment is held by PTMN Sub Holdings LLC, one of the company's taxable blocker subsidiaries.</w:t>
      </w:r>
    </w:p>
    <w:p>
      <w:pPr>
        <w:spacing w:after="0" w:line="10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1"/>
          <w:szCs w:val="11"/>
          <w:color w:val="auto"/>
        </w:rPr>
        <w:t>(23)All debt investments are income producing, unless otherwise noted. Equity and warrant investments are non-income producing, unless otherwise noted.</w:t>
      </w:r>
    </w:p>
    <w:p>
      <w:pPr>
        <w:spacing w:after="0" w:line="10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1"/>
          <w:szCs w:val="11"/>
          <w:color w:val="auto"/>
        </w:rPr>
        <w:t>(24)Percentages are based on net assets as of December 31, 2023.</w:t>
      </w:r>
    </w:p>
    <w:p>
      <w:pPr>
        <w:spacing w:after="0" w:line="10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1"/>
          <w:szCs w:val="11"/>
          <w:color w:val="auto"/>
        </w:rPr>
        <w:t>(25)The equity investment is income producing, based on rate disclosed.</w:t>
      </w:r>
    </w:p>
    <w:p>
      <w:pPr>
        <w:spacing w:after="0" w:line="10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1"/>
          <w:szCs w:val="11"/>
          <w:color w:val="auto"/>
        </w:rPr>
        <w:t>(26)The investment is held at the NAV of the underlying fund.</w:t>
      </w:r>
    </w:p>
    <w:p>
      <w:pPr>
        <w:spacing w:after="0" w:line="102" w:lineRule="exact"/>
        <w:rPr>
          <w:sz w:val="20"/>
          <w:szCs w:val="20"/>
          <w:color w:val="auto"/>
        </w:rPr>
      </w:pPr>
    </w:p>
    <w:p>
      <w:pPr>
        <w:ind w:left="306" w:hanging="306"/>
        <w:spacing w:after="0"/>
        <w:tabs>
          <w:tab w:leader="none" w:pos="306"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Par amount is presented for debt investments, while the number of shares or units owned is presented for equity investments.</w:t>
      </w:r>
    </w:p>
    <w:p>
      <w:pPr>
        <w:spacing w:after="0" w:line="161" w:lineRule="exact"/>
        <w:rPr>
          <w:rFonts w:ascii="Times New Roman" w:cs="Times New Roman" w:eastAsia="Times New Roman" w:hAnsi="Times New Roman"/>
          <w:sz w:val="11"/>
          <w:szCs w:val="11"/>
          <w:color w:val="auto"/>
        </w:rPr>
      </w:pPr>
    </w:p>
    <w:p>
      <w:pPr>
        <w:ind w:left="5286"/>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966"/>
        <w:spacing w:after="0"/>
        <w:rPr>
          <w:sz w:val="20"/>
          <w:szCs w:val="20"/>
          <w:color w:val="auto"/>
        </w:rPr>
      </w:pPr>
      <w:r>
        <w:rPr>
          <w:rFonts w:ascii="Times New Roman" w:cs="Times New Roman" w:eastAsia="Times New Roman" w:hAnsi="Times New Roman"/>
          <w:sz w:val="11"/>
          <w:szCs w:val="11"/>
          <w:color w:val="auto"/>
        </w:rPr>
        <w:t>See accompanying notes to consolidated financial statements.</w:t>
      </w:r>
    </w:p>
    <w:p>
      <w:pPr>
        <w:spacing w:after="0" w:line="102" w:lineRule="exact"/>
        <w:rPr>
          <w:sz w:val="20"/>
          <w:szCs w:val="20"/>
          <w:color w:val="auto"/>
        </w:rPr>
      </w:pPr>
    </w:p>
    <w:p>
      <w:pPr>
        <w:ind w:left="4046"/>
        <w:spacing w:after="0"/>
        <w:rPr>
          <w:sz w:val="20"/>
          <w:szCs w:val="20"/>
          <w:color w:val="auto"/>
        </w:rPr>
      </w:pPr>
      <w:r>
        <w:rPr>
          <w:rFonts w:ascii="Times New Roman" w:cs="Times New Roman" w:eastAsia="Times New Roman" w:hAnsi="Times New Roman"/>
          <w:sz w:val="11"/>
          <w:szCs w:val="11"/>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417830</wp:posOffset>
            </wp:positionV>
            <wp:extent cx="6732905"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6"/>
          </w:cols>
          <w:pgMar w:left="654" w:top="1132" w:right="680"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PORTMAN RIDGE FINANCE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FINANCIAL HIGHLIGHTS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20" w:type="dxa"/>
            <w:vAlign w:val="bottom"/>
            <w:gridSpan w:val="6"/>
          </w:tcPr>
          <w:p>
            <w:pPr>
              <w:jc w:val="right"/>
              <w:ind w:right="65"/>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81"/>
        </w:trPr>
        <w:tc>
          <w:tcPr>
            <w:tcW w:w="4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274"/>
              <w:spacing w:after="0" w:line="181" w:lineRule="exact"/>
              <w:rPr>
                <w:sz w:val="20"/>
                <w:szCs w:val="20"/>
                <w:color w:val="auto"/>
              </w:rPr>
            </w:pPr>
            <w:r>
              <w:rPr>
                <w:rFonts w:ascii="Times New Roman" w:cs="Times New Roman" w:eastAsia="Times New Roman" w:hAnsi="Times New Roman"/>
                <w:sz w:val="13"/>
                <w:szCs w:val="13"/>
                <w:b w:val="1"/>
                <w:bCs w:val="1"/>
                <w:color w:val="auto"/>
              </w:rPr>
              <w:t>2024</w:t>
            </w:r>
            <w:r>
              <w:rPr>
                <w:rFonts w:ascii="Times New Roman" w:cs="Times New Roman" w:eastAsia="Times New Roman" w:hAnsi="Times New Roman"/>
                <w:sz w:val="16"/>
                <w:szCs w:val="16"/>
                <w:b w:val="1"/>
                <w:bCs w:val="1"/>
                <w:color w:val="auto"/>
                <w:vertAlign w:val="superscript"/>
              </w:rPr>
              <w:t>(4)</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254"/>
              <w:spacing w:after="0" w:line="181" w:lineRule="exact"/>
              <w:rPr>
                <w:sz w:val="20"/>
                <w:szCs w:val="20"/>
                <w:color w:val="auto"/>
              </w:rPr>
            </w:pPr>
            <w:r>
              <w:rPr>
                <w:rFonts w:ascii="Times New Roman" w:cs="Times New Roman" w:eastAsia="Times New Roman" w:hAnsi="Times New Roman"/>
                <w:sz w:val="13"/>
                <w:szCs w:val="13"/>
                <w:b w:val="1"/>
                <w:bCs w:val="1"/>
                <w:color w:val="auto"/>
              </w:rPr>
              <w:t>2023</w:t>
            </w:r>
            <w:r>
              <w:rPr>
                <w:rFonts w:ascii="Times New Roman" w:cs="Times New Roman" w:eastAsia="Times New Roman" w:hAnsi="Times New Roman"/>
                <w:sz w:val="16"/>
                <w:szCs w:val="16"/>
                <w:b w:val="1"/>
                <w:bCs w:val="1"/>
                <w:color w:val="auto"/>
                <w:vertAlign w:val="superscript"/>
              </w:rPr>
              <w:t>(4)</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194"/>
              <w:spacing w:after="0" w:line="181" w:lineRule="exact"/>
              <w:rPr>
                <w:sz w:val="20"/>
                <w:szCs w:val="20"/>
                <w:color w:val="auto"/>
              </w:rPr>
            </w:pPr>
            <w:r>
              <w:rPr>
                <w:rFonts w:ascii="Times New Roman" w:cs="Times New Roman" w:eastAsia="Times New Roman" w:hAnsi="Times New Roman"/>
                <w:sz w:val="13"/>
                <w:szCs w:val="13"/>
                <w:b w:val="1"/>
                <w:bCs w:val="1"/>
                <w:color w:val="auto"/>
              </w:rPr>
              <w:t>2022</w:t>
            </w:r>
            <w:r>
              <w:rPr>
                <w:rFonts w:ascii="Times New Roman" w:cs="Times New Roman" w:eastAsia="Times New Roman" w:hAnsi="Times New Roman"/>
                <w:sz w:val="16"/>
                <w:szCs w:val="16"/>
                <w:b w:val="1"/>
                <w:bCs w:val="1"/>
                <w:color w:val="auto"/>
                <w:vertAlign w:val="superscript"/>
              </w:rPr>
              <w:t>(4)</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194"/>
              <w:spacing w:after="0" w:line="181" w:lineRule="exact"/>
              <w:rPr>
                <w:sz w:val="20"/>
                <w:szCs w:val="20"/>
                <w:color w:val="auto"/>
              </w:rPr>
            </w:pPr>
            <w:r>
              <w:rPr>
                <w:rFonts w:ascii="Times New Roman" w:cs="Times New Roman" w:eastAsia="Times New Roman" w:hAnsi="Times New Roman"/>
                <w:sz w:val="13"/>
                <w:szCs w:val="13"/>
                <w:b w:val="1"/>
                <w:bCs w:val="1"/>
                <w:color w:val="auto"/>
              </w:rPr>
              <w:t>2021</w:t>
            </w:r>
            <w:r>
              <w:rPr>
                <w:rFonts w:ascii="Times New Roman" w:cs="Times New Roman" w:eastAsia="Times New Roman" w:hAnsi="Times New Roman"/>
                <w:sz w:val="16"/>
                <w:szCs w:val="16"/>
                <w:b w:val="1"/>
                <w:bCs w:val="1"/>
                <w:color w:val="auto"/>
                <w:vertAlign w:val="superscript"/>
              </w:rPr>
              <w:t>(4)</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194"/>
              <w:spacing w:after="0" w:line="181" w:lineRule="exact"/>
              <w:rPr>
                <w:sz w:val="20"/>
                <w:szCs w:val="20"/>
                <w:color w:val="auto"/>
              </w:rPr>
            </w:pPr>
            <w:r>
              <w:rPr>
                <w:rFonts w:ascii="Times New Roman" w:cs="Times New Roman" w:eastAsia="Times New Roman" w:hAnsi="Times New Roman"/>
                <w:sz w:val="13"/>
                <w:szCs w:val="13"/>
                <w:b w:val="1"/>
                <w:bCs w:val="1"/>
                <w:color w:val="auto"/>
              </w:rPr>
              <w:t>2020</w:t>
            </w:r>
            <w:r>
              <w:rPr>
                <w:rFonts w:ascii="Times New Roman" w:cs="Times New Roman" w:eastAsia="Times New Roman" w:hAnsi="Times New Roman"/>
                <w:sz w:val="16"/>
                <w:szCs w:val="16"/>
                <w:b w:val="1"/>
                <w:bCs w:val="1"/>
                <w:color w:val="auto"/>
                <w:vertAlign w:val="superscript"/>
              </w:rPr>
              <w:t>(4)</w:t>
            </w:r>
          </w:p>
        </w:tc>
        <w:tc>
          <w:tcPr>
            <w:tcW w:w="160" w:type="dxa"/>
            <w:vAlign w:val="bottom"/>
          </w:tcPr>
          <w:p>
            <w:pPr>
              <w:spacing w:after="0"/>
              <w:rPr>
                <w:sz w:val="15"/>
                <w:szCs w:val="15"/>
                <w:color w:val="auto"/>
              </w:rPr>
            </w:pPr>
          </w:p>
        </w:tc>
      </w:tr>
      <w:tr>
        <w:trPr>
          <w:trHeight w:val="156"/>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Per Share Data:</w:t>
            </w: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r>
      <w:tr>
        <w:trPr>
          <w:trHeight w:val="156"/>
        </w:trPr>
        <w:tc>
          <w:tcPr>
            <w:tcW w:w="4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asset value, at beginning of period</w:t>
            </w: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22.76</w:t>
            </w:r>
          </w:p>
        </w:tc>
        <w:tc>
          <w:tcPr>
            <w:tcW w:w="340" w:type="dxa"/>
            <w:vAlign w:val="bottom"/>
          </w:tcPr>
          <w:p>
            <w:pPr>
              <w:spacing w:after="0"/>
              <w:rPr>
                <w:sz w:val="13"/>
                <w:szCs w:val="13"/>
                <w:color w:val="auto"/>
              </w:rPr>
            </w:pP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24.23</w:t>
            </w:r>
          </w:p>
        </w:tc>
        <w:tc>
          <w:tcPr>
            <w:tcW w:w="340" w:type="dxa"/>
            <w:vAlign w:val="bottom"/>
          </w:tcPr>
          <w:p>
            <w:pPr>
              <w:spacing w:after="0"/>
              <w:rPr>
                <w:sz w:val="13"/>
                <w:szCs w:val="13"/>
                <w:color w:val="auto"/>
              </w:rPr>
            </w:pP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28.88</w:t>
            </w:r>
          </w:p>
        </w:tc>
        <w:tc>
          <w:tcPr>
            <w:tcW w:w="340" w:type="dxa"/>
            <w:vAlign w:val="bottom"/>
          </w:tcPr>
          <w:p>
            <w:pPr>
              <w:spacing w:after="0"/>
              <w:rPr>
                <w:sz w:val="13"/>
                <w:szCs w:val="13"/>
                <w:color w:val="auto"/>
              </w:rPr>
            </w:pP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28.77</w:t>
            </w:r>
          </w:p>
        </w:tc>
        <w:tc>
          <w:tcPr>
            <w:tcW w:w="280" w:type="dxa"/>
            <w:vAlign w:val="bottom"/>
          </w:tcPr>
          <w:p>
            <w:pPr>
              <w:spacing w:after="0"/>
              <w:rPr>
                <w:sz w:val="13"/>
                <w:szCs w:val="13"/>
                <w:color w:val="auto"/>
              </w:rPr>
            </w:pP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33.95</w:t>
            </w:r>
          </w:p>
        </w:tc>
        <w:tc>
          <w:tcPr>
            <w:tcW w:w="160" w:type="dxa"/>
            <w:vAlign w:val="bottom"/>
          </w:tcPr>
          <w:p>
            <w:pPr>
              <w:spacing w:after="0"/>
              <w:rPr>
                <w:sz w:val="13"/>
                <w:szCs w:val="13"/>
                <w:color w:val="auto"/>
              </w:rPr>
            </w:pPr>
          </w:p>
        </w:tc>
      </w:tr>
      <w:tr>
        <w:trPr>
          <w:trHeight w:val="156"/>
        </w:trPr>
        <w:tc>
          <w:tcPr>
            <w:tcW w:w="4380" w:type="dxa"/>
            <w:vAlign w:val="bottom"/>
            <w:shd w:val="clear" w:color="auto" w:fill="CFF0FC"/>
          </w:tcPr>
          <w:p>
            <w:pPr>
              <w:ind w:left="180"/>
              <w:spacing w:after="0" w:line="156" w:lineRule="exact"/>
              <w:rPr>
                <w:sz w:val="20"/>
                <w:szCs w:val="20"/>
                <w:color w:val="auto"/>
              </w:rPr>
            </w:pPr>
            <w:r>
              <w:rPr>
                <w:rFonts w:ascii="Times New Roman" w:cs="Times New Roman" w:eastAsia="Times New Roman" w:hAnsi="Times New Roman"/>
                <w:sz w:val="13"/>
                <w:szCs w:val="13"/>
                <w:color w:val="auto"/>
              </w:rPr>
              <w:t>Net investment income</w:t>
            </w:r>
            <w:r>
              <w:rPr>
                <w:rFonts w:ascii="Times New Roman" w:cs="Times New Roman" w:eastAsia="Times New Roman" w:hAnsi="Times New Roman"/>
                <w:sz w:val="16"/>
                <w:szCs w:val="16"/>
                <w:color w:val="auto"/>
                <w:vertAlign w:val="superscript"/>
              </w:rPr>
              <w:t>(1)</w:t>
            </w:r>
          </w:p>
        </w:tc>
        <w:tc>
          <w:tcPr>
            <w:tcW w:w="20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3"/>
                <w:szCs w:val="13"/>
                <w:color w:val="auto"/>
              </w:rPr>
              <w:t>2.59</w:t>
            </w:r>
          </w:p>
        </w:tc>
        <w:tc>
          <w:tcPr>
            <w:tcW w:w="2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3"/>
                <w:szCs w:val="13"/>
                <w:color w:val="auto"/>
              </w:rPr>
              <w:t>3.66</w:t>
            </w:r>
          </w:p>
        </w:tc>
        <w:tc>
          <w:tcPr>
            <w:tcW w:w="1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3"/>
                <w:szCs w:val="13"/>
                <w:color w:val="auto"/>
              </w:rPr>
              <w:t>3.00</w:t>
            </w:r>
          </w:p>
        </w:tc>
        <w:tc>
          <w:tcPr>
            <w:tcW w:w="1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4.92</w:t>
            </w: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3.40</w:t>
            </w:r>
          </w:p>
        </w:tc>
      </w:tr>
      <w:tr>
        <w:trPr>
          <w:trHeight w:val="156"/>
        </w:trPr>
        <w:tc>
          <w:tcPr>
            <w:tcW w:w="4380" w:type="dxa"/>
            <w:vAlign w:val="bottom"/>
          </w:tcPr>
          <w:p>
            <w:pPr>
              <w:ind w:left="180"/>
              <w:spacing w:after="0" w:line="156" w:lineRule="exact"/>
              <w:rPr>
                <w:sz w:val="20"/>
                <w:szCs w:val="20"/>
                <w:color w:val="auto"/>
              </w:rPr>
            </w:pPr>
            <w:r>
              <w:rPr>
                <w:rFonts w:ascii="Times New Roman" w:cs="Times New Roman" w:eastAsia="Times New Roman" w:hAnsi="Times New Roman"/>
                <w:sz w:val="13"/>
                <w:szCs w:val="13"/>
                <w:color w:val="auto"/>
              </w:rPr>
              <w:t>Net realized gains (losses) from investments</w:t>
            </w:r>
            <w:r>
              <w:rPr>
                <w:rFonts w:ascii="Times New Roman" w:cs="Times New Roman" w:eastAsia="Times New Roman" w:hAnsi="Times New Roman"/>
                <w:sz w:val="16"/>
                <w:szCs w:val="16"/>
                <w:color w:val="auto"/>
                <w:vertAlign w:val="superscript"/>
              </w:rPr>
              <w:t>(1)</w:t>
            </w:r>
          </w:p>
        </w:tc>
        <w:tc>
          <w:tcPr>
            <w:tcW w:w="200" w:type="dxa"/>
            <w:vAlign w:val="bottom"/>
          </w:tcPr>
          <w:p>
            <w:pPr>
              <w:spacing w:after="0"/>
              <w:rPr>
                <w:sz w:val="13"/>
                <w:szCs w:val="13"/>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(3.36)</w:t>
            </w:r>
          </w:p>
        </w:tc>
        <w:tc>
          <w:tcPr>
            <w:tcW w:w="200" w:type="dxa"/>
            <w:vAlign w:val="bottom"/>
          </w:tcPr>
          <w:p>
            <w:pPr>
              <w:spacing w:after="0"/>
              <w:rPr>
                <w:sz w:val="13"/>
                <w:szCs w:val="13"/>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(2.81)</w:t>
            </w:r>
          </w:p>
        </w:tc>
        <w:tc>
          <w:tcPr>
            <w:tcW w:w="180" w:type="dxa"/>
            <w:vAlign w:val="bottom"/>
          </w:tcPr>
          <w:p>
            <w:pPr>
              <w:spacing w:after="0"/>
              <w:rPr>
                <w:sz w:val="13"/>
                <w:szCs w:val="13"/>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(3.24)</w:t>
            </w:r>
          </w:p>
        </w:tc>
        <w:tc>
          <w:tcPr>
            <w:tcW w:w="160" w:type="dxa"/>
            <w:vAlign w:val="bottom"/>
          </w:tcPr>
          <w:p>
            <w:pPr>
              <w:spacing w:after="0"/>
              <w:rPr>
                <w:sz w:val="13"/>
                <w:szCs w:val="1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(0.50)</w:t>
            </w:r>
          </w:p>
        </w:tc>
        <w:tc>
          <w:tcPr>
            <w:tcW w:w="18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1.52</w:t>
            </w:r>
          </w:p>
        </w:tc>
      </w:tr>
      <w:tr>
        <w:trPr>
          <w:trHeight w:val="156"/>
        </w:trPr>
        <w:tc>
          <w:tcPr>
            <w:tcW w:w="4380" w:type="dxa"/>
            <w:vAlign w:val="bottom"/>
            <w:shd w:val="clear" w:color="auto" w:fill="CFF0FC"/>
          </w:tcPr>
          <w:p>
            <w:pPr>
              <w:ind w:left="180"/>
              <w:spacing w:after="0" w:line="156" w:lineRule="exact"/>
              <w:rPr>
                <w:sz w:val="20"/>
                <w:szCs w:val="20"/>
                <w:color w:val="auto"/>
              </w:rPr>
            </w:pPr>
            <w:r>
              <w:rPr>
                <w:rFonts w:ascii="Times New Roman" w:cs="Times New Roman" w:eastAsia="Times New Roman" w:hAnsi="Times New Roman"/>
                <w:sz w:val="13"/>
                <w:szCs w:val="13"/>
                <w:color w:val="auto"/>
              </w:rPr>
              <w:t>Net change in unrealized appreciation (depreciation) on investments</w:t>
            </w:r>
            <w:r>
              <w:rPr>
                <w:rFonts w:ascii="Times New Roman" w:cs="Times New Roman" w:eastAsia="Times New Roman" w:hAnsi="Times New Roman"/>
                <w:sz w:val="16"/>
                <w:szCs w:val="16"/>
                <w:color w:val="auto"/>
                <w:vertAlign w:val="superscript"/>
              </w:rPr>
              <w:t>(1)</w:t>
            </w:r>
          </w:p>
        </w:tc>
        <w:tc>
          <w:tcPr>
            <w:tcW w:w="20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3"/>
                <w:szCs w:val="13"/>
                <w:color w:val="auto"/>
              </w:rPr>
              <w:t>0.11</w:t>
            </w:r>
          </w:p>
        </w:tc>
        <w:tc>
          <w:tcPr>
            <w:tcW w:w="2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3"/>
                <w:szCs w:val="13"/>
                <w:color w:val="auto"/>
              </w:rPr>
              <w:t>0.35</w:t>
            </w:r>
          </w:p>
        </w:tc>
        <w:tc>
          <w:tcPr>
            <w:tcW w:w="1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(1.86)</w:t>
            </w:r>
          </w:p>
        </w:tc>
        <w:tc>
          <w:tcPr>
            <w:tcW w:w="1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(0.99)</w:t>
            </w: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1.36</w:t>
            </w:r>
          </w:p>
        </w:tc>
      </w:tr>
      <w:tr>
        <w:trPr>
          <w:trHeight w:val="156"/>
        </w:trPr>
        <w:tc>
          <w:tcPr>
            <w:tcW w:w="4380" w:type="dxa"/>
            <w:vAlign w:val="bottom"/>
          </w:tcPr>
          <w:p>
            <w:pPr>
              <w:ind w:left="180"/>
              <w:spacing w:after="0" w:line="156" w:lineRule="exact"/>
              <w:rPr>
                <w:sz w:val="20"/>
                <w:szCs w:val="20"/>
                <w:color w:val="auto"/>
              </w:rPr>
            </w:pPr>
            <w:r>
              <w:rPr>
                <w:rFonts w:ascii="Times New Roman" w:cs="Times New Roman" w:eastAsia="Times New Roman" w:hAnsi="Times New Roman"/>
                <w:sz w:val="13"/>
                <w:szCs w:val="13"/>
                <w:color w:val="auto"/>
              </w:rPr>
              <w:t>Realized gains (losses) from extinguishment of debt</w:t>
            </w:r>
            <w:r>
              <w:rPr>
                <w:rFonts w:ascii="Times New Roman" w:cs="Times New Roman" w:eastAsia="Times New Roman" w:hAnsi="Times New Roman"/>
                <w:sz w:val="16"/>
                <w:szCs w:val="16"/>
                <w:color w:val="auto"/>
                <w:vertAlign w:val="superscript"/>
              </w:rPr>
              <w:t>(1)</w:t>
            </w:r>
          </w:p>
        </w:tc>
        <w:tc>
          <w:tcPr>
            <w:tcW w:w="200" w:type="dxa"/>
            <w:vAlign w:val="bottom"/>
          </w:tcPr>
          <w:p>
            <w:pPr>
              <w:spacing w:after="0"/>
              <w:rPr>
                <w:sz w:val="13"/>
                <w:szCs w:val="13"/>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(0.07)</w:t>
            </w:r>
          </w:p>
        </w:tc>
        <w:tc>
          <w:tcPr>
            <w:tcW w:w="200" w:type="dxa"/>
            <w:vAlign w:val="bottom"/>
          </w:tcPr>
          <w:p>
            <w:pPr>
              <w:spacing w:after="0"/>
              <w:rPr>
                <w:sz w:val="13"/>
                <w:szCs w:val="13"/>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(0.04)</w:t>
            </w:r>
          </w:p>
        </w:tc>
        <w:tc>
          <w:tcPr>
            <w:tcW w:w="180" w:type="dxa"/>
            <w:vAlign w:val="bottom"/>
          </w:tcPr>
          <w:p>
            <w:pPr>
              <w:spacing w:after="0"/>
              <w:rPr>
                <w:sz w:val="13"/>
                <w:szCs w:val="13"/>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(0.21)</w:t>
            </w:r>
          </w:p>
        </w:tc>
        <w:tc>
          <w:tcPr>
            <w:tcW w:w="18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0.04</w:t>
            </w:r>
          </w:p>
        </w:tc>
      </w:tr>
      <w:tr>
        <w:trPr>
          <w:trHeight w:val="133"/>
        </w:trPr>
        <w:tc>
          <w:tcPr>
            <w:tcW w:w="4380" w:type="dxa"/>
            <w:vAlign w:val="bottom"/>
            <w:shd w:val="clear" w:color="auto" w:fill="CFF0FC"/>
          </w:tcPr>
          <w:p>
            <w:pPr>
              <w:ind w:left="180"/>
              <w:spacing w:after="0" w:line="133" w:lineRule="exact"/>
              <w:rPr>
                <w:sz w:val="20"/>
                <w:szCs w:val="20"/>
                <w:color w:val="auto"/>
              </w:rPr>
            </w:pPr>
            <w:r>
              <w:rPr>
                <w:rFonts w:ascii="Times New Roman" w:cs="Times New Roman" w:eastAsia="Times New Roman" w:hAnsi="Times New Roman"/>
                <w:sz w:val="13"/>
                <w:szCs w:val="13"/>
                <w:color w:val="auto"/>
              </w:rPr>
              <w:t>Tax (provision) benefit on realized and unrealized gains (losses) on</w:t>
            </w: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r>
      <w:tr>
        <w:trPr>
          <w:trHeight w:val="179"/>
        </w:trPr>
        <w:tc>
          <w:tcPr>
            <w:tcW w:w="4380" w:type="dxa"/>
            <w:vAlign w:val="bottom"/>
            <w:shd w:val="clear" w:color="auto" w:fill="CFF0FC"/>
          </w:tcPr>
          <w:p>
            <w:pPr>
              <w:ind w:left="180"/>
              <w:spacing w:after="0" w:line="179" w:lineRule="exact"/>
              <w:rPr>
                <w:sz w:val="20"/>
                <w:szCs w:val="20"/>
                <w:color w:val="auto"/>
              </w:rPr>
            </w:pPr>
            <w:r>
              <w:rPr>
                <w:rFonts w:ascii="Times New Roman" w:cs="Times New Roman" w:eastAsia="Times New Roman" w:hAnsi="Times New Roman"/>
                <w:sz w:val="13"/>
                <w:szCs w:val="13"/>
                <w:color w:val="auto"/>
              </w:rPr>
              <w:t>investments</w:t>
            </w:r>
            <w:r>
              <w:rPr>
                <w:rFonts w:ascii="Times New Roman" w:cs="Times New Roman" w:eastAsia="Times New Roman" w:hAnsi="Times New Roman"/>
                <w:sz w:val="16"/>
                <w:szCs w:val="16"/>
                <w:color w:val="auto"/>
                <w:vertAlign w:val="superscript"/>
              </w:rPr>
              <w:t>(1)</w:t>
            </w:r>
          </w:p>
        </w:tc>
        <w:tc>
          <w:tcPr>
            <w:tcW w:w="2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3"/>
                <w:szCs w:val="13"/>
                <w:color w:val="auto"/>
              </w:rPr>
              <w:t>0.09</w:t>
            </w:r>
          </w:p>
        </w:tc>
        <w:tc>
          <w:tcPr>
            <w:tcW w:w="2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3"/>
                <w:szCs w:val="13"/>
                <w:color w:val="auto"/>
              </w:rPr>
              <w:t>0.04</w:t>
            </w:r>
          </w:p>
        </w:tc>
        <w:tc>
          <w:tcPr>
            <w:tcW w:w="1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(0.08)</w:t>
            </w:r>
          </w:p>
        </w:tc>
        <w:tc>
          <w:tcPr>
            <w:tcW w:w="16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(0.17)</w:t>
            </w:r>
          </w:p>
        </w:tc>
        <w:tc>
          <w:tcPr>
            <w:tcW w:w="1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43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Net increase (decrease) in net assets resulting from operations</w:t>
            </w: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(0.64)</w:t>
            </w: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1.20</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(2.18)</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3.05</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6.32</w:t>
            </w:r>
          </w:p>
        </w:tc>
      </w:tr>
      <w:tr>
        <w:trPr>
          <w:trHeight w:val="156"/>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decrease in net assets resulting from distributions</w:t>
            </w:r>
          </w:p>
        </w:tc>
        <w:tc>
          <w:tcPr>
            <w:tcW w:w="20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(2.76)</w:t>
            </w:r>
          </w:p>
        </w:tc>
        <w:tc>
          <w:tcPr>
            <w:tcW w:w="2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(2.75)</w:t>
            </w:r>
          </w:p>
        </w:tc>
        <w:tc>
          <w:tcPr>
            <w:tcW w:w="1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(2.56)</w:t>
            </w:r>
          </w:p>
        </w:tc>
        <w:tc>
          <w:tcPr>
            <w:tcW w:w="1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(2.42)</w:t>
            </w: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(2.40)</w:t>
            </w:r>
          </w:p>
        </w:tc>
      </w:tr>
      <w:tr>
        <w:trPr>
          <w:trHeight w:val="156"/>
        </w:trPr>
        <w:tc>
          <w:tcPr>
            <w:tcW w:w="438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Accretive effect of common stock repurchases</w:t>
            </w:r>
            <w:r>
              <w:rPr>
                <w:rFonts w:ascii="Times New Roman" w:cs="Times New Roman" w:eastAsia="Times New Roman" w:hAnsi="Times New Roman"/>
                <w:sz w:val="16"/>
                <w:szCs w:val="16"/>
                <w:color w:val="auto"/>
                <w:vertAlign w:val="superscript"/>
              </w:rPr>
              <w:t>(1)</w:t>
            </w:r>
          </w:p>
        </w:tc>
        <w:tc>
          <w:tcPr>
            <w:tcW w:w="200" w:type="dxa"/>
            <w:vAlign w:val="bottom"/>
          </w:tcPr>
          <w:p>
            <w:pPr>
              <w:spacing w:after="0"/>
              <w:rPr>
                <w:sz w:val="13"/>
                <w:szCs w:val="13"/>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0.07</w:t>
            </w:r>
          </w:p>
        </w:tc>
        <w:tc>
          <w:tcPr>
            <w:tcW w:w="200" w:type="dxa"/>
            <w:vAlign w:val="bottom"/>
          </w:tcPr>
          <w:p>
            <w:pPr>
              <w:spacing w:after="0"/>
              <w:rPr>
                <w:sz w:val="13"/>
                <w:szCs w:val="13"/>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43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Net increase (decrease) in net assets relating to stock-based transactions</w:t>
            </w:r>
            <w:r>
              <w:rPr>
                <w:rFonts w:ascii="Times New Roman" w:cs="Times New Roman" w:eastAsia="Times New Roman" w:hAnsi="Times New Roman"/>
                <w:sz w:val="16"/>
                <w:szCs w:val="16"/>
                <w:color w:val="auto"/>
                <w:vertAlign w:val="superscript"/>
              </w:rPr>
              <w:t>(6)</w:t>
            </w:r>
          </w:p>
        </w:tc>
        <w:tc>
          <w:tcPr>
            <w:tcW w:w="20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(0.02)</w:t>
            </w:r>
          </w:p>
        </w:tc>
        <w:tc>
          <w:tcPr>
            <w:tcW w:w="2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3"/>
                <w:szCs w:val="13"/>
                <w:color w:val="auto"/>
              </w:rPr>
              <w:t>0.08</w:t>
            </w:r>
          </w:p>
        </w:tc>
        <w:tc>
          <w:tcPr>
            <w:tcW w:w="1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3"/>
                <w:szCs w:val="13"/>
                <w:color w:val="auto"/>
              </w:rPr>
              <w:t>0.09</w:t>
            </w:r>
          </w:p>
        </w:tc>
        <w:tc>
          <w:tcPr>
            <w:tcW w:w="1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(0.52)</w:t>
            </w: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(9.10)</w:t>
            </w:r>
          </w:p>
        </w:tc>
      </w:tr>
      <w:tr>
        <w:trPr>
          <w:trHeight w:val="156"/>
        </w:trPr>
        <w:tc>
          <w:tcPr>
            <w:tcW w:w="4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asset value, end of period</w:t>
            </w:r>
          </w:p>
        </w:tc>
        <w:tc>
          <w:tcPr>
            <w:tcW w:w="2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19.41</w:t>
            </w:r>
          </w:p>
        </w:tc>
        <w:tc>
          <w:tcPr>
            <w:tcW w:w="340" w:type="dxa"/>
            <w:vAlign w:val="bottom"/>
          </w:tcPr>
          <w:p>
            <w:pPr>
              <w:spacing w:after="0"/>
              <w:rPr>
                <w:sz w:val="13"/>
                <w:szCs w:val="13"/>
                <w:color w:val="auto"/>
              </w:rPr>
            </w:pPr>
          </w:p>
        </w:tc>
        <w:tc>
          <w:tcPr>
            <w:tcW w:w="2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22.76</w:t>
            </w:r>
          </w:p>
        </w:tc>
        <w:tc>
          <w:tcPr>
            <w:tcW w:w="340" w:type="dxa"/>
            <w:vAlign w:val="bottom"/>
          </w:tcPr>
          <w:p>
            <w:pPr>
              <w:spacing w:after="0"/>
              <w:rPr>
                <w:sz w:val="13"/>
                <w:szCs w:val="13"/>
                <w:color w:val="auto"/>
              </w:rPr>
            </w:pPr>
          </w:p>
        </w:tc>
        <w:tc>
          <w:tcPr>
            <w:tcW w:w="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24.23</w:t>
            </w:r>
          </w:p>
        </w:tc>
        <w:tc>
          <w:tcPr>
            <w:tcW w:w="340" w:type="dxa"/>
            <w:vAlign w:val="bottom"/>
          </w:tcPr>
          <w:p>
            <w:pPr>
              <w:spacing w:after="0"/>
              <w:rPr>
                <w:sz w:val="13"/>
                <w:szCs w:val="13"/>
                <w:color w:val="auto"/>
              </w:rPr>
            </w:pP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28.88</w:t>
            </w:r>
          </w:p>
        </w:tc>
        <w:tc>
          <w:tcPr>
            <w:tcW w:w="280" w:type="dxa"/>
            <w:vAlign w:val="bottom"/>
          </w:tcPr>
          <w:p>
            <w:pPr>
              <w:spacing w:after="0"/>
              <w:rPr>
                <w:sz w:val="13"/>
                <w:szCs w:val="13"/>
                <w:color w:val="auto"/>
              </w:rPr>
            </w:pPr>
          </w:p>
        </w:tc>
        <w:tc>
          <w:tcPr>
            <w:tcW w:w="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28.77</w:t>
            </w:r>
          </w:p>
        </w:tc>
        <w:tc>
          <w:tcPr>
            <w:tcW w:w="160" w:type="dxa"/>
            <w:vAlign w:val="bottom"/>
          </w:tcPr>
          <w:p>
            <w:pPr>
              <w:spacing w:after="0"/>
              <w:rPr>
                <w:sz w:val="13"/>
                <w:szCs w:val="13"/>
                <w:color w:val="auto"/>
              </w:rPr>
            </w:pPr>
          </w:p>
        </w:tc>
      </w:tr>
      <w:tr>
        <w:trPr>
          <w:trHeight w:val="20"/>
        </w:trPr>
        <w:tc>
          <w:tcPr>
            <w:tcW w:w="4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32"/>
        </w:trPr>
        <w:tc>
          <w:tcPr>
            <w:tcW w:w="438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2"/>
                <w:szCs w:val="12"/>
                <w:color w:val="auto"/>
              </w:rPr>
              <w:t>Total net asset value return</w:t>
            </w:r>
            <w:r>
              <w:rPr>
                <w:rFonts w:ascii="Times New Roman" w:cs="Times New Roman" w:eastAsia="Times New Roman" w:hAnsi="Times New Roman"/>
                <w:sz w:val="15"/>
                <w:szCs w:val="15"/>
                <w:color w:val="auto"/>
                <w:vertAlign w:val="superscript"/>
              </w:rPr>
              <w:t>(2)(8)</w:t>
            </w:r>
          </w:p>
        </w:tc>
        <w:tc>
          <w:tcPr>
            <w:tcW w:w="20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(1.41)%</w:t>
            </w:r>
          </w:p>
        </w:tc>
        <w:tc>
          <w:tcPr>
            <w:tcW w:w="20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8.27%</w:t>
            </w:r>
          </w:p>
        </w:tc>
        <w:tc>
          <w:tcPr>
            <w:tcW w:w="18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(6.23)%</w:t>
            </w:r>
          </w:p>
        </w:tc>
        <w:tc>
          <w:tcPr>
            <w:tcW w:w="16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11.23%</w:t>
            </w:r>
          </w:p>
        </w:tc>
        <w:tc>
          <w:tcPr>
            <w:tcW w:w="18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(8.30)%</w:t>
            </w:r>
          </w:p>
        </w:tc>
      </w:tr>
      <w:tr>
        <w:trPr>
          <w:trHeight w:val="156"/>
        </w:trPr>
        <w:tc>
          <w:tcPr>
            <w:tcW w:w="438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Total market return</w:t>
            </w:r>
            <w:r>
              <w:rPr>
                <w:rFonts w:ascii="Times New Roman" w:cs="Times New Roman" w:eastAsia="Times New Roman" w:hAnsi="Times New Roman"/>
                <w:sz w:val="16"/>
                <w:szCs w:val="16"/>
                <w:color w:val="auto"/>
                <w:vertAlign w:val="superscript"/>
              </w:rPr>
              <w:t>(3)</w:t>
            </w:r>
          </w:p>
        </w:tc>
        <w:tc>
          <w:tcPr>
            <w:tcW w:w="20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3.87%</w:t>
            </w:r>
          </w:p>
        </w:tc>
        <w:tc>
          <w:tcPr>
            <w:tcW w:w="200" w:type="dxa"/>
            <w:vAlign w:val="bottom"/>
          </w:tcPr>
          <w:p>
            <w:pPr>
              <w:spacing w:after="0"/>
              <w:rPr>
                <w:sz w:val="13"/>
                <w:szCs w:val="13"/>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(8.82)%</w:t>
            </w:r>
          </w:p>
        </w:tc>
        <w:tc>
          <w:tcPr>
            <w:tcW w:w="1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3.84%</w:t>
            </w:r>
          </w:p>
        </w:tc>
        <w:tc>
          <w:tcPr>
            <w:tcW w:w="16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43.64%</w:t>
            </w:r>
          </w:p>
        </w:tc>
        <w:tc>
          <w:tcPr>
            <w:tcW w:w="18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1.42%</w:t>
            </w:r>
          </w:p>
        </w:tc>
      </w:tr>
      <w:tr>
        <w:trPr>
          <w:trHeight w:val="156"/>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Ratio/Supplemental Data:</w:t>
            </w: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r>
      <w:tr>
        <w:trPr>
          <w:trHeight w:val="156"/>
        </w:trPr>
        <w:tc>
          <w:tcPr>
            <w:tcW w:w="4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Per share market value at beginning of period</w:t>
            </w: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18.19</w:t>
            </w:r>
          </w:p>
        </w:tc>
        <w:tc>
          <w:tcPr>
            <w:tcW w:w="340" w:type="dxa"/>
            <w:vAlign w:val="bottom"/>
          </w:tcPr>
          <w:p>
            <w:pPr>
              <w:spacing w:after="0"/>
              <w:rPr>
                <w:sz w:val="13"/>
                <w:szCs w:val="13"/>
                <w:color w:val="auto"/>
              </w:rPr>
            </w:pP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23.00</w:t>
            </w:r>
          </w:p>
        </w:tc>
        <w:tc>
          <w:tcPr>
            <w:tcW w:w="340" w:type="dxa"/>
            <w:vAlign w:val="bottom"/>
          </w:tcPr>
          <w:p>
            <w:pPr>
              <w:spacing w:after="0"/>
              <w:rPr>
                <w:sz w:val="13"/>
                <w:szCs w:val="13"/>
                <w:color w:val="auto"/>
              </w:rPr>
            </w:pP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24.76</w:t>
            </w:r>
          </w:p>
        </w:tc>
        <w:tc>
          <w:tcPr>
            <w:tcW w:w="340" w:type="dxa"/>
            <w:vAlign w:val="bottom"/>
          </w:tcPr>
          <w:p>
            <w:pPr>
              <w:spacing w:after="0"/>
              <w:rPr>
                <w:sz w:val="13"/>
                <w:szCs w:val="13"/>
                <w:color w:val="auto"/>
              </w:rPr>
            </w:pP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19.10</w:t>
            </w:r>
          </w:p>
        </w:tc>
        <w:tc>
          <w:tcPr>
            <w:tcW w:w="280" w:type="dxa"/>
            <w:vAlign w:val="bottom"/>
          </w:tcPr>
          <w:p>
            <w:pPr>
              <w:spacing w:after="0"/>
              <w:rPr>
                <w:sz w:val="13"/>
                <w:szCs w:val="13"/>
                <w:color w:val="auto"/>
              </w:rPr>
            </w:pP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21.20</w:t>
            </w:r>
          </w:p>
        </w:tc>
        <w:tc>
          <w:tcPr>
            <w:tcW w:w="160" w:type="dxa"/>
            <w:vAlign w:val="bottom"/>
          </w:tcPr>
          <w:p>
            <w:pPr>
              <w:spacing w:after="0"/>
              <w:rPr>
                <w:sz w:val="13"/>
                <w:szCs w:val="13"/>
                <w:color w:val="auto"/>
              </w:rPr>
            </w:pPr>
          </w:p>
        </w:tc>
      </w:tr>
      <w:tr>
        <w:trPr>
          <w:trHeight w:val="156"/>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Per share market value at end of period</w:t>
            </w:r>
          </w:p>
        </w:tc>
        <w:tc>
          <w:tcPr>
            <w:tcW w:w="2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16.34</w:t>
            </w:r>
          </w:p>
        </w:tc>
        <w:tc>
          <w:tcPr>
            <w:tcW w:w="34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18.19</w:t>
            </w:r>
          </w:p>
        </w:tc>
        <w:tc>
          <w:tcPr>
            <w:tcW w:w="34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23.00</w:t>
            </w:r>
          </w:p>
        </w:tc>
        <w:tc>
          <w:tcPr>
            <w:tcW w:w="34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24.76</w:t>
            </w: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19.10</w:t>
            </w:r>
          </w:p>
        </w:tc>
        <w:tc>
          <w:tcPr>
            <w:tcW w:w="160" w:type="dxa"/>
            <w:vAlign w:val="bottom"/>
            <w:shd w:val="clear" w:color="auto" w:fill="CFF0FC"/>
          </w:tcPr>
          <w:p>
            <w:pPr>
              <w:spacing w:after="0"/>
              <w:rPr>
                <w:sz w:val="13"/>
                <w:szCs w:val="13"/>
                <w:color w:val="auto"/>
              </w:rPr>
            </w:pPr>
          </w:p>
        </w:tc>
      </w:tr>
      <w:tr>
        <w:trPr>
          <w:trHeight w:val="156"/>
        </w:trPr>
        <w:tc>
          <w:tcPr>
            <w:tcW w:w="4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Shares outstanding at end of period</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9,198,175</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9,383,132</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9,581,536</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9,699,695</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7,516,423</w:t>
            </w:r>
          </w:p>
        </w:tc>
        <w:tc>
          <w:tcPr>
            <w:tcW w:w="160" w:type="dxa"/>
            <w:vAlign w:val="bottom"/>
          </w:tcPr>
          <w:p>
            <w:pPr>
              <w:spacing w:after="0"/>
              <w:rPr>
                <w:sz w:val="13"/>
                <w:szCs w:val="13"/>
                <w:color w:val="auto"/>
              </w:rPr>
            </w:pPr>
          </w:p>
        </w:tc>
      </w:tr>
      <w:tr>
        <w:trPr>
          <w:trHeight w:val="156"/>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assets at end of period</w:t>
            </w:r>
          </w:p>
        </w:tc>
        <w:tc>
          <w:tcPr>
            <w:tcW w:w="2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178,493</w:t>
            </w:r>
          </w:p>
        </w:tc>
        <w:tc>
          <w:tcPr>
            <w:tcW w:w="34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213,518</w:t>
            </w:r>
          </w:p>
        </w:tc>
        <w:tc>
          <w:tcPr>
            <w:tcW w:w="34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232,123</w:t>
            </w:r>
          </w:p>
        </w:tc>
        <w:tc>
          <w:tcPr>
            <w:tcW w:w="34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280,122</w:t>
            </w: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216,264</w:t>
            </w:r>
          </w:p>
        </w:tc>
        <w:tc>
          <w:tcPr>
            <w:tcW w:w="160" w:type="dxa"/>
            <w:vAlign w:val="bottom"/>
            <w:shd w:val="clear" w:color="auto" w:fill="CFF0FC"/>
          </w:tcPr>
          <w:p>
            <w:pPr>
              <w:spacing w:after="0"/>
              <w:rPr>
                <w:sz w:val="13"/>
                <w:szCs w:val="13"/>
                <w:color w:val="auto"/>
              </w:rPr>
            </w:pPr>
          </w:p>
        </w:tc>
      </w:tr>
      <w:tr>
        <w:trPr>
          <w:trHeight w:val="168"/>
        </w:trPr>
        <w:tc>
          <w:tcPr>
            <w:tcW w:w="4380" w:type="dxa"/>
            <w:vAlign w:val="bottom"/>
          </w:tcPr>
          <w:p>
            <w:pPr>
              <w:ind w:left="20"/>
              <w:spacing w:after="0" w:line="168" w:lineRule="exact"/>
              <w:rPr>
                <w:sz w:val="20"/>
                <w:szCs w:val="20"/>
                <w:color w:val="auto"/>
              </w:rPr>
            </w:pPr>
            <w:r>
              <w:rPr>
                <w:rFonts w:ascii="Times New Roman" w:cs="Times New Roman" w:eastAsia="Times New Roman" w:hAnsi="Times New Roman"/>
                <w:sz w:val="13"/>
                <w:szCs w:val="13"/>
                <w:color w:val="auto"/>
              </w:rPr>
              <w:t>Portfolio turnover rate</w:t>
            </w:r>
            <w:r>
              <w:rPr>
                <w:rFonts w:ascii="Times New Roman" w:cs="Times New Roman" w:eastAsia="Times New Roman" w:hAnsi="Times New Roman"/>
                <w:sz w:val="16"/>
                <w:szCs w:val="16"/>
                <w:color w:val="auto"/>
                <w:vertAlign w:val="superscript"/>
              </w:rPr>
              <w:t>(5)</w:t>
            </w:r>
          </w:p>
        </w:tc>
        <w:tc>
          <w:tcPr>
            <w:tcW w:w="20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17.76 %</w:t>
            </w:r>
          </w:p>
        </w:tc>
        <w:tc>
          <w:tcPr>
            <w:tcW w:w="2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9.29%</w:t>
            </w:r>
          </w:p>
        </w:tc>
        <w:tc>
          <w:tcPr>
            <w:tcW w:w="18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28.26%</w:t>
            </w:r>
          </w:p>
        </w:tc>
        <w:tc>
          <w:tcPr>
            <w:tcW w:w="16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63.49%</w:t>
            </w:r>
          </w:p>
        </w:tc>
        <w:tc>
          <w:tcPr>
            <w:tcW w:w="18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55.70%</w:t>
            </w:r>
          </w:p>
        </w:tc>
      </w:tr>
      <w:tr>
        <w:trPr>
          <w:trHeight w:val="156"/>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Asset coverage ratio</w:t>
            </w:r>
          </w:p>
        </w:tc>
        <w:tc>
          <w:tcPr>
            <w:tcW w:w="20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166.73%</w:t>
            </w:r>
          </w:p>
        </w:tc>
        <w:tc>
          <w:tcPr>
            <w:tcW w:w="2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164.55%</w:t>
            </w:r>
          </w:p>
        </w:tc>
        <w:tc>
          <w:tcPr>
            <w:tcW w:w="1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160.10%</w:t>
            </w:r>
          </w:p>
        </w:tc>
        <w:tc>
          <w:tcPr>
            <w:tcW w:w="1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178.00%</w:t>
            </w: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156.00%</w:t>
            </w:r>
          </w:p>
        </w:tc>
      </w:tr>
      <w:tr>
        <w:trPr>
          <w:trHeight w:val="156"/>
        </w:trPr>
        <w:tc>
          <w:tcPr>
            <w:tcW w:w="4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Ratio of net investment income to average net assets</w:t>
            </w:r>
          </w:p>
        </w:tc>
        <w:tc>
          <w:tcPr>
            <w:tcW w:w="20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12.18%</w:t>
            </w:r>
          </w:p>
        </w:tc>
        <w:tc>
          <w:tcPr>
            <w:tcW w:w="20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15.80%</w:t>
            </w:r>
          </w:p>
        </w:tc>
        <w:tc>
          <w:tcPr>
            <w:tcW w:w="1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11.08%</w:t>
            </w:r>
          </w:p>
        </w:tc>
        <w:tc>
          <w:tcPr>
            <w:tcW w:w="16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16.72%</w:t>
            </w:r>
          </w:p>
        </w:tc>
        <w:tc>
          <w:tcPr>
            <w:tcW w:w="18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9.20%</w:t>
            </w:r>
          </w:p>
        </w:tc>
      </w:tr>
      <w:tr>
        <w:trPr>
          <w:trHeight w:val="156"/>
        </w:trPr>
        <w:tc>
          <w:tcPr>
            <w:tcW w:w="43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Ratio of total expenses to average net assets</w:t>
            </w:r>
            <w:r>
              <w:rPr>
                <w:rFonts w:ascii="Times New Roman" w:cs="Times New Roman" w:eastAsia="Times New Roman" w:hAnsi="Times New Roman"/>
                <w:sz w:val="16"/>
                <w:szCs w:val="16"/>
                <w:color w:val="auto"/>
                <w:vertAlign w:val="superscript"/>
              </w:rPr>
              <w:t>(7)(8)</w:t>
            </w:r>
          </w:p>
        </w:tc>
        <w:tc>
          <w:tcPr>
            <w:tcW w:w="20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19.45%</w:t>
            </w:r>
          </w:p>
        </w:tc>
        <w:tc>
          <w:tcPr>
            <w:tcW w:w="2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18.87%</w:t>
            </w:r>
          </w:p>
        </w:tc>
        <w:tc>
          <w:tcPr>
            <w:tcW w:w="1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15.62%</w:t>
            </w:r>
          </w:p>
        </w:tc>
        <w:tc>
          <w:tcPr>
            <w:tcW w:w="1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15.16%</w:t>
            </w: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14.00%</w:t>
            </w:r>
          </w:p>
        </w:tc>
      </w:tr>
      <w:tr>
        <w:trPr>
          <w:trHeight w:val="156"/>
        </w:trPr>
        <w:tc>
          <w:tcPr>
            <w:tcW w:w="4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Ratio of interest expense to average net assets</w:t>
            </w:r>
          </w:p>
        </w:tc>
        <w:tc>
          <w:tcPr>
            <w:tcW w:w="20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10.53%</w:t>
            </w:r>
          </w:p>
        </w:tc>
        <w:tc>
          <w:tcPr>
            <w:tcW w:w="20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11.50%</w:t>
            </w:r>
          </w:p>
        </w:tc>
        <w:tc>
          <w:tcPr>
            <w:tcW w:w="1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6.79%</w:t>
            </w:r>
          </w:p>
        </w:tc>
        <w:tc>
          <w:tcPr>
            <w:tcW w:w="16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5.43%</w:t>
            </w:r>
          </w:p>
        </w:tc>
        <w:tc>
          <w:tcPr>
            <w:tcW w:w="18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5.60%</w:t>
            </w:r>
          </w:p>
        </w:tc>
      </w:tr>
      <w:tr>
        <w:trPr>
          <w:trHeight w:val="156"/>
        </w:trPr>
        <w:tc>
          <w:tcPr>
            <w:tcW w:w="43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Ratio of non-interest expenses to average net assets </w:t>
            </w:r>
            <w:r>
              <w:rPr>
                <w:rFonts w:ascii="Times New Roman" w:cs="Times New Roman" w:eastAsia="Times New Roman" w:hAnsi="Times New Roman"/>
                <w:sz w:val="16"/>
                <w:szCs w:val="16"/>
                <w:color w:val="auto"/>
                <w:vertAlign w:val="superscript"/>
              </w:rPr>
              <w:t>(7)(8)</w:t>
            </w:r>
          </w:p>
        </w:tc>
        <w:tc>
          <w:tcPr>
            <w:tcW w:w="20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8.92%</w:t>
            </w:r>
          </w:p>
        </w:tc>
        <w:tc>
          <w:tcPr>
            <w:tcW w:w="2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7.38%</w:t>
            </w:r>
          </w:p>
        </w:tc>
        <w:tc>
          <w:tcPr>
            <w:tcW w:w="1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8.83%</w:t>
            </w:r>
          </w:p>
        </w:tc>
        <w:tc>
          <w:tcPr>
            <w:tcW w:w="1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9.73%</w:t>
            </w: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8.40%</w:t>
            </w:r>
          </w:p>
        </w:tc>
      </w:tr>
    </w:tbl>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(1)Based on weighted average number of common shares outstanding for the period.</w:t>
      </w:r>
    </w:p>
    <w:p>
      <w:pPr>
        <w:spacing w:after="0" w:line="102"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1"/>
          <w:szCs w:val="11"/>
          <w:color w:val="auto"/>
        </w:rPr>
        <w:t>(2)Total net asset value return equals the change in the ending of period net asset value per share over the beginning of period net asset value per share plus distributions (including any return of capital), divided by the beginning of period net asset value per share.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(3)Total market return equals the change in the ending of period market price per share over the beginning of period price per share plus distributions (including any return of capital), divided by the beginning of period market price per share.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(4)Totals may not sum due to rounding.</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(5)Portfolio turnover rate equals the lesser of year-to-date sales and paydowns or year-to-date purchases over the average of the invested assets at fair value.</w:t>
      </w:r>
    </w:p>
    <w:p>
      <w:pPr>
        <w:spacing w:after="0" w:line="102"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1"/>
          <w:szCs w:val="11"/>
          <w:color w:val="auto"/>
        </w:rPr>
        <w:t>(6)Includes the effects of the share issuance (at net asset value) from the acquisitions of OHAI, GARS, and HCAP while utilizing different share counts in calculating the other elements, as well as includes the accretive (dilutive) effects of the share issuance (at net asset value or in accordance with the DRIP).</w:t>
      </w:r>
    </w:p>
    <w:p>
      <w:pPr>
        <w:spacing w:after="0" w:line="69"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1"/>
          <w:szCs w:val="11"/>
          <w:color w:val="auto"/>
        </w:rPr>
        <w:t>(7)Incentive fees earned during the years ended December 31, 2024, December 31, 2023, and December 31, 2022 were approximately $5.0 million, $7.4 million, and $6.1 million, respectively, none of which was waived pursuant to the Externalization Agreement. Incentive fees earned during the year ended December 31, 2020, were approximately $4.9 million, of which $0.6 million was waived pursuant to the Externalization Agreement. Excluding the waiver, for the year ended December 31, 2020, ratio of total expenses to average net assets was 14.3% and the ratio of non-interest expenses to average net assets was 8.7%.</w:t>
      </w:r>
    </w:p>
    <w:p>
      <w:pPr>
        <w:spacing w:after="0" w:line="76"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1"/>
          <w:szCs w:val="11"/>
          <w:color w:val="auto"/>
        </w:rPr>
        <w:t>(8)Excluding the impact of the expense reimbursement of approximately $5.3 million during the year ended December 31, 2023, the ratio of total expenses to average net assets and the ratio of non-interest expenses to average net assets would have been 20.9% and 9.4%, respectively. In addition, the total net asset value return would have been 6.1%. excluding the expense reimbursement.</w:t>
      </w: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1"/>
          <w:szCs w:val="11"/>
          <w:color w:val="auto"/>
        </w:rPr>
        <w:t>See accompanying notes to consolidated financial statements.</w:t>
      </w:r>
    </w:p>
    <w:p>
      <w:pPr>
        <w:spacing w:after="0" w:line="10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1"/>
          <w:szCs w:val="11"/>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73" w:name="page74"/>
    <w:bookmarkEnd w:id="7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PORTMAN RIDGE FINANCE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 ORGANIZATION</w:t>
      </w:r>
    </w:p>
    <w:p>
      <w:pPr>
        <w:spacing w:after="0" w:line="105" w:lineRule="exact"/>
        <w:rPr>
          <w:sz w:val="20"/>
          <w:szCs w:val="20"/>
          <w:color w:val="auto"/>
        </w:rPr>
      </w:pPr>
    </w:p>
    <w:p>
      <w:pPr>
        <w:ind w:right="20" w:firstLine="348"/>
        <w:spacing w:after="0" w:line="262" w:lineRule="auto"/>
        <w:rPr>
          <w:sz w:val="20"/>
          <w:szCs w:val="20"/>
          <w:color w:val="auto"/>
        </w:rPr>
      </w:pPr>
      <w:r>
        <w:rPr>
          <w:rFonts w:ascii="Times New Roman" w:cs="Times New Roman" w:eastAsia="Times New Roman" w:hAnsi="Times New Roman"/>
          <w:sz w:val="13"/>
          <w:szCs w:val="13"/>
          <w:color w:val="auto"/>
        </w:rPr>
        <w:t>Portman Ridge Finance Corporation (“Portman Ridge” or the “Company”), formerly known as KCAP Financial, Inc., is an externally managed, non-diversified closed-end investment company that has elected to be regulated as a business development company (“BDC”) under the Investment Company Act of 1940, as amended (the “1940 Act”). The Company was formed as a Delaware limited liability company on August 8, 2006 and, prior to the issuance of shares of the Company’s common stock in its initial public offering (“IPO”), converted to a corporation incorporated in Delaware on December 11, 2006.</w:t>
      </w:r>
    </w:p>
    <w:p>
      <w:pPr>
        <w:spacing w:after="0" w:line="67" w:lineRule="exact"/>
        <w:rPr>
          <w:sz w:val="20"/>
          <w:szCs w:val="20"/>
          <w:color w:val="auto"/>
        </w:rPr>
      </w:pPr>
    </w:p>
    <w:p>
      <w:pPr>
        <w:ind w:right="20" w:firstLine="348"/>
        <w:spacing w:after="0" w:line="262" w:lineRule="auto"/>
        <w:rPr>
          <w:sz w:val="20"/>
          <w:szCs w:val="20"/>
          <w:color w:val="auto"/>
        </w:rPr>
      </w:pPr>
      <w:r>
        <w:rPr>
          <w:rFonts w:ascii="Times New Roman" w:cs="Times New Roman" w:eastAsia="Times New Roman" w:hAnsi="Times New Roman"/>
          <w:sz w:val="13"/>
          <w:szCs w:val="13"/>
          <w:color w:val="auto"/>
        </w:rPr>
        <w:t>The Company originates, structures, and invests in secured term loans, bonds or notes and mezzanine debt primarily in privately-held middle market companies but may also invest in other investments such as loans to publicly-traded companies, high-yield bonds, and distressed debt securities (collectively the “Debt Securities Portfolio”). The Company also invests in debt and subordinated securities issued by collateralized loan obligation funds (“CLO Fund Securities”). In addition, from time to time the Company may invest in the equity securities of privately held middle market companies and may also receive warrants or options to purchase common stock in connection with its debt investments.</w:t>
      </w:r>
    </w:p>
    <w:p>
      <w:pPr>
        <w:spacing w:after="0" w:line="67" w:lineRule="exact"/>
        <w:rPr>
          <w:sz w:val="20"/>
          <w:szCs w:val="20"/>
          <w:color w:val="auto"/>
        </w:rPr>
      </w:pPr>
    </w:p>
    <w:p>
      <w:pPr>
        <w:ind w:right="160" w:firstLine="348"/>
        <w:spacing w:after="0" w:line="268" w:lineRule="auto"/>
        <w:rPr>
          <w:sz w:val="20"/>
          <w:szCs w:val="20"/>
          <w:color w:val="auto"/>
        </w:rPr>
      </w:pPr>
      <w:r>
        <w:rPr>
          <w:rFonts w:ascii="Times New Roman" w:cs="Times New Roman" w:eastAsia="Times New Roman" w:hAnsi="Times New Roman"/>
          <w:sz w:val="13"/>
          <w:szCs w:val="13"/>
          <w:color w:val="auto"/>
        </w:rPr>
        <w:t>The Company has elected to be treated and intends to continue to qualify as a regulated investment company (“RIC”) under Subchapter M of the Internal Revenue Code of 1986, as amended (the “Code”). To qualify as a RIC, the Company must, among other things, meet certain source-of-income, asset diversification and annual distribution requirements. As a RIC, the Company generally will not have to pay corporate-level U.S. federal income taxes on any income that it distributes in a timely manner to its stockholders.</w:t>
      </w:r>
    </w:p>
    <w:p>
      <w:pPr>
        <w:spacing w:after="0" w:line="63" w:lineRule="exact"/>
        <w:rPr>
          <w:sz w:val="20"/>
          <w:szCs w:val="20"/>
          <w:color w:val="auto"/>
        </w:rPr>
      </w:pPr>
    </w:p>
    <w:p>
      <w:pPr>
        <w:ind w:right="160" w:firstLine="348"/>
        <w:spacing w:after="0" w:line="268" w:lineRule="auto"/>
        <w:rPr>
          <w:sz w:val="20"/>
          <w:szCs w:val="20"/>
          <w:color w:val="auto"/>
        </w:rPr>
      </w:pPr>
      <w:r>
        <w:rPr>
          <w:rFonts w:ascii="Times New Roman" w:cs="Times New Roman" w:eastAsia="Times New Roman" w:hAnsi="Times New Roman"/>
          <w:sz w:val="13"/>
          <w:szCs w:val="13"/>
          <w:color w:val="auto"/>
        </w:rPr>
        <w:t>On March 29, 2018, the Company’s Board of Directors (the “Board”), including a “required majority” (as such term is defined in Section 57(o) of the 1940 Act) of the Board, approved the modified asset coverage requirements set forth in Section 61(a)(2) of the 1940 Act, as amended by the Small Business Credit Availability Act (“SBCA”). As a result, the Company’s asset coverage requirement for senior securities changed from 200% to 150%, effective as of March 29, 2019.</w:t>
      </w:r>
    </w:p>
    <w:p>
      <w:pPr>
        <w:spacing w:after="0" w:line="63" w:lineRule="exact"/>
        <w:rPr>
          <w:sz w:val="20"/>
          <w:szCs w:val="20"/>
          <w:color w:val="auto"/>
        </w:rPr>
      </w:pPr>
    </w:p>
    <w:p>
      <w:pPr>
        <w:ind w:right="60" w:firstLine="348"/>
        <w:spacing w:after="0" w:line="286" w:lineRule="auto"/>
        <w:rPr>
          <w:sz w:val="20"/>
          <w:szCs w:val="20"/>
          <w:color w:val="auto"/>
        </w:rPr>
      </w:pPr>
      <w:r>
        <w:rPr>
          <w:rFonts w:ascii="Times New Roman" w:cs="Times New Roman" w:eastAsia="Times New Roman" w:hAnsi="Times New Roman"/>
          <w:sz w:val="13"/>
          <w:szCs w:val="13"/>
          <w:color w:val="auto"/>
        </w:rPr>
        <w:t>During the third quarter of 2017, the Company formed a joint venture with Freedom 3 Opportunities LLC (“Freedom 3 Opportunities”), an affiliate of Freedom 3 Capital LLC, to create KCAP Freedom 3 LLC (the “F3C Joint Venture”). The F3C Joint Venture may originate loans from time to time and sell them to the fund capitalized by the F3C Joint Venture.</w:t>
      </w:r>
    </w:p>
    <w:p>
      <w:pPr>
        <w:spacing w:after="0" w:line="52" w:lineRule="exact"/>
        <w:rPr>
          <w:sz w:val="20"/>
          <w:szCs w:val="20"/>
          <w:color w:val="auto"/>
        </w:rPr>
      </w:pPr>
    </w:p>
    <w:p>
      <w:pPr>
        <w:ind w:right="120" w:firstLine="348"/>
        <w:spacing w:after="0" w:line="257" w:lineRule="auto"/>
        <w:rPr>
          <w:sz w:val="20"/>
          <w:szCs w:val="20"/>
          <w:color w:val="auto"/>
        </w:rPr>
      </w:pPr>
      <w:r>
        <w:rPr>
          <w:rFonts w:ascii="Times New Roman" w:cs="Times New Roman" w:eastAsia="Times New Roman" w:hAnsi="Times New Roman"/>
          <w:sz w:val="13"/>
          <w:szCs w:val="13"/>
          <w:color w:val="auto"/>
        </w:rPr>
        <w:t>On November 8, 2018, the Company entered into an agreement with LibreMax Intermediate Holdings, LP (“LibreMax”) under which Commodore Holdings, LLC (“Commodore”), a wholly-owned subsidiary of the Company, sold the Company’s wholly-owned asset manager subsidiaries Katonah Debt Advisors, LLC (“Katonah Debt Advisors”), Trimaran Advisors, L.L.C. (“Trimaran Advisors”), and Trimaran Advisors Management, L.L.C. (“Trimaran Advisors Management” and, together with Katonah Debt Advisors and Trimaran Advisors, the “Disposed Manager Affiliates”), for a cash purchase price of approximately $ 37.9 million (the “LibreMax Transaction”). The LibreMax Transaction closed on December 31, 2018. As of December 31, 2024, the Company’s remaining wholly-owned asset management subsidiaries (the “Asset Manager Affiliates”) were comprised of Katonah Management Holdings, LLC and KCAP Management, LLC. Prior to their sale in the LibreMax Transaction, the Disposed Manager Affiliates represented substantially all of the Company’s investment in the Asset Manager Affiliates.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The Externalization Agreement</w:t>
      </w:r>
    </w:p>
    <w:p>
      <w:pPr>
        <w:spacing w:after="0" w:line="105" w:lineRule="exact"/>
        <w:rPr>
          <w:sz w:val="20"/>
          <w:szCs w:val="20"/>
          <w:color w:val="auto"/>
        </w:rPr>
      </w:pPr>
    </w:p>
    <w:p>
      <w:pPr>
        <w:ind w:right="80" w:firstLine="348"/>
        <w:spacing w:after="0" w:line="259" w:lineRule="auto"/>
        <w:rPr>
          <w:sz w:val="20"/>
          <w:szCs w:val="20"/>
          <w:color w:val="auto"/>
        </w:rPr>
      </w:pPr>
      <w:r>
        <w:rPr>
          <w:rFonts w:ascii="Times New Roman" w:cs="Times New Roman" w:eastAsia="Times New Roman" w:hAnsi="Times New Roman"/>
          <w:sz w:val="13"/>
          <w:szCs w:val="13"/>
          <w:color w:val="auto"/>
        </w:rPr>
        <w:t>On December 14, 2018, the Company entered into a stock purchase and transaction agreement (the “Externalization Agreement”) with BC Partners Advisors L.P. (“BCP”), an affiliate of BC Partners LLP, (“BC Partners”), through which Sierra Crest Investment Management LLC (the “Adviser”), an affiliate of BC Partners, became the Company’s investment adviser pursuant to an investment advisory Agreement (the “Advisory Agreement”) with the Company. At a special meeting of the Company’s stockholders (the “Special Meeting”) held on February 19, 2019, the Company’s stockholders approved the Advisory Agreement. The transactions contemplated by the Externalization Agreement closed on April 1, 2019 (the “Closing”), and the Company commenced operations as an externally managed BDC managed by the Adviser on that date.</w:t>
      </w:r>
    </w:p>
    <w:p>
      <w:pPr>
        <w:spacing w:after="0" w:line="70" w:lineRule="exact"/>
        <w:rPr>
          <w:sz w:val="20"/>
          <w:szCs w:val="20"/>
          <w:color w:val="auto"/>
        </w:rPr>
      </w:pPr>
    </w:p>
    <w:p>
      <w:pPr>
        <w:ind w:right="280" w:firstLine="348"/>
        <w:spacing w:after="0" w:line="286" w:lineRule="auto"/>
        <w:rPr>
          <w:sz w:val="20"/>
          <w:szCs w:val="20"/>
          <w:color w:val="auto"/>
        </w:rPr>
      </w:pPr>
      <w:r>
        <w:rPr>
          <w:rFonts w:ascii="Times New Roman" w:cs="Times New Roman" w:eastAsia="Times New Roman" w:hAnsi="Times New Roman"/>
          <w:sz w:val="13"/>
          <w:szCs w:val="13"/>
          <w:color w:val="auto"/>
        </w:rPr>
        <w:t>On the date of the Closing, the Company changed its name from KCAP Financial, Inc. to Portman Ridge Finance Corporation and on April 2, 2019, began trading on the NASDAQ Global Select Market under the symbol “PTMN.”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About the Adviser</w:t>
      </w:r>
    </w:p>
    <w:p>
      <w:pPr>
        <w:spacing w:after="0" w:line="105" w:lineRule="exact"/>
        <w:rPr>
          <w:sz w:val="20"/>
          <w:szCs w:val="20"/>
          <w:color w:val="auto"/>
        </w:rPr>
      </w:pPr>
    </w:p>
    <w:p>
      <w:pPr>
        <w:ind w:right="200" w:firstLine="348"/>
        <w:spacing w:after="0" w:line="268" w:lineRule="auto"/>
        <w:rPr>
          <w:sz w:val="20"/>
          <w:szCs w:val="20"/>
          <w:color w:val="auto"/>
        </w:rPr>
      </w:pPr>
      <w:r>
        <w:rPr>
          <w:rFonts w:ascii="Times New Roman" w:cs="Times New Roman" w:eastAsia="Times New Roman" w:hAnsi="Times New Roman"/>
          <w:sz w:val="13"/>
          <w:szCs w:val="13"/>
          <w:color w:val="auto"/>
        </w:rPr>
        <w:t>The Adviser is an affiliate of BC Partners. Subject to the overall supervision of the Board, the Adviser is responsible for managing the Company’s business and activities, including sourcing investment opportunities, conducting research, performing diligence on potential investments, structuring the Company’s investments, and monitoring the Company’s portfolio companies on an ongoing basis through a team of investment professionals.</w:t>
      </w:r>
    </w:p>
    <w:p>
      <w:pPr>
        <w:spacing w:after="0" w:line="63" w:lineRule="exact"/>
        <w:rPr>
          <w:sz w:val="20"/>
          <w:szCs w:val="20"/>
          <w:color w:val="auto"/>
        </w:rPr>
      </w:pPr>
    </w:p>
    <w:p>
      <w:pPr>
        <w:ind w:right="60" w:firstLine="348"/>
        <w:spacing w:after="0" w:line="259" w:lineRule="auto"/>
        <w:rPr>
          <w:sz w:val="20"/>
          <w:szCs w:val="20"/>
          <w:color w:val="auto"/>
        </w:rPr>
      </w:pPr>
      <w:r>
        <w:rPr>
          <w:rFonts w:ascii="Times New Roman" w:cs="Times New Roman" w:eastAsia="Times New Roman" w:hAnsi="Times New Roman"/>
          <w:sz w:val="13"/>
          <w:szCs w:val="13"/>
          <w:color w:val="auto"/>
        </w:rPr>
        <w:t>The Adviser seeks to invest on behalf of the Company in performing, well-established middle market businesses that operate across a wide range of industries (i.e., no concentration in any one industry). The Adviser employs fundamental credit analysis, targeting investments in businesses with relatively low levels of cyclicality and operating risk. The holding size of each position will generally be dependent upon a number of factors including total facility size, pricing and structure, and the number of other lenders in the facility. The Adviser has experience managing levered vehicles, both public and private, and seeks to enhance the Company’s returns through the use of leverage with a prudent approach that prioritizes capital preservation. The Adviser believes this strategy and approach offers attractive risk/return with lower volatility given the potential for fewer defaults and greater resilience through market cycles.</w:t>
      </w:r>
    </w:p>
    <w:p>
      <w:pPr>
        <w:spacing w:after="0" w:line="70" w:lineRule="exact"/>
        <w:rPr>
          <w:sz w:val="20"/>
          <w:szCs w:val="20"/>
          <w:color w:val="auto"/>
        </w:rPr>
      </w:pPr>
    </w:p>
    <w:p>
      <w:pPr>
        <w:ind w:firstLine="348"/>
        <w:spacing w:after="0" w:line="286" w:lineRule="auto"/>
        <w:rPr>
          <w:sz w:val="20"/>
          <w:szCs w:val="20"/>
          <w:color w:val="auto"/>
        </w:rPr>
      </w:pPr>
      <w:r>
        <w:rPr>
          <w:rFonts w:ascii="Times New Roman" w:cs="Times New Roman" w:eastAsia="Times New Roman" w:hAnsi="Times New Roman"/>
          <w:sz w:val="13"/>
          <w:szCs w:val="13"/>
          <w:color w:val="auto"/>
        </w:rPr>
        <w:t>During the fourth quarter of 2020, LibreMax Intermediate Holdings, LP (“LibreMax”) sold its minority stake in the Adviser to a wholly-owned subsidiary of Mount Logan Capital Inc. (“Mount Logan”). An affiliate of BC Partners serves as administrator to Mount Logan.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OHAI Transaction</w:t>
      </w:r>
    </w:p>
    <w:p>
      <w:pPr>
        <w:spacing w:after="0" w:line="107" w:lineRule="exact"/>
        <w:rPr>
          <w:sz w:val="20"/>
          <w:szCs w:val="20"/>
          <w:color w:val="auto"/>
        </w:rPr>
      </w:pPr>
    </w:p>
    <w:p>
      <w:pPr>
        <w:ind w:firstLine="348"/>
        <w:spacing w:after="0" w:line="261" w:lineRule="auto"/>
        <w:rPr>
          <w:sz w:val="20"/>
          <w:szCs w:val="20"/>
          <w:color w:val="auto"/>
        </w:rPr>
      </w:pPr>
      <w:r>
        <w:rPr>
          <w:rFonts w:ascii="Times New Roman" w:cs="Times New Roman" w:eastAsia="Times New Roman" w:hAnsi="Times New Roman"/>
          <w:sz w:val="13"/>
          <w:szCs w:val="13"/>
          <w:color w:val="auto"/>
        </w:rPr>
        <w:t>On December 18, 2019, we completed our acquisition of OHA Investment Corporation (“OHAI”). In accordance with the terms of the merger agreement, each share of common stock, par value $0.001 per share, of OHAI (the “OHAI Common Stock”) issued and outstanding was converted into the right to receive (i) an amount in cash, without interest, equal to approximately $0.42, and</w:t>
      </w:r>
    </w:p>
    <w:p>
      <w:pPr>
        <w:spacing w:after="0" w:line="1" w:lineRule="exact"/>
        <w:rPr>
          <w:sz w:val="20"/>
          <w:szCs w:val="20"/>
          <w:color w:val="auto"/>
        </w:rPr>
      </w:pPr>
    </w:p>
    <w:p>
      <w:pPr>
        <w:ind w:right="300" w:firstLine="6"/>
        <w:spacing w:after="0" w:line="263" w:lineRule="auto"/>
        <w:tabs>
          <w:tab w:leader="none" w:pos="192"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0.3688 shares of common stock, par value $0.01 per share, of the Company (plus any applicable cash in lieu of fractional shares). Each share of OHAI Common Stock issued and outstanding received, as additional consideration funded by the Adviser, an amount in cash, without interest, equal to approximately $0.15.</w:t>
      </w:r>
    </w:p>
    <w:p>
      <w:pPr>
        <w:spacing w:after="0" w:line="7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1"/>
          <w:szCs w:val="11"/>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132" w:right="700"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PORTMAN RIDGE FINANCE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GARS Transaction</w:t>
      </w:r>
    </w:p>
    <w:p>
      <w:pPr>
        <w:spacing w:after="0" w:line="107" w:lineRule="exact"/>
        <w:rPr>
          <w:sz w:val="20"/>
          <w:szCs w:val="20"/>
          <w:color w:val="auto"/>
        </w:rPr>
      </w:pPr>
    </w:p>
    <w:p>
      <w:pPr>
        <w:ind w:right="80" w:firstLine="348"/>
        <w:spacing w:after="0" w:line="268" w:lineRule="auto"/>
        <w:rPr>
          <w:sz w:val="20"/>
          <w:szCs w:val="20"/>
          <w:color w:val="auto"/>
        </w:rPr>
      </w:pPr>
      <w:r>
        <w:rPr>
          <w:rFonts w:ascii="Times New Roman" w:cs="Times New Roman" w:eastAsia="Times New Roman" w:hAnsi="Times New Roman"/>
          <w:sz w:val="13"/>
          <w:szCs w:val="13"/>
          <w:color w:val="auto"/>
        </w:rPr>
        <w:t>On October 28, 2020, we completed our acquisition of Garrison Capital Inc., a publicly traded BDC (“GARS”, and such transaction the “GARS Acquisition”). To effect the acquisition, our wholly owned merger subsidiary merged with and into GARS, with GARS surviving the merger as our wholly owned subsidiary. Immediately thereafter and as a single integrated transaction, GARS consummated a second merger, whereby GARS merged with and into us, with the Company surviving the merger.</w:t>
      </w:r>
    </w:p>
    <w:p>
      <w:pPr>
        <w:spacing w:after="0" w:line="63" w:lineRule="exact"/>
        <w:rPr>
          <w:sz w:val="20"/>
          <w:szCs w:val="20"/>
          <w:color w:val="auto"/>
        </w:rPr>
      </w:pPr>
    </w:p>
    <w:p>
      <w:pPr>
        <w:ind w:right="280" w:firstLine="348"/>
        <w:spacing w:after="0" w:line="262" w:lineRule="auto"/>
        <w:rPr>
          <w:sz w:val="20"/>
          <w:szCs w:val="20"/>
          <w:color w:val="auto"/>
        </w:rPr>
      </w:pPr>
      <w:r>
        <w:rPr>
          <w:rFonts w:ascii="Times New Roman" w:cs="Times New Roman" w:eastAsia="Times New Roman" w:hAnsi="Times New Roman"/>
          <w:sz w:val="13"/>
          <w:szCs w:val="13"/>
          <w:color w:val="auto"/>
        </w:rPr>
        <w:t>In accordance with the terms of the merger agreement for the GARS Acquisition, dated June 24, 2020 (the “GARS Merger Agreement”), each share of common stock, par value $0.001 per share, of GARS (the “GARS Common Stock”) issued and outstanding was converted into the right to receive (i) an amount in cash, without interest, equal to approximately $1.19 and (ii) approximately 1.917 shares of common stock, par value $0.01 per share, of the Company (plus any applicable cash in lieu of fractional shares). Each share of GARS Common Stock issued and outstanding received, as additional consideration funded by the Adviser, an amount in cash, without interest, equal to approximately $0.31.</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HCAP Transaction</w:t>
      </w:r>
    </w:p>
    <w:p>
      <w:pPr>
        <w:spacing w:after="0" w:line="107" w:lineRule="exact"/>
        <w:rPr>
          <w:sz w:val="20"/>
          <w:szCs w:val="20"/>
          <w:color w:val="auto"/>
        </w:rPr>
      </w:pPr>
    </w:p>
    <w:p>
      <w:pPr>
        <w:ind w:right="200" w:firstLine="348"/>
        <w:spacing w:after="0" w:line="262" w:lineRule="auto"/>
        <w:rPr>
          <w:sz w:val="20"/>
          <w:szCs w:val="20"/>
          <w:color w:val="auto"/>
        </w:rPr>
      </w:pPr>
      <w:r>
        <w:rPr>
          <w:rFonts w:ascii="Times New Roman" w:cs="Times New Roman" w:eastAsia="Times New Roman" w:hAnsi="Times New Roman"/>
          <w:sz w:val="13"/>
          <w:szCs w:val="13"/>
          <w:color w:val="auto"/>
        </w:rPr>
        <w:t>On June 9, 2021, we completed our acquisition of Harvest Capital Credit Corporation, a publicly traded BDC (“HCAP”, and such transaction the “HCAP Acquisition”). To effect the acquisition, our wholly owned merger subsidiary (“Acquisition Sub”) merged with and into HCAP, with HCAP surviving the merger as the Company’s wholly owned subsidiary. Immediately thereafter and as a single integrated transaction, HCAP consummated a second merger, whereby HCAP merged with and into the Company, with the Company surviving the merger. As a result of, and as of the effective time of, the second merger, HCAP’s separate corporate existence ceased.</w:t>
      </w:r>
    </w:p>
    <w:p>
      <w:pPr>
        <w:spacing w:after="0" w:line="127" w:lineRule="exact"/>
        <w:rPr>
          <w:sz w:val="20"/>
          <w:szCs w:val="20"/>
          <w:color w:val="auto"/>
        </w:rPr>
      </w:pPr>
    </w:p>
    <w:p>
      <w:pPr>
        <w:jc w:val="both"/>
        <w:ind w:right="100" w:firstLine="348"/>
        <w:spacing w:after="0" w:line="268" w:lineRule="auto"/>
        <w:rPr>
          <w:sz w:val="20"/>
          <w:szCs w:val="20"/>
          <w:color w:val="auto"/>
        </w:rPr>
      </w:pPr>
      <w:r>
        <w:rPr>
          <w:rFonts w:ascii="Times New Roman" w:cs="Times New Roman" w:eastAsia="Times New Roman" w:hAnsi="Times New Roman"/>
          <w:sz w:val="13"/>
          <w:szCs w:val="13"/>
          <w:color w:val="auto"/>
        </w:rPr>
        <w:t>Under the terms of the merger agreement for the HCAP Acquisition, dated December 23, 2020 (the “HCAP Merger Agreement”), HCAP stockholders as of immediately prior to the effective time of the first merger (other than shares held by a subsidiary of HCAP or held, directly or indirectly, by the Company or Acquisition Sub, and all treasury shares (collectively, “Cancelled Shares”)) received a combination of (i) $18.54 million in cash paid by the Company, (ii) 15,252,453 validly issued, fully paid and non-assessable shares of the Company’s common stock, par value $0.01 per share, and (iii) an additional cash payment from the Adviser of $2.15 million in the aggregate.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Reverse Stock Split</w:t>
      </w:r>
    </w:p>
    <w:p>
      <w:pPr>
        <w:spacing w:after="0" w:line="105" w:lineRule="exact"/>
        <w:rPr>
          <w:sz w:val="20"/>
          <w:szCs w:val="20"/>
          <w:color w:val="auto"/>
        </w:rPr>
      </w:pPr>
    </w:p>
    <w:p>
      <w:pPr>
        <w:ind w:firstLine="348"/>
        <w:spacing w:after="0" w:line="268" w:lineRule="auto"/>
        <w:rPr>
          <w:sz w:val="20"/>
          <w:szCs w:val="20"/>
          <w:color w:val="auto"/>
        </w:rPr>
      </w:pPr>
      <w:r>
        <w:rPr>
          <w:rFonts w:ascii="Times New Roman" w:cs="Times New Roman" w:eastAsia="Times New Roman" w:hAnsi="Times New Roman"/>
          <w:sz w:val="13"/>
          <w:szCs w:val="13"/>
          <w:color w:val="auto"/>
        </w:rPr>
        <w:t>On August 23, 2021, the Company filed a Certificate of Amendment (the “Reverse Stock Split Certificate of Amendment”) to the Company’s Certificate of Incorporation with the Secretary of State of the State of Delaware to effect a 1-for- 10 reverse stock split of the issued and outstanding (or held in treasury) shares of the Company’s common stock, par value $0.01 per share (the “Reverse Stock Split”). The Reverse Stock Split became effective as of 12:01 a.m. (Eastern Time) on August 26, 2021.</w:t>
      </w:r>
    </w:p>
    <w:p>
      <w:pPr>
        <w:spacing w:after="0" w:line="63" w:lineRule="exact"/>
        <w:rPr>
          <w:sz w:val="20"/>
          <w:szCs w:val="20"/>
          <w:color w:val="auto"/>
        </w:rPr>
      </w:pPr>
    </w:p>
    <w:p>
      <w:pPr>
        <w:jc w:val="both"/>
        <w:ind w:right="120" w:firstLine="348"/>
        <w:spacing w:after="0" w:line="268" w:lineRule="auto"/>
        <w:rPr>
          <w:sz w:val="20"/>
          <w:szCs w:val="20"/>
          <w:color w:val="auto"/>
        </w:rPr>
      </w:pPr>
      <w:r>
        <w:rPr>
          <w:rFonts w:ascii="Times New Roman" w:cs="Times New Roman" w:eastAsia="Times New Roman" w:hAnsi="Times New Roman"/>
          <w:sz w:val="13"/>
          <w:szCs w:val="13"/>
          <w:color w:val="auto"/>
        </w:rPr>
        <w:t>As a result of the Reverse Stock Split, every ten shares of issued and outstanding common stock were automatically combined into one issued and outstanding share of common stock, without any change in the par value per share. No fractional shares were issued as a result of the Reverse Stock Split. Instead, any stockholder who would have been entitled to receive a fractional share as a result of the Reverse Stock Split received cash payments in lieu of such fractional shares (without interest and subject to backup withholding and applicable withholding taxes).</w:t>
      </w:r>
    </w:p>
    <w:p>
      <w:pPr>
        <w:spacing w:after="0" w:line="63" w:lineRule="exact"/>
        <w:rPr>
          <w:sz w:val="20"/>
          <w:szCs w:val="20"/>
          <w:color w:val="auto"/>
        </w:rPr>
      </w:pPr>
    </w:p>
    <w:p>
      <w:pPr>
        <w:ind w:right="140" w:firstLine="348"/>
        <w:spacing w:after="0" w:line="262" w:lineRule="auto"/>
        <w:rPr>
          <w:sz w:val="20"/>
          <w:szCs w:val="20"/>
          <w:color w:val="auto"/>
        </w:rPr>
      </w:pPr>
      <w:r>
        <w:rPr>
          <w:rFonts w:ascii="Times New Roman" w:cs="Times New Roman" w:eastAsia="Times New Roman" w:hAnsi="Times New Roman"/>
          <w:sz w:val="13"/>
          <w:szCs w:val="13"/>
          <w:color w:val="auto"/>
        </w:rPr>
        <w:t>On August 23, 2021, the Company filed a Certificate of Amendment to decrease the number of authorized shares of common stock by one half of the reverse stock split ratio (the “Decrease Shares Certificate of Amendment”) with the Secretary of State of the State of Delaware. The Decrease Shares Certificate of Amendment became effective as of 12:05 a.m. (Eastern Time) on August 26, 2021. Following the effectiveness of the Decrease Shares Certificate of Amendment, the number of authorized shares of common stock under the Company’s Certificate of Incorporation was reduced from 100 million shares to 20 million shares.</w:t>
      </w:r>
    </w:p>
    <w:p>
      <w:pPr>
        <w:spacing w:after="0" w:line="67" w:lineRule="exact"/>
        <w:rPr>
          <w:sz w:val="20"/>
          <w:szCs w:val="20"/>
          <w:color w:val="auto"/>
        </w:rPr>
      </w:pPr>
    </w:p>
    <w:p>
      <w:pPr>
        <w:ind w:firstLine="348"/>
        <w:spacing w:after="0" w:line="286" w:lineRule="auto"/>
        <w:rPr>
          <w:sz w:val="20"/>
          <w:szCs w:val="20"/>
          <w:color w:val="auto"/>
        </w:rPr>
      </w:pPr>
      <w:r>
        <w:rPr>
          <w:rFonts w:ascii="Times New Roman" w:cs="Times New Roman" w:eastAsia="Times New Roman" w:hAnsi="Times New Roman"/>
          <w:sz w:val="13"/>
          <w:szCs w:val="13"/>
          <w:color w:val="auto"/>
        </w:rPr>
        <w:t>The Reverse Stock Split Certificate of Amendment and the Decrease Shares Certificate of Amendment were approved by the Company’s stockholders at its annual meeting held on June 7, 2021 and were approved by the Board on August 4, 2021.</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2. SIGNIFICANT ACCOUNTING POLICIES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Basis of Presentation</w:t>
      </w:r>
    </w:p>
    <w:p>
      <w:pPr>
        <w:spacing w:after="0" w:line="1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The accompanying consolidated financial statements have been prepared on the accrual basis of accounting in conformity with U.S. generally accepted accounting principles (“U.S. GAAP”).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The Company is an investment company and follows accounting and reporting guidance in Accounting Standards Codification ("ASC") Topic 946 - </w:t>
      </w:r>
      <w:r>
        <w:rPr>
          <w:rFonts w:ascii="Times New Roman" w:cs="Times New Roman" w:eastAsia="Times New Roman" w:hAnsi="Times New Roman"/>
          <w:sz w:val="13"/>
          <w:szCs w:val="13"/>
          <w:i w:val="1"/>
          <w:iCs w:val="1"/>
          <w:color w:val="auto"/>
        </w:rPr>
        <w:t>Financial Services - Investment Companies</w:t>
      </w:r>
      <w:r>
        <w:rPr>
          <w:rFonts w:ascii="Times New Roman" w:cs="Times New Roman" w:eastAsia="Times New Roman" w:hAnsi="Times New Roman"/>
          <w:sz w:val="13"/>
          <w:szCs w:val="13"/>
          <w:color w:val="auto"/>
        </w:rPr>
        <w: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Certain prior year investment related disclosures have been reclassified to conform to the current period presentation.</w:t>
      </w:r>
    </w:p>
    <w:p>
      <w:pPr>
        <w:spacing w:after="0" w:line="89" w:lineRule="exact"/>
        <w:rPr>
          <w:sz w:val="20"/>
          <w:szCs w:val="20"/>
          <w:color w:val="auto"/>
        </w:rPr>
      </w:pPr>
    </w:p>
    <w:p>
      <w:pPr>
        <w:jc w:val="both"/>
        <w:ind w:right="40" w:firstLine="348"/>
        <w:spacing w:after="0" w:line="268" w:lineRule="auto"/>
        <w:rPr>
          <w:sz w:val="20"/>
          <w:szCs w:val="20"/>
          <w:color w:val="auto"/>
        </w:rPr>
      </w:pPr>
      <w:r>
        <w:rPr>
          <w:rFonts w:ascii="Times New Roman" w:cs="Times New Roman" w:eastAsia="Times New Roman" w:hAnsi="Times New Roman"/>
          <w:sz w:val="13"/>
          <w:szCs w:val="13"/>
          <w:color w:val="auto"/>
        </w:rPr>
        <w:t>The consolidated financial statements reflect all adjustments, both normal and recurring which, in the opinion of management, are necessary for the fair presentation of the Company's results of operations and financial condition for the periods presented. Furthermore, the preparation of the consolidated financial statements requires the Company to make significant estimates and assumptions including with respect to the fair value of investments that do not have a readily available market value. Actual results could differ from those estimates, and the differences could be material.</w:t>
      </w:r>
    </w:p>
    <w:p>
      <w:pPr>
        <w:spacing w:after="0" w:line="63"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3"/>
          <w:szCs w:val="13"/>
          <w:color w:val="auto"/>
        </w:rPr>
        <w:t>The Company consolidates the financial statements of its wholly-owned special purpose financing subsidiaries Portman Ridge Funding 2018-2 Ltd. (“PRF CLO 2018-2”) (formerly known as Garrison Funding 2018-2 Ltd.), Great Lakes KCAP Funding I, LLC, Kohlberg Capital Funding LLC I, KCAP Senior Funding I, LLC, KCAP Senior Funding I Holdings, LLC, Great Lakes Portman Ridge Funding, LLC, Garrison Capital Equity Holdings VIII LLC, Garrison Capital Equity Holdings XI LLC, GIG Rooster Holdings I LLC, OHA Nevada, LLC and HCAP ICC, LLC, in its consolidated financial statements as they are operated solely for investment activities of the Company. The creditors of Great Lakes Portman Ridge Funding, LLC received security interests in the assets which are owned by them and such assets are not intended to be available to the creditors of Portman Ridge Finance Corporation., or any other affiliate. The Company also consolidates various subsidiaries (KCAP Coastal LLC, PTMN Sub Holdings LLC, Garrison Capital Equity Holdings I LLC, Garrison Capital Equity Holdings II, LLC, and HCAP Equity Holdings, LLC) created primarily to provide specific tax treatment for the equity and other investments held by these entities.</w:t>
      </w:r>
    </w:p>
    <w:p>
      <w:pPr>
        <w:spacing w:after="0" w:line="72" w:lineRule="exact"/>
        <w:rPr>
          <w:sz w:val="20"/>
          <w:szCs w:val="20"/>
          <w:color w:val="auto"/>
        </w:rPr>
      </w:pPr>
    </w:p>
    <w:p>
      <w:pPr>
        <w:ind w:right="340" w:firstLine="348"/>
        <w:spacing w:after="0" w:line="286" w:lineRule="auto"/>
        <w:rPr>
          <w:sz w:val="20"/>
          <w:szCs w:val="20"/>
          <w:color w:val="auto"/>
        </w:rPr>
      </w:pPr>
      <w:r>
        <w:rPr>
          <w:rFonts w:ascii="Times New Roman" w:cs="Times New Roman" w:eastAsia="Times New Roman" w:hAnsi="Times New Roman"/>
          <w:sz w:val="13"/>
          <w:szCs w:val="13"/>
          <w:color w:val="auto"/>
        </w:rPr>
        <w:t>In accordance with Article 6 of Regulation S-X under the Securities Act of 1933, as amended (the “Securities Act”), and the Securities Exchange Act of 1934, as amended (the “Exchange Act”), the Company does not consolidate portfolio company investments, including those in which it has a controlling interest.</w:t>
      </w:r>
    </w:p>
    <w:p>
      <w:pPr>
        <w:spacing w:after="0" w:line="52" w:lineRule="exact"/>
        <w:rPr>
          <w:sz w:val="20"/>
          <w:szCs w:val="20"/>
          <w:color w:val="auto"/>
        </w:rPr>
      </w:pPr>
    </w:p>
    <w:p>
      <w:pPr>
        <w:ind w:right="80" w:firstLine="348"/>
        <w:spacing w:after="0" w:line="286" w:lineRule="auto"/>
        <w:rPr>
          <w:sz w:val="20"/>
          <w:szCs w:val="20"/>
          <w:color w:val="auto"/>
        </w:rPr>
      </w:pPr>
      <w:r>
        <w:rPr>
          <w:rFonts w:ascii="Times New Roman" w:cs="Times New Roman" w:eastAsia="Times New Roman" w:hAnsi="Times New Roman"/>
          <w:sz w:val="13"/>
          <w:szCs w:val="13"/>
          <w:color w:val="auto"/>
        </w:rPr>
        <w:t>The determination of the tax character of distributions is made on an annual (full calendar year) basis at the end of the year based upon our taxable income for the full year and the distributions paid during the full year. Therefore, an estimate of tax attributes made on a quarterly basis may not be representative of the actual tax attributes of distributions for a full year.</w:t>
      </w:r>
    </w:p>
    <w:p>
      <w:pPr>
        <w:spacing w:after="0" w:line="6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1"/>
          <w:szCs w:val="11"/>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3"/>
          <w:szCs w:val="13"/>
          <w:b w:val="1"/>
          <w:bCs w:val="1"/>
          <w:color w:val="auto"/>
        </w:rPr>
        <w:t>PORTMAN RIDGE FINANCE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1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It is the Company’s primary investment objective to generate current income and capital appreciation by lending directly to privately-held middle market companies.</w:t>
      </w:r>
    </w:p>
    <w:p>
      <w:pPr>
        <w:spacing w:after="0" w:line="103" w:lineRule="exact"/>
        <w:rPr>
          <w:sz w:val="20"/>
          <w:szCs w:val="20"/>
          <w:color w:val="auto"/>
        </w:rPr>
      </w:pPr>
    </w:p>
    <w:p>
      <w:pPr>
        <w:ind w:right="320" w:firstLine="348"/>
        <w:spacing w:after="0" w:line="268" w:lineRule="auto"/>
        <w:rPr>
          <w:sz w:val="20"/>
          <w:szCs w:val="20"/>
          <w:color w:val="auto"/>
        </w:rPr>
      </w:pPr>
      <w:r>
        <w:rPr>
          <w:rFonts w:ascii="Times New Roman" w:cs="Times New Roman" w:eastAsia="Times New Roman" w:hAnsi="Times New Roman"/>
          <w:sz w:val="13"/>
          <w:szCs w:val="13"/>
          <w:color w:val="auto"/>
        </w:rPr>
        <w:t>During the year ended December 31, 2024, the Company made approximately $78.4 million of investments and had approximately $125.7 million in repayments and sales, resulting in net repayments and sales of approximately $47.3 million for the period. During the year ended December 31, 2023, the Company made approximately $48.2 million of investments and had approximately $147.0 million in repayments and sales, resulting in net repayment and sales of approximately $98.8 million for the period.</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As of December 31, 2024 and December 31, 2023, the Company held loans it has made to 71 and 80 portfolio companies, respectively, with aggregate principal amounts of approximately</w:t>
      </w:r>
    </w:p>
    <w:p>
      <w:pPr>
        <w:spacing w:after="0" w:line="21"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3"/>
          <w:szCs w:val="13"/>
          <w:color w:val="auto"/>
        </w:rPr>
        <w:t>$366.1 million and $420.9 million, respectively. The details of such loans have been disclosed on the consolidated schedule of investments as well as in Note 4 – Investments. In addition to providing loans to portfolio companies, from time to time the Company assists portfolio companies in securing financing from other sources by introducing such portfolio companies to sponsors or by, among other things, leading a syndicate of lenders to provide the portfolio companies with financing.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Recent Accounting Pronouncements</w:t>
      </w:r>
    </w:p>
    <w:p>
      <w:pPr>
        <w:spacing w:after="0" w:line="105" w:lineRule="exact"/>
        <w:rPr>
          <w:sz w:val="20"/>
          <w:szCs w:val="20"/>
          <w:color w:val="auto"/>
        </w:rPr>
      </w:pPr>
    </w:p>
    <w:p>
      <w:pPr>
        <w:ind w:right="120" w:firstLine="381"/>
        <w:spacing w:after="0" w:line="256" w:lineRule="auto"/>
        <w:rPr>
          <w:sz w:val="20"/>
          <w:szCs w:val="20"/>
          <w:color w:val="auto"/>
        </w:rPr>
      </w:pPr>
      <w:r>
        <w:rPr>
          <w:rFonts w:ascii="Times New Roman" w:cs="Times New Roman" w:eastAsia="Times New Roman" w:hAnsi="Times New Roman"/>
          <w:sz w:val="13"/>
          <w:szCs w:val="13"/>
          <w:color w:val="auto"/>
        </w:rPr>
        <w:t>In November 2023, the FASB issued ASU 2023-07, Segment Reporting (Topic 280): Improvements to Reportable Segment Disclosures (“ASU 2023-07”), which enhances disclosure requirements about significant segment expenses that are regularly provided to the chief operating decision maker (the “CODM”) . ASU 2023-07, among other things, (i) requires a single segment public entity to provide all of the disclosures as required by ASC 280, (ii) requires a public entity to disclose the title and position of the CODM and an explanation of how the CODM uses the reported measure(s) of segment profit or loss in assessing segment performance and deciding how to allocate resources and (iii) provides the ability for a public entity to elect more than one performance measure. ASU 2023-07 is effective for the fiscal years beginning after December 15, 2023, and interim periods beginning with the first quarter ended March 31, 2025. Early adoption is permitted and retrospective adoption is required for all prior periods presented. The Company has adopted ASU 2023-07 effective December 31, 2024. See Note 11 for more information on the effects of the adoption of ASU 2023-07.</w:t>
      </w:r>
    </w:p>
    <w:p>
      <w:pPr>
        <w:spacing w:after="0" w:line="72" w:lineRule="exact"/>
        <w:rPr>
          <w:sz w:val="20"/>
          <w:szCs w:val="20"/>
          <w:color w:val="auto"/>
        </w:rPr>
      </w:pPr>
    </w:p>
    <w:p>
      <w:pPr>
        <w:ind w:right="20" w:firstLine="348"/>
        <w:spacing w:after="0" w:line="262" w:lineRule="auto"/>
        <w:rPr>
          <w:sz w:val="20"/>
          <w:szCs w:val="20"/>
          <w:color w:val="auto"/>
        </w:rPr>
      </w:pPr>
      <w:r>
        <w:rPr>
          <w:rFonts w:ascii="Times New Roman" w:cs="Times New Roman" w:eastAsia="Times New Roman" w:hAnsi="Times New Roman"/>
          <w:sz w:val="13"/>
          <w:szCs w:val="13"/>
          <w:color w:val="auto"/>
        </w:rPr>
        <w:t>In November 2024, the FASB issued ASU 2024-03, Income Statement—Reporting Comprehensive Income—Expense Disaggregation Disclosures (“ASU 2024-03”), which requires disaggregated disclosure of certain costs and expenses, including purchases of inventory, employee compensation, depreciation, amortization and depletion, within relevant income statement captions. ASU 2024 -03 is effective for fiscal years beginning after December 15, 2026, and interim periods beginning in the first quarter ended March 31, 2028. Early adoption and retrospective application is permitted. The Company is currently assessing the impact of this guidance, however, the Company does not expect a material impact on its consolidated financial statements.</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b w:val="1"/>
          <w:bCs w:val="1"/>
          <w:i w:val="1"/>
          <w:iCs w:val="1"/>
          <w:color w:val="auto"/>
        </w:rPr>
        <w:t>Investments</w:t>
      </w:r>
    </w:p>
    <w:p>
      <w:pPr>
        <w:spacing w:after="0" w:line="1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Investment transactions are recorded on the applicable trade date. Realized gains or losses are determined using the specific identification method.</w:t>
      </w:r>
    </w:p>
    <w:p>
      <w:pPr>
        <w:spacing w:after="0" w:line="101" w:lineRule="exact"/>
        <w:rPr>
          <w:sz w:val="20"/>
          <w:szCs w:val="20"/>
          <w:color w:val="auto"/>
        </w:rPr>
      </w:pPr>
    </w:p>
    <w:p>
      <w:pPr>
        <w:ind w:right="20" w:firstLine="348"/>
        <w:spacing w:after="0" w:line="255" w:lineRule="auto"/>
        <w:rPr>
          <w:sz w:val="20"/>
          <w:szCs w:val="20"/>
          <w:color w:val="auto"/>
        </w:rPr>
      </w:pPr>
      <w:r>
        <w:rPr>
          <w:rFonts w:ascii="Times New Roman" w:cs="Times New Roman" w:eastAsia="Times New Roman" w:hAnsi="Times New Roman"/>
          <w:sz w:val="13"/>
          <w:szCs w:val="13"/>
          <w:i w:val="1"/>
          <w:iCs w:val="1"/>
          <w:color w:val="auto"/>
        </w:rPr>
        <w:t xml:space="preserve">Valuation of Portfolio Investments. </w:t>
      </w:r>
      <w:r>
        <w:rPr>
          <w:rFonts w:ascii="Times New Roman" w:cs="Times New Roman" w:eastAsia="Times New Roman" w:hAnsi="Times New Roman"/>
          <w:sz w:val="13"/>
          <w:szCs w:val="13"/>
          <w:color w:val="auto"/>
        </w:rPr>
        <w:t>The Board has designated the Adviser as its "valuation designee" pursuant to Rule 2a-5 under the 1940 Act, and in that role the Adviser is responsible for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performing fair value determinations relating to all of the Company's investments, including periodically assessing and managing any material valuation risks and establishing and applying fair value methodologies, in accordance with valuation policies and procedures that have been approved by the Board. The Board remains ultimately responsible for making fair value determinations under the 1940 Act and satisfies its responsibility through oversight of the valuation designee in accordance with Rule 2a-5. Debt and equity securities for which market quotations are readily available are generally valued at such market quotations. Debt and equity securities that are not publicly traded or whose market price is not readily available are valued by the Adviser based on detailed analyses prepared by management and, in certain circumstances, third parties with valuation expertise. Valuations are conducted by management on 100% of the investment portfolio at the end of each quarter. The Company follows the provisions of ASC 820: </w:t>
      </w:r>
      <w:r>
        <w:rPr>
          <w:rFonts w:ascii="Times New Roman" w:cs="Times New Roman" w:eastAsia="Times New Roman" w:hAnsi="Times New Roman"/>
          <w:sz w:val="13"/>
          <w:szCs w:val="13"/>
          <w:i w:val="1"/>
          <w:iCs w:val="1"/>
          <w:color w:val="auto"/>
        </w:rPr>
        <w:t>Fair Value Measurements and Disclosures</w:t>
      </w:r>
      <w:r>
        <w:rPr>
          <w:rFonts w:ascii="Times New Roman" w:cs="Times New Roman" w:eastAsia="Times New Roman" w:hAnsi="Times New Roman"/>
          <w:sz w:val="13"/>
          <w:szCs w:val="13"/>
          <w:color w:val="auto"/>
        </w:rPr>
        <w:t xml:space="preserve"> (“ASC 820: Fair Value”). This standard defines fair value, establishes a framework for measuring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w:t>
      </w:r>
    </w:p>
    <w:p>
      <w:pPr>
        <w:spacing w:after="0" w:line="73" w:lineRule="exact"/>
        <w:rPr>
          <w:sz w:val="20"/>
          <w:szCs w:val="20"/>
          <w:color w:val="auto"/>
        </w:rPr>
      </w:pPr>
    </w:p>
    <w:p>
      <w:pPr>
        <w:jc w:val="both"/>
        <w:ind w:right="20" w:firstLine="348"/>
        <w:spacing w:after="0" w:line="268" w:lineRule="auto"/>
        <w:rPr>
          <w:sz w:val="20"/>
          <w:szCs w:val="20"/>
          <w:color w:val="auto"/>
        </w:rPr>
      </w:pPr>
      <w:r>
        <w:rPr>
          <w:rFonts w:ascii="Times New Roman" w:cs="Times New Roman" w:eastAsia="Times New Roman" w:hAnsi="Times New Roman"/>
          <w:sz w:val="13"/>
          <w:szCs w:val="13"/>
          <w:color w:val="auto"/>
        </w:rPr>
        <w:t>The Adviser utilizes one or more independent valuation firms to provide third party valuation consulting services. Each quarter the independent valuation firms perform third party valuations of the Company’s investments in material illiquid securities such that they are reviewed at least once during a trailing 12-month period. These third-party valuation estimates are considered as one of the relevant data points in the Adviser’s determination of fair value.</w:t>
      </w:r>
    </w:p>
    <w:p>
      <w:pPr>
        <w:spacing w:after="0" w:line="63" w:lineRule="exact"/>
        <w:rPr>
          <w:sz w:val="20"/>
          <w:szCs w:val="20"/>
          <w:color w:val="auto"/>
        </w:rPr>
      </w:pPr>
    </w:p>
    <w:p>
      <w:pPr>
        <w:jc w:val="both"/>
        <w:ind w:right="40" w:firstLine="348"/>
        <w:spacing w:after="0" w:line="259" w:lineRule="auto"/>
        <w:rPr>
          <w:sz w:val="20"/>
          <w:szCs w:val="20"/>
          <w:color w:val="auto"/>
        </w:rPr>
      </w:pPr>
      <w:r>
        <w:rPr>
          <w:rFonts w:ascii="Times New Roman" w:cs="Times New Roman" w:eastAsia="Times New Roman" w:hAnsi="Times New Roman"/>
          <w:sz w:val="13"/>
          <w:szCs w:val="13"/>
          <w:color w:val="auto"/>
        </w:rPr>
        <w:t>The Adviser may consider other methods of valuation than those set forth below to determine the fair value of Level III investments as appropriate in conformity with U.S. GAAP. Due to the inherent uncertainty of determining the fair value of investments that do not have a readily available market value, the fair value of the Company’s investments may differ materially from the values that would have been used had a readily available market existed for such investments. Further, such investments may be generally subject to legal and other restrictions on resale or otherwise be less liquid than publicly traded securities. In addition, changes in the market environment and other events may occur over the life of the investments that may cause the value realized on such investments to be different from the currently assigned valuations.</w:t>
      </w:r>
    </w:p>
    <w:p>
      <w:pPr>
        <w:spacing w:after="0" w:line="70"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3"/>
          <w:szCs w:val="13"/>
          <w:color w:val="auto"/>
        </w:rPr>
        <w:t>The majority of the Company’s investment portfolio is composed of debt and equity securities with unique contract terms and conditions and/or complexity that requires a valuation of each individual investment that considers multiple levels of market and asset specific inputs, which may include historical and forecasted financial and operational performance of the individual investment, projected cash flows, market multiples, comparable market transactions, the priority of the security compared with those of other securities for such issuers, credit risk, interest rates, and independent valuations and reviews.</w:t>
      </w:r>
    </w:p>
    <w:p>
      <w:pPr>
        <w:spacing w:after="0" w:line="65" w:lineRule="exact"/>
        <w:rPr>
          <w:sz w:val="20"/>
          <w:szCs w:val="20"/>
          <w:color w:val="auto"/>
        </w:rPr>
      </w:pPr>
    </w:p>
    <w:p>
      <w:pPr>
        <w:ind w:firstLine="348"/>
        <w:spacing w:after="0" w:line="260" w:lineRule="auto"/>
        <w:rPr>
          <w:sz w:val="20"/>
          <w:szCs w:val="20"/>
          <w:color w:val="auto"/>
        </w:rPr>
      </w:pPr>
      <w:r>
        <w:rPr>
          <w:rFonts w:ascii="Times New Roman" w:cs="Times New Roman" w:eastAsia="Times New Roman" w:hAnsi="Times New Roman"/>
          <w:sz w:val="13"/>
          <w:szCs w:val="13"/>
          <w:i w:val="1"/>
          <w:iCs w:val="1"/>
          <w:color w:val="auto"/>
        </w:rPr>
        <w:t>Debt Securities</w:t>
      </w:r>
      <w:r>
        <w:rPr>
          <w:rFonts w:ascii="Times New Roman" w:cs="Times New Roman" w:eastAsia="Times New Roman" w:hAnsi="Times New Roman"/>
          <w:sz w:val="13"/>
          <w:szCs w:val="13"/>
          <w:color w:val="auto"/>
        </w:rPr>
        <w:t>. To the extent that the Company’s investments are liquid and are priced or have sufficient price indications from normal course trading at or around the valuation date (financial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reporting date), such pricing will be used to determine the fair value of the investments. Valuations from third party pricing services may be used as an indication of fair value, depending on the volume and reliability of the valuation, sufficient and reasonable correlation of bid and ask quotes, and, most importantly, the level of actual trading activity. However, if the Company has been unable to identify directly comparable market indices or other market guidance that correlate directly to the types of investments the Company owns, the Company will determine fair value using alternative methodologies such as available market data, as adjusted, to reflect the types of assets the Company owns, their structure, qualitative and credit attributes and other asset-specific characteristics.</w:t>
      </w:r>
    </w:p>
    <w:p>
      <w:pPr>
        <w:spacing w:after="0" w:line="69" w:lineRule="exact"/>
        <w:rPr>
          <w:sz w:val="20"/>
          <w:szCs w:val="20"/>
          <w:color w:val="auto"/>
        </w:rPr>
      </w:pPr>
    </w:p>
    <w:p>
      <w:pPr>
        <w:ind w:right="80" w:firstLine="348"/>
        <w:spacing w:after="0" w:line="257" w:lineRule="auto"/>
        <w:rPr>
          <w:sz w:val="20"/>
          <w:szCs w:val="20"/>
          <w:color w:val="auto"/>
        </w:rPr>
      </w:pPr>
      <w:r>
        <w:rPr>
          <w:rFonts w:ascii="Times New Roman" w:cs="Times New Roman" w:eastAsia="Times New Roman" w:hAnsi="Times New Roman"/>
          <w:sz w:val="13"/>
          <w:szCs w:val="13"/>
          <w:color w:val="auto"/>
        </w:rPr>
        <w:t>The Company derives fair value for its illiquid investments that do not have indicative fair values based upon active trades primarily by using a present value technique that discounts the estimated contractual cash flows for the subject assets with discount rates imputed by broad market indices, bond spreads and yields for comparable issuers relative to the subject assets (the “Income Approach”). The Company also considers, among other things, recent loan amendments or other activity specific to the subject asset. Discount rates applied to estimated contractual cash flows for an underlying asset vary by specific investment, industry, priority and nature of the debt security (such as the seniority or security interest of the debt security) and are assessed relative to leveraged loan and high-yield bond indices, at the valuation date. The Company has identified these indices as benchmarks for broad market information related to its loan and debt securities. Because the Company has</w:t>
      </w:r>
    </w:p>
    <w:p>
      <w:pPr>
        <w:spacing w:after="0" w:line="8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1"/>
          <w:szCs w:val="11"/>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PORTMAN RIDGE FINANCE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17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3"/>
          <w:szCs w:val="13"/>
          <w:color w:val="auto"/>
        </w:rPr>
        <w:t>not identified any market index that directly correlates to the loan and debt securities held by the Company and therefore uses these benchmark indices, these market indices may require significant adjustment to better correlate such market data for the calculation of fair value of the investment under the Income Approach. Such adjustments require judgment and may be material to the calculation of fair value. Further adjustments to the discount rate may be applied to reflect other market conditions or the perceived credit risk of the borrower. When broad market indices are used as part of the valuation methodology, their use is subject to adjustment for many factors, including priority, collateral used as security, structure, performance and other quantitative and qualitative attributes of the asset being valued. The resulting present value determination is then weighted along with any quotes from observable transactions and broker/pricing quotes. If such quotes are indicative of actual transactions with reasonable trading volume at or near the valuation date that are not liquidation or distressed sales, relatively more reliance will be put on such quotes to determine fair value. If such quotes are not indicative of market transactions or are insufficient as to volume, reliability, consistency or other relevant factors, such quotes will be compared with other fair value indications and given relatively less weight based on their relevancy. Other significant assumptions, such as coupon and maturity, are asset-specific and are noted for each investment in the Consolidated Schedules of Investments included herein.</w:t>
      </w:r>
    </w:p>
    <w:p>
      <w:pPr>
        <w:spacing w:after="0" w:line="75" w:lineRule="exact"/>
        <w:rPr>
          <w:sz w:val="20"/>
          <w:szCs w:val="20"/>
          <w:color w:val="auto"/>
        </w:rPr>
      </w:pPr>
    </w:p>
    <w:p>
      <w:pPr>
        <w:ind w:right="140" w:firstLine="348"/>
        <w:spacing w:after="0" w:line="260" w:lineRule="auto"/>
        <w:rPr>
          <w:sz w:val="20"/>
          <w:szCs w:val="20"/>
          <w:color w:val="auto"/>
        </w:rPr>
      </w:pPr>
      <w:r>
        <w:rPr>
          <w:rFonts w:ascii="Times New Roman" w:cs="Times New Roman" w:eastAsia="Times New Roman" w:hAnsi="Times New Roman"/>
          <w:sz w:val="13"/>
          <w:szCs w:val="13"/>
          <w:i w:val="1"/>
          <w:iCs w:val="1"/>
          <w:color w:val="auto"/>
        </w:rPr>
        <w:t>Equity Securities</w:t>
      </w:r>
      <w:r>
        <w:rPr>
          <w:rFonts w:ascii="Times New Roman" w:cs="Times New Roman" w:eastAsia="Times New Roman" w:hAnsi="Times New Roman"/>
          <w:sz w:val="13"/>
          <w:szCs w:val="13"/>
          <w:color w:val="auto"/>
        </w:rPr>
        <w:t>. The Company’s equity securities in portfolio companies for which there is no liquid public market are carried at fair value based on the enterprise value of the portfolio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company, which is determined using various factors, including EBITDA (earnings before interest, taxes, depreciation and amortization) and discounted cash flows from operations, less capital expenditures and other pertinent factors, such as recent offers to purchase a portfolio company’s securities or other liquidation events. The determined fair values are generally discounted to account for restrictions on resale and minority ownership positions. In the event market quotations are readily available for the Company’s equity securities in public companies, those investments may be valued using the Market Approach (as defined below). In cases where the Company receives warrants to purchase equity securities, a market standard Black-Scholes model is utilized.</w:t>
      </w:r>
    </w:p>
    <w:p>
      <w:pPr>
        <w:spacing w:after="0" w:line="69" w:lineRule="exact"/>
        <w:rPr>
          <w:sz w:val="20"/>
          <w:szCs w:val="20"/>
          <w:color w:val="auto"/>
        </w:rPr>
      </w:pPr>
    </w:p>
    <w:p>
      <w:pPr>
        <w:ind w:firstLine="348"/>
        <w:spacing w:after="0" w:line="259" w:lineRule="auto"/>
        <w:rPr>
          <w:sz w:val="20"/>
          <w:szCs w:val="20"/>
          <w:color w:val="auto"/>
        </w:rPr>
      </w:pPr>
      <w:r>
        <w:rPr>
          <w:rFonts w:ascii="Times New Roman" w:cs="Times New Roman" w:eastAsia="Times New Roman" w:hAnsi="Times New Roman"/>
          <w:sz w:val="13"/>
          <w:szCs w:val="13"/>
          <w:color w:val="auto"/>
        </w:rPr>
        <w:t>The significant inputs used to determine the fair value of equity securities include prices, EBITDA and cash flows after capital expenditures for similar peer comparables and the investment entity itself. Equity securities are classified as Level III, when there is limited activity or less transparency around inputs to the valuation given the lack of information related to such equity investments held in nonpublic companies. Significant assumptions observed for comparable companies are applied to relevant financial data for the specific investment. Such assumptions, such as model discount rates or price/earnings multiples, vary by the specific investment, equity position and industry and incorporate adjustments for risk premiums, liquidity and company specific attributes. Such adjustments require judgment and may be material to the calculation of fair value.</w:t>
      </w:r>
    </w:p>
    <w:p>
      <w:pPr>
        <w:spacing w:after="0" w:line="68" w:lineRule="exact"/>
        <w:rPr>
          <w:sz w:val="20"/>
          <w:szCs w:val="20"/>
          <w:color w:val="auto"/>
        </w:rPr>
      </w:pPr>
    </w:p>
    <w:p>
      <w:pPr>
        <w:ind w:right="80" w:firstLine="348"/>
        <w:spacing w:after="0" w:line="258" w:lineRule="auto"/>
        <w:rPr>
          <w:sz w:val="20"/>
          <w:szCs w:val="20"/>
          <w:color w:val="auto"/>
        </w:rPr>
      </w:pPr>
      <w:r>
        <w:rPr>
          <w:rFonts w:ascii="Times New Roman" w:cs="Times New Roman" w:eastAsia="Times New Roman" w:hAnsi="Times New Roman"/>
          <w:sz w:val="13"/>
          <w:szCs w:val="13"/>
          <w:i w:val="1"/>
          <w:iCs w:val="1"/>
          <w:color w:val="auto"/>
        </w:rPr>
        <w:t>Derivatives</w:t>
      </w:r>
      <w:r>
        <w:rPr>
          <w:rFonts w:ascii="Times New Roman" w:cs="Times New Roman" w:eastAsia="Times New Roman" w:hAnsi="Times New Roman"/>
          <w:sz w:val="13"/>
          <w:szCs w:val="13"/>
          <w:color w:val="auto"/>
        </w:rPr>
        <w:t>. The Company recognizes all derivative instruments as assets or liabilities at fair value in its financial statements. Derivative contracts entered into by the Company are not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designated as hedging instruments, and as a result the Company presents changes in fair value and realized gains or losses through current period earnings. Derivative instruments are measured in terms of the notional contract amount and derive their value based upon one or more underlying instruments. Derivative instruments are subject to various risks similar to non-derivative instruments including market, credit, liquidity, and operational risks. The Company manages these risks on an aggregate basis as part of its risk management process. The derivatives may require the Company to pay or receive an upfront fee or premium. These upfront fees or premiums are carried forward as cost or proceeds to the derivatives. The Company generally records a realized gain or loss on the expiration, termination, or settlement of a derivative contract. The periodic payments for the securities Swap and Option Agreement (excluding collateral) are included as a realized gain or loss.</w:t>
      </w:r>
    </w:p>
    <w:p>
      <w:pPr>
        <w:spacing w:after="0" w:line="70" w:lineRule="exact"/>
        <w:rPr>
          <w:sz w:val="20"/>
          <w:szCs w:val="20"/>
          <w:color w:val="auto"/>
        </w:rPr>
      </w:pPr>
    </w:p>
    <w:p>
      <w:pPr>
        <w:ind w:right="260" w:firstLine="348"/>
        <w:spacing w:after="0" w:line="286" w:lineRule="auto"/>
        <w:rPr>
          <w:sz w:val="20"/>
          <w:szCs w:val="20"/>
          <w:color w:val="auto"/>
        </w:rPr>
      </w:pPr>
      <w:r>
        <w:rPr>
          <w:rFonts w:ascii="Times New Roman" w:cs="Times New Roman" w:eastAsia="Times New Roman" w:hAnsi="Times New Roman"/>
          <w:sz w:val="13"/>
          <w:szCs w:val="13"/>
          <w:color w:val="auto"/>
        </w:rPr>
        <w:t>The Company values derivative contracts using various pricing models that take into account the terms of the contract (including notional amount and contract maturity) and observable and unobservable inputs such as interest rates and changes in fair value of the reference asset.</w:t>
      </w:r>
    </w:p>
    <w:p>
      <w:pPr>
        <w:spacing w:after="0" w:line="50" w:lineRule="exact"/>
        <w:rPr>
          <w:sz w:val="20"/>
          <w:szCs w:val="20"/>
          <w:color w:val="auto"/>
        </w:rPr>
      </w:pPr>
    </w:p>
    <w:p>
      <w:pPr>
        <w:ind w:right="40" w:firstLine="348"/>
        <w:spacing w:after="0" w:line="260" w:lineRule="auto"/>
        <w:rPr>
          <w:sz w:val="20"/>
          <w:szCs w:val="20"/>
          <w:color w:val="auto"/>
        </w:rPr>
      </w:pPr>
      <w:r>
        <w:rPr>
          <w:rFonts w:ascii="Times New Roman" w:cs="Times New Roman" w:eastAsia="Times New Roman" w:hAnsi="Times New Roman"/>
          <w:sz w:val="13"/>
          <w:szCs w:val="13"/>
          <w:i w:val="1"/>
          <w:iCs w:val="1"/>
          <w:color w:val="auto"/>
        </w:rPr>
        <w:t>Asset Manager Affiliates</w:t>
      </w:r>
      <w:r>
        <w:rPr>
          <w:rFonts w:ascii="Times New Roman" w:cs="Times New Roman" w:eastAsia="Times New Roman" w:hAnsi="Times New Roman"/>
          <w:sz w:val="13"/>
          <w:szCs w:val="13"/>
          <w:color w:val="auto"/>
        </w:rPr>
        <w:t>. The Company sold all of its investment in the Disposed Manager Affiliates on December 31, 2018. Previously, the Company’s investments in its wholly-owned Asset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Manager Affiliates, were carried at fair value, which was primarily determined utilizing the discounted cash flow approach, which incorporated different levels of discount rates depending on the hierarchy of fees earned (including the likelihood of realization of senior, subordinate and incentive fees) and prospective modeled performance. Such valuation took into consideration an analysis of comparable asset management companies and the amount of assets under management. The Asset Manager Affiliates were classified as a Level III investment. Any change in value from period to period was recognized as net change in unrealized appreciation or depreciation.</w:t>
      </w:r>
    </w:p>
    <w:p>
      <w:pPr>
        <w:spacing w:after="0" w:line="67" w:lineRule="exact"/>
        <w:rPr>
          <w:sz w:val="20"/>
          <w:szCs w:val="20"/>
          <w:color w:val="auto"/>
        </w:rPr>
      </w:pPr>
    </w:p>
    <w:p>
      <w:pPr>
        <w:ind w:right="120" w:firstLine="348"/>
        <w:spacing w:after="0" w:line="289" w:lineRule="auto"/>
        <w:rPr>
          <w:sz w:val="20"/>
          <w:szCs w:val="20"/>
          <w:color w:val="auto"/>
        </w:rPr>
      </w:pPr>
      <w:r>
        <w:rPr>
          <w:rFonts w:ascii="Times New Roman" w:cs="Times New Roman" w:eastAsia="Times New Roman" w:hAnsi="Times New Roman"/>
          <w:sz w:val="13"/>
          <w:szCs w:val="13"/>
          <w:i w:val="1"/>
          <w:iCs w:val="1"/>
          <w:color w:val="auto"/>
        </w:rPr>
        <w:t>CLO Fund Securities</w:t>
      </w:r>
      <w:r>
        <w:rPr>
          <w:rFonts w:ascii="Times New Roman" w:cs="Times New Roman" w:eastAsia="Times New Roman" w:hAnsi="Times New Roman"/>
          <w:sz w:val="13"/>
          <w:szCs w:val="13"/>
          <w:color w:val="auto"/>
        </w:rPr>
        <w:t>. The Company typically makes a non-controlling investment in the most junior class of securities of CLO Funds. The investments held by CLO Funds generally relate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non-investment grade credit instruments issued by corporations.</w:t>
      </w:r>
    </w:p>
    <w:p>
      <w:pPr>
        <w:spacing w:after="0" w:line="50" w:lineRule="exact"/>
        <w:rPr>
          <w:sz w:val="20"/>
          <w:szCs w:val="20"/>
          <w:color w:val="auto"/>
        </w:rPr>
      </w:pPr>
    </w:p>
    <w:p>
      <w:pPr>
        <w:ind w:right="40" w:firstLine="348"/>
        <w:spacing w:after="0" w:line="254" w:lineRule="auto"/>
        <w:rPr>
          <w:sz w:val="20"/>
          <w:szCs w:val="20"/>
          <w:color w:val="auto"/>
        </w:rPr>
      </w:pPr>
      <w:r>
        <w:rPr>
          <w:rFonts w:ascii="Times New Roman" w:cs="Times New Roman" w:eastAsia="Times New Roman" w:hAnsi="Times New Roman"/>
          <w:sz w:val="13"/>
          <w:szCs w:val="13"/>
          <w:color w:val="auto"/>
        </w:rPr>
        <w:t>The Company’s investments in CLO Fund Securities are carried at fair value, which is based either on (i) the present value of the net expected cash inflows for interest income and principal repayments from underlying assets and cash outflows for interest expense, debt pay-down and other fund costs for the CLO Funds that are approaching or past the end of their reinvestment period and therefore are selling assets and/or using principal repayments to pay down CLO Fund debt (or will begin to do so shortly), and for which there continue to be net cash distributions to the class of securities owned by the Company, a Discounted Cash Flow approach,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a Market Approach. The Company recognizes unrealized appreciation or depreciation on the Company’s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investment. The Company determines the fair value of its investments in CLO Fund Securities on a security-by-security basis.</w:t>
      </w:r>
    </w:p>
    <w:p>
      <w:pPr>
        <w:spacing w:after="0" w:line="74" w:lineRule="exact"/>
        <w:rPr>
          <w:sz w:val="20"/>
          <w:szCs w:val="20"/>
          <w:color w:val="auto"/>
        </w:rPr>
      </w:pPr>
    </w:p>
    <w:p>
      <w:pPr>
        <w:ind w:right="40" w:firstLine="348"/>
        <w:spacing w:after="0" w:line="256" w:lineRule="auto"/>
        <w:rPr>
          <w:sz w:val="20"/>
          <w:szCs w:val="20"/>
          <w:color w:val="auto"/>
        </w:rPr>
      </w:pPr>
      <w:r>
        <w:rPr>
          <w:rFonts w:ascii="Times New Roman" w:cs="Times New Roman" w:eastAsia="Times New Roman" w:hAnsi="Times New Roman"/>
          <w:sz w:val="13"/>
          <w:szCs w:val="13"/>
          <w:color w:val="auto"/>
        </w:rPr>
        <w:t>Due to the individual attributes of each CLO Fund Security, they are classified as a Level III investment unless specific trading activity can be identified at or near the valuation date. When available, observable market information will be identified, evaluated and weighted accordingly in the application of such data to the present value models and fair value determination. Significant assumptions to the present value calculations include default rates, recovery rates, prepayment rates, investment/reinvestment rates and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w:t>
      </w:r>
    </w:p>
    <w:p>
      <w:pPr>
        <w:spacing w:after="0" w:line="72" w:lineRule="exact"/>
        <w:rPr>
          <w:sz w:val="20"/>
          <w:szCs w:val="20"/>
          <w:color w:val="auto"/>
        </w:rPr>
      </w:pPr>
    </w:p>
    <w:p>
      <w:pPr>
        <w:ind w:right="180" w:firstLine="348"/>
        <w:spacing w:after="0" w:line="262" w:lineRule="auto"/>
        <w:rPr>
          <w:sz w:val="20"/>
          <w:szCs w:val="20"/>
          <w:color w:val="auto"/>
        </w:rPr>
      </w:pPr>
      <w:r>
        <w:rPr>
          <w:rFonts w:ascii="Times New Roman" w:cs="Times New Roman" w:eastAsia="Times New Roman" w:hAnsi="Times New Roman"/>
          <w:sz w:val="13"/>
          <w:szCs w:val="13"/>
          <w:color w:val="auto"/>
        </w:rPr>
        <w:t>For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7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1"/>
          <w:szCs w:val="11"/>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PORTMAN RIDGE FINANCE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1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i w:val="1"/>
          <w:iCs w:val="1"/>
          <w:color w:val="auto"/>
        </w:rPr>
        <w:t>Short-term investments</w:t>
      </w:r>
      <w:r>
        <w:rPr>
          <w:rFonts w:ascii="Times New Roman" w:cs="Times New Roman" w:eastAsia="Times New Roman" w:hAnsi="Times New Roman"/>
          <w:sz w:val="13"/>
          <w:szCs w:val="13"/>
          <w:color w:val="auto"/>
        </w:rPr>
        <w:t>. Short-term investments are generally comprised of money market accounts, time deposits, and U.S. treasury bills.</w:t>
      </w:r>
    </w:p>
    <w:p>
      <w:pPr>
        <w:spacing w:after="0" w:line="103" w:lineRule="exact"/>
        <w:rPr>
          <w:sz w:val="20"/>
          <w:szCs w:val="20"/>
          <w:color w:val="auto"/>
        </w:rPr>
      </w:pPr>
    </w:p>
    <w:p>
      <w:pPr>
        <w:ind w:right="20" w:firstLine="348"/>
        <w:spacing w:after="0" w:line="289" w:lineRule="auto"/>
        <w:rPr>
          <w:sz w:val="20"/>
          <w:szCs w:val="20"/>
          <w:color w:val="auto"/>
        </w:rPr>
      </w:pPr>
      <w:r>
        <w:rPr>
          <w:rFonts w:ascii="Times New Roman" w:cs="Times New Roman" w:eastAsia="Times New Roman" w:hAnsi="Times New Roman"/>
          <w:sz w:val="13"/>
          <w:szCs w:val="13"/>
          <w:i w:val="1"/>
          <w:iCs w:val="1"/>
          <w:color w:val="auto"/>
        </w:rPr>
        <w:t>Joint Ventures</w:t>
      </w:r>
      <w:r>
        <w:rPr>
          <w:rFonts w:ascii="Times New Roman" w:cs="Times New Roman" w:eastAsia="Times New Roman" w:hAnsi="Times New Roman"/>
          <w:sz w:val="13"/>
          <w:szCs w:val="13"/>
          <w:color w:val="auto"/>
        </w:rPr>
        <w:t>. The Company carries investments in joint ventures (“Joint Ventures”) at fair value based upon the fair value of the investments held by the joint venture, or the net asset value as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 practical expedient. See Note 4 below, for more information regarding the Joint Ventures.</w:t>
      </w:r>
    </w:p>
    <w:p>
      <w:pPr>
        <w:spacing w:after="0" w:line="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b w:val="1"/>
          <w:bCs w:val="1"/>
          <w:i w:val="1"/>
          <w:iCs w:val="1"/>
          <w:color w:val="auto"/>
        </w:rPr>
        <w:t>Cash and Cash Equivalents</w:t>
      </w:r>
    </w:p>
    <w:p>
      <w:pPr>
        <w:spacing w:after="0" w:line="107" w:lineRule="exact"/>
        <w:rPr>
          <w:sz w:val="20"/>
          <w:szCs w:val="20"/>
          <w:color w:val="auto"/>
        </w:rPr>
      </w:pPr>
    </w:p>
    <w:p>
      <w:pPr>
        <w:ind w:right="400" w:firstLine="348"/>
        <w:spacing w:after="0" w:line="286" w:lineRule="auto"/>
        <w:rPr>
          <w:sz w:val="20"/>
          <w:szCs w:val="20"/>
          <w:color w:val="auto"/>
        </w:rPr>
      </w:pPr>
      <w:r>
        <w:rPr>
          <w:rFonts w:ascii="Times New Roman" w:cs="Times New Roman" w:eastAsia="Times New Roman" w:hAnsi="Times New Roman"/>
          <w:sz w:val="13"/>
          <w:szCs w:val="13"/>
          <w:color w:val="auto"/>
        </w:rPr>
        <w:t>Cash and cash equivalents include short- term, highly liquid investments, readily convertible known amounts of cash, with an original maturity of three months or less in accounts such as demand deposit accounts and certain overnight investment sweep accounts. The company records cash and cash equivalents at cost, which approximates fair value.</w:t>
      </w:r>
    </w:p>
    <w:p>
      <w:pPr>
        <w:spacing w:after="0" w:line="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b w:val="1"/>
          <w:bCs w:val="1"/>
          <w:i w:val="1"/>
          <w:iCs w:val="1"/>
          <w:color w:val="auto"/>
        </w:rPr>
        <w:t>Restricted Cash</w:t>
      </w:r>
    </w:p>
    <w:p>
      <w:pPr>
        <w:spacing w:after="0" w:line="1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Restricted cash and cash equivalents generally consists of cash held for interest and principal payments on the Company’s borrowings.</w:t>
      </w:r>
    </w:p>
    <w:p>
      <w:pPr>
        <w:spacing w:after="0" w:line="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b w:val="1"/>
          <w:bCs w:val="1"/>
          <w:i w:val="1"/>
          <w:iCs w:val="1"/>
          <w:color w:val="auto"/>
        </w:rPr>
        <w:t>Foreign Currency Translations</w:t>
      </w:r>
    </w:p>
    <w:p>
      <w:pPr>
        <w:spacing w:after="0" w:line="107" w:lineRule="exact"/>
        <w:rPr>
          <w:sz w:val="20"/>
          <w:szCs w:val="20"/>
          <w:color w:val="auto"/>
        </w:rPr>
      </w:pPr>
    </w:p>
    <w:p>
      <w:pPr>
        <w:ind w:firstLine="384"/>
        <w:spacing w:after="0" w:line="259" w:lineRule="auto"/>
        <w:rPr>
          <w:sz w:val="20"/>
          <w:szCs w:val="20"/>
          <w:color w:val="auto"/>
        </w:rPr>
      </w:pPr>
      <w:r>
        <w:rPr>
          <w:rFonts w:ascii="Times New Roman" w:cs="Times New Roman" w:eastAsia="Times New Roman" w:hAnsi="Times New Roman"/>
          <w:sz w:val="13"/>
          <w:szCs w:val="13"/>
          <w:color w:val="auto"/>
        </w:rPr>
        <w:t>The accounting records of the Company are maintained in U.S. dollars. All assets and liabilities denominated in foreign currencies are translated into U.S. dollars based on the foreign exchange rate on the date of valuation. The Company does not isolate that portion of the results of operations resulting from changes in foreign exchange rates on investments from the fluctuations arising from changes in market prices of securities held. The Company’s investments in foreign securities may involve certain risks, including without limitation: foreign exchange restrictions, expropriation, taxation or other political, social or economic risks, all of which could affect the market and/or credit risk of the investment. In addition, changes in the relationship of foreign currencies to the U.S. dollar can significantly affect the value of these investments and therefore the earnings of the Company.</w:t>
      </w:r>
    </w:p>
    <w:p>
      <w:pPr>
        <w:spacing w:after="0" w:line="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b w:val="1"/>
          <w:bCs w:val="1"/>
          <w:i w:val="1"/>
          <w:iCs w:val="1"/>
          <w:color w:val="auto"/>
        </w:rPr>
        <w:t>Investment Income</w:t>
      </w:r>
    </w:p>
    <w:p>
      <w:pPr>
        <w:spacing w:after="0" w:line="105" w:lineRule="exact"/>
        <w:rPr>
          <w:sz w:val="20"/>
          <w:szCs w:val="20"/>
          <w:color w:val="auto"/>
        </w:rPr>
      </w:pPr>
    </w:p>
    <w:p>
      <w:pPr>
        <w:ind w:right="40" w:firstLine="348"/>
        <w:spacing w:after="0" w:line="256" w:lineRule="auto"/>
        <w:rPr>
          <w:sz w:val="20"/>
          <w:szCs w:val="20"/>
          <w:color w:val="auto"/>
        </w:rPr>
      </w:pPr>
      <w:r>
        <w:rPr>
          <w:rFonts w:ascii="Times New Roman" w:cs="Times New Roman" w:eastAsia="Times New Roman" w:hAnsi="Times New Roman"/>
          <w:sz w:val="13"/>
          <w:szCs w:val="13"/>
          <w:i w:val="1"/>
          <w:iCs w:val="1"/>
          <w:color w:val="auto"/>
        </w:rPr>
        <w:t xml:space="preserve">Interest Income </w:t>
      </w:r>
      <w:r>
        <w:rPr>
          <w:rFonts w:ascii="Times New Roman" w:cs="Times New Roman" w:eastAsia="Times New Roman" w:hAnsi="Times New Roman"/>
          <w:sz w:val="13"/>
          <w:szCs w:val="13"/>
          <w:color w:val="auto"/>
        </w:rPr>
        <w:t>. Interest income, including the amortization of premium and accretion of discount and accrual of payment-in-kind (“PIK”) interest, is recorded on the accrual basis to the extent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that such amounts are expected to be collected. The Company generally places a loan or security on non- accrual status and ceases recognizing interest income on such loan or security when a loan or security becomes 90 days or more past due or if the Company otherwise does not expect the debtor to be able to service its debt obligations. For investments with PIK interest, which represents contractual interest accrued and added to the principal balance that generally becomes due at maturity, we will not accrue PIK interest if the portfolio company valuation indicates that the PIK interest is not collectible (i.e. via a partial or full non-accrual). Loans which are on partial or full non-accrual remain in such status until the borrower has demonstrated the ability and intent to pay contractual amounts due or such loans become current. As of December 31, 2024, six of our debt investments were on non-accrual status with an aggregate amortized cost of $16.3 million and an aggregate fair value of $ 6.9 million, which represented 3.4% and 1.7% of the investment portfolio, respectively. As of December 31, 2023, seven of our debt investments were on non-accrual status with an aggregate amortized cost of $17.3 million and an aggregate fair value of $6.1 million, which represented 3.2% and 1.3% of the investment portfolio, respectively.</w:t>
      </w:r>
    </w:p>
    <w:p>
      <w:pPr>
        <w:spacing w:after="0" w:line="69" w:lineRule="exact"/>
        <w:rPr>
          <w:sz w:val="20"/>
          <w:szCs w:val="20"/>
          <w:color w:val="auto"/>
        </w:rPr>
      </w:pPr>
    </w:p>
    <w:p>
      <w:pPr>
        <w:ind w:right="20" w:firstLine="348"/>
        <w:spacing w:after="0" w:line="261" w:lineRule="auto"/>
        <w:rPr>
          <w:sz w:val="20"/>
          <w:szCs w:val="20"/>
          <w:color w:val="auto"/>
        </w:rPr>
      </w:pPr>
      <w:r>
        <w:rPr>
          <w:rFonts w:ascii="Times New Roman" w:cs="Times New Roman" w:eastAsia="Times New Roman" w:hAnsi="Times New Roman"/>
          <w:sz w:val="13"/>
          <w:szCs w:val="13"/>
          <w:i w:val="1"/>
          <w:iCs w:val="1"/>
          <w:color w:val="auto"/>
        </w:rPr>
        <w:t>Investment Income on CLO Fund Securities</w:t>
      </w:r>
      <w:r>
        <w:rPr>
          <w:rFonts w:ascii="Times New Roman" w:cs="Times New Roman" w:eastAsia="Times New Roman" w:hAnsi="Times New Roman"/>
          <w:sz w:val="13"/>
          <w:szCs w:val="13"/>
          <w:color w:val="auto"/>
        </w:rPr>
        <w:t>. The Company generates investment income from its investments in the most junior class of securities issued by CLO Funds (typically preferred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shares or subordinated securities). The Company’s CLO Fund junior class securities are subordinated to senior note holders who typically receive a stated interest rate of return based on a floating rate index, such as the Secured Overnight Financing Rate ("SOFR") on their investment.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w:t>
      </w:r>
    </w:p>
    <w:p>
      <w:pPr>
        <w:spacing w:after="0" w:line="228" w:lineRule="exact"/>
        <w:rPr>
          <w:sz w:val="20"/>
          <w:szCs w:val="20"/>
          <w:color w:val="auto"/>
        </w:rPr>
      </w:pPr>
    </w:p>
    <w:p>
      <w:pPr>
        <w:ind w:firstLine="348"/>
        <w:spacing w:after="0" w:line="259" w:lineRule="auto"/>
        <w:rPr>
          <w:sz w:val="20"/>
          <w:szCs w:val="20"/>
          <w:color w:val="auto"/>
        </w:rPr>
      </w:pPr>
      <w:r>
        <w:rPr>
          <w:rFonts w:ascii="Times New Roman" w:cs="Times New Roman" w:eastAsia="Times New Roman" w:hAnsi="Times New Roman"/>
          <w:sz w:val="13"/>
          <w:szCs w:val="13"/>
          <w:color w:val="auto"/>
        </w:rPr>
        <w:t>U.S. 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U.S. GAAP statement of operations differs from both the tax–basis investment income and from the cash distributions actually received by the Company during the period.</w:t>
      </w:r>
    </w:p>
    <w:p>
      <w:pPr>
        <w:spacing w:after="0" w:line="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For non-junior class CLO Fund Securities, interest is earned at a fixed spread relative to the SOFR index.</w:t>
      </w:r>
    </w:p>
    <w:p>
      <w:pPr>
        <w:spacing w:after="0" w:line="101" w:lineRule="exact"/>
        <w:rPr>
          <w:sz w:val="20"/>
          <w:szCs w:val="20"/>
          <w:color w:val="auto"/>
        </w:rPr>
      </w:pPr>
    </w:p>
    <w:p>
      <w:pPr>
        <w:ind w:right="40" w:firstLine="348"/>
        <w:spacing w:after="0" w:line="263" w:lineRule="auto"/>
        <w:rPr>
          <w:sz w:val="20"/>
          <w:szCs w:val="20"/>
          <w:color w:val="auto"/>
        </w:rPr>
      </w:pPr>
      <w:r>
        <w:rPr>
          <w:rFonts w:ascii="Times New Roman" w:cs="Times New Roman" w:eastAsia="Times New Roman" w:hAnsi="Times New Roman"/>
          <w:sz w:val="13"/>
          <w:szCs w:val="13"/>
          <w:i w:val="1"/>
          <w:iCs w:val="1"/>
          <w:color w:val="auto"/>
        </w:rPr>
        <w:t>Investment Income on Joint Ventures</w:t>
      </w:r>
      <w:r>
        <w:rPr>
          <w:rFonts w:ascii="Times New Roman" w:cs="Times New Roman" w:eastAsia="Times New Roman" w:hAnsi="Times New Roman"/>
          <w:sz w:val="13"/>
          <w:szCs w:val="13"/>
          <w:color w:val="auto"/>
        </w:rPr>
        <w:t>. The Company recognizes investment income on its investment in the Joint Ventures based upon its share of the estimated earnings and profits of the Joint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Venture on the ex-dividend or ex-distribution date. The final determination of the tax attributes of distributions from the Joint Ventures is made on an annual (full calendar year) basis at the end of the year based upon taxable income and distributions for the full year. Therefore, any estimate of tax attributes of distributions made on an interim basis may not be representative of the actual tax attributes of distributions for the full year.</w:t>
      </w:r>
    </w:p>
    <w:p>
      <w:pPr>
        <w:spacing w:after="0" w:line="65" w:lineRule="exact"/>
        <w:rPr>
          <w:sz w:val="20"/>
          <w:szCs w:val="20"/>
          <w:color w:val="auto"/>
        </w:rPr>
      </w:pPr>
    </w:p>
    <w:p>
      <w:pPr>
        <w:jc w:val="both"/>
        <w:ind w:right="200" w:firstLine="348"/>
        <w:spacing w:after="0" w:line="269" w:lineRule="auto"/>
        <w:rPr>
          <w:sz w:val="20"/>
          <w:szCs w:val="20"/>
          <w:color w:val="auto"/>
        </w:rPr>
      </w:pPr>
      <w:r>
        <w:rPr>
          <w:rFonts w:ascii="Times New Roman" w:cs="Times New Roman" w:eastAsia="Times New Roman" w:hAnsi="Times New Roman"/>
          <w:sz w:val="13"/>
          <w:szCs w:val="13"/>
          <w:i w:val="1"/>
          <w:iCs w:val="1"/>
          <w:color w:val="auto"/>
        </w:rPr>
        <w:t>Fees and other income</w:t>
      </w:r>
      <w:r>
        <w:rPr>
          <w:rFonts w:ascii="Times New Roman" w:cs="Times New Roman" w:eastAsia="Times New Roman" w:hAnsi="Times New Roman"/>
          <w:sz w:val="13"/>
          <w:szCs w:val="13"/>
          <w:color w:val="auto"/>
        </w:rPr>
        <w:t>. Origination fees (to the extent services are performed to earn such income upon closing), amendment fees, consent fees, and other fees associated with investments in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portfolio companies are recognized as income when they are earned. Prepayment penalties received by the Company for debt instruments repaid prior to maturity date are recorded as income upon receipt.</w:t>
      </w:r>
    </w:p>
    <w:p>
      <w:pPr>
        <w:spacing w:after="0" w:line="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b w:val="1"/>
          <w:bCs w:val="1"/>
          <w:i w:val="1"/>
          <w:iCs w:val="1"/>
          <w:color w:val="auto"/>
        </w:rPr>
        <w:t>Debt Issuance Costs</w:t>
      </w:r>
    </w:p>
    <w:p>
      <w:pPr>
        <w:spacing w:after="0" w:line="107" w:lineRule="exact"/>
        <w:rPr>
          <w:sz w:val="20"/>
          <w:szCs w:val="20"/>
          <w:color w:val="auto"/>
        </w:rPr>
      </w:pPr>
    </w:p>
    <w:p>
      <w:pPr>
        <w:ind w:right="80" w:firstLine="348"/>
        <w:spacing w:after="0" w:line="286" w:lineRule="auto"/>
        <w:rPr>
          <w:sz w:val="20"/>
          <w:szCs w:val="20"/>
          <w:color w:val="auto"/>
        </w:rPr>
      </w:pPr>
      <w:r>
        <w:rPr>
          <w:rFonts w:ascii="Times New Roman" w:cs="Times New Roman" w:eastAsia="Times New Roman" w:hAnsi="Times New Roman"/>
          <w:sz w:val="13"/>
          <w:szCs w:val="13"/>
          <w:color w:val="auto"/>
        </w:rPr>
        <w:t>Debt issuance costs represent fees and other direct costs incurred in connection with the Company’s borrowings. These amounts are capitalized, presented as a reduction of debt, and amortized using the effective interest method over the expected term of the borrowing.</w:t>
      </w:r>
    </w:p>
    <w:p>
      <w:pPr>
        <w:spacing w:after="0" w:line="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b w:val="1"/>
          <w:bCs w:val="1"/>
          <w:i w:val="1"/>
          <w:iCs w:val="1"/>
          <w:color w:val="auto"/>
        </w:rPr>
        <w:t>Extinguishment of Debt</w:t>
      </w:r>
    </w:p>
    <w:p>
      <w:pPr>
        <w:spacing w:after="0" w:line="107" w:lineRule="exact"/>
        <w:rPr>
          <w:sz w:val="20"/>
          <w:szCs w:val="20"/>
          <w:color w:val="auto"/>
        </w:rPr>
      </w:pPr>
    </w:p>
    <w:p>
      <w:pPr>
        <w:ind w:right="200" w:firstLine="381"/>
        <w:spacing w:after="0" w:line="268" w:lineRule="auto"/>
        <w:rPr>
          <w:sz w:val="20"/>
          <w:szCs w:val="20"/>
          <w:color w:val="auto"/>
        </w:rPr>
      </w:pPr>
      <w:r>
        <w:rPr>
          <w:rFonts w:ascii="Times New Roman" w:cs="Times New Roman" w:eastAsia="Times New Roman" w:hAnsi="Times New Roman"/>
          <w:sz w:val="13"/>
          <w:szCs w:val="13"/>
          <w:color w:val="auto"/>
        </w:rPr>
        <w:t>The Company derecognizes a liability if and only if it has been extinguished through delivery of cash, delivery of other financial assets, delivery of goods or services, or reacquisition by the Company of its outstanding debt securities whether the securities are cancelled or held. If the debt contains a cash conversion option, the Company allocates the consideration transferred and transaction costs incurred to the extinguishment of the liability component and the reacquisition of the equity component and recognize a gain or loss in the statement of operations.</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b w:val="1"/>
          <w:bCs w:val="1"/>
          <w:i w:val="1"/>
          <w:iCs w:val="1"/>
          <w:color w:val="auto"/>
        </w:rPr>
        <w:t>Expenses</w:t>
      </w:r>
    </w:p>
    <w:p>
      <w:pPr>
        <w:spacing w:after="0" w:line="107" w:lineRule="exact"/>
        <w:rPr>
          <w:sz w:val="20"/>
          <w:szCs w:val="20"/>
          <w:color w:val="auto"/>
        </w:rPr>
      </w:pPr>
    </w:p>
    <w:p>
      <w:pPr>
        <w:ind w:right="300" w:firstLine="381"/>
        <w:spacing w:after="0" w:line="286" w:lineRule="auto"/>
        <w:rPr>
          <w:sz w:val="20"/>
          <w:szCs w:val="20"/>
          <w:color w:val="auto"/>
        </w:rPr>
      </w:pPr>
      <w:r>
        <w:rPr>
          <w:rFonts w:ascii="Times New Roman" w:cs="Times New Roman" w:eastAsia="Times New Roman" w:hAnsi="Times New Roman"/>
          <w:sz w:val="13"/>
          <w:szCs w:val="13"/>
          <w:color w:val="auto"/>
        </w:rPr>
        <w:t>The Company is externally managed and in connection with the Advisory Agreement, pays the Adviser certain investment advisory fees and reimburses the Adviser and Administrator for certain expenses incurred in connection with the services they provide. See Note 5 “Related Party Transactions - Payment of Expenses under the Advisory and Administration Agreements.”</w:t>
      </w:r>
    </w:p>
    <w:p>
      <w:pPr>
        <w:spacing w:after="0" w:line="6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1"/>
          <w:szCs w:val="11"/>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PORTMAN RIDGE FINANCE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1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b w:val="1"/>
          <w:bCs w:val="1"/>
          <w:i w:val="1"/>
          <w:iCs w:val="1"/>
          <w:color w:val="auto"/>
        </w:rPr>
        <w:t>Shareholder Distributions</w:t>
      </w:r>
    </w:p>
    <w:p>
      <w:pPr>
        <w:spacing w:after="0" w:line="107" w:lineRule="exact"/>
        <w:rPr>
          <w:sz w:val="20"/>
          <w:szCs w:val="20"/>
          <w:color w:val="auto"/>
        </w:rPr>
      </w:pPr>
    </w:p>
    <w:p>
      <w:pPr>
        <w:jc w:val="both"/>
        <w:ind w:right="40" w:firstLine="381"/>
        <w:spacing w:after="0" w:line="268" w:lineRule="auto"/>
        <w:rPr>
          <w:sz w:val="20"/>
          <w:szCs w:val="20"/>
          <w:color w:val="auto"/>
        </w:rPr>
      </w:pPr>
      <w:r>
        <w:rPr>
          <w:rFonts w:ascii="Times New Roman" w:cs="Times New Roman" w:eastAsia="Times New Roman" w:hAnsi="Times New Roman"/>
          <w:sz w:val="13"/>
          <w:szCs w:val="13"/>
          <w:color w:val="auto"/>
        </w:rPr>
        <w:t>Distributions to common stockholders are recorded on the ex -dividend date. The amount of distributions, if any, is determined by the Board each quarter. The Company has adopted a dividend reinvestment plan (the “DRIP”) that provides for reinvestment of its distributions on behalf of its stockholders, unless a stockholder “opts out” of the DRIP to receive cash in lieu of having their cash distributions automatically reinvested in additional shares of the Company’s common stock.</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b w:val="1"/>
          <w:bCs w:val="1"/>
          <w:i w:val="1"/>
          <w:iCs w:val="1"/>
          <w:color w:val="auto"/>
        </w:rPr>
        <w:t>Segment Reporting</w:t>
      </w:r>
    </w:p>
    <w:p>
      <w:pPr>
        <w:spacing w:after="0" w:line="107" w:lineRule="exact"/>
        <w:rPr>
          <w:sz w:val="20"/>
          <w:szCs w:val="20"/>
          <w:color w:val="auto"/>
        </w:rPr>
      </w:pPr>
    </w:p>
    <w:p>
      <w:pPr>
        <w:ind w:right="480" w:firstLine="381"/>
        <w:spacing w:after="0" w:line="286" w:lineRule="auto"/>
        <w:rPr>
          <w:sz w:val="20"/>
          <w:szCs w:val="20"/>
          <w:color w:val="auto"/>
        </w:rPr>
      </w:pPr>
      <w:r>
        <w:rPr>
          <w:rFonts w:ascii="Times New Roman" w:cs="Times New Roman" w:eastAsia="Times New Roman" w:hAnsi="Times New Roman"/>
          <w:sz w:val="13"/>
          <w:szCs w:val="13"/>
          <w:color w:val="auto"/>
        </w:rPr>
        <w:t>In accordance with ASC Topic 280 - Segment Reporting (“ASC 280”), the Company has determined that it has a single operating and reporting segment, the “Investment Management Segment”. As a result, the Company’s segment accounting policies are the same as described herein and the Company does not have any intra-segment sales and transfers of assets.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3. EARNINGS (LOSSES) PER SHARE</w:t>
      </w:r>
    </w:p>
    <w:p>
      <w:pPr>
        <w:spacing w:after="0" w:line="103" w:lineRule="exact"/>
        <w:rPr>
          <w:sz w:val="20"/>
          <w:szCs w:val="20"/>
          <w:color w:val="auto"/>
        </w:rPr>
      </w:pPr>
    </w:p>
    <w:p>
      <w:pPr>
        <w:ind w:right="80" w:firstLine="348"/>
        <w:spacing w:after="0" w:line="269" w:lineRule="auto"/>
        <w:rPr>
          <w:sz w:val="20"/>
          <w:szCs w:val="20"/>
          <w:color w:val="auto"/>
        </w:rPr>
      </w:pPr>
      <w:r>
        <w:rPr>
          <w:rFonts w:ascii="Times New Roman" w:cs="Times New Roman" w:eastAsia="Times New Roman" w:hAnsi="Times New Roman"/>
          <w:sz w:val="13"/>
          <w:szCs w:val="13"/>
          <w:color w:val="auto"/>
        </w:rPr>
        <w:t xml:space="preserve">In accordance with the provisions of ASC 260, </w:t>
      </w:r>
      <w:r>
        <w:rPr>
          <w:rFonts w:ascii="Times New Roman" w:cs="Times New Roman" w:eastAsia="Times New Roman" w:hAnsi="Times New Roman"/>
          <w:sz w:val="13"/>
          <w:szCs w:val="13"/>
          <w:i w:val="1"/>
          <w:iCs w:val="1"/>
          <w:color w:val="auto"/>
        </w:rPr>
        <w:t>“Earnings per Share”</w:t>
      </w:r>
      <w:r>
        <w:rPr>
          <w:rFonts w:ascii="Times New Roman" w:cs="Times New Roman" w:eastAsia="Times New Roman" w:hAnsi="Times New Roman"/>
          <w:sz w:val="13"/>
          <w:szCs w:val="13"/>
          <w:color w:val="auto"/>
        </w:rPr>
        <w:t xml:space="preserve"> (“ASC 260”),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w:t>
      </w:r>
    </w:p>
    <w:p>
      <w:pPr>
        <w:spacing w:after="0" w:line="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The following information sets forth the computation of basic and diluted net increase (decrease) in net assets per share for the years ended December 31, 2024, 2023 and 2022:</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80" w:type="dxa"/>
            <w:vAlign w:val="bottom"/>
            <w:gridSpan w:val="6"/>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0"/>
        </w:trPr>
        <w:tc>
          <w:tcPr>
            <w:tcW w:w="65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 in thousands, except share and per share amounts)</w:t>
            </w:r>
          </w:p>
        </w:tc>
        <w:tc>
          <w:tcPr>
            <w:tcW w:w="320" w:type="dxa"/>
            <w:vAlign w:val="bottom"/>
          </w:tcPr>
          <w:p>
            <w:pPr>
              <w:spacing w:after="0"/>
              <w:rPr>
                <w:sz w:val="14"/>
                <w:szCs w:val="14"/>
                <w:color w:val="auto"/>
              </w:rPr>
            </w:pPr>
          </w:p>
        </w:tc>
        <w:tc>
          <w:tcPr>
            <w:tcW w:w="1080" w:type="dxa"/>
            <w:vAlign w:val="bottom"/>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4"/>
                <w:szCs w:val="14"/>
                <w:color w:val="auto"/>
              </w:rPr>
            </w:pPr>
          </w:p>
        </w:tc>
      </w:tr>
      <w:tr>
        <w:trPr>
          <w:trHeight w:val="156"/>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increase (decrease) in net assets resulting from operations – basic and diluted</w:t>
            </w:r>
          </w:p>
        </w:tc>
        <w:tc>
          <w:tcPr>
            <w:tcW w:w="320" w:type="dxa"/>
            <w:vAlign w:val="bottom"/>
            <w:shd w:val="clear" w:color="auto" w:fill="CFF0FC"/>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(5,935)</w:t>
            </w:r>
          </w:p>
        </w:tc>
        <w:tc>
          <w:tcPr>
            <w:tcW w:w="220" w:type="dxa"/>
            <w:vAlign w:val="bottom"/>
            <w:shd w:val="clear" w:color="auto" w:fill="CFF0FC"/>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11,381</w:t>
            </w:r>
          </w:p>
        </w:tc>
        <w:tc>
          <w:tcPr>
            <w:tcW w:w="2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(20,996)</w:t>
            </w:r>
          </w:p>
        </w:tc>
      </w:tr>
      <w:tr>
        <w:trPr>
          <w:trHeight w:val="156"/>
        </w:trPr>
        <w:tc>
          <w:tcPr>
            <w:tcW w:w="6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common stock outstanding – basic and diluted</w:t>
            </w: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9,272,809</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9,509,396</w:t>
            </w:r>
          </w:p>
        </w:tc>
        <w:tc>
          <w:tcPr>
            <w:tcW w:w="2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9,634,468</w:t>
            </w:r>
          </w:p>
        </w:tc>
        <w:tc>
          <w:tcPr>
            <w:tcW w:w="80" w:type="dxa"/>
            <w:vAlign w:val="bottom"/>
          </w:tcPr>
          <w:p>
            <w:pPr>
              <w:spacing w:after="0"/>
              <w:rPr>
                <w:sz w:val="13"/>
                <w:szCs w:val="13"/>
                <w:color w:val="auto"/>
              </w:rPr>
            </w:pPr>
          </w:p>
        </w:tc>
      </w:tr>
      <w:tr>
        <w:trPr>
          <w:trHeight w:val="20"/>
        </w:trPr>
        <w:tc>
          <w:tcPr>
            <w:tcW w:w="6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2"/>
        </w:trPr>
        <w:tc>
          <w:tcPr>
            <w:tcW w:w="652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Net increase (decrease) in net assets per share from operations – basic and diluted</w:t>
            </w:r>
          </w:p>
        </w:tc>
        <w:tc>
          <w:tcPr>
            <w:tcW w:w="320" w:type="dxa"/>
            <w:vAlign w:val="bottom"/>
            <w:shd w:val="clear" w:color="auto" w:fill="CFF0FC"/>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shd w:val="clear" w:color="auto" w:fill="CFF0FC"/>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(0.64)</w:t>
            </w:r>
          </w:p>
        </w:tc>
        <w:tc>
          <w:tcPr>
            <w:tcW w:w="220" w:type="dxa"/>
            <w:vAlign w:val="bottom"/>
            <w:shd w:val="clear" w:color="auto" w:fill="CFF0FC"/>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1.20</w:t>
            </w:r>
          </w:p>
        </w:tc>
        <w:tc>
          <w:tcPr>
            <w:tcW w:w="200" w:type="dxa"/>
            <w:vAlign w:val="bottom"/>
            <w:shd w:val="clear" w:color="auto" w:fill="CFF0FC"/>
          </w:tcPr>
          <w:p>
            <w:pPr>
              <w:spacing w:after="0"/>
              <w:rPr>
                <w:sz w:val="11"/>
                <w:szCs w:val="11"/>
                <w:color w:val="auto"/>
              </w:rPr>
            </w:pPr>
          </w:p>
        </w:tc>
        <w:tc>
          <w:tcPr>
            <w:tcW w:w="260" w:type="dxa"/>
            <w:vAlign w:val="bottom"/>
            <w:shd w:val="clear" w:color="auto" w:fill="CFF0FC"/>
          </w:tcPr>
          <w:p>
            <w:pPr>
              <w:jc w:val="right"/>
              <w:ind w:right="11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FF0FC"/>
          </w:tcPr>
          <w:p>
            <w:pPr>
              <w:jc w:val="right"/>
              <w:ind w:right="40"/>
              <w:spacing w:after="0" w:line="133" w:lineRule="exact"/>
              <w:rPr>
                <w:sz w:val="20"/>
                <w:szCs w:val="20"/>
                <w:color w:val="auto"/>
              </w:rPr>
            </w:pPr>
            <w:r>
              <w:rPr>
                <w:rFonts w:ascii="Times New Roman" w:cs="Times New Roman" w:eastAsia="Times New Roman" w:hAnsi="Times New Roman"/>
                <w:sz w:val="13"/>
                <w:szCs w:val="13"/>
                <w:color w:val="auto"/>
              </w:rPr>
              <w:t>(2.18)</w:t>
            </w:r>
          </w:p>
        </w:tc>
      </w:tr>
    </w:tbl>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4. INVESTMENTS</w:t>
      </w:r>
    </w:p>
    <w:p>
      <w:pPr>
        <w:spacing w:after="0" w:line="1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The following table shows the Company’s portfolio by security type at December 31, 2024 and December 31, 2023:</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 in thousands)</w:t>
            </w: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0" w:type="dxa"/>
            <w:vAlign w:val="bottom"/>
            <w:gridSpan w:val="3"/>
          </w:tcPr>
          <w:p>
            <w:pPr>
              <w:ind w:left="2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00" w:type="dxa"/>
            <w:vAlign w:val="bottom"/>
          </w:tcPr>
          <w:p>
            <w:pPr>
              <w:spacing w:after="0"/>
              <w:rPr>
                <w:sz w:val="15"/>
                <w:szCs w:val="15"/>
                <w:color w:val="auto"/>
              </w:rPr>
            </w:pPr>
          </w:p>
        </w:tc>
        <w:tc>
          <w:tcPr>
            <w:tcW w:w="13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540" w:type="dxa"/>
            <w:vAlign w:val="bottom"/>
            <w:gridSpan w:val="3"/>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00" w:type="dxa"/>
            <w:vAlign w:val="bottom"/>
          </w:tcPr>
          <w:p>
            <w:pPr>
              <w:spacing w:after="0"/>
              <w:rPr>
                <w:sz w:val="15"/>
                <w:szCs w:val="15"/>
                <w:color w:val="auto"/>
              </w:rPr>
            </w:pPr>
          </w:p>
        </w:tc>
        <w:tc>
          <w:tcPr>
            <w:tcW w:w="10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38"/>
        </w:trPr>
        <w:tc>
          <w:tcPr>
            <w:tcW w:w="1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Cost/Amortized</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Percentage of</w:t>
            </w:r>
          </w:p>
        </w:tc>
        <w:tc>
          <w:tcPr>
            <w:tcW w:w="160" w:type="dxa"/>
            <w:vAlign w:val="bottom"/>
          </w:tcPr>
          <w:p>
            <w:pPr>
              <w:spacing w:after="0"/>
              <w:rPr>
                <w:sz w:val="13"/>
                <w:szCs w:val="13"/>
                <w:color w:val="auto"/>
              </w:rPr>
            </w:pPr>
          </w:p>
        </w:tc>
        <w:tc>
          <w:tcPr>
            <w:tcW w:w="120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Cost/Amortized</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Percentage of</w:t>
            </w:r>
          </w:p>
        </w:tc>
        <w:tc>
          <w:tcPr>
            <w:tcW w:w="0" w:type="dxa"/>
            <w:vAlign w:val="bottom"/>
          </w:tcPr>
          <w:p>
            <w:pPr>
              <w:spacing w:after="0"/>
              <w:rPr>
                <w:sz w:val="1"/>
                <w:szCs w:val="1"/>
                <w:color w:val="auto"/>
              </w:rPr>
            </w:pPr>
          </w:p>
        </w:tc>
      </w:tr>
      <w:tr>
        <w:trPr>
          <w:trHeight w:val="170"/>
        </w:trPr>
        <w:tc>
          <w:tcPr>
            <w:tcW w:w="1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Security Type</w:t>
            </w:r>
          </w:p>
        </w:tc>
        <w:tc>
          <w:tcPr>
            <w:tcW w:w="160" w:type="dxa"/>
            <w:vAlign w:val="bottom"/>
          </w:tcPr>
          <w:p>
            <w:pPr>
              <w:spacing w:after="0"/>
              <w:rPr>
                <w:sz w:val="14"/>
                <w:szCs w:val="14"/>
                <w:color w:val="auto"/>
              </w:rPr>
            </w:pPr>
          </w:p>
        </w:tc>
        <w:tc>
          <w:tcPr>
            <w:tcW w:w="1220" w:type="dxa"/>
            <w:vAlign w:val="bottom"/>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rPr>
              <w:t>Cost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0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Total Portfolio</w:t>
            </w:r>
          </w:p>
        </w:tc>
        <w:tc>
          <w:tcPr>
            <w:tcW w:w="160" w:type="dxa"/>
            <w:vAlign w:val="bottom"/>
          </w:tcPr>
          <w:p>
            <w:pPr>
              <w:spacing w:after="0"/>
              <w:rPr>
                <w:sz w:val="14"/>
                <w:szCs w:val="14"/>
                <w:color w:val="auto"/>
              </w:rPr>
            </w:pPr>
          </w:p>
        </w:tc>
        <w:tc>
          <w:tcPr>
            <w:tcW w:w="1200" w:type="dxa"/>
            <w:vAlign w:val="bottom"/>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Cost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00" w:type="dxa"/>
            <w:vAlign w:val="bottom"/>
          </w:tcPr>
          <w:p>
            <w:pPr>
              <w:spacing w:after="0"/>
              <w:rPr>
                <w:sz w:val="14"/>
                <w:szCs w:val="14"/>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Total Portfolio</w:t>
            </w:r>
          </w:p>
        </w:tc>
        <w:tc>
          <w:tcPr>
            <w:tcW w:w="0" w:type="dxa"/>
            <w:vAlign w:val="bottom"/>
          </w:tcPr>
          <w:p>
            <w:pPr>
              <w:spacing w:after="0"/>
              <w:rPr>
                <w:sz w:val="1"/>
                <w:szCs w:val="1"/>
                <w:color w:val="auto"/>
              </w:rPr>
            </w:pPr>
          </w:p>
        </w:tc>
      </w:tr>
      <w:tr>
        <w:trPr>
          <w:trHeight w:val="156"/>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First Lien Debt</w:t>
            </w: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311,673</w:t>
            </w:r>
          </w:p>
        </w:tc>
        <w:tc>
          <w:tcPr>
            <w:tcW w:w="4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289,957</w:t>
            </w:r>
          </w:p>
        </w:tc>
        <w:tc>
          <w:tcPr>
            <w:tcW w:w="15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71.6 %</w:t>
            </w: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351,858</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336,599</w:t>
            </w:r>
          </w:p>
        </w:tc>
        <w:tc>
          <w:tcPr>
            <w:tcW w:w="1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71.9 %</w:t>
            </w:r>
          </w:p>
        </w:tc>
        <w:tc>
          <w:tcPr>
            <w:tcW w:w="0" w:type="dxa"/>
            <w:vAlign w:val="bottom"/>
          </w:tcPr>
          <w:p>
            <w:pPr>
              <w:spacing w:after="0"/>
              <w:rPr>
                <w:sz w:val="1"/>
                <w:szCs w:val="1"/>
                <w:color w:val="auto"/>
              </w:rPr>
            </w:pPr>
          </w:p>
        </w:tc>
      </w:tr>
      <w:tr>
        <w:trPr>
          <w:trHeight w:val="156"/>
        </w:trPr>
        <w:tc>
          <w:tcPr>
            <w:tcW w:w="1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Second Lien Debt</w:t>
            </w:r>
          </w:p>
        </w:tc>
        <w:tc>
          <w:tcPr>
            <w:tcW w:w="1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34,892</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28,996</w:t>
            </w:r>
          </w:p>
        </w:tc>
        <w:tc>
          <w:tcPr>
            <w:tcW w:w="15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7.2 %</w:t>
            </w:r>
          </w:p>
        </w:tc>
        <w:tc>
          <w:tcPr>
            <w:tcW w:w="1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50,814</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41,254</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8.8 %</w:t>
            </w:r>
          </w:p>
        </w:tc>
        <w:tc>
          <w:tcPr>
            <w:tcW w:w="0" w:type="dxa"/>
            <w:vAlign w:val="bottom"/>
          </w:tcPr>
          <w:p>
            <w:pPr>
              <w:spacing w:after="0"/>
              <w:rPr>
                <w:sz w:val="1"/>
                <w:szCs w:val="1"/>
                <w:color w:val="auto"/>
              </w:rPr>
            </w:pPr>
          </w:p>
        </w:tc>
      </w:tr>
      <w:tr>
        <w:trPr>
          <w:trHeight w:val="156"/>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Subordinated Debt</w:t>
            </w:r>
          </w:p>
        </w:tc>
        <w:tc>
          <w:tcPr>
            <w:tcW w:w="16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8,059</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1,740</w:t>
            </w:r>
          </w:p>
        </w:tc>
        <w:tc>
          <w:tcPr>
            <w:tcW w:w="15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0.4 %</w:t>
            </w:r>
          </w:p>
        </w:tc>
        <w:tc>
          <w:tcPr>
            <w:tcW w:w="16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7,990</w:t>
            </w: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1,224</w:t>
            </w:r>
          </w:p>
        </w:tc>
        <w:tc>
          <w:tcPr>
            <w:tcW w:w="1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0" w:type="dxa"/>
            <w:vAlign w:val="bottom"/>
          </w:tcPr>
          <w:p>
            <w:pPr>
              <w:spacing w:after="0"/>
              <w:rPr>
                <w:sz w:val="1"/>
                <w:szCs w:val="1"/>
                <w:color w:val="auto"/>
              </w:rPr>
            </w:pPr>
          </w:p>
        </w:tc>
      </w:tr>
      <w:tr>
        <w:trPr>
          <w:trHeight w:val="172"/>
        </w:trPr>
        <w:tc>
          <w:tcPr>
            <w:tcW w:w="1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Collateralized Loan Obligations</w:t>
            </w:r>
          </w:p>
        </w:tc>
        <w:tc>
          <w:tcPr>
            <w:tcW w:w="1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5,318</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5,193</w:t>
            </w:r>
          </w:p>
        </w:tc>
        <w:tc>
          <w:tcPr>
            <w:tcW w:w="15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1.3 %</w:t>
            </w:r>
          </w:p>
        </w:tc>
        <w:tc>
          <w:tcPr>
            <w:tcW w:w="1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9,103</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8,968</w:t>
            </w:r>
          </w:p>
        </w:tc>
        <w:tc>
          <w:tcPr>
            <w:tcW w:w="1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0" w:type="dxa"/>
            <w:vAlign w:val="bottom"/>
          </w:tcPr>
          <w:p>
            <w:pPr>
              <w:spacing w:after="0"/>
              <w:rPr>
                <w:sz w:val="1"/>
                <w:szCs w:val="1"/>
                <w:color w:val="auto"/>
              </w:rPr>
            </w:pPr>
          </w:p>
        </w:tc>
      </w:tr>
      <w:tr>
        <w:trPr>
          <w:trHeight w:val="44"/>
        </w:trPr>
        <w:tc>
          <w:tcPr>
            <w:tcW w:w="1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50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Joint Ventures</w:t>
            </w:r>
          </w:p>
        </w:tc>
        <w:tc>
          <w:tcPr>
            <w:tcW w:w="16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66,747</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54,153</w:t>
            </w:r>
          </w:p>
        </w:tc>
        <w:tc>
          <w:tcPr>
            <w:tcW w:w="15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13.4 %</w:t>
            </w:r>
          </w:p>
        </w:tc>
        <w:tc>
          <w:tcPr>
            <w:tcW w:w="16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71,415</w:t>
            </w: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59,287</w:t>
            </w:r>
          </w:p>
        </w:tc>
        <w:tc>
          <w:tcPr>
            <w:tcW w:w="1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12.7 %</w:t>
            </w:r>
          </w:p>
        </w:tc>
        <w:tc>
          <w:tcPr>
            <w:tcW w:w="0" w:type="dxa"/>
            <w:vAlign w:val="bottom"/>
          </w:tcPr>
          <w:p>
            <w:pPr>
              <w:spacing w:after="0"/>
              <w:rPr>
                <w:sz w:val="1"/>
                <w:szCs w:val="1"/>
                <w:color w:val="auto"/>
              </w:rPr>
            </w:pPr>
          </w:p>
        </w:tc>
      </w:tr>
      <w:tr>
        <w:trPr>
          <w:trHeight w:val="156"/>
        </w:trPr>
        <w:tc>
          <w:tcPr>
            <w:tcW w:w="1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1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31,921</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24,762</w:t>
            </w:r>
          </w:p>
        </w:tc>
        <w:tc>
          <w:tcPr>
            <w:tcW w:w="15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6.1 %</w:t>
            </w:r>
          </w:p>
        </w:tc>
        <w:tc>
          <w:tcPr>
            <w:tcW w:w="1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31,280</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20,533</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4.4 %</w:t>
            </w:r>
          </w:p>
        </w:tc>
        <w:tc>
          <w:tcPr>
            <w:tcW w:w="0" w:type="dxa"/>
            <w:vAlign w:val="bottom"/>
          </w:tcPr>
          <w:p>
            <w:pPr>
              <w:spacing w:after="0"/>
              <w:rPr>
                <w:sz w:val="1"/>
                <w:szCs w:val="1"/>
                <w:color w:val="auto"/>
              </w:rPr>
            </w:pPr>
          </w:p>
        </w:tc>
      </w:tr>
      <w:tr>
        <w:trPr>
          <w:trHeight w:val="156"/>
        </w:trPr>
        <w:tc>
          <w:tcPr>
            <w:tcW w:w="19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Asset Manager Affiliates</w:t>
            </w:r>
            <w:r>
              <w:rPr>
                <w:rFonts w:ascii="Times New Roman" w:cs="Times New Roman" w:eastAsia="Times New Roman" w:hAnsi="Times New Roman"/>
                <w:sz w:val="16"/>
                <w:szCs w:val="16"/>
                <w:color w:val="auto"/>
                <w:vertAlign w:val="superscript"/>
              </w:rPr>
              <w:t>(1)</w:t>
            </w:r>
          </w:p>
        </w:tc>
        <w:tc>
          <w:tcPr>
            <w:tcW w:w="16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17,791</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17,791</w:t>
            </w: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1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Derivatives</w:t>
            </w:r>
          </w:p>
        </w:tc>
        <w:tc>
          <w:tcPr>
            <w:tcW w:w="1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15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0.0 %</w:t>
            </w:r>
          </w:p>
        </w:tc>
        <w:tc>
          <w:tcPr>
            <w:tcW w:w="1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1920" w:type="dxa"/>
            <w:vAlign w:val="bottom"/>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Total</w:t>
            </w:r>
          </w:p>
        </w:tc>
        <w:tc>
          <w:tcPr>
            <w:tcW w:w="160" w:type="dxa"/>
            <w:vAlign w:val="bottom"/>
            <w:shd w:val="clear" w:color="auto" w:fill="CFF0FC"/>
          </w:tcPr>
          <w:p>
            <w:pPr>
              <w:jc w:val="right"/>
              <w:ind w:right="1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476,432</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405,021</w:t>
            </w:r>
          </w:p>
        </w:tc>
        <w:tc>
          <w:tcPr>
            <w:tcW w:w="2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00"/>
              <w:spacing w:after="0" w:line="136" w:lineRule="exact"/>
              <w:rPr>
                <w:sz w:val="20"/>
                <w:szCs w:val="20"/>
                <w:color w:val="auto"/>
              </w:rPr>
            </w:pPr>
            <w:r>
              <w:rPr>
                <w:rFonts w:ascii="Times New Roman" w:cs="Times New Roman" w:eastAsia="Times New Roman" w:hAnsi="Times New Roman"/>
                <w:sz w:val="9"/>
                <w:szCs w:val="9"/>
                <w:color w:val="auto"/>
              </w:rPr>
              <w:t xml:space="preserve">100.0 </w:t>
            </w:r>
            <w:r>
              <w:rPr>
                <w:rFonts w:ascii="Times New Roman" w:cs="Times New Roman" w:eastAsia="Times New Roman" w:hAnsi="Times New Roman"/>
                <w:sz w:val="15"/>
                <w:szCs w:val="15"/>
                <w:color w:val="auto"/>
                <w:vertAlign w:val="subscript"/>
              </w:rPr>
              <w:t>%</w:t>
            </w:r>
          </w:p>
        </w:tc>
        <w:tc>
          <w:tcPr>
            <w:tcW w:w="160" w:type="dxa"/>
            <w:vAlign w:val="bottom"/>
            <w:shd w:val="clear" w:color="auto" w:fill="CFF0FC"/>
          </w:tcPr>
          <w:p>
            <w:pPr>
              <w:jc w:val="right"/>
              <w:ind w:right="1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540,282</w:t>
            </w:r>
          </w:p>
        </w:tc>
        <w:tc>
          <w:tcPr>
            <w:tcW w:w="420" w:type="dxa"/>
            <w:vAlign w:val="bottom"/>
            <w:gridSpan w:val="2"/>
            <w:shd w:val="clear" w:color="auto" w:fill="CFF0FC"/>
          </w:tcPr>
          <w:p>
            <w:pPr>
              <w:jc w:val="right"/>
              <w:ind w:right="1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467,865</w:t>
            </w:r>
          </w:p>
        </w:tc>
        <w:tc>
          <w:tcPr>
            <w:tcW w:w="1260" w:type="dxa"/>
            <w:vAlign w:val="bottom"/>
            <w:gridSpan w:val="3"/>
            <w:shd w:val="clear" w:color="auto" w:fill="CFF0FC"/>
          </w:tcPr>
          <w:p>
            <w:pPr>
              <w:jc w:val="right"/>
              <w:spacing w:after="0" w:line="136" w:lineRule="exact"/>
              <w:rPr>
                <w:sz w:val="20"/>
                <w:szCs w:val="20"/>
                <w:color w:val="auto"/>
              </w:rPr>
            </w:pPr>
            <w:r>
              <w:rPr>
                <w:rFonts w:ascii="Times New Roman" w:cs="Times New Roman" w:eastAsia="Times New Roman" w:hAnsi="Times New Roman"/>
                <w:sz w:val="9"/>
                <w:szCs w:val="9"/>
                <w:color w:val="auto"/>
              </w:rPr>
              <w:t xml:space="preserve">100.0 </w:t>
            </w:r>
            <w:r>
              <w:rPr>
                <w:rFonts w:ascii="Times New Roman" w:cs="Times New Roman" w:eastAsia="Times New Roman" w:hAnsi="Times New Roman"/>
                <w:sz w:val="15"/>
                <w:szCs w:val="15"/>
                <w:color w:val="auto"/>
                <w:vertAlign w:val="subscript"/>
              </w:rPr>
              <w:t>%</w:t>
            </w:r>
          </w:p>
        </w:tc>
        <w:tc>
          <w:tcPr>
            <w:tcW w:w="0" w:type="dxa"/>
            <w:vAlign w:val="bottom"/>
          </w:tcPr>
          <w:p>
            <w:pPr>
              <w:spacing w:after="0"/>
              <w:rPr>
                <w:sz w:val="1"/>
                <w:szCs w:val="1"/>
                <w:color w:val="auto"/>
              </w:rPr>
            </w:pPr>
          </w:p>
        </w:tc>
      </w:tr>
      <w:tr>
        <w:trPr>
          <w:trHeight w:val="20"/>
        </w:trPr>
        <w:tc>
          <w:tcPr>
            <w:tcW w:w="19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(1)Represents the equity investment in the Asset Manager Affiliates.</w:t>
      </w:r>
    </w:p>
    <w:p>
      <w:pPr>
        <w:spacing w:after="0" w:line="10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1"/>
          <w:szCs w:val="11"/>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3"/>
          <w:szCs w:val="13"/>
          <w:b w:val="1"/>
          <w:bCs w:val="1"/>
          <w:color w:val="auto"/>
        </w:rPr>
        <w:t>PORTMAN RIDGE FINANCE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520" w:type="dxa"/>
            <w:vAlign w:val="bottom"/>
            <w:gridSpan w:val="16"/>
          </w:tcPr>
          <w:p>
            <w:pPr>
              <w:ind w:left="360"/>
              <w:spacing w:after="0"/>
              <w:rPr>
                <w:sz w:val="20"/>
                <w:szCs w:val="20"/>
                <w:color w:val="auto"/>
              </w:rPr>
            </w:pPr>
            <w:r>
              <w:rPr>
                <w:rFonts w:ascii="Times New Roman" w:cs="Times New Roman" w:eastAsia="Times New Roman" w:hAnsi="Times New Roman"/>
                <w:sz w:val="13"/>
                <w:szCs w:val="13"/>
                <w:color w:val="auto"/>
              </w:rPr>
              <w:t>The industry concentrations based on the fair value of the Company’s investment portfolio as of December 31, 2024 and December 31, 2023, were as follows:</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8"/>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 in thousands)</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3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gridSpan w:val="4"/>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0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38"/>
        </w:trPr>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Cost/Amortized</w:t>
            </w: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Percentage of</w:t>
            </w:r>
          </w:p>
        </w:tc>
        <w:tc>
          <w:tcPr>
            <w:tcW w:w="10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9"/>
              </w:rPr>
              <w:t>Cost/Amortized</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Percentage of</w:t>
            </w:r>
          </w:p>
        </w:tc>
        <w:tc>
          <w:tcPr>
            <w:tcW w:w="0" w:type="dxa"/>
            <w:vAlign w:val="bottom"/>
          </w:tcPr>
          <w:p>
            <w:pPr>
              <w:spacing w:after="0"/>
              <w:rPr>
                <w:sz w:val="1"/>
                <w:szCs w:val="1"/>
                <w:color w:val="auto"/>
              </w:rPr>
            </w:pPr>
          </w:p>
        </w:tc>
      </w:tr>
      <w:tr>
        <w:trPr>
          <w:trHeight w:val="170"/>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Industry Classification</w:t>
            </w:r>
          </w:p>
        </w:tc>
        <w:tc>
          <w:tcPr>
            <w:tcW w:w="100" w:type="dxa"/>
            <w:vAlign w:val="bottom"/>
          </w:tcPr>
          <w:p>
            <w:pPr>
              <w:spacing w:after="0"/>
              <w:rPr>
                <w:sz w:val="14"/>
                <w:szCs w:val="14"/>
                <w:color w:val="auto"/>
              </w:rPr>
            </w:pPr>
          </w:p>
        </w:tc>
        <w:tc>
          <w:tcPr>
            <w:tcW w:w="1300" w:type="dxa"/>
            <w:vAlign w:val="bottom"/>
            <w:gridSpan w:val="2"/>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8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Total Portfolio</w:t>
            </w:r>
          </w:p>
        </w:tc>
        <w:tc>
          <w:tcPr>
            <w:tcW w:w="100" w:type="dxa"/>
            <w:vAlign w:val="bottom"/>
          </w:tcPr>
          <w:p>
            <w:pPr>
              <w:spacing w:after="0"/>
              <w:rPr>
                <w:sz w:val="14"/>
                <w:szCs w:val="14"/>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06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Total Portfolio</w:t>
            </w:r>
          </w:p>
        </w:tc>
        <w:tc>
          <w:tcPr>
            <w:tcW w:w="0" w:type="dxa"/>
            <w:vAlign w:val="bottom"/>
          </w:tcPr>
          <w:p>
            <w:pPr>
              <w:spacing w:after="0"/>
              <w:rPr>
                <w:sz w:val="1"/>
                <w:szCs w:val="1"/>
                <w:color w:val="auto"/>
              </w:rPr>
            </w:pPr>
          </w:p>
        </w:tc>
      </w:tr>
      <w:tr>
        <w:trPr>
          <w:trHeight w:val="15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Joint Venture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66,747</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54,153</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13.4%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71,415</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59,287</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Services: Business</w:t>
            </w:r>
          </w:p>
        </w:tc>
        <w:tc>
          <w:tcPr>
            <w:tcW w:w="100" w:type="dxa"/>
            <w:vAlign w:val="bottom"/>
          </w:tcPr>
          <w:p>
            <w:pPr>
              <w:spacing w:after="0"/>
              <w:rPr>
                <w:sz w:val="13"/>
                <w:szCs w:val="13"/>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55,141</w:t>
            </w:r>
          </w:p>
        </w:tc>
        <w:tc>
          <w:tcPr>
            <w:tcW w:w="180" w:type="dxa"/>
            <w:vAlign w:val="bottom"/>
          </w:tcPr>
          <w:p>
            <w:pPr>
              <w:spacing w:after="0"/>
              <w:rPr>
                <w:sz w:val="13"/>
                <w:szCs w:val="13"/>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51,776</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12.8%</w:t>
            </w:r>
          </w:p>
        </w:tc>
        <w:tc>
          <w:tcPr>
            <w:tcW w:w="100" w:type="dxa"/>
            <w:vAlign w:val="bottom"/>
          </w:tcPr>
          <w:p>
            <w:pPr>
              <w:spacing w:after="0"/>
              <w:rPr>
                <w:sz w:val="13"/>
                <w:szCs w:val="13"/>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58,997</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57,168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High Tech Industries</w:t>
            </w:r>
          </w:p>
        </w:tc>
        <w:tc>
          <w:tcPr>
            <w:tcW w:w="1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55,932</w:t>
            </w:r>
          </w:p>
        </w:tc>
        <w:tc>
          <w:tcPr>
            <w:tcW w:w="18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50,138</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12.4%</w:t>
            </w:r>
          </w:p>
        </w:tc>
        <w:tc>
          <w:tcPr>
            <w:tcW w:w="10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84,676</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73,430</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Banking, Finance, Insurance &amp; Real Estate</w:t>
            </w:r>
          </w:p>
        </w:tc>
        <w:tc>
          <w:tcPr>
            <w:tcW w:w="100" w:type="dxa"/>
            <w:vAlign w:val="bottom"/>
          </w:tcPr>
          <w:p>
            <w:pPr>
              <w:spacing w:after="0"/>
              <w:rPr>
                <w:sz w:val="13"/>
                <w:szCs w:val="13"/>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44,191</w:t>
            </w:r>
          </w:p>
        </w:tc>
        <w:tc>
          <w:tcPr>
            <w:tcW w:w="180" w:type="dxa"/>
            <w:vAlign w:val="bottom"/>
          </w:tcPr>
          <w:p>
            <w:pPr>
              <w:spacing w:after="0"/>
              <w:rPr>
                <w:sz w:val="13"/>
                <w:szCs w:val="13"/>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42,854</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10.6%</w:t>
            </w:r>
          </w:p>
        </w:tc>
        <w:tc>
          <w:tcPr>
            <w:tcW w:w="100" w:type="dxa"/>
            <w:vAlign w:val="bottom"/>
          </w:tcPr>
          <w:p>
            <w:pPr>
              <w:spacing w:after="0"/>
              <w:rPr>
                <w:sz w:val="13"/>
                <w:szCs w:val="13"/>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51,486</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53,918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Healthcare &amp; Pharmaceuticals</w:t>
            </w:r>
          </w:p>
        </w:tc>
        <w:tc>
          <w:tcPr>
            <w:tcW w:w="1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43,882</w:t>
            </w:r>
          </w:p>
        </w:tc>
        <w:tc>
          <w:tcPr>
            <w:tcW w:w="18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41,872</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10.3%</w:t>
            </w:r>
          </w:p>
        </w:tc>
        <w:tc>
          <w:tcPr>
            <w:tcW w:w="10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59,189</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57,224</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Consumer goods: Durable</w:t>
            </w:r>
          </w:p>
        </w:tc>
        <w:tc>
          <w:tcPr>
            <w:tcW w:w="100" w:type="dxa"/>
            <w:vAlign w:val="bottom"/>
          </w:tcPr>
          <w:p>
            <w:pPr>
              <w:spacing w:after="0"/>
              <w:rPr>
                <w:sz w:val="13"/>
                <w:szCs w:val="13"/>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28,493</w:t>
            </w:r>
          </w:p>
        </w:tc>
        <w:tc>
          <w:tcPr>
            <w:tcW w:w="180" w:type="dxa"/>
            <w:vAlign w:val="bottom"/>
          </w:tcPr>
          <w:p>
            <w:pPr>
              <w:spacing w:after="0"/>
              <w:rPr>
                <w:sz w:val="13"/>
                <w:szCs w:val="13"/>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27,028</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tcPr>
          <w:p>
            <w:pPr>
              <w:spacing w:after="0"/>
              <w:rPr>
                <w:sz w:val="13"/>
                <w:szCs w:val="13"/>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16,431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13,898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Finance</w:t>
            </w:r>
          </w:p>
        </w:tc>
        <w:tc>
          <w:tcPr>
            <w:tcW w:w="1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14,815</w:t>
            </w:r>
          </w:p>
        </w:tc>
        <w:tc>
          <w:tcPr>
            <w:tcW w:w="18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14,725</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18,884</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18,972</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Machinery (Non-Agrclt/Constr/Electr)</w:t>
            </w:r>
          </w:p>
        </w:tc>
        <w:tc>
          <w:tcPr>
            <w:tcW w:w="100" w:type="dxa"/>
            <w:vAlign w:val="bottom"/>
          </w:tcPr>
          <w:p>
            <w:pPr>
              <w:spacing w:after="0"/>
              <w:rPr>
                <w:sz w:val="13"/>
                <w:szCs w:val="13"/>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11,705</w:t>
            </w:r>
          </w:p>
        </w:tc>
        <w:tc>
          <w:tcPr>
            <w:tcW w:w="180" w:type="dxa"/>
            <w:vAlign w:val="bottom"/>
          </w:tcPr>
          <w:p>
            <w:pPr>
              <w:spacing w:after="0"/>
              <w:rPr>
                <w:sz w:val="13"/>
                <w:szCs w:val="13"/>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13,608</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9,836</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10,097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Media: Broadcasting &amp; Subscription</w:t>
            </w:r>
          </w:p>
        </w:tc>
        <w:tc>
          <w:tcPr>
            <w:tcW w:w="1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19,095</w:t>
            </w:r>
          </w:p>
        </w:tc>
        <w:tc>
          <w:tcPr>
            <w:tcW w:w="18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12,972</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16,665</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14,618</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Beverage, Food and Tobacco</w:t>
            </w:r>
          </w:p>
        </w:tc>
        <w:tc>
          <w:tcPr>
            <w:tcW w:w="100" w:type="dxa"/>
            <w:vAlign w:val="bottom"/>
          </w:tcPr>
          <w:p>
            <w:pPr>
              <w:spacing w:after="0"/>
              <w:rPr>
                <w:sz w:val="13"/>
                <w:szCs w:val="13"/>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12,563</w:t>
            </w:r>
          </w:p>
        </w:tc>
        <w:tc>
          <w:tcPr>
            <w:tcW w:w="180" w:type="dxa"/>
            <w:vAlign w:val="bottom"/>
          </w:tcPr>
          <w:p>
            <w:pPr>
              <w:spacing w:after="0"/>
              <w:rPr>
                <w:sz w:val="13"/>
                <w:szCs w:val="13"/>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11,612</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Pr>
          <w:p>
            <w:pPr>
              <w:spacing w:after="0"/>
              <w:rPr>
                <w:sz w:val="13"/>
                <w:szCs w:val="13"/>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12,220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11,444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Aerospace and Defense</w:t>
            </w:r>
          </w:p>
        </w:tc>
        <w:tc>
          <w:tcPr>
            <w:tcW w:w="1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11,403</w:t>
            </w:r>
          </w:p>
        </w:tc>
        <w:tc>
          <w:tcPr>
            <w:tcW w:w="18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11,390</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11,130</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11,256</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Chemicals, Plastics and Rubber</w:t>
            </w:r>
          </w:p>
        </w:tc>
        <w:tc>
          <w:tcPr>
            <w:tcW w:w="100" w:type="dxa"/>
            <w:vAlign w:val="bottom"/>
          </w:tcPr>
          <w:p>
            <w:pPr>
              <w:spacing w:after="0"/>
              <w:rPr>
                <w:sz w:val="13"/>
                <w:szCs w:val="13"/>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10,135</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9,628</w:t>
            </w:r>
          </w:p>
        </w:tc>
        <w:tc>
          <w:tcPr>
            <w:tcW w:w="200" w:type="dxa"/>
            <w:vAlign w:val="bottom"/>
          </w:tcPr>
          <w:p>
            <w:pPr>
              <w:spacing w:after="0"/>
              <w:rPr>
                <w:sz w:val="13"/>
                <w:szCs w:val="13"/>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9,738</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9,836</w:t>
            </w:r>
          </w:p>
        </w:tc>
        <w:tc>
          <w:tcPr>
            <w:tcW w:w="200" w:type="dxa"/>
            <w:vAlign w:val="bottom"/>
          </w:tcPr>
          <w:p>
            <w:pPr>
              <w:spacing w:after="0"/>
              <w:rPr>
                <w:sz w:val="13"/>
                <w:szCs w:val="1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Construction &amp; Building</w:t>
            </w:r>
          </w:p>
        </w:tc>
        <w:tc>
          <w:tcPr>
            <w:tcW w:w="10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7,648</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7,596</w:t>
            </w:r>
          </w:p>
        </w:tc>
        <w:tc>
          <w:tcPr>
            <w:tcW w:w="2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7,737</w:t>
            </w: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7,441</w:t>
            </w:r>
          </w:p>
        </w:tc>
        <w:tc>
          <w:tcPr>
            <w:tcW w:w="20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Transportation: Consumer</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7,410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7,470</w:t>
            </w:r>
          </w:p>
        </w:tc>
        <w:tc>
          <w:tcPr>
            <w:tcW w:w="200" w:type="dxa"/>
            <w:vAlign w:val="bottom"/>
          </w:tcPr>
          <w:p>
            <w:pPr>
              <w:spacing w:after="0"/>
              <w:rPr>
                <w:sz w:val="13"/>
                <w:szCs w:val="13"/>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7,465</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7,409</w:t>
            </w:r>
          </w:p>
        </w:tc>
        <w:tc>
          <w:tcPr>
            <w:tcW w:w="200" w:type="dxa"/>
            <w:vAlign w:val="bottom"/>
          </w:tcPr>
          <w:p>
            <w:pPr>
              <w:spacing w:after="0"/>
              <w:rPr>
                <w:sz w:val="13"/>
                <w:szCs w:val="1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Retail</w:t>
            </w:r>
          </w:p>
        </w:tc>
        <w:tc>
          <w:tcPr>
            <w:tcW w:w="1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10,246</w:t>
            </w:r>
          </w:p>
        </w:tc>
        <w:tc>
          <w:tcPr>
            <w:tcW w:w="1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6,853</w:t>
            </w:r>
          </w:p>
        </w:tc>
        <w:tc>
          <w:tcPr>
            <w:tcW w:w="2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9,334</w:t>
            </w: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8,732</w:t>
            </w:r>
          </w:p>
        </w:tc>
        <w:tc>
          <w:tcPr>
            <w:tcW w:w="20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Healthcare, Education and Childcare</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6,115</w:t>
            </w:r>
          </w:p>
        </w:tc>
        <w:tc>
          <w:tcPr>
            <w:tcW w:w="200" w:type="dxa"/>
            <w:vAlign w:val="bottom"/>
          </w:tcPr>
          <w:p>
            <w:pPr>
              <w:spacing w:after="0"/>
              <w:rPr>
                <w:sz w:val="13"/>
                <w:szCs w:val="13"/>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6,175</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6,163</w:t>
            </w:r>
          </w:p>
        </w:tc>
        <w:tc>
          <w:tcPr>
            <w:tcW w:w="200" w:type="dxa"/>
            <w:vAlign w:val="bottom"/>
          </w:tcPr>
          <w:p>
            <w:pPr>
              <w:spacing w:after="0"/>
              <w:rPr>
                <w:sz w:val="13"/>
                <w:szCs w:val="1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CLO Fund Securities</w:t>
            </w:r>
          </w:p>
        </w:tc>
        <w:tc>
          <w:tcPr>
            <w:tcW w:w="10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5,318</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5,193</w:t>
            </w:r>
          </w:p>
        </w:tc>
        <w:tc>
          <w:tcPr>
            <w:tcW w:w="2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9,103</w:t>
            </w: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8,968</w:t>
            </w:r>
          </w:p>
        </w:tc>
        <w:tc>
          <w:tcPr>
            <w:tcW w:w="20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Metals &amp; Mining</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9,950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5,103</w:t>
            </w:r>
          </w:p>
        </w:tc>
        <w:tc>
          <w:tcPr>
            <w:tcW w:w="200" w:type="dxa"/>
            <w:vAlign w:val="bottom"/>
          </w:tcPr>
          <w:p>
            <w:pPr>
              <w:spacing w:after="0"/>
              <w:rPr>
                <w:sz w:val="13"/>
                <w:szCs w:val="13"/>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9,000</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7,742</w:t>
            </w:r>
          </w:p>
        </w:tc>
        <w:tc>
          <w:tcPr>
            <w:tcW w:w="200" w:type="dxa"/>
            <w:vAlign w:val="bottom"/>
          </w:tcPr>
          <w:p>
            <w:pPr>
              <w:spacing w:after="0"/>
              <w:rPr>
                <w:sz w:val="13"/>
                <w:szCs w:val="1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Transportation: Cargo</w:t>
            </w:r>
          </w:p>
        </w:tc>
        <w:tc>
          <w:tcPr>
            <w:tcW w:w="10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4,223</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3,782</w:t>
            </w:r>
          </w:p>
        </w:tc>
        <w:tc>
          <w:tcPr>
            <w:tcW w:w="2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0.9%</w:t>
            </w:r>
          </w:p>
        </w:tc>
        <w:tc>
          <w:tcPr>
            <w:tcW w:w="10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11,606</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10,303</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Diversified Financial Services</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3,074</w:t>
            </w:r>
          </w:p>
        </w:tc>
        <w:tc>
          <w:tcPr>
            <w:tcW w:w="200" w:type="dxa"/>
            <w:vAlign w:val="bottom"/>
          </w:tcPr>
          <w:p>
            <w:pPr>
              <w:spacing w:after="0"/>
              <w:rPr>
                <w:sz w:val="13"/>
                <w:szCs w:val="13"/>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0.8%</w:t>
            </w:r>
          </w:p>
        </w:tc>
        <w:tc>
          <w:tcPr>
            <w:tcW w:w="100" w:type="dxa"/>
            <w:vAlign w:val="bottom"/>
          </w:tcPr>
          <w:p>
            <w:pPr>
              <w:spacing w:after="0"/>
              <w:rPr>
                <w:sz w:val="13"/>
                <w:szCs w:val="13"/>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Containers, Packaging and Glass</w:t>
            </w:r>
          </w:p>
        </w:tc>
        <w:tc>
          <w:tcPr>
            <w:tcW w:w="10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2,728</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2,702</w:t>
            </w:r>
          </w:p>
        </w:tc>
        <w:tc>
          <w:tcPr>
            <w:tcW w:w="2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0.7%</w:t>
            </w:r>
          </w:p>
        </w:tc>
        <w:tc>
          <w:tcPr>
            <w:tcW w:w="1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2,734</w:t>
            </w: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2,665</w:t>
            </w:r>
          </w:p>
        </w:tc>
        <w:tc>
          <w:tcPr>
            <w:tcW w:w="20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Energy: Electricity</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2,702</w:t>
            </w:r>
          </w:p>
        </w:tc>
        <w:tc>
          <w:tcPr>
            <w:tcW w:w="200" w:type="dxa"/>
            <w:vAlign w:val="bottom"/>
          </w:tcPr>
          <w:p>
            <w:pPr>
              <w:spacing w:after="0"/>
              <w:rPr>
                <w:sz w:val="13"/>
                <w:szCs w:val="13"/>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0.7%</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671</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671</w:t>
            </w:r>
          </w:p>
        </w:tc>
        <w:tc>
          <w:tcPr>
            <w:tcW w:w="200" w:type="dxa"/>
            <w:vAlign w:val="bottom"/>
          </w:tcPr>
          <w:p>
            <w:pPr>
              <w:spacing w:after="0"/>
              <w:rPr>
                <w:sz w:val="13"/>
                <w:szCs w:val="1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Interactive Media &amp; Services</w:t>
            </w:r>
          </w:p>
        </w:tc>
        <w:tc>
          <w:tcPr>
            <w:tcW w:w="10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2,539</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2,559</w:t>
            </w:r>
          </w:p>
        </w:tc>
        <w:tc>
          <w:tcPr>
            <w:tcW w:w="2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0.6%</w:t>
            </w:r>
          </w:p>
        </w:tc>
        <w:tc>
          <w:tcPr>
            <w:tcW w:w="1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2,663</w:t>
            </w: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2,662</w:t>
            </w:r>
          </w:p>
        </w:tc>
        <w:tc>
          <w:tcPr>
            <w:tcW w:w="20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Services: Consumer</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2,699</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2,406</w:t>
            </w:r>
          </w:p>
        </w:tc>
        <w:tc>
          <w:tcPr>
            <w:tcW w:w="200" w:type="dxa"/>
            <w:vAlign w:val="bottom"/>
          </w:tcPr>
          <w:p>
            <w:pPr>
              <w:spacing w:after="0"/>
              <w:rPr>
                <w:sz w:val="13"/>
                <w:szCs w:val="13"/>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0.6%</w:t>
            </w:r>
          </w:p>
        </w:tc>
        <w:tc>
          <w:tcPr>
            <w:tcW w:w="100" w:type="dxa"/>
            <w:vAlign w:val="bottom"/>
          </w:tcPr>
          <w:p>
            <w:pPr>
              <w:spacing w:after="0"/>
              <w:rPr>
                <w:sz w:val="13"/>
                <w:szCs w:val="13"/>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IT Consulting &amp; Other Services</w:t>
            </w:r>
          </w:p>
        </w:tc>
        <w:tc>
          <w:tcPr>
            <w:tcW w:w="10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2,157</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2,243</w:t>
            </w:r>
          </w:p>
        </w:tc>
        <w:tc>
          <w:tcPr>
            <w:tcW w:w="2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0.5%</w:t>
            </w:r>
          </w:p>
        </w:tc>
        <w:tc>
          <w:tcPr>
            <w:tcW w:w="1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2,213</w:t>
            </w: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2,259</w:t>
            </w:r>
          </w:p>
        </w:tc>
        <w:tc>
          <w:tcPr>
            <w:tcW w:w="20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Hotel, Gaming &amp; Leisure</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2,205</w:t>
            </w:r>
          </w:p>
        </w:tc>
        <w:tc>
          <w:tcPr>
            <w:tcW w:w="200" w:type="dxa"/>
            <w:vAlign w:val="bottom"/>
          </w:tcPr>
          <w:p>
            <w:pPr>
              <w:spacing w:after="0"/>
              <w:rPr>
                <w:sz w:val="13"/>
                <w:szCs w:val="13"/>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0.5%</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8,358</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3,948</w:t>
            </w:r>
          </w:p>
        </w:tc>
        <w:tc>
          <w:tcPr>
            <w:tcW w:w="200" w:type="dxa"/>
            <w:vAlign w:val="bottom"/>
          </w:tcPr>
          <w:p>
            <w:pPr>
              <w:spacing w:after="0"/>
              <w:rPr>
                <w:sz w:val="13"/>
                <w:szCs w:val="1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Capital Equipment</w:t>
            </w: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8,016</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1,291</w:t>
            </w:r>
          </w:p>
        </w:tc>
        <w:tc>
          <w:tcPr>
            <w:tcW w:w="2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line="216" w:lineRule="exact"/>
              <w:rPr>
                <w:sz w:val="20"/>
                <w:szCs w:val="20"/>
                <w:color w:val="auto"/>
              </w:rPr>
            </w:pPr>
            <w:r>
              <w:rPr>
                <w:rFonts w:ascii="Times New Roman" w:cs="Times New Roman" w:eastAsia="Times New Roman" w:hAnsi="Times New Roman"/>
                <w:sz w:val="13"/>
                <w:szCs w:val="13"/>
                <w:color w:val="auto"/>
              </w:rPr>
              <w:t xml:space="preserve">0.3 </w:t>
            </w:r>
            <w:r>
              <w:rPr>
                <w:rFonts w:ascii="Times New Roman" w:cs="Times New Roman" w:eastAsia="Times New Roman" w:hAnsi="Times New Roman"/>
                <w:sz w:val="25"/>
                <w:szCs w:val="25"/>
                <w:color w:val="auto"/>
                <w:vertAlign w:val="superscript"/>
              </w:rPr>
              <w:t>%</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10,684</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1,203</w:t>
            </w: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line="216" w:lineRule="exact"/>
              <w:rPr>
                <w:sz w:val="20"/>
                <w:szCs w:val="20"/>
                <w:color w:val="auto"/>
              </w:rPr>
            </w:pPr>
            <w:r>
              <w:rPr>
                <w:rFonts w:ascii="Times New Roman" w:cs="Times New Roman" w:eastAsia="Times New Roman" w:hAnsi="Times New Roman"/>
                <w:sz w:val="13"/>
                <w:szCs w:val="13"/>
                <w:color w:val="auto"/>
              </w:rPr>
              <w:t xml:space="preserve">0.3 </w:t>
            </w:r>
            <w:r>
              <w:rPr>
                <w:rFonts w:ascii="Times New Roman" w:cs="Times New Roman" w:eastAsia="Times New Roman" w:hAnsi="Times New Roman"/>
                <w:sz w:val="25"/>
                <w:szCs w:val="25"/>
                <w:color w:val="auto"/>
                <w:vertAlign w:val="superscript"/>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Application Software</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1,166</w:t>
            </w:r>
          </w:p>
        </w:tc>
        <w:tc>
          <w:tcPr>
            <w:tcW w:w="200" w:type="dxa"/>
            <w:vAlign w:val="bottom"/>
          </w:tcPr>
          <w:p>
            <w:pPr>
              <w:spacing w:after="0"/>
              <w:rPr>
                <w:sz w:val="13"/>
                <w:szCs w:val="13"/>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tcPr>
          <w:p>
            <w:pPr>
              <w:spacing w:after="0"/>
              <w:rPr>
                <w:sz w:val="13"/>
                <w:szCs w:val="13"/>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Telecommunications</w:t>
            </w:r>
          </w:p>
        </w:tc>
        <w:tc>
          <w:tcPr>
            <w:tcW w:w="10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1,541</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805</w:t>
            </w:r>
          </w:p>
        </w:tc>
        <w:tc>
          <w:tcPr>
            <w:tcW w:w="2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5,268</w:t>
            </w: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4,389</w:t>
            </w:r>
          </w:p>
        </w:tc>
        <w:tc>
          <w:tcPr>
            <w:tcW w:w="20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Alternative Carriers</w:t>
            </w:r>
          </w:p>
        </w:tc>
        <w:tc>
          <w:tcPr>
            <w:tcW w:w="100" w:type="dxa"/>
            <w:vAlign w:val="bottom"/>
          </w:tcPr>
          <w:p>
            <w:pPr>
              <w:spacing w:after="0"/>
              <w:rPr>
                <w:sz w:val="13"/>
                <w:szCs w:val="13"/>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0.0%</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971</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937</w:t>
            </w:r>
          </w:p>
        </w:tc>
        <w:tc>
          <w:tcPr>
            <w:tcW w:w="200" w:type="dxa"/>
            <w:vAlign w:val="bottom"/>
          </w:tcPr>
          <w:p>
            <w:pPr>
              <w:spacing w:after="0"/>
              <w:rPr>
                <w:sz w:val="13"/>
                <w:szCs w:val="1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Asset Management Company</w:t>
            </w:r>
            <w:r>
              <w:rPr>
                <w:rFonts w:ascii="Times New Roman" w:cs="Times New Roman" w:eastAsia="Times New Roman" w:hAnsi="Times New Roman"/>
                <w:sz w:val="16"/>
                <w:szCs w:val="16"/>
                <w:color w:val="auto"/>
                <w:vertAlign w:val="superscript"/>
              </w:rPr>
              <w:t>(1)</w:t>
            </w:r>
          </w:p>
        </w:tc>
        <w:tc>
          <w:tcPr>
            <w:tcW w:w="1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17,791</w:t>
            </w:r>
          </w:p>
        </w:tc>
        <w:tc>
          <w:tcPr>
            <w:tcW w:w="18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0.0%</w:t>
            </w:r>
          </w:p>
        </w:tc>
        <w:tc>
          <w:tcPr>
            <w:tcW w:w="10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17,791</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Energy: Oil &amp; Gas</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0.0%</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6,721</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200" w:type="dxa"/>
            <w:vAlign w:val="bottom"/>
          </w:tcPr>
          <w:p>
            <w:pPr>
              <w:spacing w:after="0"/>
              <w:rPr>
                <w:sz w:val="13"/>
                <w:szCs w:val="1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Media: Diversified &amp; Production</w:t>
            </w:r>
          </w:p>
        </w:tc>
        <w:tc>
          <w:tcPr>
            <w:tcW w:w="1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0.0%</w:t>
            </w:r>
          </w:p>
        </w:tc>
        <w:tc>
          <w:tcPr>
            <w:tcW w:w="1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1,121</w:t>
            </w: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1,125</w:t>
            </w:r>
          </w:p>
        </w:tc>
        <w:tc>
          <w:tcPr>
            <w:tcW w:w="20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Total</w:t>
            </w:r>
          </w:p>
        </w:tc>
        <w:tc>
          <w:tcPr>
            <w:tcW w:w="1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476,432</w:t>
            </w:r>
          </w:p>
        </w:tc>
        <w:tc>
          <w:tcPr>
            <w:tcW w:w="220" w:type="dxa"/>
            <w:vAlign w:val="bottom"/>
          </w:tcPr>
          <w:p>
            <w:pPr>
              <w:spacing w:after="0"/>
              <w:rPr>
                <w:sz w:val="13"/>
                <w:szCs w:val="13"/>
                <w:color w:val="auto"/>
              </w:rPr>
            </w:pPr>
          </w:p>
        </w:tc>
        <w:tc>
          <w:tcPr>
            <w:tcW w:w="18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405,021</w:t>
            </w:r>
          </w:p>
        </w:tc>
        <w:tc>
          <w:tcPr>
            <w:tcW w:w="200" w:type="dxa"/>
            <w:vAlign w:val="bottom"/>
          </w:tcPr>
          <w:p>
            <w:pPr>
              <w:spacing w:after="0"/>
              <w:rPr>
                <w:sz w:val="13"/>
                <w:szCs w:val="13"/>
                <w:color w:val="auto"/>
              </w:rPr>
            </w:pPr>
          </w:p>
        </w:tc>
        <w:tc>
          <w:tcPr>
            <w:tcW w:w="1300" w:type="dxa"/>
            <w:vAlign w:val="bottom"/>
            <w:gridSpan w:val="2"/>
          </w:tcPr>
          <w:p>
            <w:pPr>
              <w:jc w:val="right"/>
              <w:ind w:right="100"/>
              <w:spacing w:after="0" w:line="136" w:lineRule="exact"/>
              <w:rPr>
                <w:sz w:val="20"/>
                <w:szCs w:val="20"/>
                <w:color w:val="auto"/>
              </w:rPr>
            </w:pPr>
            <w:r>
              <w:rPr>
                <w:rFonts w:ascii="Times New Roman" w:cs="Times New Roman" w:eastAsia="Times New Roman" w:hAnsi="Times New Roman"/>
                <w:sz w:val="9"/>
                <w:szCs w:val="9"/>
                <w:color w:val="auto"/>
              </w:rPr>
              <w:t xml:space="preserve">100.0 </w:t>
            </w:r>
            <w:r>
              <w:rPr>
                <w:rFonts w:ascii="Times New Roman" w:cs="Times New Roman" w:eastAsia="Times New Roman" w:hAnsi="Times New Roman"/>
                <w:sz w:val="15"/>
                <w:szCs w:val="15"/>
                <w:color w:val="auto"/>
                <w:vertAlign w:val="subscript"/>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540,282</w:t>
            </w:r>
          </w:p>
        </w:tc>
        <w:tc>
          <w:tcPr>
            <w:tcW w:w="40" w:type="dxa"/>
            <w:vAlign w:val="bottom"/>
          </w:tcPr>
          <w:p>
            <w:pPr>
              <w:spacing w:after="0"/>
              <w:rPr>
                <w:sz w:val="13"/>
                <w:szCs w:val="13"/>
                <w:color w:val="auto"/>
              </w:rPr>
            </w:pPr>
          </w:p>
        </w:tc>
        <w:tc>
          <w:tcPr>
            <w:tcW w:w="300" w:type="dxa"/>
            <w:vAlign w:val="bottom"/>
            <w:gridSpan w:val="2"/>
          </w:tcPr>
          <w:p>
            <w:pPr>
              <w:jc w:val="right"/>
              <w:ind w:right="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467,865</w:t>
            </w:r>
          </w:p>
        </w:tc>
        <w:tc>
          <w:tcPr>
            <w:tcW w:w="200" w:type="dxa"/>
            <w:vAlign w:val="bottom"/>
          </w:tcPr>
          <w:p>
            <w:pPr>
              <w:spacing w:after="0"/>
              <w:rPr>
                <w:sz w:val="13"/>
                <w:szCs w:val="13"/>
                <w:color w:val="auto"/>
              </w:rPr>
            </w:pPr>
          </w:p>
        </w:tc>
        <w:tc>
          <w:tcPr>
            <w:tcW w:w="104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9"/>
                <w:szCs w:val="9"/>
                <w:color w:val="auto"/>
              </w:rPr>
              <w:t xml:space="preserve">100.0 </w:t>
            </w:r>
            <w:r>
              <w:rPr>
                <w:rFonts w:ascii="Times New Roman" w:cs="Times New Roman" w:eastAsia="Times New Roman" w:hAnsi="Times New Roman"/>
                <w:sz w:val="15"/>
                <w:szCs w:val="15"/>
                <w:color w:val="auto"/>
                <w:vertAlign w:val="subscript"/>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(1)Represents the equity investment in the Asset Manager Affiliates.</w:t>
      </w:r>
    </w:p>
    <w:p>
      <w:pPr>
        <w:spacing w:after="0" w:line="10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1"/>
          <w:szCs w:val="11"/>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2" w:right="660"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3"/>
          <w:szCs w:val="13"/>
          <w:b w:val="1"/>
          <w:bCs w:val="1"/>
          <w:color w:val="auto"/>
        </w:rPr>
        <w:t>PORTMAN RIDGE FINANCE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Investments in CLO Fund Securities</w:t>
      </w:r>
    </w:p>
    <w:p>
      <w:pPr>
        <w:spacing w:after="0" w:line="105" w:lineRule="exact"/>
        <w:rPr>
          <w:sz w:val="20"/>
          <w:szCs w:val="20"/>
          <w:color w:val="auto"/>
        </w:rPr>
      </w:pPr>
    </w:p>
    <w:p>
      <w:pPr>
        <w:ind w:right="80" w:firstLine="348"/>
        <w:spacing w:after="0" w:line="257" w:lineRule="auto"/>
        <w:rPr>
          <w:sz w:val="20"/>
          <w:szCs w:val="20"/>
          <w:color w:val="auto"/>
        </w:rPr>
      </w:pPr>
      <w:r>
        <w:rPr>
          <w:rFonts w:ascii="Times New Roman" w:cs="Times New Roman" w:eastAsia="Times New Roman" w:hAnsi="Times New Roman"/>
          <w:sz w:val="13"/>
          <w:szCs w:val="13"/>
          <w:color w:val="auto"/>
        </w:rPr>
        <w:t>The Company has made non-controlling investments in the most junior class of securities (typically preferred shares or subordinated securities) of CLO Funds. These securities also are entitled to recurring distributions which generally equal the net remaining cash flow of the payments made by the underlying CLO Fund’s securities less contractual payments to senior bond holders, management fees and CLO Fund expenses. CLO Funds invest primarily in broadly syndicated non- investment grade loans, high-yield bonds and other credit instruments of corporate issuers. The underlying assets in each of the CLO Funds in which the Company has an investment are generally diversified secured or unsecured corporate debt. The CLO Funds are leveraged funds and any excess cash flow or “excess spread” (interest earned by the underlying securities in the CLO Funds less payments made to senior bond holders, fund expenses and management fees) is paid to the holders of the CLO Fund’s subordinated securities or preferred shares.</w:t>
      </w:r>
    </w:p>
    <w:p>
      <w:pPr>
        <w:spacing w:after="0" w:line="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The Company's investments in CLO Fund Securities as of December 31, 2024 and December 31, 2023 were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in thousands)</w:t>
            </w:r>
          </w:p>
        </w:tc>
        <w:tc>
          <w:tcPr>
            <w:tcW w:w="1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vMerge w:val="restart"/>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1320" w:type="dxa"/>
            <w:vAlign w:val="bottom"/>
            <w:gridSpan w:val="4"/>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240" w:type="dxa"/>
            <w:vAlign w:val="bottom"/>
            <w:vMerge w:val="restart"/>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120" w:type="dxa"/>
            <w:vAlign w:val="bottom"/>
          </w:tcPr>
          <w:p>
            <w:pPr>
              <w:spacing w:after="0"/>
              <w:rPr>
                <w:sz w:val="15"/>
                <w:szCs w:val="15"/>
                <w:color w:val="auto"/>
              </w:rPr>
            </w:pPr>
          </w:p>
        </w:tc>
        <w:tc>
          <w:tcPr>
            <w:tcW w:w="820" w:type="dxa"/>
            <w:vAlign w:val="bottom"/>
            <w:vMerge w:val="restart"/>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12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1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0" w:type="dxa"/>
            <w:vAlign w:val="bottom"/>
          </w:tcPr>
          <w:p>
            <w:pPr>
              <w:spacing w:after="0"/>
              <w:rPr>
                <w:sz w:val="1"/>
                <w:szCs w:val="1"/>
                <w:color w:val="auto"/>
              </w:rPr>
            </w:pPr>
          </w:p>
        </w:tc>
      </w:tr>
      <w:tr>
        <w:trPr>
          <w:trHeight w:val="127"/>
        </w:trPr>
        <w:tc>
          <w:tcPr>
            <w:tcW w:w="21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CLO Fund Securities</w:t>
            </w:r>
          </w:p>
        </w:tc>
        <w:tc>
          <w:tcPr>
            <w:tcW w:w="1500" w:type="dxa"/>
            <w:vAlign w:val="bottom"/>
          </w:tcPr>
          <w:p>
            <w:pPr>
              <w:ind w:left="52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60" w:type="dxa"/>
            <w:vAlign w:val="bottom"/>
          </w:tcPr>
          <w:p>
            <w:pPr>
              <w:spacing w:after="0"/>
              <w:rPr>
                <w:sz w:val="15"/>
                <w:szCs w:val="15"/>
                <w:color w:val="auto"/>
              </w:rPr>
            </w:pPr>
          </w:p>
        </w:tc>
        <w:tc>
          <w:tcPr>
            <w:tcW w:w="92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Cost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240" w:type="dxa"/>
            <w:vAlign w:val="bottom"/>
          </w:tcPr>
          <w:p>
            <w:pPr>
              <w:jc w:val="right"/>
              <w:ind w:right="314"/>
              <w:spacing w:after="0" w:line="181" w:lineRule="exact"/>
              <w:rPr>
                <w:sz w:val="20"/>
                <w:szCs w:val="20"/>
                <w:color w:val="auto"/>
              </w:rPr>
            </w:pPr>
            <w:r>
              <w:rPr>
                <w:rFonts w:ascii="Times New Roman" w:cs="Times New Roman" w:eastAsia="Times New Roman" w:hAnsi="Times New Roman"/>
                <w:sz w:val="13"/>
                <w:szCs w:val="13"/>
                <w:b w:val="1"/>
                <w:bCs w:val="1"/>
                <w:color w:val="auto"/>
              </w:rPr>
              <w:t>Ownership</w:t>
            </w:r>
            <w:r>
              <w:rPr>
                <w:rFonts w:ascii="Times New Roman" w:cs="Times New Roman" w:eastAsia="Times New Roman" w:hAnsi="Times New Roman"/>
                <w:sz w:val="16"/>
                <w:szCs w:val="16"/>
                <w:b w:val="1"/>
                <w:bCs w:val="1"/>
                <w:color w:val="auto"/>
                <w:vertAlign w:val="superscript"/>
              </w:rPr>
              <w:t>(1)</w:t>
            </w:r>
          </w:p>
        </w:tc>
        <w:tc>
          <w:tcPr>
            <w:tcW w:w="120" w:type="dxa"/>
            <w:vAlign w:val="bottom"/>
          </w:tcPr>
          <w:p>
            <w:pPr>
              <w:spacing w:after="0"/>
              <w:rPr>
                <w:sz w:val="15"/>
                <w:szCs w:val="15"/>
                <w:color w:val="auto"/>
              </w:rPr>
            </w:pPr>
          </w:p>
        </w:tc>
        <w:tc>
          <w:tcPr>
            <w:tcW w:w="82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Cost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120" w:type="dxa"/>
            <w:vAlign w:val="bottom"/>
            <w:gridSpan w:val="2"/>
          </w:tcPr>
          <w:p>
            <w:pPr>
              <w:jc w:val="right"/>
              <w:ind w:right="340"/>
              <w:spacing w:after="0" w:line="181" w:lineRule="exact"/>
              <w:rPr>
                <w:sz w:val="20"/>
                <w:szCs w:val="20"/>
                <w:color w:val="auto"/>
              </w:rPr>
            </w:pPr>
            <w:r>
              <w:rPr>
                <w:rFonts w:ascii="Times New Roman" w:cs="Times New Roman" w:eastAsia="Times New Roman" w:hAnsi="Times New Roman"/>
                <w:sz w:val="13"/>
                <w:szCs w:val="13"/>
                <w:b w:val="1"/>
                <w:bCs w:val="1"/>
                <w:color w:val="auto"/>
              </w:rPr>
              <w:t>Ownership</w:t>
            </w:r>
            <w:r>
              <w:rPr>
                <w:rFonts w:ascii="Times New Roman" w:cs="Times New Roman" w:eastAsia="Times New Roman" w:hAnsi="Times New Roman"/>
                <w:sz w:val="16"/>
                <w:szCs w:val="16"/>
                <w:b w:val="1"/>
                <w:bCs w:val="1"/>
                <w:color w:val="auto"/>
                <w:vertAlign w:val="superscript"/>
              </w:rPr>
              <w:t>(1)</w:t>
            </w:r>
          </w:p>
        </w:tc>
        <w:tc>
          <w:tcPr>
            <w:tcW w:w="0" w:type="dxa"/>
            <w:vAlign w:val="bottom"/>
          </w:tcPr>
          <w:p>
            <w:pPr>
              <w:spacing w:after="0"/>
              <w:rPr>
                <w:sz w:val="1"/>
                <w:szCs w:val="1"/>
                <w:color w:val="auto"/>
              </w:rPr>
            </w:pPr>
          </w:p>
        </w:tc>
      </w:tr>
      <w:tr>
        <w:trPr>
          <w:trHeight w:val="144"/>
        </w:trPr>
        <w:tc>
          <w:tcPr>
            <w:tcW w:w="210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Catamaran CLO 2014-1 Ltd.</w:t>
            </w:r>
          </w:p>
        </w:tc>
        <w:tc>
          <w:tcPr>
            <w:tcW w:w="1500" w:type="dxa"/>
            <w:vAlign w:val="bottom"/>
            <w:shd w:val="clear" w:color="auto" w:fill="CFF0FC"/>
          </w:tcPr>
          <w:p>
            <w:pPr>
              <w:ind w:left="240"/>
              <w:spacing w:after="0" w:line="144" w:lineRule="exact"/>
              <w:rPr>
                <w:sz w:val="20"/>
                <w:szCs w:val="20"/>
                <w:color w:val="auto"/>
              </w:rPr>
            </w:pPr>
            <w:r>
              <w:rPr>
                <w:rFonts w:ascii="Times New Roman" w:cs="Times New Roman" w:eastAsia="Times New Roman" w:hAnsi="Times New Roman"/>
                <w:sz w:val="13"/>
                <w:szCs w:val="13"/>
                <w:color w:val="auto"/>
              </w:rPr>
              <w:t>Collateralized Loan</w:t>
            </w: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100" w:type="dxa"/>
            <w:vAlign w:val="bottom"/>
            <w:shd w:val="clear" w:color="auto" w:fill="CFF0FC"/>
          </w:tcPr>
          <w:p>
            <w:pPr>
              <w:spacing w:after="0"/>
              <w:rPr>
                <w:sz w:val="14"/>
                <w:szCs w:val="14"/>
                <w:color w:val="auto"/>
              </w:rPr>
            </w:pPr>
          </w:p>
        </w:tc>
        <w:tc>
          <w:tcPr>
            <w:tcW w:w="1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Obligations</w:t>
            </w: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260" w:type="dxa"/>
            <w:vAlign w:val="bottom"/>
            <w:shd w:val="clear" w:color="auto" w:fill="CFF0FC"/>
          </w:tcPr>
          <w:p>
            <w:pPr>
              <w:spacing w:after="0"/>
              <w:rPr>
                <w:sz w:val="14"/>
                <w:szCs w:val="14"/>
                <w:color w:val="auto"/>
              </w:rPr>
            </w:pPr>
          </w:p>
        </w:tc>
        <w:tc>
          <w:tcPr>
            <w:tcW w:w="1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22.2%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1,024</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904</w:t>
            </w:r>
          </w:p>
        </w:tc>
        <w:tc>
          <w:tcPr>
            <w:tcW w:w="26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10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Catamaran CLO 2018-1 Ltd.</w:t>
            </w:r>
          </w:p>
        </w:tc>
        <w:tc>
          <w:tcPr>
            <w:tcW w:w="1500" w:type="dxa"/>
            <w:vAlign w:val="bottom"/>
          </w:tcPr>
          <w:p>
            <w:pPr>
              <w:ind w:left="240"/>
              <w:spacing w:after="0" w:line="144" w:lineRule="exact"/>
              <w:rPr>
                <w:sz w:val="20"/>
                <w:szCs w:val="20"/>
                <w:color w:val="auto"/>
              </w:rPr>
            </w:pPr>
            <w:r>
              <w:rPr>
                <w:rFonts w:ascii="Times New Roman" w:cs="Times New Roman" w:eastAsia="Times New Roman" w:hAnsi="Times New Roman"/>
                <w:sz w:val="13"/>
                <w:szCs w:val="13"/>
                <w:color w:val="auto"/>
              </w:rPr>
              <w:t>Collateralized Loan</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100" w:type="dxa"/>
            <w:vAlign w:val="bottom"/>
          </w:tcPr>
          <w:p>
            <w:pPr>
              <w:spacing w:after="0"/>
              <w:rPr>
                <w:sz w:val="14"/>
                <w:szCs w:val="14"/>
                <w:color w:val="auto"/>
              </w:rPr>
            </w:pPr>
          </w:p>
        </w:tc>
        <w:tc>
          <w:tcPr>
            <w:tcW w:w="15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Obligations</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2,600</w:t>
            </w:r>
          </w:p>
        </w:tc>
        <w:tc>
          <w:tcPr>
            <w:tcW w:w="260" w:type="dxa"/>
            <w:vAlign w:val="bottom"/>
          </w:tcPr>
          <w:p>
            <w:pPr>
              <w:spacing w:after="0"/>
              <w:rPr>
                <w:sz w:val="14"/>
                <w:szCs w:val="14"/>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24.8%</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3,923</w:t>
            </w:r>
          </w:p>
        </w:tc>
        <w:tc>
          <w:tcPr>
            <w:tcW w:w="26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0" w:type="dxa"/>
            <w:vAlign w:val="bottom"/>
          </w:tcPr>
          <w:p>
            <w:pPr>
              <w:spacing w:after="0"/>
              <w:rPr>
                <w:sz w:val="1"/>
                <w:szCs w:val="1"/>
                <w:color w:val="auto"/>
              </w:rPr>
            </w:pPr>
          </w:p>
        </w:tc>
      </w:tr>
      <w:tr>
        <w:trPr>
          <w:trHeight w:val="144"/>
        </w:trPr>
        <w:tc>
          <w:tcPr>
            <w:tcW w:w="210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Dryden 30 Senior Loan Fund</w:t>
            </w:r>
          </w:p>
        </w:tc>
        <w:tc>
          <w:tcPr>
            <w:tcW w:w="1500" w:type="dxa"/>
            <w:vAlign w:val="bottom"/>
            <w:shd w:val="clear" w:color="auto" w:fill="CFF0FC"/>
          </w:tcPr>
          <w:p>
            <w:pPr>
              <w:ind w:left="240"/>
              <w:spacing w:after="0" w:line="144" w:lineRule="exact"/>
              <w:rPr>
                <w:sz w:val="20"/>
                <w:szCs w:val="20"/>
                <w:color w:val="auto"/>
              </w:rPr>
            </w:pPr>
            <w:r>
              <w:rPr>
                <w:rFonts w:ascii="Times New Roman" w:cs="Times New Roman" w:eastAsia="Times New Roman" w:hAnsi="Times New Roman"/>
                <w:sz w:val="13"/>
                <w:szCs w:val="13"/>
                <w:color w:val="auto"/>
              </w:rPr>
              <w:t>Collateralized Loan</w:t>
            </w: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100" w:type="dxa"/>
            <w:vAlign w:val="bottom"/>
            <w:shd w:val="clear" w:color="auto" w:fill="CFF0FC"/>
          </w:tcPr>
          <w:p>
            <w:pPr>
              <w:spacing w:after="0"/>
              <w:rPr>
                <w:sz w:val="14"/>
                <w:szCs w:val="14"/>
                <w:color w:val="auto"/>
              </w:rPr>
            </w:pPr>
          </w:p>
        </w:tc>
        <w:tc>
          <w:tcPr>
            <w:tcW w:w="1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Obligations</w:t>
            </w: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260" w:type="dxa"/>
            <w:vAlign w:val="bottom"/>
            <w:shd w:val="clear" w:color="auto" w:fill="CFF0FC"/>
          </w:tcPr>
          <w:p>
            <w:pPr>
              <w:spacing w:after="0"/>
              <w:rPr>
                <w:sz w:val="14"/>
                <w:szCs w:val="14"/>
                <w:color w:val="auto"/>
              </w:rPr>
            </w:pPr>
          </w:p>
        </w:tc>
        <w:tc>
          <w:tcPr>
            <w:tcW w:w="1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6.8%</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424</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409</w:t>
            </w:r>
          </w:p>
        </w:tc>
        <w:tc>
          <w:tcPr>
            <w:tcW w:w="26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10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JMP Credit Advisors CLO IV Ltd.</w:t>
            </w:r>
          </w:p>
        </w:tc>
        <w:tc>
          <w:tcPr>
            <w:tcW w:w="1500" w:type="dxa"/>
            <w:vAlign w:val="bottom"/>
          </w:tcPr>
          <w:p>
            <w:pPr>
              <w:ind w:left="240"/>
              <w:spacing w:after="0" w:line="144" w:lineRule="exact"/>
              <w:rPr>
                <w:sz w:val="20"/>
                <w:szCs w:val="20"/>
                <w:color w:val="auto"/>
              </w:rPr>
            </w:pPr>
            <w:r>
              <w:rPr>
                <w:rFonts w:ascii="Times New Roman" w:cs="Times New Roman" w:eastAsia="Times New Roman" w:hAnsi="Times New Roman"/>
                <w:sz w:val="13"/>
                <w:szCs w:val="13"/>
                <w:color w:val="auto"/>
              </w:rPr>
              <w:t>Collateralized Loan</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100" w:type="dxa"/>
            <w:vAlign w:val="bottom"/>
          </w:tcPr>
          <w:p>
            <w:pPr>
              <w:spacing w:after="0"/>
              <w:rPr>
                <w:sz w:val="14"/>
                <w:szCs w:val="14"/>
                <w:color w:val="auto"/>
              </w:rPr>
            </w:pPr>
          </w:p>
        </w:tc>
        <w:tc>
          <w:tcPr>
            <w:tcW w:w="15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Obligations</w:t>
            </w:r>
          </w:p>
        </w:tc>
        <w:tc>
          <w:tcPr>
            <w:tcW w:w="1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521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725</w:t>
            </w:r>
          </w:p>
        </w:tc>
        <w:tc>
          <w:tcPr>
            <w:tcW w:w="260" w:type="dxa"/>
            <w:vAlign w:val="bottom"/>
          </w:tcPr>
          <w:p>
            <w:pPr>
              <w:spacing w:after="0"/>
              <w:rPr>
                <w:sz w:val="14"/>
                <w:szCs w:val="14"/>
                <w:color w:val="auto"/>
              </w:rPr>
            </w:pPr>
          </w:p>
        </w:tc>
        <w:tc>
          <w:tcPr>
            <w:tcW w:w="124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57.2%</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683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683</w:t>
            </w:r>
          </w:p>
        </w:tc>
        <w:tc>
          <w:tcPr>
            <w:tcW w:w="260" w:type="dxa"/>
            <w:vAlign w:val="bottom"/>
          </w:tcPr>
          <w:p>
            <w:pPr>
              <w:spacing w:after="0"/>
              <w:rPr>
                <w:sz w:val="14"/>
                <w:szCs w:val="14"/>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57.2%</w:t>
            </w:r>
          </w:p>
        </w:tc>
        <w:tc>
          <w:tcPr>
            <w:tcW w:w="0" w:type="dxa"/>
            <w:vAlign w:val="bottom"/>
          </w:tcPr>
          <w:p>
            <w:pPr>
              <w:spacing w:after="0"/>
              <w:rPr>
                <w:sz w:val="1"/>
                <w:szCs w:val="1"/>
                <w:color w:val="auto"/>
              </w:rPr>
            </w:pPr>
          </w:p>
        </w:tc>
      </w:tr>
      <w:tr>
        <w:trPr>
          <w:trHeight w:val="140"/>
        </w:trPr>
        <w:tc>
          <w:tcPr>
            <w:tcW w:w="2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0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JMP Credit Advisors CLO V Ltd.</w:t>
            </w:r>
          </w:p>
        </w:tc>
        <w:tc>
          <w:tcPr>
            <w:tcW w:w="1500" w:type="dxa"/>
            <w:vAlign w:val="bottom"/>
            <w:shd w:val="clear" w:color="auto" w:fill="CFF0FC"/>
          </w:tcPr>
          <w:p>
            <w:pPr>
              <w:ind w:left="240"/>
              <w:spacing w:after="0" w:line="144" w:lineRule="exact"/>
              <w:rPr>
                <w:sz w:val="20"/>
                <w:szCs w:val="20"/>
                <w:color w:val="auto"/>
              </w:rPr>
            </w:pPr>
            <w:r>
              <w:rPr>
                <w:rFonts w:ascii="Times New Roman" w:cs="Times New Roman" w:eastAsia="Times New Roman" w:hAnsi="Times New Roman"/>
                <w:sz w:val="13"/>
                <w:szCs w:val="13"/>
                <w:color w:val="auto"/>
              </w:rPr>
              <w:t>Collateralized Loan</w:t>
            </w: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100" w:type="dxa"/>
            <w:vAlign w:val="bottom"/>
            <w:shd w:val="clear" w:color="auto" w:fill="CFF0FC"/>
          </w:tcPr>
          <w:p>
            <w:pPr>
              <w:spacing w:after="0"/>
              <w:rPr>
                <w:sz w:val="14"/>
                <w:szCs w:val="14"/>
                <w:color w:val="auto"/>
              </w:rPr>
            </w:pPr>
          </w:p>
        </w:tc>
        <w:tc>
          <w:tcPr>
            <w:tcW w:w="1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Obligations</w:t>
            </w: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1,467</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1,467</w:t>
            </w:r>
          </w:p>
        </w:tc>
        <w:tc>
          <w:tcPr>
            <w:tcW w:w="260" w:type="dxa"/>
            <w:vAlign w:val="bottom"/>
            <w:shd w:val="clear" w:color="auto" w:fill="CFF0FC"/>
          </w:tcPr>
          <w:p>
            <w:pPr>
              <w:spacing w:after="0"/>
              <w:rPr>
                <w:sz w:val="14"/>
                <w:szCs w:val="14"/>
                <w:color w:val="auto"/>
              </w:rPr>
            </w:pPr>
          </w:p>
        </w:tc>
        <w:tc>
          <w:tcPr>
            <w:tcW w:w="1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57.2%</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3,049</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3,049</w:t>
            </w:r>
          </w:p>
        </w:tc>
        <w:tc>
          <w:tcPr>
            <w:tcW w:w="26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500" w:type="dxa"/>
            <w:vAlign w:val="bottom"/>
          </w:tcPr>
          <w:p>
            <w:pPr>
              <w:spacing w:after="0"/>
              <w:rPr>
                <w:sz w:val="13"/>
                <w:szCs w:val="13"/>
                <w:color w:val="auto"/>
              </w:rPr>
            </w:pP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5,318</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5,193</w:t>
            </w: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9,103</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8,968</w:t>
            </w: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Represents percentage of class held as of December 31, 2024, and December 31, 2023, respectively.</w:t>
      </w:r>
    </w:p>
    <w:p>
      <w:pPr>
        <w:spacing w:after="0" w:line="10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1"/>
          <w:szCs w:val="11"/>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2" w:right="660"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PORTMAN RIDGE FINANCE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Affiliate Investments:</w:t>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The following table details investments in affiliates at December 31, 2024:</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1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Purchases</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1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70"/>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1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3"/>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6"/>
              </w:rPr>
              <w:t>(Sales) of</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1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w w:val="91"/>
              </w:rPr>
              <w:t>Fair Value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or</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Transfers</w:t>
            </w:r>
          </w:p>
        </w:tc>
        <w:tc>
          <w:tcPr>
            <w:tcW w:w="100" w:type="dxa"/>
            <w:vAlign w:val="bottom"/>
          </w:tcPr>
          <w:p>
            <w:pPr>
              <w:spacing w:after="0"/>
              <w:rPr>
                <w:sz w:val="10"/>
                <w:szCs w:val="10"/>
                <w:color w:val="auto"/>
              </w:rPr>
            </w:pPr>
          </w:p>
        </w:tc>
        <w:tc>
          <w:tcPr>
            <w:tcW w:w="640" w:type="dxa"/>
            <w:vAlign w:val="bottom"/>
            <w:gridSpan w:val="3"/>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Net Change</w:t>
            </w: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3"/>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Fair Value</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Principal /</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1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as of</w:t>
            </w:r>
          </w:p>
        </w:tc>
        <w:tc>
          <w:tcPr>
            <w:tcW w:w="100" w:type="dxa"/>
            <w:vAlign w:val="bottom"/>
          </w:tcPr>
          <w:p>
            <w:pPr>
              <w:spacing w:after="0"/>
              <w:rPr>
                <w:sz w:val="10"/>
                <w:szCs w:val="10"/>
                <w:color w:val="auto"/>
              </w:rPr>
            </w:pPr>
          </w:p>
        </w:tc>
        <w:tc>
          <w:tcPr>
            <w:tcW w:w="54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Advances/</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5"/>
              </w:rPr>
              <w:t>In/(Out)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71"/>
              </w:rPr>
              <w:t>in</w:t>
            </w:r>
          </w:p>
        </w:tc>
        <w:tc>
          <w:tcPr>
            <w:tcW w:w="60" w:type="dxa"/>
            <w:vAlign w:val="bottom"/>
          </w:tcPr>
          <w:p>
            <w:pPr>
              <w:spacing w:after="0"/>
              <w:rPr>
                <w:sz w:val="10"/>
                <w:szCs w:val="10"/>
                <w:color w:val="auto"/>
              </w:rPr>
            </w:pPr>
          </w:p>
        </w:tc>
        <w:tc>
          <w:tcPr>
            <w:tcW w:w="480" w:type="dxa"/>
            <w:vAlign w:val="bottom"/>
            <w:gridSpan w:val="2"/>
          </w:tcPr>
          <w:p>
            <w:pPr>
              <w:jc w:val="right"/>
              <w:ind w:right="98"/>
              <w:spacing w:after="0"/>
              <w:rPr>
                <w:sz w:val="20"/>
                <w:szCs w:val="20"/>
                <w:color w:val="auto"/>
              </w:rPr>
            </w:pPr>
            <w:r>
              <w:rPr>
                <w:rFonts w:ascii="Times New Roman" w:cs="Times New Roman" w:eastAsia="Times New Roman" w:hAnsi="Times New Roman"/>
                <w:sz w:val="10"/>
                <w:szCs w:val="10"/>
                <w:b w:val="1"/>
                <w:bCs w:val="1"/>
                <w:color w:val="auto"/>
                <w:w w:val="87"/>
              </w:rPr>
              <w:t>Realized</w:t>
            </w:r>
          </w:p>
        </w:tc>
        <w:tc>
          <w:tcPr>
            <w:tcW w:w="80" w:type="dxa"/>
            <w:vAlign w:val="bottom"/>
          </w:tcPr>
          <w:p>
            <w:pPr>
              <w:spacing w:after="0"/>
              <w:rPr>
                <w:sz w:val="10"/>
                <w:szCs w:val="10"/>
                <w:color w:val="auto"/>
              </w:rPr>
            </w:pP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as of</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Shares at</w:t>
            </w:r>
          </w:p>
        </w:tc>
        <w:tc>
          <w:tcPr>
            <w:tcW w:w="100" w:type="dxa"/>
            <w:vAlign w:val="bottom"/>
          </w:tcPr>
          <w:p>
            <w:pPr>
              <w:spacing w:after="0"/>
              <w:rPr>
                <w:sz w:val="10"/>
                <w:szCs w:val="10"/>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w w:val="95"/>
              </w:rPr>
              <w:t>Interest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1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60" w:type="dxa"/>
            <w:vAlign w:val="bottom"/>
          </w:tcPr>
          <w:p>
            <w:pPr>
              <w:ind w:left="460"/>
              <w:spacing w:after="0"/>
              <w:rPr>
                <w:sz w:val="20"/>
                <w:szCs w:val="20"/>
                <w:color w:val="auto"/>
              </w:rPr>
            </w:pPr>
            <w:r>
              <w:rPr>
                <w:rFonts w:ascii="Times New Roman" w:cs="Times New Roman" w:eastAsia="Times New Roman" w:hAnsi="Times New Roman"/>
                <w:sz w:val="10"/>
                <w:szCs w:val="10"/>
                <w:b w:val="1"/>
                <w:bCs w:val="1"/>
                <w:color w:val="auto"/>
              </w:rPr>
              <w:t>Industry</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w w:val="96"/>
              </w:rPr>
              <w:t>December</w:t>
            </w:r>
          </w:p>
        </w:tc>
        <w:tc>
          <w:tcPr>
            <w:tcW w:w="100" w:type="dxa"/>
            <w:vAlign w:val="bottom"/>
          </w:tcPr>
          <w:p>
            <w:pPr>
              <w:spacing w:after="0"/>
              <w:rPr>
                <w:sz w:val="10"/>
                <w:szCs w:val="10"/>
                <w:color w:val="auto"/>
              </w:rPr>
            </w:pPr>
          </w:p>
        </w:tc>
        <w:tc>
          <w:tcPr>
            <w:tcW w:w="54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(Distributi</w:t>
            </w:r>
          </w:p>
        </w:tc>
        <w:tc>
          <w:tcPr>
            <w:tcW w:w="100" w:type="dxa"/>
            <w:vAlign w:val="bottom"/>
          </w:tcPr>
          <w:p>
            <w:pPr>
              <w:spacing w:after="0"/>
              <w:rPr>
                <w:sz w:val="10"/>
                <w:szCs w:val="10"/>
                <w:color w:val="auto"/>
              </w:rPr>
            </w:pP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Net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5"/>
              </w:rPr>
              <w:t>of</w:t>
            </w:r>
          </w:p>
        </w:tc>
        <w:tc>
          <w:tcPr>
            <w:tcW w:w="100" w:type="dxa"/>
            <w:vAlign w:val="bottom"/>
          </w:tcPr>
          <w:p>
            <w:pPr>
              <w:spacing w:after="0"/>
              <w:rPr>
                <w:sz w:val="10"/>
                <w:szCs w:val="10"/>
                <w:color w:val="auto"/>
              </w:rPr>
            </w:pPr>
          </w:p>
        </w:tc>
        <w:tc>
          <w:tcPr>
            <w:tcW w:w="640" w:type="dxa"/>
            <w:vAlign w:val="bottom"/>
            <w:gridSpan w:val="3"/>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4"/>
              </w:rPr>
              <w:t>Unrealized</w:t>
            </w:r>
          </w:p>
        </w:tc>
        <w:tc>
          <w:tcPr>
            <w:tcW w:w="5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Gain/(Loss</w:t>
            </w:r>
          </w:p>
        </w:tc>
        <w:tc>
          <w:tcPr>
            <w:tcW w:w="600" w:type="dxa"/>
            <w:vAlign w:val="bottom"/>
            <w:gridSpan w:val="3"/>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2"/>
              </w:rPr>
              <w:t>December</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c>
          <w:tcPr>
            <w:tcW w:w="100" w:type="dxa"/>
            <w:vAlign w:val="bottom"/>
          </w:tcPr>
          <w:p>
            <w:pPr>
              <w:spacing w:after="0"/>
              <w:rPr>
                <w:sz w:val="10"/>
                <w:szCs w:val="10"/>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and Fee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w w:val="87"/>
              </w:rPr>
              <w:t>Dividend</w:t>
            </w:r>
          </w:p>
        </w:tc>
        <w:tc>
          <w:tcPr>
            <w:tcW w:w="0" w:type="dxa"/>
            <w:vAlign w:val="bottom"/>
          </w:tcPr>
          <w:p>
            <w:pPr>
              <w:spacing w:after="0"/>
              <w:rPr>
                <w:sz w:val="1"/>
                <w:szCs w:val="1"/>
                <w:color w:val="auto"/>
              </w:rPr>
            </w:pPr>
          </w:p>
        </w:tc>
      </w:tr>
      <w:tr>
        <w:trPr>
          <w:trHeight w:val="122"/>
        </w:trPr>
        <w:tc>
          <w:tcPr>
            <w:tcW w:w="2160" w:type="dxa"/>
            <w:vAlign w:val="bottom"/>
          </w:tcPr>
          <w:p>
            <w:pPr>
              <w:ind w:left="20"/>
              <w:spacing w:after="0" w:line="122" w:lineRule="exact"/>
              <w:rPr>
                <w:sz w:val="20"/>
                <w:szCs w:val="20"/>
                <w:color w:val="auto"/>
              </w:rPr>
            </w:pPr>
            <w:r>
              <w:rPr>
                <w:rFonts w:ascii="Times New Roman" w:cs="Times New Roman" w:eastAsia="Times New Roman" w:hAnsi="Times New Roman"/>
                <w:sz w:val="10"/>
                <w:szCs w:val="10"/>
                <w:b w:val="1"/>
                <w:bCs w:val="1"/>
                <w:color w:val="auto"/>
              </w:rPr>
              <w:t>Company</w:t>
            </w:r>
            <w:r>
              <w:rPr>
                <w:rFonts w:ascii="Times New Roman" w:cs="Times New Roman" w:eastAsia="Times New Roman" w:hAnsi="Times New Roman"/>
                <w:sz w:val="12"/>
                <w:szCs w:val="12"/>
                <w:b w:val="1"/>
                <w:bCs w:val="1"/>
                <w:color w:val="auto"/>
                <w:vertAlign w:val="superscript"/>
              </w:rPr>
              <w:t>(1)</w:t>
            </w:r>
          </w:p>
        </w:tc>
        <w:tc>
          <w:tcPr>
            <w:tcW w:w="1380" w:type="dxa"/>
            <w:vAlign w:val="bottom"/>
          </w:tcPr>
          <w:p>
            <w:pPr>
              <w:ind w:left="320"/>
              <w:spacing w:after="0"/>
              <w:rPr>
                <w:sz w:val="20"/>
                <w:szCs w:val="20"/>
                <w:color w:val="auto"/>
              </w:rPr>
            </w:pPr>
            <w:r>
              <w:rPr>
                <w:rFonts w:ascii="Times New Roman" w:cs="Times New Roman" w:eastAsia="Times New Roman" w:hAnsi="Times New Roman"/>
                <w:sz w:val="10"/>
                <w:szCs w:val="10"/>
                <w:b w:val="1"/>
                <w:bCs w:val="1"/>
                <w:color w:val="auto"/>
              </w:rPr>
              <w:t>Type of Investment</w:t>
            </w:r>
          </w:p>
        </w:tc>
        <w:tc>
          <w:tcPr>
            <w:tcW w:w="1260" w:type="dxa"/>
            <w:vAlign w:val="bottom"/>
          </w:tcPr>
          <w:p>
            <w:pPr>
              <w:ind w:left="380"/>
              <w:spacing w:after="0"/>
              <w:rPr>
                <w:sz w:val="20"/>
                <w:szCs w:val="20"/>
                <w:color w:val="auto"/>
              </w:rPr>
            </w:pPr>
            <w:r>
              <w:rPr>
                <w:rFonts w:ascii="Times New Roman" w:cs="Times New Roman" w:eastAsia="Times New Roman" w:hAnsi="Times New Roman"/>
                <w:sz w:val="10"/>
                <w:szCs w:val="10"/>
                <w:b w:val="1"/>
                <w:bCs w:val="1"/>
                <w:color w:val="auto"/>
              </w:rPr>
              <w:t>Classification</w:t>
            </w:r>
          </w:p>
        </w:tc>
        <w:tc>
          <w:tcPr>
            <w:tcW w:w="80" w:type="dxa"/>
            <w:vAlign w:val="bottom"/>
          </w:tcPr>
          <w:p>
            <w:pPr>
              <w:spacing w:after="0"/>
              <w:rPr>
                <w:sz w:val="10"/>
                <w:szCs w:val="10"/>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w w:val="91"/>
              </w:rPr>
              <w:t>31, 2023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ons)</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w w:val="95"/>
              </w:rPr>
              <w:t>Accretion</w:t>
            </w:r>
          </w:p>
        </w:tc>
        <w:tc>
          <w:tcPr>
            <w:tcW w:w="100" w:type="dxa"/>
            <w:vAlign w:val="bottom"/>
          </w:tcPr>
          <w:p>
            <w:pPr>
              <w:spacing w:after="0"/>
              <w:rPr>
                <w:sz w:val="10"/>
                <w:szCs w:val="10"/>
                <w:color w:val="auto"/>
              </w:rPr>
            </w:pP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Affiliates</w:t>
            </w:r>
          </w:p>
        </w:tc>
        <w:tc>
          <w:tcPr>
            <w:tcW w:w="100" w:type="dxa"/>
            <w:vAlign w:val="bottom"/>
          </w:tcPr>
          <w:p>
            <w:pPr>
              <w:spacing w:after="0"/>
              <w:rPr>
                <w:sz w:val="10"/>
                <w:szCs w:val="10"/>
                <w:color w:val="auto"/>
              </w:rPr>
            </w:pPr>
          </w:p>
        </w:tc>
        <w:tc>
          <w:tcPr>
            <w:tcW w:w="640" w:type="dxa"/>
            <w:vAlign w:val="bottom"/>
            <w:gridSpan w:val="3"/>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Gain/(Loss)</w:t>
            </w:r>
          </w:p>
        </w:tc>
        <w:tc>
          <w:tcPr>
            <w:tcW w:w="60" w:type="dxa"/>
            <w:vAlign w:val="bottom"/>
          </w:tcPr>
          <w:p>
            <w:pPr>
              <w:spacing w:after="0"/>
              <w:rPr>
                <w:sz w:val="10"/>
                <w:szCs w:val="10"/>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31, 2024</w:t>
            </w:r>
          </w:p>
        </w:tc>
        <w:tc>
          <w:tcPr>
            <w:tcW w:w="100" w:type="dxa"/>
            <w:vAlign w:val="bottom"/>
          </w:tcPr>
          <w:p>
            <w:pPr>
              <w:spacing w:after="0"/>
              <w:rPr>
                <w:sz w:val="10"/>
                <w:szCs w:val="10"/>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2024</w:t>
            </w:r>
          </w:p>
        </w:tc>
        <w:tc>
          <w:tcPr>
            <w:tcW w:w="100" w:type="dxa"/>
            <w:vAlign w:val="bottom"/>
          </w:tcPr>
          <w:p>
            <w:pPr>
              <w:spacing w:after="0"/>
              <w:rPr>
                <w:sz w:val="10"/>
                <w:szCs w:val="10"/>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Income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Income</w:t>
            </w:r>
          </w:p>
        </w:tc>
        <w:tc>
          <w:tcPr>
            <w:tcW w:w="0" w:type="dxa"/>
            <w:vAlign w:val="bottom"/>
          </w:tcPr>
          <w:p>
            <w:pPr>
              <w:spacing w:after="0"/>
              <w:rPr>
                <w:sz w:val="1"/>
                <w:szCs w:val="1"/>
                <w:color w:val="auto"/>
              </w:rPr>
            </w:pPr>
          </w:p>
        </w:tc>
      </w:tr>
      <w:tr>
        <w:trPr>
          <w:trHeight w:val="120"/>
        </w:trPr>
        <w:tc>
          <w:tcPr>
            <w:tcW w:w="2160" w:type="dxa"/>
            <w:vAlign w:val="bottom"/>
            <w:shd w:val="clear" w:color="auto" w:fill="CFF0FC"/>
          </w:tcPr>
          <w:p>
            <w:pPr>
              <w:ind w:left="20"/>
              <w:spacing w:after="0" w:line="120" w:lineRule="exact"/>
              <w:rPr>
                <w:sz w:val="20"/>
                <w:szCs w:val="20"/>
                <w:color w:val="auto"/>
              </w:rPr>
            </w:pPr>
            <w:r>
              <w:rPr>
                <w:rFonts w:ascii="Times New Roman" w:cs="Times New Roman" w:eastAsia="Times New Roman" w:hAnsi="Times New Roman"/>
                <w:sz w:val="10"/>
                <w:szCs w:val="10"/>
                <w:b w:val="1"/>
                <w:bCs w:val="1"/>
                <w:i w:val="1"/>
                <w:iCs w:val="1"/>
                <w:color w:val="auto"/>
              </w:rPr>
              <w:t>Controlled investments</w:t>
            </w:r>
            <w:r>
              <w:rPr>
                <w:rFonts w:ascii="Times New Roman" w:cs="Times New Roman" w:eastAsia="Times New Roman" w:hAnsi="Times New Roman"/>
                <w:sz w:val="12"/>
                <w:szCs w:val="12"/>
                <w:b w:val="1"/>
                <w:bCs w:val="1"/>
                <w:i w:val="1"/>
                <w:iCs w:val="1"/>
                <w:color w:val="auto"/>
                <w:vertAlign w:val="superscript"/>
              </w:rPr>
              <w:t>(3)</w:t>
            </w:r>
          </w:p>
        </w:tc>
        <w:tc>
          <w:tcPr>
            <w:tcW w:w="1380" w:type="dxa"/>
            <w:vAlign w:val="bottom"/>
            <w:shd w:val="clear" w:color="auto" w:fill="CFF0FC"/>
          </w:tcPr>
          <w:p>
            <w:pPr>
              <w:spacing w:after="0"/>
              <w:rPr>
                <w:sz w:val="10"/>
                <w:szCs w:val="10"/>
                <w:color w:val="auto"/>
              </w:rPr>
            </w:pPr>
          </w:p>
        </w:tc>
        <w:tc>
          <w:tcPr>
            <w:tcW w:w="12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tcPr>
          <w:p>
            <w:pPr>
              <w:ind w:left="20"/>
              <w:spacing w:after="0" w:line="121" w:lineRule="exact"/>
              <w:rPr>
                <w:sz w:val="20"/>
                <w:szCs w:val="20"/>
                <w:color w:val="auto"/>
              </w:rPr>
            </w:pPr>
            <w:r>
              <w:rPr>
                <w:rFonts w:ascii="Times New Roman" w:cs="Times New Roman" w:eastAsia="Times New Roman" w:hAnsi="Times New Roman"/>
                <w:sz w:val="10"/>
                <w:szCs w:val="10"/>
                <w:color w:val="auto"/>
              </w:rPr>
              <w:t>Asset Management Company</w:t>
            </w:r>
            <w:r>
              <w:rPr>
                <w:rFonts w:ascii="Times New Roman" w:cs="Times New Roman" w:eastAsia="Times New Roman" w:hAnsi="Times New Roman"/>
                <w:sz w:val="12"/>
                <w:szCs w:val="12"/>
                <w:color w:val="auto"/>
                <w:vertAlign w:val="superscript"/>
              </w:rPr>
              <w:t>(2)</w:t>
            </w:r>
          </w:p>
        </w:tc>
        <w:tc>
          <w:tcPr>
            <w:tcW w:w="13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Asset Manager Affiliates</w:t>
            </w:r>
          </w:p>
        </w:tc>
        <w:tc>
          <w:tcPr>
            <w:tcW w:w="1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Asset</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1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Management</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1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Company</w:t>
            </w:r>
          </w:p>
        </w:tc>
        <w:tc>
          <w:tcPr>
            <w:tcW w:w="8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gridSpan w:val="2"/>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gridSpan w:val="2"/>
          </w:tcPr>
          <w:p>
            <w:pPr>
              <w:jc w:val="right"/>
              <w:ind w:right="58"/>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1"/>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Tank Partners Equipment Holdings, LLC - Class A</w:t>
            </w:r>
          </w:p>
        </w:tc>
        <w:tc>
          <w:tcPr>
            <w:tcW w:w="13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0"/>
                <w:szCs w:val="10"/>
                <w:color w:val="auto"/>
                <w:w w:val="99"/>
              </w:rPr>
              <w:t>Common Stock and Membership</w:t>
            </w:r>
          </w:p>
        </w:tc>
        <w:tc>
          <w:tcPr>
            <w:tcW w:w="1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0"/>
                <w:szCs w:val="10"/>
                <w:color w:val="auto"/>
              </w:rPr>
              <w:t>Energy: Oil &amp;</w:t>
            </w: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160" w:type="dxa"/>
            <w:vAlign w:val="bottom"/>
            <w:shd w:val="clear" w:color="auto" w:fill="CFF0FC"/>
          </w:tcPr>
          <w:p>
            <w:pPr>
              <w:ind w:left="20"/>
              <w:spacing w:after="0" w:line="120" w:lineRule="exact"/>
              <w:rPr>
                <w:sz w:val="20"/>
                <w:szCs w:val="20"/>
                <w:color w:val="auto"/>
              </w:rPr>
            </w:pPr>
            <w:r>
              <w:rPr>
                <w:rFonts w:ascii="Times New Roman" w:cs="Times New Roman" w:eastAsia="Times New Roman" w:hAnsi="Times New Roman"/>
                <w:sz w:val="10"/>
                <w:szCs w:val="10"/>
                <w:color w:val="auto"/>
              </w:rPr>
              <w:t>Units</w:t>
            </w:r>
            <w:r>
              <w:rPr>
                <w:rFonts w:ascii="Times New Roman" w:cs="Times New Roman" w:eastAsia="Times New Roman" w:hAnsi="Times New Roman"/>
                <w:sz w:val="12"/>
                <w:szCs w:val="12"/>
                <w:color w:val="auto"/>
                <w:vertAlign w:val="superscript"/>
              </w:rPr>
              <w:t>(5)</w:t>
            </w:r>
          </w:p>
        </w:tc>
        <w:tc>
          <w:tcPr>
            <w:tcW w:w="13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0"/>
                <w:szCs w:val="10"/>
                <w:color w:val="auto"/>
              </w:rPr>
              <w:t>Units</w:t>
            </w:r>
          </w:p>
        </w:tc>
        <w:tc>
          <w:tcPr>
            <w:tcW w:w="1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0"/>
                <w:szCs w:val="10"/>
                <w:color w:val="auto"/>
              </w:rPr>
              <w:t>Gas</w:t>
            </w: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6,228</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(6,228)</w:t>
            </w:r>
          </w:p>
        </w:tc>
        <w:tc>
          <w:tcPr>
            <w:tcW w:w="80" w:type="dxa"/>
            <w:vAlign w:val="bottom"/>
            <w:shd w:val="clear" w:color="auto" w:fill="CFF0FC"/>
          </w:tcPr>
          <w:p>
            <w:pPr>
              <w:spacing w:after="0"/>
              <w:rPr>
                <w:sz w:val="10"/>
                <w:szCs w:val="10"/>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1"/>
        </w:trPr>
        <w:tc>
          <w:tcPr>
            <w:tcW w:w="2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Tank Partners Equipment Holdings, LLC</w:t>
            </w:r>
          </w:p>
        </w:tc>
        <w:tc>
          <w:tcPr>
            <w:tcW w:w="13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Subordinated Debt</w:t>
            </w:r>
          </w:p>
        </w:tc>
        <w:tc>
          <w:tcPr>
            <w:tcW w:w="1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Energy: Oil &amp;</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1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Gas</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373</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(416)</w:t>
            </w:r>
          </w:p>
        </w:tc>
        <w:tc>
          <w:tcPr>
            <w:tcW w:w="80" w:type="dxa"/>
            <w:vAlign w:val="bottom"/>
          </w:tcPr>
          <w:p>
            <w:pPr>
              <w:spacing w:after="0"/>
              <w:rPr>
                <w:sz w:val="10"/>
                <w:szCs w:val="10"/>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1"/>
        </w:trPr>
        <w:tc>
          <w:tcPr>
            <w:tcW w:w="2160" w:type="dxa"/>
            <w:vAlign w:val="bottom"/>
            <w:shd w:val="clear" w:color="auto" w:fill="CFF0FC"/>
          </w:tcPr>
          <w:p>
            <w:pPr>
              <w:ind w:left="20"/>
              <w:spacing w:after="0" w:line="121" w:lineRule="exact"/>
              <w:rPr>
                <w:sz w:val="20"/>
                <w:szCs w:val="20"/>
                <w:color w:val="auto"/>
              </w:rPr>
            </w:pPr>
            <w:r>
              <w:rPr>
                <w:rFonts w:ascii="Times New Roman" w:cs="Times New Roman" w:eastAsia="Times New Roman" w:hAnsi="Times New Roman"/>
                <w:sz w:val="10"/>
                <w:szCs w:val="10"/>
                <w:color w:val="auto"/>
              </w:rPr>
              <w:t>ProAir Holdco, LLC</w:t>
            </w:r>
            <w:r>
              <w:rPr>
                <w:rFonts w:ascii="Times New Roman" w:cs="Times New Roman" w:eastAsia="Times New Roman" w:hAnsi="Times New Roman"/>
                <w:sz w:val="12"/>
                <w:szCs w:val="12"/>
                <w:color w:val="auto"/>
                <w:vertAlign w:val="superscript"/>
              </w:rPr>
              <w:t>(5)</w:t>
            </w:r>
          </w:p>
        </w:tc>
        <w:tc>
          <w:tcPr>
            <w:tcW w:w="13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0"/>
                <w:szCs w:val="10"/>
                <w:color w:val="auto"/>
                <w:w w:val="99"/>
              </w:rPr>
              <w:t>Common Stock and Membership</w:t>
            </w:r>
          </w:p>
        </w:tc>
        <w:tc>
          <w:tcPr>
            <w:tcW w:w="1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0"/>
                <w:szCs w:val="10"/>
                <w:color w:val="auto"/>
              </w:rPr>
              <w:t>Capital Equipment</w:t>
            </w: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160" w:type="dxa"/>
            <w:vAlign w:val="bottom"/>
            <w:shd w:val="clear" w:color="auto" w:fill="CFF0FC"/>
          </w:tcPr>
          <w:p>
            <w:pPr>
              <w:spacing w:after="0"/>
              <w:rPr>
                <w:sz w:val="10"/>
                <w:szCs w:val="10"/>
                <w:color w:val="auto"/>
              </w:rPr>
            </w:pPr>
          </w:p>
        </w:tc>
        <w:tc>
          <w:tcPr>
            <w:tcW w:w="13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0"/>
                <w:szCs w:val="10"/>
                <w:color w:val="auto"/>
              </w:rPr>
              <w:t>Units</w:t>
            </w:r>
          </w:p>
        </w:tc>
        <w:tc>
          <w:tcPr>
            <w:tcW w:w="12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FF0FC"/>
          </w:tcPr>
          <w:p>
            <w:pPr>
              <w:spacing w:after="0"/>
              <w:rPr>
                <w:sz w:val="10"/>
                <w:szCs w:val="10"/>
                <w:color w:val="auto"/>
              </w:rPr>
            </w:pPr>
          </w:p>
        </w:tc>
        <w:tc>
          <w:tcPr>
            <w:tcW w:w="480" w:type="dxa"/>
            <w:vAlign w:val="bottom"/>
            <w:gridSpan w:val="2"/>
            <w:shd w:val="clear" w:color="auto" w:fill="CFF0FC"/>
          </w:tcPr>
          <w:p>
            <w:pPr>
              <w:jc w:val="right"/>
              <w:ind w:right="58"/>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FF0FC"/>
          </w:tcPr>
          <w:p>
            <w:pPr>
              <w:spacing w:after="0"/>
              <w:rPr>
                <w:sz w:val="10"/>
                <w:szCs w:val="10"/>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2,749,997</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ProAir, LLC</w:t>
            </w:r>
          </w:p>
        </w:tc>
        <w:tc>
          <w:tcPr>
            <w:tcW w:w="13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Subordinated Debt</w:t>
            </w:r>
          </w:p>
        </w:tc>
        <w:tc>
          <w:tcPr>
            <w:tcW w:w="1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Capital Equipment</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480" w:type="dxa"/>
            <w:vAlign w:val="bottom"/>
            <w:gridSpan w:val="2"/>
          </w:tcPr>
          <w:p>
            <w:pPr>
              <w:jc w:val="right"/>
              <w:ind w:right="58"/>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2,020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160" w:type="dxa"/>
            <w:vAlign w:val="bottom"/>
            <w:shd w:val="clear" w:color="auto" w:fill="CFF0FC"/>
          </w:tcPr>
          <w:p>
            <w:pPr>
              <w:ind w:left="20"/>
              <w:spacing w:after="0" w:line="120" w:lineRule="exact"/>
              <w:rPr>
                <w:sz w:val="20"/>
                <w:szCs w:val="20"/>
                <w:color w:val="auto"/>
              </w:rPr>
            </w:pPr>
            <w:r>
              <w:rPr>
                <w:rFonts w:ascii="Times New Roman" w:cs="Times New Roman" w:eastAsia="Times New Roman" w:hAnsi="Times New Roman"/>
                <w:sz w:val="10"/>
                <w:szCs w:val="10"/>
                <w:color w:val="auto"/>
              </w:rPr>
              <w:t>KCAP Freedom 3, LLC</w:t>
            </w:r>
            <w:r>
              <w:rPr>
                <w:rFonts w:ascii="Times New Roman" w:cs="Times New Roman" w:eastAsia="Times New Roman" w:hAnsi="Times New Roman"/>
                <w:sz w:val="12"/>
                <w:szCs w:val="12"/>
                <w:color w:val="auto"/>
                <w:vertAlign w:val="superscript"/>
              </w:rPr>
              <w:t>(2)</w:t>
            </w:r>
          </w:p>
        </w:tc>
        <w:tc>
          <w:tcPr>
            <w:tcW w:w="13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0"/>
                <w:szCs w:val="10"/>
                <w:color w:val="auto"/>
              </w:rPr>
              <w:t>Joint Ventures</w:t>
            </w:r>
          </w:p>
        </w:tc>
        <w:tc>
          <w:tcPr>
            <w:tcW w:w="1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0"/>
                <w:szCs w:val="10"/>
                <w:color w:val="auto"/>
              </w:rPr>
              <w:t>Joint Venture</w:t>
            </w: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14,275</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0"/>
                <w:szCs w:val="10"/>
                <w:color w:val="auto"/>
              </w:rPr>
              <w:t>(1,976)</w:t>
            </w: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716</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gridSpan w:val="2"/>
            <w:shd w:val="clear" w:color="auto" w:fill="CFF0FC"/>
          </w:tcPr>
          <w:p>
            <w:pPr>
              <w:jc w:val="right"/>
              <w:ind w:right="58"/>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13,015</w:t>
            </w: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27,220</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160" w:type="dxa"/>
            <w:vAlign w:val="bottom"/>
          </w:tcPr>
          <w:p>
            <w:pPr>
              <w:ind w:left="20"/>
              <w:spacing w:after="0"/>
              <w:rPr>
                <w:sz w:val="20"/>
                <w:szCs w:val="20"/>
                <w:color w:val="auto"/>
              </w:rPr>
            </w:pPr>
            <w:r>
              <w:rPr>
                <w:rFonts w:ascii="Times New Roman" w:cs="Times New Roman" w:eastAsia="Times New Roman" w:hAnsi="Times New Roman"/>
                <w:sz w:val="10"/>
                <w:szCs w:val="10"/>
                <w:b w:val="1"/>
                <w:bCs w:val="1"/>
                <w:i w:val="1"/>
                <w:iCs w:val="1"/>
                <w:color w:val="auto"/>
              </w:rPr>
              <w:t>Total Controlled investments</w:t>
            </w:r>
          </w:p>
        </w:tc>
        <w:tc>
          <w:tcPr>
            <w:tcW w:w="13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14,318</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(1,976)</w:t>
            </w:r>
          </w:p>
        </w:tc>
        <w:tc>
          <w:tcPr>
            <w:tcW w:w="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gridSpan w:val="2"/>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7,317</w:t>
            </w:r>
          </w:p>
        </w:tc>
        <w:tc>
          <w:tcPr>
            <w:tcW w:w="100" w:type="dxa"/>
            <w:vAlign w:val="bottom"/>
          </w:tcPr>
          <w:p>
            <w:pPr>
              <w:spacing w:after="0"/>
              <w:rPr>
                <w:sz w:val="10"/>
                <w:szCs w:val="1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(6,644)</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13,015</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160" w:type="dxa"/>
            <w:vAlign w:val="bottom"/>
            <w:shd w:val="clear" w:color="auto" w:fill="CFF0FC"/>
          </w:tcPr>
          <w:p>
            <w:pPr>
              <w:ind w:left="20"/>
              <w:spacing w:after="0" w:line="120" w:lineRule="exact"/>
              <w:rPr>
                <w:sz w:val="20"/>
                <w:szCs w:val="20"/>
                <w:color w:val="auto"/>
              </w:rPr>
            </w:pPr>
            <w:r>
              <w:rPr>
                <w:rFonts w:ascii="Times New Roman" w:cs="Times New Roman" w:eastAsia="Times New Roman" w:hAnsi="Times New Roman"/>
                <w:sz w:val="10"/>
                <w:szCs w:val="10"/>
                <w:b w:val="1"/>
                <w:bCs w:val="1"/>
                <w:i w:val="1"/>
                <w:iCs w:val="1"/>
                <w:color w:val="auto"/>
              </w:rPr>
              <w:t>Non-controlled affiliated investments</w:t>
            </w:r>
            <w:r>
              <w:rPr>
                <w:rFonts w:ascii="Times New Roman" w:cs="Times New Roman" w:eastAsia="Times New Roman" w:hAnsi="Times New Roman"/>
                <w:sz w:val="12"/>
                <w:szCs w:val="12"/>
                <w:b w:val="1"/>
                <w:bCs w:val="1"/>
                <w:i w:val="1"/>
                <w:iCs w:val="1"/>
                <w:color w:val="auto"/>
                <w:vertAlign w:val="superscript"/>
              </w:rPr>
              <w:t>(4)</w:t>
            </w:r>
          </w:p>
        </w:tc>
        <w:tc>
          <w:tcPr>
            <w:tcW w:w="1380" w:type="dxa"/>
            <w:vAlign w:val="bottom"/>
            <w:shd w:val="clear" w:color="auto" w:fill="CFF0FC"/>
          </w:tcPr>
          <w:p>
            <w:pPr>
              <w:spacing w:after="0"/>
              <w:rPr>
                <w:sz w:val="10"/>
                <w:szCs w:val="10"/>
                <w:color w:val="auto"/>
              </w:rPr>
            </w:pPr>
          </w:p>
        </w:tc>
        <w:tc>
          <w:tcPr>
            <w:tcW w:w="12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1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Series A-Great Lakes Funding II LLC</w:t>
            </w:r>
            <w:r>
              <w:rPr>
                <w:rFonts w:ascii="Times New Roman" w:cs="Times New Roman" w:eastAsia="Times New Roman" w:hAnsi="Times New Roman"/>
                <w:sz w:val="12"/>
                <w:szCs w:val="12"/>
                <w:color w:val="auto"/>
                <w:vertAlign w:val="superscript"/>
              </w:rPr>
              <w:t>(2)(6)(7)</w:t>
            </w:r>
          </w:p>
        </w:tc>
        <w:tc>
          <w:tcPr>
            <w:tcW w:w="13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Joint Ventures</w:t>
            </w:r>
          </w:p>
        </w:tc>
        <w:tc>
          <w:tcPr>
            <w:tcW w:w="1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Joint Venture</w:t>
            </w:r>
          </w:p>
        </w:tc>
        <w:tc>
          <w:tcPr>
            <w:tcW w:w="8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45,012</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(2,692)</w:t>
            </w:r>
          </w:p>
        </w:tc>
        <w:tc>
          <w:tcPr>
            <w:tcW w:w="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gridSpan w:val="2"/>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(1,182)</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gridSpan w:val="2"/>
          </w:tcPr>
          <w:p>
            <w:pPr>
              <w:jc w:val="right"/>
              <w:ind w:right="58"/>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41,138</w:t>
            </w:r>
          </w:p>
        </w:tc>
        <w:tc>
          <w:tcPr>
            <w:tcW w:w="10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41,309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6,576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160" w:type="dxa"/>
            <w:vAlign w:val="bottom"/>
            <w:shd w:val="clear" w:color="auto" w:fill="CFF0FC"/>
          </w:tcPr>
          <w:p>
            <w:pPr>
              <w:ind w:left="20"/>
              <w:spacing w:after="0" w:line="120" w:lineRule="exact"/>
              <w:rPr>
                <w:sz w:val="20"/>
                <w:szCs w:val="20"/>
                <w:color w:val="auto"/>
              </w:rPr>
            </w:pPr>
            <w:r>
              <w:rPr>
                <w:rFonts w:ascii="Times New Roman" w:cs="Times New Roman" w:eastAsia="Times New Roman" w:hAnsi="Times New Roman"/>
                <w:sz w:val="10"/>
                <w:szCs w:val="10"/>
                <w:color w:val="auto"/>
              </w:rPr>
              <w:t>GreenPark Infrastructure, LLC - Series A</w:t>
            </w:r>
            <w:r>
              <w:rPr>
                <w:rFonts w:ascii="Times New Roman" w:cs="Times New Roman" w:eastAsia="Times New Roman" w:hAnsi="Times New Roman"/>
                <w:sz w:val="12"/>
                <w:szCs w:val="12"/>
                <w:color w:val="auto"/>
                <w:vertAlign w:val="superscript"/>
              </w:rPr>
              <w:t>(5)</w:t>
            </w:r>
          </w:p>
        </w:tc>
        <w:tc>
          <w:tcPr>
            <w:tcW w:w="13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0"/>
                <w:szCs w:val="10"/>
                <w:color w:val="auto"/>
              </w:rPr>
              <w:t>Preferred Stock and Units</w:t>
            </w:r>
          </w:p>
        </w:tc>
        <w:tc>
          <w:tcPr>
            <w:tcW w:w="1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0"/>
                <w:szCs w:val="10"/>
                <w:color w:val="auto"/>
              </w:rPr>
              <w:t>Energy: Electricity</w:t>
            </w: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500</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FF0FC"/>
          </w:tcPr>
          <w:p>
            <w:pPr>
              <w:spacing w:after="0"/>
              <w:rPr>
                <w:sz w:val="10"/>
                <w:szCs w:val="10"/>
                <w:color w:val="auto"/>
              </w:rPr>
            </w:pPr>
          </w:p>
        </w:tc>
        <w:tc>
          <w:tcPr>
            <w:tcW w:w="480" w:type="dxa"/>
            <w:vAlign w:val="bottom"/>
            <w:gridSpan w:val="2"/>
            <w:shd w:val="clear" w:color="auto" w:fill="CFF0FC"/>
          </w:tcPr>
          <w:p>
            <w:pPr>
              <w:jc w:val="right"/>
              <w:ind w:right="58"/>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500</w:t>
            </w: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1"/>
        </w:trPr>
        <w:tc>
          <w:tcPr>
            <w:tcW w:w="2160" w:type="dxa"/>
            <w:vAlign w:val="bottom"/>
          </w:tcPr>
          <w:p>
            <w:pPr>
              <w:ind w:left="20"/>
              <w:spacing w:after="0" w:line="121" w:lineRule="exact"/>
              <w:rPr>
                <w:sz w:val="20"/>
                <w:szCs w:val="20"/>
                <w:color w:val="auto"/>
              </w:rPr>
            </w:pPr>
            <w:r>
              <w:rPr>
                <w:rFonts w:ascii="Times New Roman" w:cs="Times New Roman" w:eastAsia="Times New Roman" w:hAnsi="Times New Roman"/>
                <w:sz w:val="10"/>
                <w:szCs w:val="10"/>
                <w:color w:val="auto"/>
              </w:rPr>
              <w:t>GreenPark Infrastructure, LLC - Series M-1</w:t>
            </w:r>
            <w:r>
              <w:rPr>
                <w:rFonts w:ascii="Times New Roman" w:cs="Times New Roman" w:eastAsia="Times New Roman" w:hAnsi="Times New Roman"/>
                <w:sz w:val="12"/>
                <w:szCs w:val="12"/>
                <w:color w:val="auto"/>
                <w:vertAlign w:val="superscript"/>
              </w:rPr>
              <w:t>(5)</w:t>
            </w:r>
          </w:p>
        </w:tc>
        <w:tc>
          <w:tcPr>
            <w:tcW w:w="138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99"/>
              </w:rPr>
              <w:t>Common Stock and Membership</w:t>
            </w:r>
          </w:p>
        </w:tc>
        <w:tc>
          <w:tcPr>
            <w:tcW w:w="1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Energy: Electricity</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160" w:type="dxa"/>
            <w:vAlign w:val="bottom"/>
          </w:tcPr>
          <w:p>
            <w:pPr>
              <w:spacing w:after="0"/>
              <w:rPr>
                <w:sz w:val="10"/>
                <w:szCs w:val="10"/>
                <w:color w:val="auto"/>
              </w:rPr>
            </w:pPr>
          </w:p>
        </w:tc>
        <w:tc>
          <w:tcPr>
            <w:tcW w:w="13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Units</w:t>
            </w: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2,025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2"/>
          </w:tcPr>
          <w:p>
            <w:pPr>
              <w:jc w:val="right"/>
              <w:ind w:right="58"/>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2,202</w:t>
            </w:r>
          </w:p>
        </w:tc>
        <w:tc>
          <w:tcPr>
            <w:tcW w:w="10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6,412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160" w:type="dxa"/>
            <w:vAlign w:val="bottom"/>
            <w:shd w:val="clear" w:color="auto" w:fill="CFF0FC"/>
          </w:tcPr>
          <w:p>
            <w:pPr>
              <w:ind w:left="20"/>
              <w:spacing w:after="0" w:line="120" w:lineRule="exact"/>
              <w:rPr>
                <w:sz w:val="20"/>
                <w:szCs w:val="20"/>
                <w:color w:val="auto"/>
              </w:rPr>
            </w:pPr>
            <w:r>
              <w:rPr>
                <w:rFonts w:ascii="Times New Roman" w:cs="Times New Roman" w:eastAsia="Times New Roman" w:hAnsi="Times New Roman"/>
                <w:sz w:val="10"/>
                <w:szCs w:val="10"/>
                <w:color w:val="auto"/>
              </w:rPr>
              <w:t>Kleen-Tech Acquisition, LLC</w:t>
            </w:r>
            <w:r>
              <w:rPr>
                <w:rFonts w:ascii="Times New Roman" w:cs="Times New Roman" w:eastAsia="Times New Roman" w:hAnsi="Times New Roman"/>
                <w:sz w:val="12"/>
                <w:szCs w:val="12"/>
                <w:color w:val="auto"/>
                <w:vertAlign w:val="superscript"/>
              </w:rPr>
              <w:t>(5)</w:t>
            </w:r>
          </w:p>
        </w:tc>
        <w:tc>
          <w:tcPr>
            <w:tcW w:w="13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0"/>
                <w:szCs w:val="10"/>
                <w:color w:val="auto"/>
              </w:rPr>
              <w:t>Common Stock</w:t>
            </w:r>
          </w:p>
        </w:tc>
        <w:tc>
          <w:tcPr>
            <w:tcW w:w="1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0"/>
                <w:szCs w:val="10"/>
                <w:color w:val="auto"/>
              </w:rPr>
              <w:t>Services: Business</w:t>
            </w: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998</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422</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gridSpan w:val="2"/>
            <w:shd w:val="clear" w:color="auto" w:fill="CFF0FC"/>
          </w:tcPr>
          <w:p>
            <w:pPr>
              <w:jc w:val="right"/>
              <w:ind w:right="58"/>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1,420</w:t>
            </w: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250,000</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1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Northeast Metal Works LLC - Preferred</w:t>
            </w:r>
            <w:r>
              <w:rPr>
                <w:rFonts w:ascii="Times New Roman" w:cs="Times New Roman" w:eastAsia="Times New Roman" w:hAnsi="Times New Roman"/>
                <w:sz w:val="12"/>
                <w:szCs w:val="12"/>
                <w:color w:val="auto"/>
                <w:vertAlign w:val="superscript"/>
              </w:rPr>
              <w:t>(5)</w:t>
            </w:r>
          </w:p>
        </w:tc>
        <w:tc>
          <w:tcPr>
            <w:tcW w:w="13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Preferred Stock and Units</w:t>
            </w:r>
          </w:p>
        </w:tc>
        <w:tc>
          <w:tcPr>
            <w:tcW w:w="1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Metals &amp; Mining</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480" w:type="dxa"/>
            <w:vAlign w:val="bottom"/>
            <w:gridSpan w:val="2"/>
          </w:tcPr>
          <w:p>
            <w:pPr>
              <w:jc w:val="right"/>
              <w:ind w:right="58"/>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2,368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160" w:type="dxa"/>
            <w:vAlign w:val="bottom"/>
            <w:shd w:val="clear" w:color="auto" w:fill="CFF0FC"/>
          </w:tcPr>
          <w:p>
            <w:pPr>
              <w:ind w:left="20"/>
              <w:spacing w:after="0" w:line="120" w:lineRule="exact"/>
              <w:rPr>
                <w:sz w:val="20"/>
                <w:szCs w:val="20"/>
                <w:color w:val="auto"/>
              </w:rPr>
            </w:pPr>
            <w:r>
              <w:rPr>
                <w:rFonts w:ascii="Times New Roman" w:cs="Times New Roman" w:eastAsia="Times New Roman" w:hAnsi="Times New Roman"/>
                <w:sz w:val="10"/>
                <w:szCs w:val="10"/>
                <w:color w:val="auto"/>
              </w:rPr>
              <w:t>Northeast Metal Works LLC - Class O Preferred</w:t>
            </w:r>
            <w:r>
              <w:rPr>
                <w:rFonts w:ascii="Times New Roman" w:cs="Times New Roman" w:eastAsia="Times New Roman" w:hAnsi="Times New Roman"/>
                <w:sz w:val="12"/>
                <w:szCs w:val="12"/>
                <w:color w:val="auto"/>
                <w:vertAlign w:val="superscript"/>
              </w:rPr>
              <w:t>(5)</w:t>
            </w:r>
          </w:p>
        </w:tc>
        <w:tc>
          <w:tcPr>
            <w:tcW w:w="13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0"/>
                <w:szCs w:val="10"/>
                <w:color w:val="auto"/>
              </w:rPr>
              <w:t>Preferred Stock and Units</w:t>
            </w:r>
          </w:p>
        </w:tc>
        <w:tc>
          <w:tcPr>
            <w:tcW w:w="1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0"/>
                <w:szCs w:val="10"/>
                <w:color w:val="auto"/>
              </w:rPr>
              <w:t>Metals &amp; Mining</w:t>
            </w: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4,182</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450</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(3,472)</w:t>
            </w:r>
          </w:p>
        </w:tc>
        <w:tc>
          <w:tcPr>
            <w:tcW w:w="60" w:type="dxa"/>
            <w:vAlign w:val="bottom"/>
            <w:shd w:val="clear" w:color="auto" w:fill="CFF0FC"/>
          </w:tcPr>
          <w:p>
            <w:pPr>
              <w:spacing w:after="0"/>
              <w:rPr>
                <w:sz w:val="10"/>
                <w:szCs w:val="10"/>
                <w:color w:val="auto"/>
              </w:rPr>
            </w:pPr>
          </w:p>
        </w:tc>
        <w:tc>
          <w:tcPr>
            <w:tcW w:w="480" w:type="dxa"/>
            <w:vAlign w:val="bottom"/>
            <w:gridSpan w:val="2"/>
            <w:shd w:val="clear" w:color="auto" w:fill="CFF0FC"/>
          </w:tcPr>
          <w:p>
            <w:pPr>
              <w:jc w:val="right"/>
              <w:ind w:right="58"/>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1,160</w:t>
            </w: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4,950,000</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485</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Northeast Metal Works LLC</w:t>
            </w:r>
          </w:p>
        </w:tc>
        <w:tc>
          <w:tcPr>
            <w:tcW w:w="138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97"/>
              </w:rPr>
              <w:t>Second Lien/Senior Secured Debt</w:t>
            </w:r>
          </w:p>
        </w:tc>
        <w:tc>
          <w:tcPr>
            <w:tcW w:w="1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Metals &amp; Mining</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3,560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(117)</w:t>
            </w:r>
          </w:p>
        </w:tc>
        <w:tc>
          <w:tcPr>
            <w:tcW w:w="60" w:type="dxa"/>
            <w:vAlign w:val="bottom"/>
          </w:tcPr>
          <w:p>
            <w:pPr>
              <w:spacing w:after="0"/>
              <w:rPr>
                <w:sz w:val="10"/>
                <w:szCs w:val="10"/>
                <w:color w:val="auto"/>
              </w:rPr>
            </w:pPr>
          </w:p>
        </w:tc>
        <w:tc>
          <w:tcPr>
            <w:tcW w:w="480" w:type="dxa"/>
            <w:vAlign w:val="bottom"/>
            <w:gridSpan w:val="2"/>
          </w:tcPr>
          <w:p>
            <w:pPr>
              <w:jc w:val="right"/>
              <w:ind w:right="58"/>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3,443</w:t>
            </w:r>
          </w:p>
        </w:tc>
        <w:tc>
          <w:tcPr>
            <w:tcW w:w="10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4,500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Northeast Metal Works LLC</w:t>
            </w:r>
          </w:p>
        </w:tc>
        <w:tc>
          <w:tcPr>
            <w:tcW w:w="13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0"/>
                <w:szCs w:val="10"/>
                <w:color w:val="auto"/>
                <w:w w:val="97"/>
              </w:rPr>
              <w:t>Second Lien/Senior Secured Debt</w:t>
            </w:r>
          </w:p>
        </w:tc>
        <w:tc>
          <w:tcPr>
            <w:tcW w:w="1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0"/>
                <w:szCs w:val="10"/>
                <w:color w:val="auto"/>
              </w:rPr>
              <w:t>Metals &amp; Mining</w:t>
            </w: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500</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FF0FC"/>
          </w:tcPr>
          <w:p>
            <w:pPr>
              <w:spacing w:after="0"/>
              <w:rPr>
                <w:sz w:val="10"/>
                <w:szCs w:val="10"/>
                <w:color w:val="auto"/>
              </w:rPr>
            </w:pPr>
          </w:p>
        </w:tc>
        <w:tc>
          <w:tcPr>
            <w:tcW w:w="480" w:type="dxa"/>
            <w:vAlign w:val="bottom"/>
            <w:gridSpan w:val="2"/>
            <w:shd w:val="clear" w:color="auto" w:fill="CFF0FC"/>
          </w:tcPr>
          <w:p>
            <w:pPr>
              <w:jc w:val="right"/>
              <w:ind w:right="58"/>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500</w:t>
            </w: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500</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36</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1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BMP Slappey Holdco, LLC</w:t>
            </w:r>
            <w:r>
              <w:rPr>
                <w:rFonts w:ascii="Times New Roman" w:cs="Times New Roman" w:eastAsia="Times New Roman" w:hAnsi="Times New Roman"/>
                <w:sz w:val="12"/>
                <w:szCs w:val="12"/>
                <w:color w:val="auto"/>
                <w:vertAlign w:val="superscript"/>
              </w:rPr>
              <w:t>(5)</w:t>
            </w:r>
          </w:p>
        </w:tc>
        <w:tc>
          <w:tcPr>
            <w:tcW w:w="13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Preferred Stock and Units</w:t>
            </w:r>
          </w:p>
        </w:tc>
        <w:tc>
          <w:tcPr>
            <w:tcW w:w="1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Telecommunications</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2"/>
          </w:tcPr>
          <w:p>
            <w:pPr>
              <w:jc w:val="right"/>
              <w:ind w:right="58"/>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557</w:t>
            </w:r>
          </w:p>
        </w:tc>
        <w:tc>
          <w:tcPr>
            <w:tcW w:w="10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200,000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160" w:type="dxa"/>
            <w:vAlign w:val="bottom"/>
            <w:shd w:val="clear" w:color="auto" w:fill="CFF0FC"/>
          </w:tcPr>
          <w:p>
            <w:pPr>
              <w:ind w:left="20"/>
              <w:spacing w:after="0" w:line="120" w:lineRule="exact"/>
              <w:rPr>
                <w:sz w:val="20"/>
                <w:szCs w:val="20"/>
                <w:color w:val="auto"/>
              </w:rPr>
            </w:pPr>
            <w:r>
              <w:rPr>
                <w:rFonts w:ascii="Times New Roman" w:cs="Times New Roman" w:eastAsia="Times New Roman" w:hAnsi="Times New Roman"/>
                <w:sz w:val="10"/>
                <w:szCs w:val="10"/>
                <w:color w:val="auto"/>
              </w:rPr>
              <w:t>BMP Slappey Investment II</w:t>
            </w:r>
            <w:r>
              <w:rPr>
                <w:rFonts w:ascii="Times New Roman" w:cs="Times New Roman" w:eastAsia="Times New Roman" w:hAnsi="Times New Roman"/>
                <w:sz w:val="12"/>
                <w:szCs w:val="12"/>
                <w:color w:val="auto"/>
                <w:vertAlign w:val="superscript"/>
              </w:rPr>
              <w:t>(5)</w:t>
            </w:r>
          </w:p>
        </w:tc>
        <w:tc>
          <w:tcPr>
            <w:tcW w:w="13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0"/>
                <w:szCs w:val="10"/>
                <w:color w:val="auto"/>
              </w:rPr>
              <w:t>Preferred Stock and Units</w:t>
            </w:r>
          </w:p>
        </w:tc>
        <w:tc>
          <w:tcPr>
            <w:tcW w:w="1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0"/>
                <w:szCs w:val="10"/>
                <w:color w:val="auto"/>
              </w:rPr>
              <w:t>Telecommunications</w:t>
            </w: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246</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gridSpan w:val="2"/>
            <w:shd w:val="clear" w:color="auto" w:fill="CFF0FC"/>
          </w:tcPr>
          <w:p>
            <w:pPr>
              <w:jc w:val="right"/>
              <w:ind w:right="58"/>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248</w:t>
            </w: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88,946</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1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Princeton Medspa Partners, LLC</w:t>
            </w:r>
            <w:r>
              <w:rPr>
                <w:rFonts w:ascii="Times New Roman" w:cs="Times New Roman" w:eastAsia="Times New Roman" w:hAnsi="Times New Roman"/>
                <w:sz w:val="12"/>
                <w:szCs w:val="12"/>
                <w:color w:val="auto"/>
                <w:vertAlign w:val="superscript"/>
              </w:rPr>
              <w:t>(5)</w:t>
            </w:r>
          </w:p>
        </w:tc>
        <w:tc>
          <w:tcPr>
            <w:tcW w:w="13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Preferred Stock and Units</w:t>
            </w:r>
          </w:p>
        </w:tc>
        <w:tc>
          <w:tcPr>
            <w:tcW w:w="126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98"/>
              </w:rPr>
              <w:t>Healthcare &amp; Pharmaceuticals</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1,064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(205)</w:t>
            </w:r>
          </w:p>
        </w:tc>
        <w:tc>
          <w:tcPr>
            <w:tcW w:w="60" w:type="dxa"/>
            <w:vAlign w:val="bottom"/>
          </w:tcPr>
          <w:p>
            <w:pPr>
              <w:spacing w:after="0"/>
              <w:rPr>
                <w:sz w:val="10"/>
                <w:szCs w:val="10"/>
                <w:color w:val="auto"/>
              </w:rPr>
            </w:pPr>
          </w:p>
        </w:tc>
        <w:tc>
          <w:tcPr>
            <w:tcW w:w="480" w:type="dxa"/>
            <w:vAlign w:val="bottom"/>
            <w:gridSpan w:val="2"/>
          </w:tcPr>
          <w:p>
            <w:pPr>
              <w:jc w:val="right"/>
              <w:ind w:right="58"/>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859</w:t>
            </w:r>
          </w:p>
        </w:tc>
        <w:tc>
          <w:tcPr>
            <w:tcW w:w="10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1,064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160" w:type="dxa"/>
            <w:vAlign w:val="bottom"/>
            <w:shd w:val="clear" w:color="auto" w:fill="CFF0FC"/>
          </w:tcPr>
          <w:p>
            <w:pPr>
              <w:ind w:left="20"/>
              <w:spacing w:after="0" w:line="121" w:lineRule="exact"/>
              <w:rPr>
                <w:sz w:val="20"/>
                <w:szCs w:val="20"/>
                <w:color w:val="auto"/>
              </w:rPr>
            </w:pPr>
            <w:r>
              <w:rPr>
                <w:rFonts w:ascii="Times New Roman" w:cs="Times New Roman" w:eastAsia="Times New Roman" w:hAnsi="Times New Roman"/>
                <w:sz w:val="10"/>
                <w:szCs w:val="10"/>
                <w:color w:val="auto"/>
              </w:rPr>
              <w:t>Princeton Medspa Partners, LLC - Warrant</w:t>
            </w:r>
            <w:r>
              <w:rPr>
                <w:rFonts w:ascii="Times New Roman" w:cs="Times New Roman" w:eastAsia="Times New Roman" w:hAnsi="Times New Roman"/>
                <w:sz w:val="12"/>
                <w:szCs w:val="12"/>
                <w:color w:val="auto"/>
                <w:vertAlign w:val="superscript"/>
              </w:rPr>
              <w:t>(5)</w:t>
            </w:r>
          </w:p>
        </w:tc>
        <w:tc>
          <w:tcPr>
            <w:tcW w:w="13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0"/>
                <w:szCs w:val="10"/>
                <w:color w:val="auto"/>
                <w:w w:val="99"/>
              </w:rPr>
              <w:t>Common Stock and Membership</w:t>
            </w:r>
          </w:p>
        </w:tc>
        <w:tc>
          <w:tcPr>
            <w:tcW w:w="1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0"/>
                <w:szCs w:val="10"/>
                <w:color w:val="auto"/>
                <w:w w:val="98"/>
              </w:rPr>
              <w:t>Healthcare &amp; Pharmaceuticals</w:t>
            </w: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160" w:type="dxa"/>
            <w:vAlign w:val="bottom"/>
            <w:shd w:val="clear" w:color="auto" w:fill="CFF0FC"/>
          </w:tcPr>
          <w:p>
            <w:pPr>
              <w:spacing w:after="0"/>
              <w:rPr>
                <w:sz w:val="10"/>
                <w:szCs w:val="10"/>
                <w:color w:val="auto"/>
              </w:rPr>
            </w:pPr>
          </w:p>
        </w:tc>
        <w:tc>
          <w:tcPr>
            <w:tcW w:w="13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0"/>
                <w:szCs w:val="10"/>
                <w:color w:val="auto"/>
              </w:rPr>
              <w:t>Units</w:t>
            </w:r>
          </w:p>
        </w:tc>
        <w:tc>
          <w:tcPr>
            <w:tcW w:w="12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28</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gridSpan w:val="2"/>
            <w:shd w:val="clear" w:color="auto" w:fill="CFF0FC"/>
          </w:tcPr>
          <w:p>
            <w:pPr>
              <w:jc w:val="right"/>
              <w:ind w:right="58"/>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28</w:t>
            </w: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1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Princeton Medspa Partners, LLC - Put Option</w:t>
            </w:r>
            <w:r>
              <w:rPr>
                <w:rFonts w:ascii="Times New Roman" w:cs="Times New Roman" w:eastAsia="Times New Roman" w:hAnsi="Times New Roman"/>
                <w:sz w:val="12"/>
                <w:szCs w:val="12"/>
                <w:color w:val="auto"/>
                <w:vertAlign w:val="superscript"/>
              </w:rPr>
              <w:t>(2)(5)</w:t>
            </w:r>
          </w:p>
        </w:tc>
        <w:tc>
          <w:tcPr>
            <w:tcW w:w="13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Derivatives</w:t>
            </w:r>
          </w:p>
        </w:tc>
        <w:tc>
          <w:tcPr>
            <w:tcW w:w="126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98"/>
              </w:rPr>
              <w:t>Healthcare &amp; Pharmaceuticals</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480" w:type="dxa"/>
            <w:vAlign w:val="bottom"/>
            <w:gridSpan w:val="2"/>
          </w:tcPr>
          <w:p>
            <w:pPr>
              <w:jc w:val="right"/>
              <w:ind w:right="58"/>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1,000,000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160" w:type="dxa"/>
            <w:vAlign w:val="bottom"/>
            <w:shd w:val="clear" w:color="auto" w:fill="CFF0FC"/>
          </w:tcPr>
          <w:p>
            <w:pPr>
              <w:ind w:left="20"/>
              <w:spacing w:after="0" w:line="120" w:lineRule="exact"/>
              <w:rPr>
                <w:sz w:val="20"/>
                <w:szCs w:val="20"/>
                <w:color w:val="auto"/>
              </w:rPr>
            </w:pPr>
            <w:r>
              <w:rPr>
                <w:rFonts w:ascii="Times New Roman" w:cs="Times New Roman" w:eastAsia="Times New Roman" w:hAnsi="Times New Roman"/>
                <w:sz w:val="10"/>
                <w:szCs w:val="10"/>
                <w:color w:val="auto"/>
                <w:w w:val="94"/>
              </w:rPr>
              <w:t>PMP OPCO, LLC (Princeton Medspa Partners, LLC)</w:t>
            </w:r>
            <w:r>
              <w:rPr>
                <w:rFonts w:ascii="Times New Roman" w:cs="Times New Roman" w:eastAsia="Times New Roman" w:hAnsi="Times New Roman"/>
                <w:sz w:val="12"/>
                <w:szCs w:val="12"/>
                <w:color w:val="auto"/>
                <w:w w:val="94"/>
                <w:vertAlign w:val="superscript"/>
              </w:rPr>
              <w:t>(7)</w:t>
            </w:r>
          </w:p>
        </w:tc>
        <w:tc>
          <w:tcPr>
            <w:tcW w:w="13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0"/>
                <w:szCs w:val="10"/>
                <w:color w:val="auto"/>
              </w:rPr>
              <w:t>First Lien/Senior Secured Debt</w:t>
            </w:r>
          </w:p>
        </w:tc>
        <w:tc>
          <w:tcPr>
            <w:tcW w:w="1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0"/>
                <w:szCs w:val="10"/>
                <w:color w:val="auto"/>
                <w:w w:val="98"/>
              </w:rPr>
              <w:t>Healthcare &amp; Pharmaceuticals</w:t>
            </w: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1,635</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(110)</w:t>
            </w:r>
          </w:p>
        </w:tc>
        <w:tc>
          <w:tcPr>
            <w:tcW w:w="60" w:type="dxa"/>
            <w:vAlign w:val="bottom"/>
            <w:shd w:val="clear" w:color="auto" w:fill="CFF0FC"/>
          </w:tcPr>
          <w:p>
            <w:pPr>
              <w:spacing w:after="0"/>
              <w:rPr>
                <w:sz w:val="10"/>
                <w:szCs w:val="10"/>
                <w:color w:val="auto"/>
              </w:rPr>
            </w:pPr>
          </w:p>
        </w:tc>
        <w:tc>
          <w:tcPr>
            <w:tcW w:w="480" w:type="dxa"/>
            <w:vAlign w:val="bottom"/>
            <w:gridSpan w:val="2"/>
            <w:shd w:val="clear" w:color="auto" w:fill="CFF0FC"/>
          </w:tcPr>
          <w:p>
            <w:pPr>
              <w:jc w:val="right"/>
              <w:ind w:right="58"/>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1,529</w:t>
            </w: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1,679</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147</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1"/>
        </w:trPr>
        <w:tc>
          <w:tcPr>
            <w:tcW w:w="216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99"/>
              </w:rPr>
              <w:t>PMP OPCO, LLC (Princeton Medspa Partners, LLC)</w:t>
            </w:r>
          </w:p>
        </w:tc>
        <w:tc>
          <w:tcPr>
            <w:tcW w:w="13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First Lien/Senior Secured Debt</w:t>
            </w:r>
          </w:p>
        </w:tc>
        <w:tc>
          <w:tcPr>
            <w:tcW w:w="126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98"/>
              </w:rPr>
              <w:t>Healthcare &amp; Pharmaceuticals</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1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(Revolver)</w:t>
            </w:r>
            <w:r>
              <w:rPr>
                <w:rFonts w:ascii="Times New Roman" w:cs="Times New Roman" w:eastAsia="Times New Roman" w:hAnsi="Times New Roman"/>
                <w:sz w:val="12"/>
                <w:szCs w:val="12"/>
                <w:color w:val="auto"/>
                <w:vertAlign w:val="superscript"/>
              </w:rPr>
              <w:t>(7)</w:t>
            </w:r>
          </w:p>
        </w:tc>
        <w:tc>
          <w:tcPr>
            <w:tcW w:w="13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(4)</w:t>
            </w: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(6)</w:t>
            </w:r>
          </w:p>
        </w:tc>
        <w:tc>
          <w:tcPr>
            <w:tcW w:w="60" w:type="dxa"/>
            <w:vAlign w:val="bottom"/>
          </w:tcPr>
          <w:p>
            <w:pPr>
              <w:spacing w:after="0"/>
              <w:rPr>
                <w:sz w:val="10"/>
                <w:szCs w:val="10"/>
                <w:color w:val="auto"/>
              </w:rPr>
            </w:pPr>
          </w:p>
        </w:tc>
        <w:tc>
          <w:tcPr>
            <w:tcW w:w="480" w:type="dxa"/>
            <w:vAlign w:val="bottom"/>
            <w:gridSpan w:val="2"/>
          </w:tcPr>
          <w:p>
            <w:pPr>
              <w:jc w:val="right"/>
              <w:ind w:right="58"/>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(10)</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8"/>
        </w:trPr>
        <w:tc>
          <w:tcPr>
            <w:tcW w:w="2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JMP Credit Advisors CLO IV LTD</w:t>
            </w:r>
            <w:r>
              <w:rPr>
                <w:rFonts w:ascii="Times New Roman" w:cs="Times New Roman" w:eastAsia="Times New Roman" w:hAnsi="Times New Roman"/>
                <w:sz w:val="12"/>
                <w:szCs w:val="12"/>
                <w:color w:val="auto"/>
                <w:vertAlign w:val="superscript"/>
              </w:rPr>
              <w:t>(3)</w:t>
            </w:r>
          </w:p>
        </w:tc>
        <w:tc>
          <w:tcPr>
            <w:tcW w:w="13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0"/>
                <w:szCs w:val="10"/>
                <w:color w:val="auto"/>
              </w:rPr>
              <w:t>Collateralized Loan Obligations</w:t>
            </w:r>
          </w:p>
        </w:tc>
        <w:tc>
          <w:tcPr>
            <w:tcW w:w="12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0"/>
                <w:szCs w:val="10"/>
                <w:color w:val="auto"/>
              </w:rPr>
              <w:t>CLO Fund Securities</w:t>
            </w:r>
          </w:p>
        </w:tc>
        <w:tc>
          <w:tcPr>
            <w:tcW w:w="8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0"/>
                <w:szCs w:val="10"/>
                <w:color w:val="auto"/>
              </w:rPr>
              <w:t>(260)</w:t>
            </w:r>
          </w:p>
        </w:tc>
        <w:tc>
          <w:tcPr>
            <w:tcW w:w="100" w:type="dxa"/>
            <w:vAlign w:val="bottom"/>
            <w:tcBorders>
              <w:bottom w:val="single" w:sz="8" w:color="CFF0FC"/>
            </w:tcBorders>
            <w:shd w:val="clear" w:color="auto" w:fill="CFF0FC"/>
          </w:tcPr>
          <w:p>
            <w:pPr>
              <w:spacing w:after="0"/>
              <w:rPr>
                <w:sz w:val="12"/>
                <w:szCs w:val="12"/>
                <w:color w:val="auto"/>
              </w:rPr>
            </w:pPr>
          </w:p>
        </w:tc>
        <w:tc>
          <w:tcPr>
            <w:tcW w:w="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98</w:t>
            </w:r>
          </w:p>
        </w:tc>
        <w:tc>
          <w:tcPr>
            <w:tcW w:w="10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683</w:t>
            </w: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204</w:t>
            </w:r>
          </w:p>
        </w:tc>
        <w:tc>
          <w:tcPr>
            <w:tcW w:w="10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CFF0FC"/>
            </w:tcBorders>
            <w:gridSpan w:val="2"/>
            <w:shd w:val="clear" w:color="auto" w:fill="CFF0FC"/>
          </w:tcPr>
          <w:p>
            <w:pPr>
              <w:jc w:val="right"/>
              <w:ind w:right="58"/>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725</w:t>
            </w:r>
          </w:p>
        </w:tc>
        <w:tc>
          <w:tcPr>
            <w:tcW w:w="10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18,407</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98</w:t>
            </w: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1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JMP Credit Advisors CLO V LTD</w:t>
            </w:r>
            <w:r>
              <w:rPr>
                <w:rFonts w:ascii="Times New Roman" w:cs="Times New Roman" w:eastAsia="Times New Roman" w:hAnsi="Times New Roman"/>
                <w:sz w:val="12"/>
                <w:szCs w:val="12"/>
                <w:color w:val="auto"/>
                <w:vertAlign w:val="superscript"/>
              </w:rPr>
              <w:t>(3)</w:t>
            </w:r>
          </w:p>
        </w:tc>
        <w:tc>
          <w:tcPr>
            <w:tcW w:w="13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Collateralized Loan Obligations</w:t>
            </w:r>
          </w:p>
        </w:tc>
        <w:tc>
          <w:tcPr>
            <w:tcW w:w="1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CLO Fund Securities</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(904)</w:t>
            </w: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656</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3,049</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(1,334)</w:t>
            </w:r>
          </w:p>
        </w:tc>
        <w:tc>
          <w:tcPr>
            <w:tcW w:w="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1,467</w:t>
            </w:r>
          </w:p>
        </w:tc>
        <w:tc>
          <w:tcPr>
            <w:tcW w:w="10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17,074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160" w:type="dxa"/>
            <w:vAlign w:val="bottom"/>
            <w:shd w:val="clear" w:color="auto" w:fill="CFF0FC"/>
          </w:tcPr>
          <w:p>
            <w:pPr>
              <w:ind w:left="20"/>
              <w:spacing w:after="0" w:line="120" w:lineRule="exact"/>
              <w:rPr>
                <w:sz w:val="20"/>
                <w:szCs w:val="20"/>
                <w:color w:val="auto"/>
              </w:rPr>
            </w:pPr>
            <w:r>
              <w:rPr>
                <w:rFonts w:ascii="Times New Roman" w:cs="Times New Roman" w:eastAsia="Times New Roman" w:hAnsi="Times New Roman"/>
                <w:sz w:val="10"/>
                <w:szCs w:val="10"/>
                <w:color w:val="auto"/>
              </w:rPr>
              <w:t>EBSC Holdings LLC (Riddell, Inc.)</w:t>
            </w:r>
            <w:r>
              <w:rPr>
                <w:rFonts w:ascii="Times New Roman" w:cs="Times New Roman" w:eastAsia="Times New Roman" w:hAnsi="Times New Roman"/>
                <w:sz w:val="12"/>
                <w:szCs w:val="12"/>
                <w:color w:val="auto"/>
                <w:vertAlign w:val="superscript"/>
              </w:rPr>
              <w:t>(5)</w:t>
            </w:r>
          </w:p>
        </w:tc>
        <w:tc>
          <w:tcPr>
            <w:tcW w:w="13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0"/>
                <w:szCs w:val="10"/>
                <w:color w:val="auto"/>
              </w:rPr>
              <w:t>Preferred Stock and Units</w:t>
            </w:r>
          </w:p>
        </w:tc>
        <w:tc>
          <w:tcPr>
            <w:tcW w:w="1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0"/>
                <w:szCs w:val="10"/>
                <w:color w:val="auto"/>
              </w:rPr>
              <w:t>Consumer goods: Durable</w:t>
            </w: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2,131</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244</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gridSpan w:val="2"/>
            <w:shd w:val="clear" w:color="auto" w:fill="CFF0FC"/>
          </w:tcPr>
          <w:p>
            <w:pPr>
              <w:jc w:val="right"/>
              <w:ind w:right="58"/>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2,375</w:t>
            </w: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2,154</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154</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1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Riddell, Inc.</w:t>
            </w:r>
            <w:r>
              <w:rPr>
                <w:rFonts w:ascii="Times New Roman" w:cs="Times New Roman" w:eastAsia="Times New Roman" w:hAnsi="Times New Roman"/>
                <w:sz w:val="12"/>
                <w:szCs w:val="12"/>
                <w:color w:val="auto"/>
                <w:vertAlign w:val="superscript"/>
              </w:rPr>
              <w:t>(7)</w:t>
            </w:r>
          </w:p>
        </w:tc>
        <w:tc>
          <w:tcPr>
            <w:tcW w:w="13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First Lien/Senior Secured Debt</w:t>
            </w:r>
          </w:p>
        </w:tc>
        <w:tc>
          <w:tcPr>
            <w:tcW w:w="1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Consumer goods: Durable</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6,127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2"/>
          </w:tcPr>
          <w:p>
            <w:pPr>
              <w:jc w:val="right"/>
              <w:ind w:right="58"/>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6,243</w:t>
            </w:r>
          </w:p>
        </w:tc>
        <w:tc>
          <w:tcPr>
            <w:tcW w:w="10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6,244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554</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i w:val="1"/>
                <w:iCs w:val="1"/>
                <w:color w:val="auto"/>
              </w:rPr>
              <w:t>Total non-controlled affiliated investments</w:t>
            </w:r>
          </w:p>
        </w:tc>
        <w:tc>
          <w:tcPr>
            <w:tcW w:w="1380" w:type="dxa"/>
            <w:vAlign w:val="bottom"/>
            <w:shd w:val="clear" w:color="auto" w:fill="CFF0FC"/>
          </w:tcPr>
          <w:p>
            <w:pPr>
              <w:spacing w:after="0"/>
              <w:rPr>
                <w:sz w:val="10"/>
                <w:szCs w:val="10"/>
                <w:color w:val="auto"/>
              </w:rPr>
            </w:pPr>
          </w:p>
        </w:tc>
        <w:tc>
          <w:tcPr>
            <w:tcW w:w="1260" w:type="dxa"/>
            <w:vAlign w:val="bottom"/>
            <w:shd w:val="clear" w:color="auto" w:fill="CFF0FC"/>
          </w:tcPr>
          <w:p>
            <w:pPr>
              <w:spacing w:after="0"/>
              <w:rPr>
                <w:sz w:val="10"/>
                <w:szCs w:val="10"/>
                <w:color w:val="auto"/>
              </w:rPr>
            </w:pPr>
          </w:p>
        </w:tc>
        <w:tc>
          <w:tcPr>
            <w:tcW w:w="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55,222</w:t>
            </w: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10,072</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778</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3,732</w:t>
            </w:r>
          </w:p>
        </w:tc>
        <w:tc>
          <w:tcPr>
            <w:tcW w:w="240" w:type="dxa"/>
            <w:vAlign w:val="bottom"/>
            <w:gridSpan w:val="2"/>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(4,086)</w:t>
            </w: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(1,334)</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64,384</w:t>
            </w: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2,573</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6,576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1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Total non-controlled affiliated and controlled</w:t>
            </w:r>
          </w:p>
        </w:tc>
        <w:tc>
          <w:tcPr>
            <w:tcW w:w="1380" w:type="dxa"/>
            <w:vAlign w:val="bottom"/>
            <w:shd w:val="clear" w:color="auto" w:fill="CFF0FC"/>
          </w:tcPr>
          <w:p>
            <w:pPr>
              <w:spacing w:after="0"/>
              <w:rPr>
                <w:sz w:val="10"/>
                <w:szCs w:val="10"/>
                <w:color w:val="auto"/>
              </w:rPr>
            </w:pPr>
          </w:p>
        </w:tc>
        <w:tc>
          <w:tcPr>
            <w:tcW w:w="1260" w:type="dxa"/>
            <w:vAlign w:val="bottom"/>
            <w:shd w:val="clear" w:color="auto" w:fill="CFF0FC"/>
          </w:tcPr>
          <w:p>
            <w:pPr>
              <w:spacing w:after="0"/>
              <w:rPr>
                <w:sz w:val="10"/>
                <w:szCs w:val="10"/>
                <w:color w:val="auto"/>
              </w:rPr>
            </w:pPr>
          </w:p>
        </w:tc>
        <w:tc>
          <w:tcPr>
            <w:tcW w:w="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69,540</w:t>
            </w:r>
          </w:p>
        </w:tc>
        <w:tc>
          <w:tcPr>
            <w:tcW w:w="100" w:type="dxa"/>
            <w:vAlign w:val="bottom"/>
            <w:shd w:val="clear" w:color="auto" w:fill="CFF0FC"/>
          </w:tcPr>
          <w:p>
            <w:pPr>
              <w:spacing w:after="0"/>
              <w:rPr>
                <w:sz w:val="10"/>
                <w:szCs w:val="10"/>
                <w:color w:val="auto"/>
              </w:rPr>
            </w:pPr>
          </w:p>
        </w:tc>
        <w:tc>
          <w:tcPr>
            <w:tcW w:w="1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8,096</w:t>
            </w:r>
          </w:p>
        </w:tc>
        <w:tc>
          <w:tcPr>
            <w:tcW w:w="100" w:type="dxa"/>
            <w:vAlign w:val="bottom"/>
            <w:shd w:val="clear" w:color="auto" w:fill="CFF0FC"/>
          </w:tcPr>
          <w:p>
            <w:pPr>
              <w:spacing w:after="0"/>
              <w:rPr>
                <w:sz w:val="10"/>
                <w:szCs w:val="10"/>
                <w:color w:val="auto"/>
              </w:rPr>
            </w:pPr>
          </w:p>
        </w:tc>
        <w:tc>
          <w:tcPr>
            <w:tcW w:w="1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778</w:t>
            </w:r>
          </w:p>
        </w:tc>
        <w:tc>
          <w:tcPr>
            <w:tcW w:w="100" w:type="dxa"/>
            <w:vAlign w:val="bottom"/>
            <w:shd w:val="clear" w:color="auto" w:fill="CFF0FC"/>
          </w:tcPr>
          <w:p>
            <w:pPr>
              <w:spacing w:after="0"/>
              <w:rPr>
                <w:sz w:val="10"/>
                <w:szCs w:val="10"/>
                <w:color w:val="auto"/>
              </w:rPr>
            </w:pPr>
          </w:p>
        </w:tc>
        <w:tc>
          <w:tcPr>
            <w:tcW w:w="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3,732</w:t>
            </w:r>
          </w:p>
        </w:tc>
        <w:tc>
          <w:tcPr>
            <w:tcW w:w="100" w:type="dxa"/>
            <w:vAlign w:val="bottom"/>
            <w:shd w:val="clear" w:color="auto" w:fill="CFF0FC"/>
          </w:tcPr>
          <w:p>
            <w:pPr>
              <w:spacing w:after="0"/>
              <w:rPr>
                <w:sz w:val="10"/>
                <w:szCs w:val="10"/>
                <w:color w:val="auto"/>
              </w:rPr>
            </w:pPr>
          </w:p>
        </w:tc>
        <w:tc>
          <w:tcPr>
            <w:tcW w:w="140" w:type="dxa"/>
            <w:vAlign w:val="bottom"/>
            <w:vMerge w:val="restart"/>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3,231</w:t>
            </w:r>
          </w:p>
        </w:tc>
        <w:tc>
          <w:tcPr>
            <w:tcW w:w="100" w:type="dxa"/>
            <w:vAlign w:val="bottom"/>
            <w:shd w:val="clear" w:color="auto" w:fill="CFF0FC"/>
          </w:tcPr>
          <w:p>
            <w:pPr>
              <w:spacing w:after="0"/>
              <w:rPr>
                <w:sz w:val="10"/>
                <w:szCs w:val="10"/>
                <w:color w:val="auto"/>
              </w:rPr>
            </w:pPr>
          </w:p>
        </w:tc>
        <w:tc>
          <w:tcPr>
            <w:tcW w:w="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w w:val="84"/>
              </w:rPr>
              <w:t>(7,978</w:t>
            </w:r>
          </w:p>
        </w:tc>
        <w:tc>
          <w:tcPr>
            <w:tcW w:w="100" w:type="dxa"/>
            <w:vAlign w:val="bottom"/>
            <w:shd w:val="clear" w:color="auto" w:fill="CFF0FC"/>
          </w:tcPr>
          <w:p>
            <w:pPr>
              <w:spacing w:after="0"/>
              <w:rPr>
                <w:sz w:val="10"/>
                <w:szCs w:val="10"/>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77,399</w:t>
            </w: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2,573</w:t>
            </w:r>
          </w:p>
        </w:tc>
        <w:tc>
          <w:tcPr>
            <w:tcW w:w="80" w:type="dxa"/>
            <w:vAlign w:val="bottom"/>
            <w:shd w:val="clear" w:color="auto" w:fill="CFF0FC"/>
          </w:tcPr>
          <w:p>
            <w:pPr>
              <w:spacing w:after="0"/>
              <w:rPr>
                <w:sz w:val="10"/>
                <w:szCs w:val="10"/>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6,576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160" w:type="dxa"/>
            <w:vAlign w:val="bottom"/>
            <w:tcBorders>
              <w:bottom w:val="single" w:sz="8" w:color="CFF0FC"/>
            </w:tcBorders>
            <w:shd w:val="clear" w:color="auto" w:fill="CFF0FC"/>
          </w:tcPr>
          <w:p>
            <w:pPr>
              <w:ind w:left="20"/>
              <w:spacing w:after="0" w:line="78" w:lineRule="exact"/>
              <w:rPr>
                <w:sz w:val="20"/>
                <w:szCs w:val="20"/>
                <w:color w:val="auto"/>
              </w:rPr>
            </w:pPr>
            <w:r>
              <w:rPr>
                <w:rFonts w:ascii="Times New Roman" w:cs="Times New Roman" w:eastAsia="Times New Roman" w:hAnsi="Times New Roman"/>
                <w:sz w:val="8"/>
                <w:szCs w:val="8"/>
                <w:b w:val="1"/>
                <w:bCs w:val="1"/>
                <w:color w:val="auto"/>
              </w:rPr>
              <w:t>investments</w:t>
            </w:r>
          </w:p>
        </w:tc>
        <w:tc>
          <w:tcPr>
            <w:tcW w:w="1380" w:type="dxa"/>
            <w:vAlign w:val="bottom"/>
            <w:tcBorders>
              <w:bottom w:val="single" w:sz="8" w:color="CFF0FC"/>
            </w:tcBorders>
            <w:shd w:val="clear" w:color="auto" w:fill="CFF0FC"/>
          </w:tcPr>
          <w:p>
            <w:pPr>
              <w:spacing w:after="0"/>
              <w:rPr>
                <w:sz w:val="10"/>
                <w:szCs w:val="10"/>
                <w:color w:val="auto"/>
              </w:rPr>
            </w:pPr>
          </w:p>
        </w:tc>
        <w:tc>
          <w:tcPr>
            <w:tcW w:w="126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vMerge w:val="continue"/>
            <w:shd w:val="clear" w:color="auto" w:fill="CFF0FC"/>
          </w:tcPr>
          <w:p>
            <w:pPr>
              <w:spacing w:after="0"/>
              <w:rPr>
                <w:sz w:val="10"/>
                <w:szCs w:val="10"/>
                <w:color w:val="auto"/>
              </w:rPr>
            </w:pPr>
          </w:p>
        </w:tc>
        <w:tc>
          <w:tcPr>
            <w:tcW w:w="400" w:type="dxa"/>
            <w:vAlign w:val="bottom"/>
            <w:tcBorders>
              <w:bottom w:val="single" w:sz="8" w:color="auto"/>
            </w:tcBorders>
            <w:vMerge w:val="continue"/>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vMerge w:val="continue"/>
            <w:shd w:val="clear" w:color="auto" w:fill="CFF0FC"/>
          </w:tcPr>
          <w:p>
            <w:pPr>
              <w:spacing w:after="0"/>
              <w:rPr>
                <w:sz w:val="10"/>
                <w:szCs w:val="10"/>
                <w:color w:val="auto"/>
              </w:rPr>
            </w:pPr>
          </w:p>
        </w:tc>
        <w:tc>
          <w:tcPr>
            <w:tcW w:w="340" w:type="dxa"/>
            <w:vAlign w:val="bottom"/>
            <w:tcBorders>
              <w:bottom w:val="single" w:sz="8" w:color="auto"/>
            </w:tcBorders>
            <w:vMerge w:val="continue"/>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vMerge w:val="continue"/>
            <w:shd w:val="clear" w:color="auto" w:fill="CFF0FC"/>
          </w:tcPr>
          <w:p>
            <w:pPr>
              <w:spacing w:after="0"/>
              <w:rPr>
                <w:sz w:val="10"/>
                <w:szCs w:val="10"/>
                <w:color w:val="auto"/>
              </w:rPr>
            </w:pPr>
          </w:p>
        </w:tc>
        <w:tc>
          <w:tcPr>
            <w:tcW w:w="340" w:type="dxa"/>
            <w:vAlign w:val="bottom"/>
            <w:tcBorders>
              <w:bottom w:val="single" w:sz="8" w:color="auto"/>
            </w:tcBorders>
            <w:vMerge w:val="continue"/>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auto"/>
            </w:tcBorders>
            <w:vMerge w:val="continue"/>
            <w:shd w:val="clear" w:color="auto" w:fill="CFF0FC"/>
          </w:tcPr>
          <w:p>
            <w:pPr>
              <w:spacing w:after="0"/>
              <w:rPr>
                <w:sz w:val="10"/>
                <w:szCs w:val="10"/>
                <w:color w:val="auto"/>
              </w:rPr>
            </w:pPr>
          </w:p>
        </w:tc>
        <w:tc>
          <w:tcPr>
            <w:tcW w:w="400" w:type="dxa"/>
            <w:vAlign w:val="bottom"/>
            <w:tcBorders>
              <w:bottom w:val="single" w:sz="8" w:color="auto"/>
            </w:tcBorders>
            <w:vMerge w:val="continue"/>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auto"/>
            </w:tcBorders>
            <w:vMerge w:val="continue"/>
            <w:shd w:val="clear" w:color="auto" w:fill="CFF0FC"/>
          </w:tcPr>
          <w:p>
            <w:pPr>
              <w:spacing w:after="0"/>
              <w:rPr>
                <w:sz w:val="10"/>
                <w:szCs w:val="10"/>
                <w:color w:val="auto"/>
              </w:rPr>
            </w:pPr>
          </w:p>
        </w:tc>
        <w:tc>
          <w:tcPr>
            <w:tcW w:w="400" w:type="dxa"/>
            <w:vAlign w:val="bottom"/>
            <w:tcBorders>
              <w:bottom w:val="single" w:sz="8" w:color="auto"/>
            </w:tcBorders>
            <w:vMerge w:val="continue"/>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auto"/>
            </w:tcBorders>
            <w:vMerge w:val="continue"/>
            <w:shd w:val="clear" w:color="auto" w:fill="CFF0FC"/>
          </w:tcPr>
          <w:p>
            <w:pPr>
              <w:spacing w:after="0"/>
              <w:rPr>
                <w:sz w:val="10"/>
                <w:szCs w:val="10"/>
                <w:color w:val="auto"/>
              </w:rPr>
            </w:pPr>
          </w:p>
        </w:tc>
        <w:tc>
          <w:tcPr>
            <w:tcW w:w="380" w:type="dxa"/>
            <w:vAlign w:val="bottom"/>
            <w:tcBorders>
              <w:bottom w:val="single" w:sz="8" w:color="auto"/>
            </w:tcBorders>
            <w:vMerge w:val="continue"/>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jc w:val="right"/>
              <w:spacing w:after="0" w:line="78"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Borders>
              <w:bottom w:val="single" w:sz="8" w:color="auto"/>
            </w:tcBorders>
            <w:vMerge w:val="continue"/>
            <w:shd w:val="clear" w:color="auto" w:fill="CFF0FC"/>
          </w:tcPr>
          <w:p>
            <w:pPr>
              <w:spacing w:after="0"/>
              <w:rPr>
                <w:sz w:val="10"/>
                <w:szCs w:val="10"/>
                <w:color w:val="auto"/>
              </w:rPr>
            </w:pPr>
          </w:p>
        </w:tc>
        <w:tc>
          <w:tcPr>
            <w:tcW w:w="420" w:type="dxa"/>
            <w:vAlign w:val="bottom"/>
            <w:tcBorders>
              <w:bottom w:val="single" w:sz="8" w:color="auto"/>
            </w:tcBorders>
            <w:vMerge w:val="continue"/>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600" w:type="dxa"/>
            <w:vAlign w:val="bottom"/>
            <w:tcBorders>
              <w:bottom w:val="single" w:sz="8" w:color="auto"/>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vMerge w:val="continue"/>
            <w:shd w:val="clear" w:color="auto" w:fill="CFF0FC"/>
          </w:tcPr>
          <w:p>
            <w:pPr>
              <w:spacing w:after="0"/>
              <w:rPr>
                <w:sz w:val="10"/>
                <w:szCs w:val="10"/>
                <w:color w:val="auto"/>
              </w:rPr>
            </w:pPr>
          </w:p>
        </w:tc>
        <w:tc>
          <w:tcPr>
            <w:tcW w:w="280" w:type="dxa"/>
            <w:vAlign w:val="bottom"/>
            <w:tcBorders>
              <w:bottom w:val="single" w:sz="8" w:color="auto"/>
            </w:tcBorders>
            <w:vMerge w:val="continue"/>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vMerge w:val="continue"/>
            <w:shd w:val="clear" w:color="auto" w:fill="CFF0FC"/>
          </w:tcPr>
          <w:p>
            <w:pPr>
              <w:spacing w:after="0"/>
              <w:rPr>
                <w:sz w:val="10"/>
                <w:szCs w:val="10"/>
                <w:color w:val="auto"/>
              </w:rPr>
            </w:pPr>
          </w:p>
        </w:tc>
        <w:tc>
          <w:tcPr>
            <w:tcW w:w="420" w:type="dxa"/>
            <w:vAlign w:val="bottom"/>
            <w:tcBorders>
              <w:bottom w:val="single" w:sz="8" w:color="auto"/>
            </w:tcBorders>
            <w:vMerge w:val="continue"/>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(1)All investments valued using unobservable inputs (Level III), unless otherwise noted.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(2)Non-qualified asset for purposes of section 55(a) of the Investment Company Act of 1940.</w:t>
      </w:r>
    </w:p>
    <w:p>
      <w:pPr>
        <w:spacing w:after="0" w:line="102" w:lineRule="exact"/>
        <w:rPr>
          <w:sz w:val="20"/>
          <w:szCs w:val="20"/>
          <w:color w:val="auto"/>
        </w:rPr>
      </w:pPr>
    </w:p>
    <w:p>
      <w:pPr>
        <w:ind w:right="220"/>
        <w:spacing w:after="0" w:line="276" w:lineRule="auto"/>
        <w:rPr>
          <w:sz w:val="20"/>
          <w:szCs w:val="20"/>
          <w:color w:val="auto"/>
        </w:rPr>
      </w:pPr>
      <w:r>
        <w:rPr>
          <w:rFonts w:ascii="Times New Roman" w:cs="Times New Roman" w:eastAsia="Times New Roman" w:hAnsi="Times New Roman"/>
          <w:sz w:val="11"/>
          <w:szCs w:val="11"/>
          <w:color w:val="auto"/>
        </w:rPr>
        <w:t>(3)As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spacing w:after="0" w:line="69"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1"/>
          <w:szCs w:val="11"/>
          <w:color w:val="auto"/>
        </w:rPr>
        <w:t>(4)Under the 1940 Act, the Company is deemed to be an “Affiliated Person” of, as defined in the 1940 Act, this portfolio company as the Company owns at least 5% of the portfolio company’s outstanding voting securities or is under common control with such portfolio company.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(5)Number of shares held.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(6)The investment is valued at the NAV of the underlying fund.</w:t>
      </w:r>
    </w:p>
    <w:p>
      <w:pPr>
        <w:spacing w:after="0" w:line="1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Security has an unfunded commitment in addition to the amounts shown in the Consolidated Schedule of Investments. See Note 8 for additional information on the Company’s commitments and contingencies.</w:t>
      </w:r>
    </w:p>
    <w:p>
      <w:pPr>
        <w:spacing w:after="0" w:line="10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1"/>
          <w:szCs w:val="11"/>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82" w:name="page83"/>
    <w:bookmarkEnd w:id="8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PORTMAN RIDGE FINANCE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200" w:lineRule="exact"/>
        <w:rPr>
          <w:sz w:val="20"/>
          <w:szCs w:val="20"/>
          <w:color w:val="auto"/>
        </w:rPr>
      </w:pP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The following table details investments in affiliates at December 31, 2023:</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6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Purchases/</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Principal</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6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Fair Value</w:t>
            </w:r>
          </w:p>
        </w:tc>
        <w:tc>
          <w:tcPr>
            <w:tcW w:w="100" w:type="dxa"/>
            <w:vAlign w:val="bottom"/>
          </w:tcPr>
          <w:p>
            <w:pPr>
              <w:spacing w:after="0"/>
              <w:rPr>
                <w:sz w:val="11"/>
                <w:szCs w:val="11"/>
                <w:color w:val="auto"/>
              </w:rPr>
            </w:pPr>
          </w:p>
        </w:tc>
        <w:tc>
          <w:tcPr>
            <w:tcW w:w="640" w:type="dxa"/>
            <w:vAlign w:val="bottom"/>
            <w:gridSpan w:val="3"/>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7"/>
              </w:rPr>
              <w:t>(Sales) of</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 Shares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6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1"/>
              </w:rPr>
              <w:t>as 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tcPr>
          <w:p>
            <w:pPr>
              <w:jc w:val="center"/>
              <w:ind w:right="166"/>
              <w:spacing w:after="0"/>
              <w:rPr>
                <w:sz w:val="20"/>
                <w:szCs w:val="20"/>
                <w:color w:val="auto"/>
              </w:rPr>
            </w:pPr>
            <w:r>
              <w:rPr>
                <w:rFonts w:ascii="Times New Roman" w:cs="Times New Roman" w:eastAsia="Times New Roman" w:hAnsi="Times New Roman"/>
                <w:sz w:val="11"/>
                <w:szCs w:val="11"/>
                <w:b w:val="1"/>
                <w:bCs w:val="1"/>
                <w:color w:val="auto"/>
                <w:w w:val="95"/>
              </w:rPr>
              <w:t>or</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Transfers</w:t>
            </w:r>
          </w:p>
        </w:tc>
        <w:tc>
          <w:tcPr>
            <w:tcW w:w="740" w:type="dxa"/>
            <w:vAlign w:val="bottom"/>
            <w:gridSpan w:val="3"/>
          </w:tcPr>
          <w:p>
            <w:pPr>
              <w:jc w:val="center"/>
              <w:ind w:right="82"/>
              <w:spacing w:after="0"/>
              <w:rPr>
                <w:sz w:val="20"/>
                <w:szCs w:val="20"/>
                <w:color w:val="auto"/>
              </w:rPr>
            </w:pPr>
            <w:r>
              <w:rPr>
                <w:rFonts w:ascii="Times New Roman" w:cs="Times New Roman" w:eastAsia="Times New Roman" w:hAnsi="Times New Roman"/>
                <w:sz w:val="11"/>
                <w:szCs w:val="11"/>
                <w:b w:val="1"/>
                <w:bCs w:val="1"/>
                <w:color w:val="auto"/>
                <w:w w:val="97"/>
              </w:rPr>
              <w:t>Net Change</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Fair Value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86"/>
              </w:rPr>
              <w:t>at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6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w:t>
            </w:r>
          </w:p>
        </w:tc>
        <w:tc>
          <w:tcPr>
            <w:tcW w:w="100" w:type="dxa"/>
            <w:vAlign w:val="bottom"/>
          </w:tcPr>
          <w:p>
            <w:pPr>
              <w:spacing w:after="0"/>
              <w:rPr>
                <w:sz w:val="11"/>
                <w:szCs w:val="11"/>
                <w:color w:val="auto"/>
              </w:rPr>
            </w:pP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Advances/</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In/(Out)</w:t>
            </w:r>
          </w:p>
        </w:tc>
        <w:tc>
          <w:tcPr>
            <w:tcW w:w="60" w:type="dxa"/>
            <w:vAlign w:val="bottom"/>
          </w:tcPr>
          <w:p>
            <w:pPr>
              <w:spacing w:after="0"/>
              <w:rPr>
                <w:sz w:val="11"/>
                <w:szCs w:val="11"/>
                <w:color w:val="auto"/>
              </w:rPr>
            </w:pPr>
          </w:p>
        </w:tc>
        <w:tc>
          <w:tcPr>
            <w:tcW w:w="680" w:type="dxa"/>
            <w:vAlign w:val="bottom"/>
            <w:gridSpan w:val="2"/>
          </w:tcPr>
          <w:p>
            <w:pPr>
              <w:jc w:val="center"/>
              <w:ind w:right="122"/>
              <w:spacing w:after="0"/>
              <w:rPr>
                <w:sz w:val="20"/>
                <w:szCs w:val="20"/>
                <w:color w:val="auto"/>
              </w:rPr>
            </w:pPr>
            <w:r>
              <w:rPr>
                <w:rFonts w:ascii="Times New Roman" w:cs="Times New Roman" w:eastAsia="Times New Roman" w:hAnsi="Times New Roman"/>
                <w:sz w:val="11"/>
                <w:szCs w:val="11"/>
                <w:b w:val="1"/>
                <w:bCs w:val="1"/>
                <w:color w:val="auto"/>
                <w:w w:val="86"/>
              </w:rPr>
              <w:t>in</w:t>
            </w:r>
          </w:p>
        </w:tc>
        <w:tc>
          <w:tcPr>
            <w:tcW w:w="60" w:type="dxa"/>
            <w:vAlign w:val="bottom"/>
          </w:tcPr>
          <w:p>
            <w:pPr>
              <w:spacing w:after="0"/>
              <w:rPr>
                <w:sz w:val="11"/>
                <w:szCs w:val="11"/>
                <w:color w:val="auto"/>
              </w:rPr>
            </w:pPr>
          </w:p>
        </w:tc>
        <w:tc>
          <w:tcPr>
            <w:tcW w:w="560" w:type="dxa"/>
            <w:vAlign w:val="bottom"/>
            <w:gridSpan w:val="2"/>
          </w:tcPr>
          <w:p>
            <w:pPr>
              <w:jc w:val="right"/>
              <w:ind w:right="122"/>
              <w:spacing w:after="0"/>
              <w:rPr>
                <w:sz w:val="20"/>
                <w:szCs w:val="20"/>
                <w:color w:val="auto"/>
              </w:rPr>
            </w:pPr>
            <w:r>
              <w:rPr>
                <w:rFonts w:ascii="Times New Roman" w:cs="Times New Roman" w:eastAsia="Times New Roman" w:hAnsi="Times New Roman"/>
                <w:sz w:val="11"/>
                <w:szCs w:val="11"/>
                <w:b w:val="1"/>
                <w:bCs w:val="1"/>
                <w:color w:val="auto"/>
                <w:w w:val="94"/>
              </w:rPr>
              <w:t>Realized</w:t>
            </w:r>
          </w:p>
        </w:tc>
        <w:tc>
          <w:tcPr>
            <w:tcW w:w="80" w:type="dxa"/>
            <w:vAlign w:val="bottom"/>
          </w:tcPr>
          <w:p>
            <w:pPr>
              <w:spacing w:after="0"/>
              <w:rPr>
                <w:sz w:val="11"/>
                <w:szCs w:val="11"/>
                <w:color w:val="auto"/>
              </w:rPr>
            </w:pPr>
          </w:p>
        </w:tc>
        <w:tc>
          <w:tcPr>
            <w:tcW w:w="50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rPr>
              <w:t>as of</w:t>
            </w:r>
          </w:p>
        </w:tc>
        <w:tc>
          <w:tcPr>
            <w:tcW w:w="100" w:type="dxa"/>
            <w:vAlign w:val="bottom"/>
          </w:tcPr>
          <w:p>
            <w:pPr>
              <w:spacing w:after="0"/>
              <w:rPr>
                <w:sz w:val="11"/>
                <w:szCs w:val="11"/>
                <w:color w:val="auto"/>
              </w:rPr>
            </w:pP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Decembe</w:t>
            </w:r>
          </w:p>
        </w:tc>
        <w:tc>
          <w:tcPr>
            <w:tcW w:w="100" w:type="dxa"/>
            <w:vAlign w:val="bottom"/>
          </w:tcPr>
          <w:p>
            <w:pPr>
              <w:spacing w:after="0"/>
              <w:rPr>
                <w:sz w:val="11"/>
                <w:szCs w:val="11"/>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640" w:type="dxa"/>
            <w:vAlign w:val="bottom"/>
            <w:vMerge w:val="restart"/>
          </w:tcPr>
          <w:p>
            <w:pPr>
              <w:ind w:left="1080"/>
              <w:spacing w:after="0"/>
              <w:rPr>
                <w:sz w:val="20"/>
                <w:szCs w:val="20"/>
                <w:color w:val="auto"/>
              </w:rPr>
            </w:pPr>
            <w:r>
              <w:rPr>
                <w:rFonts w:ascii="Times New Roman" w:cs="Times New Roman" w:eastAsia="Times New Roman" w:hAnsi="Times New Roman"/>
                <w:sz w:val="11"/>
                <w:szCs w:val="11"/>
                <w:b w:val="1"/>
                <w:bCs w:val="1"/>
                <w:color w:val="auto"/>
              </w:rPr>
              <w:t>Company</w:t>
            </w:r>
            <w:r>
              <w:rPr>
                <w:rFonts w:ascii="Times New Roman" w:cs="Times New Roman" w:eastAsia="Times New Roman" w:hAnsi="Times New Roman"/>
                <w:sz w:val="14"/>
                <w:szCs w:val="14"/>
                <w:b w:val="1"/>
                <w:bCs w:val="1"/>
                <w:color w:val="auto"/>
                <w:vertAlign w:val="superscript"/>
              </w:rPr>
              <w:t>(1)</w:t>
            </w:r>
          </w:p>
        </w:tc>
        <w:tc>
          <w:tcPr>
            <w:tcW w:w="1540" w:type="dxa"/>
            <w:vAlign w:val="bottom"/>
          </w:tcPr>
          <w:p>
            <w:pPr>
              <w:ind w:left="600"/>
              <w:spacing w:after="0"/>
              <w:rPr>
                <w:sz w:val="20"/>
                <w:szCs w:val="20"/>
                <w:color w:val="auto"/>
              </w:rPr>
            </w:pPr>
            <w:r>
              <w:rPr>
                <w:rFonts w:ascii="Times New Roman" w:cs="Times New Roman" w:eastAsia="Times New Roman" w:hAnsi="Times New Roman"/>
                <w:sz w:val="11"/>
                <w:szCs w:val="11"/>
                <w:b w:val="1"/>
                <w:bCs w:val="1"/>
                <w:color w:val="auto"/>
              </w:rPr>
              <w:t>Industry</w:t>
            </w:r>
          </w:p>
        </w:tc>
        <w:tc>
          <w:tcPr>
            <w:tcW w:w="120" w:type="dxa"/>
            <w:vAlign w:val="bottom"/>
          </w:tcPr>
          <w:p>
            <w:pPr>
              <w:spacing w:after="0"/>
              <w:rPr>
                <w:sz w:val="11"/>
                <w:szCs w:val="11"/>
                <w:color w:val="auto"/>
              </w:rPr>
            </w:pPr>
          </w:p>
        </w:tc>
        <w:tc>
          <w:tcPr>
            <w:tcW w:w="44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31,</w:t>
            </w:r>
          </w:p>
        </w:tc>
        <w:tc>
          <w:tcPr>
            <w:tcW w:w="100" w:type="dxa"/>
            <w:vAlign w:val="bottom"/>
          </w:tcPr>
          <w:p>
            <w:pPr>
              <w:spacing w:after="0"/>
              <w:rPr>
                <w:sz w:val="11"/>
                <w:szCs w:val="11"/>
                <w:color w:val="auto"/>
              </w:rPr>
            </w:pP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(Distributi</w:t>
            </w:r>
          </w:p>
        </w:tc>
        <w:tc>
          <w:tcPr>
            <w:tcW w:w="120" w:type="dxa"/>
            <w:vAlign w:val="bottom"/>
          </w:tcPr>
          <w:p>
            <w:pPr>
              <w:spacing w:after="0"/>
              <w:rPr>
                <w:sz w:val="11"/>
                <w:szCs w:val="11"/>
                <w:color w:val="auto"/>
              </w:rPr>
            </w:pPr>
          </w:p>
        </w:tc>
        <w:tc>
          <w:tcPr>
            <w:tcW w:w="40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Net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of</w:t>
            </w:r>
          </w:p>
        </w:tc>
        <w:tc>
          <w:tcPr>
            <w:tcW w:w="60" w:type="dxa"/>
            <w:vAlign w:val="bottom"/>
          </w:tcPr>
          <w:p>
            <w:pPr>
              <w:spacing w:after="0"/>
              <w:rPr>
                <w:sz w:val="11"/>
                <w:szCs w:val="11"/>
                <w:color w:val="auto"/>
              </w:rPr>
            </w:pPr>
          </w:p>
        </w:tc>
        <w:tc>
          <w:tcPr>
            <w:tcW w:w="680" w:type="dxa"/>
            <w:vAlign w:val="bottom"/>
            <w:gridSpan w:val="2"/>
          </w:tcPr>
          <w:p>
            <w:pPr>
              <w:jc w:val="center"/>
              <w:ind w:right="142"/>
              <w:spacing w:after="0"/>
              <w:rPr>
                <w:sz w:val="20"/>
                <w:szCs w:val="20"/>
                <w:color w:val="auto"/>
              </w:rPr>
            </w:pPr>
            <w:r>
              <w:rPr>
                <w:rFonts w:ascii="Times New Roman" w:cs="Times New Roman" w:eastAsia="Times New Roman" w:hAnsi="Times New Roman"/>
                <w:sz w:val="11"/>
                <w:szCs w:val="11"/>
                <w:b w:val="1"/>
                <w:bCs w:val="1"/>
                <w:color w:val="auto"/>
                <w:w w:val="97"/>
              </w:rPr>
              <w:t>Unrealized</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Gain/(Loss</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December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3"/>
              </w:rPr>
              <w:t>r 31,</w:t>
            </w:r>
          </w:p>
        </w:tc>
        <w:tc>
          <w:tcPr>
            <w:tcW w:w="100" w:type="dxa"/>
            <w:vAlign w:val="bottom"/>
          </w:tcPr>
          <w:p>
            <w:pPr>
              <w:spacing w:after="0"/>
              <w:rPr>
                <w:sz w:val="11"/>
                <w:szCs w:val="11"/>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and Fee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Dividend</w:t>
            </w:r>
          </w:p>
        </w:tc>
        <w:tc>
          <w:tcPr>
            <w:tcW w:w="0" w:type="dxa"/>
            <w:vAlign w:val="bottom"/>
          </w:tcPr>
          <w:p>
            <w:pPr>
              <w:spacing w:after="0"/>
              <w:rPr>
                <w:sz w:val="1"/>
                <w:szCs w:val="1"/>
                <w:color w:val="auto"/>
              </w:rPr>
            </w:pPr>
          </w:p>
        </w:tc>
      </w:tr>
      <w:tr>
        <w:trPr>
          <w:trHeight w:val="134"/>
        </w:trPr>
        <w:tc>
          <w:tcPr>
            <w:tcW w:w="2640" w:type="dxa"/>
            <w:vAlign w:val="bottom"/>
            <w:vMerge w:val="continue"/>
          </w:tcPr>
          <w:p>
            <w:pPr>
              <w:spacing w:after="0"/>
              <w:rPr>
                <w:sz w:val="11"/>
                <w:szCs w:val="11"/>
                <w:color w:val="auto"/>
              </w:rPr>
            </w:pPr>
          </w:p>
        </w:tc>
        <w:tc>
          <w:tcPr>
            <w:tcW w:w="1540" w:type="dxa"/>
            <w:vAlign w:val="bottom"/>
          </w:tcPr>
          <w:p>
            <w:pPr>
              <w:ind w:left="480"/>
              <w:spacing w:after="0"/>
              <w:rPr>
                <w:sz w:val="20"/>
                <w:szCs w:val="20"/>
                <w:color w:val="auto"/>
              </w:rPr>
            </w:pPr>
            <w:r>
              <w:rPr>
                <w:rFonts w:ascii="Times New Roman" w:cs="Times New Roman" w:eastAsia="Times New Roman" w:hAnsi="Times New Roman"/>
                <w:sz w:val="11"/>
                <w:szCs w:val="11"/>
                <w:b w:val="1"/>
                <w:bCs w:val="1"/>
                <w:color w:val="auto"/>
              </w:rPr>
              <w:t>Classification</w:t>
            </w:r>
          </w:p>
        </w:tc>
        <w:tc>
          <w:tcPr>
            <w:tcW w:w="120" w:type="dxa"/>
            <w:vAlign w:val="bottom"/>
          </w:tcPr>
          <w:p>
            <w:pPr>
              <w:spacing w:after="0"/>
              <w:rPr>
                <w:sz w:val="11"/>
                <w:szCs w:val="11"/>
                <w:color w:val="auto"/>
              </w:rPr>
            </w:pPr>
          </w:p>
        </w:tc>
        <w:tc>
          <w:tcPr>
            <w:tcW w:w="44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tcPr>
          <w:p>
            <w:pPr>
              <w:jc w:val="center"/>
              <w:ind w:right="166"/>
              <w:spacing w:after="0"/>
              <w:rPr>
                <w:sz w:val="20"/>
                <w:szCs w:val="20"/>
                <w:color w:val="auto"/>
              </w:rPr>
            </w:pPr>
            <w:r>
              <w:rPr>
                <w:rFonts w:ascii="Times New Roman" w:cs="Times New Roman" w:eastAsia="Times New Roman" w:hAnsi="Times New Roman"/>
                <w:sz w:val="11"/>
                <w:szCs w:val="11"/>
                <w:b w:val="1"/>
                <w:bCs w:val="1"/>
                <w:color w:val="auto"/>
                <w:w w:val="91"/>
              </w:rPr>
              <w:t>ons)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Accretion</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Affiliates</w:t>
            </w:r>
          </w:p>
        </w:tc>
        <w:tc>
          <w:tcPr>
            <w:tcW w:w="740" w:type="dxa"/>
            <w:vAlign w:val="bottom"/>
            <w:gridSpan w:val="3"/>
          </w:tcPr>
          <w:p>
            <w:pPr>
              <w:jc w:val="center"/>
              <w:ind w:right="82"/>
              <w:spacing w:after="0"/>
              <w:rPr>
                <w:sz w:val="20"/>
                <w:szCs w:val="20"/>
                <w:color w:val="auto"/>
              </w:rPr>
            </w:pPr>
            <w:r>
              <w:rPr>
                <w:rFonts w:ascii="Times New Roman" w:cs="Times New Roman" w:eastAsia="Times New Roman" w:hAnsi="Times New Roman"/>
                <w:sz w:val="11"/>
                <w:szCs w:val="11"/>
                <w:b w:val="1"/>
                <w:bCs w:val="1"/>
                <w:color w:val="auto"/>
                <w:w w:val="98"/>
              </w:rPr>
              <w:t>Gain/(Loss)</w:t>
            </w:r>
          </w:p>
        </w:tc>
        <w:tc>
          <w:tcPr>
            <w:tcW w:w="60" w:type="dxa"/>
            <w:vAlign w:val="bottom"/>
          </w:tcPr>
          <w:p>
            <w:pPr>
              <w:spacing w:after="0"/>
              <w:rPr>
                <w:sz w:val="11"/>
                <w:szCs w:val="11"/>
                <w:color w:val="auto"/>
              </w:rPr>
            </w:pPr>
          </w:p>
        </w:tc>
        <w:tc>
          <w:tcPr>
            <w:tcW w:w="48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8"/>
              </w:rPr>
              <w:t>31, 2023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00" w:type="dxa"/>
            <w:vAlign w:val="bottom"/>
          </w:tcPr>
          <w:p>
            <w:pPr>
              <w:spacing w:after="0"/>
              <w:rPr>
                <w:sz w:val="11"/>
                <w:szCs w:val="11"/>
                <w:color w:val="auto"/>
              </w:rPr>
            </w:pPr>
          </w:p>
        </w:tc>
        <w:tc>
          <w:tcPr>
            <w:tcW w:w="46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0" w:type="dxa"/>
            <w:vAlign w:val="bottom"/>
          </w:tcPr>
          <w:p>
            <w:pPr>
              <w:spacing w:after="0"/>
              <w:rPr>
                <w:sz w:val="1"/>
                <w:szCs w:val="1"/>
                <w:color w:val="auto"/>
              </w:rPr>
            </w:pPr>
          </w:p>
        </w:tc>
      </w:tr>
      <w:tr>
        <w:trPr>
          <w:trHeight w:val="132"/>
        </w:trPr>
        <w:tc>
          <w:tcPr>
            <w:tcW w:w="264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0"/>
                <w:szCs w:val="10"/>
                <w:b w:val="1"/>
                <w:bCs w:val="1"/>
                <w:i w:val="1"/>
                <w:iCs w:val="1"/>
                <w:color w:val="auto"/>
              </w:rPr>
              <w:t>Controlled investments</w:t>
            </w:r>
            <w:r>
              <w:rPr>
                <w:rFonts w:ascii="Times New Roman" w:cs="Times New Roman" w:eastAsia="Times New Roman" w:hAnsi="Times New Roman"/>
                <w:sz w:val="12"/>
                <w:szCs w:val="12"/>
                <w:b w:val="1"/>
                <w:bCs w:val="1"/>
                <w:i w:val="1"/>
                <w:iCs w:val="1"/>
                <w:color w:val="auto"/>
                <w:vertAlign w:val="superscript"/>
              </w:rPr>
              <w:t>(3)</w:t>
            </w:r>
          </w:p>
        </w:tc>
        <w:tc>
          <w:tcPr>
            <w:tcW w:w="1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640" w:type="dxa"/>
            <w:vAlign w:val="bottom"/>
          </w:tcPr>
          <w:p>
            <w:pPr>
              <w:ind w:left="20"/>
              <w:spacing w:after="0" w:line="132" w:lineRule="exact"/>
              <w:rPr>
                <w:sz w:val="20"/>
                <w:szCs w:val="20"/>
                <w:color w:val="auto"/>
              </w:rPr>
            </w:pPr>
            <w:r>
              <w:rPr>
                <w:rFonts w:ascii="Times New Roman" w:cs="Times New Roman" w:eastAsia="Times New Roman" w:hAnsi="Times New Roman"/>
                <w:sz w:val="11"/>
                <w:szCs w:val="11"/>
                <w:color w:val="auto"/>
              </w:rPr>
              <w:t>Asset Manager Affiliates</w:t>
            </w:r>
            <w:r>
              <w:rPr>
                <w:rFonts w:ascii="Times New Roman" w:cs="Times New Roman" w:eastAsia="Times New Roman" w:hAnsi="Times New Roman"/>
                <w:sz w:val="14"/>
                <w:szCs w:val="14"/>
                <w:color w:val="auto"/>
                <w:vertAlign w:val="superscript"/>
              </w:rPr>
              <w:t>(2)</w:t>
            </w:r>
          </w:p>
        </w:tc>
        <w:tc>
          <w:tcPr>
            <w:tcW w:w="15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Asset</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640" w:type="dxa"/>
            <w:vAlign w:val="bottom"/>
          </w:tcPr>
          <w:p>
            <w:pPr>
              <w:spacing w:after="0"/>
              <w:rPr>
                <w:sz w:val="11"/>
                <w:szCs w:val="11"/>
                <w:color w:val="auto"/>
              </w:rPr>
            </w:pPr>
          </w:p>
        </w:tc>
        <w:tc>
          <w:tcPr>
            <w:tcW w:w="15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Management</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640" w:type="dxa"/>
            <w:vAlign w:val="bottom"/>
          </w:tcPr>
          <w:p>
            <w:pPr>
              <w:spacing w:after="0"/>
              <w:rPr>
                <w:sz w:val="11"/>
                <w:szCs w:val="11"/>
                <w:color w:val="auto"/>
              </w:rPr>
            </w:pPr>
          </w:p>
        </w:tc>
        <w:tc>
          <w:tcPr>
            <w:tcW w:w="15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Company</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6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64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1"/>
                <w:szCs w:val="11"/>
                <w:color w:val="auto"/>
                <w:w w:val="98"/>
              </w:rPr>
              <w:t>Tank Partners Equipment Holdings, LLC - Class A Units</w:t>
            </w:r>
            <w:r>
              <w:rPr>
                <w:rFonts w:ascii="Times New Roman" w:cs="Times New Roman" w:eastAsia="Times New Roman" w:hAnsi="Times New Roman"/>
                <w:sz w:val="14"/>
                <w:szCs w:val="14"/>
                <w:color w:val="auto"/>
                <w:w w:val="98"/>
                <w:vertAlign w:val="superscript"/>
              </w:rPr>
              <w:t>(5)</w:t>
            </w:r>
          </w:p>
        </w:tc>
        <w:tc>
          <w:tcPr>
            <w:tcW w:w="1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Energy: Oil &amp;</w:t>
            </w:r>
          </w:p>
        </w:tc>
        <w:tc>
          <w:tcPr>
            <w:tcW w:w="120" w:type="dxa"/>
            <w:vAlign w:val="bottom"/>
            <w:shd w:val="clear" w:color="auto" w:fill="CFF0FC"/>
          </w:tcPr>
          <w:p>
            <w:pPr>
              <w:spacing w:after="0"/>
              <w:rPr>
                <w:sz w:val="11"/>
                <w:szCs w:val="11"/>
                <w:color w:val="auto"/>
              </w:rPr>
            </w:pP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640" w:type="dxa"/>
            <w:vAlign w:val="bottom"/>
            <w:shd w:val="clear" w:color="auto" w:fill="CFF0FC"/>
          </w:tcPr>
          <w:p>
            <w:pPr>
              <w:spacing w:after="0"/>
              <w:rPr>
                <w:sz w:val="11"/>
                <w:szCs w:val="11"/>
                <w:color w:val="auto"/>
              </w:rPr>
            </w:pPr>
          </w:p>
        </w:tc>
        <w:tc>
          <w:tcPr>
            <w:tcW w:w="1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Gas</w:t>
            </w:r>
          </w:p>
        </w:tc>
        <w:tc>
          <w:tcPr>
            <w:tcW w:w="120" w:type="dxa"/>
            <w:vAlign w:val="bottom"/>
            <w:shd w:val="clear" w:color="auto" w:fill="CFF0FC"/>
          </w:tcPr>
          <w:p>
            <w:pPr>
              <w:spacing w:after="0"/>
              <w:rPr>
                <w:sz w:val="11"/>
                <w:szCs w:val="11"/>
                <w:color w:val="auto"/>
              </w:rPr>
            </w:pPr>
          </w:p>
        </w:tc>
        <w:tc>
          <w:tcPr>
            <w:tcW w:w="44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6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49,000</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Tank Partners Equipment Holdings, LLC</w:t>
            </w:r>
          </w:p>
        </w:tc>
        <w:tc>
          <w:tcPr>
            <w:tcW w:w="15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Energy: Oil &amp;</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640" w:type="dxa"/>
            <w:vAlign w:val="bottom"/>
          </w:tcPr>
          <w:p>
            <w:pPr>
              <w:spacing w:after="0"/>
              <w:rPr>
                <w:sz w:val="11"/>
                <w:szCs w:val="11"/>
                <w:color w:val="auto"/>
              </w:rPr>
            </w:pPr>
          </w:p>
        </w:tc>
        <w:tc>
          <w:tcPr>
            <w:tcW w:w="15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Gas</w:t>
            </w: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8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6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64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1"/>
                <w:szCs w:val="11"/>
                <w:color w:val="auto"/>
              </w:rPr>
              <w:t>Flight Lease VII</w:t>
            </w:r>
            <w:r>
              <w:rPr>
                <w:rFonts w:ascii="Times New Roman" w:cs="Times New Roman" w:eastAsia="Times New Roman" w:hAnsi="Times New Roman"/>
                <w:sz w:val="14"/>
                <w:szCs w:val="14"/>
                <w:color w:val="auto"/>
                <w:vertAlign w:val="superscript"/>
              </w:rPr>
              <w:t>(5)</w:t>
            </w:r>
          </w:p>
        </w:tc>
        <w:tc>
          <w:tcPr>
            <w:tcW w:w="1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Aerospace and Defense</w:t>
            </w: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242</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(248 )</w:t>
            </w:r>
          </w:p>
        </w:tc>
        <w:tc>
          <w:tcPr>
            <w:tcW w:w="120" w:type="dxa"/>
            <w:vAlign w:val="bottom"/>
            <w:shd w:val="clear" w:color="auto" w:fill="CFF0FC"/>
          </w:tcPr>
          <w:p>
            <w:pPr>
              <w:spacing w:after="0"/>
              <w:rPr>
                <w:sz w:val="11"/>
                <w:szCs w:val="1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1"/>
                <w:szCs w:val="11"/>
                <w:color w:val="auto"/>
              </w:rPr>
              <w:t>(33 )</w:t>
            </w: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640" w:type="dxa"/>
            <w:vAlign w:val="bottom"/>
          </w:tcPr>
          <w:p>
            <w:pPr>
              <w:ind w:left="20"/>
              <w:spacing w:after="0" w:line="132" w:lineRule="exact"/>
              <w:rPr>
                <w:sz w:val="20"/>
                <w:szCs w:val="20"/>
                <w:color w:val="auto"/>
              </w:rPr>
            </w:pPr>
            <w:r>
              <w:rPr>
                <w:rFonts w:ascii="Times New Roman" w:cs="Times New Roman" w:eastAsia="Times New Roman" w:hAnsi="Times New Roman"/>
                <w:sz w:val="11"/>
                <w:szCs w:val="11"/>
                <w:color w:val="auto"/>
              </w:rPr>
              <w:t>ProAir, LLC</w:t>
            </w:r>
            <w:r>
              <w:rPr>
                <w:rFonts w:ascii="Times New Roman" w:cs="Times New Roman" w:eastAsia="Times New Roman" w:hAnsi="Times New Roman"/>
                <w:sz w:val="14"/>
                <w:szCs w:val="14"/>
                <w:color w:val="auto"/>
                <w:vertAlign w:val="superscript"/>
              </w:rPr>
              <w:t>(5)</w:t>
            </w:r>
          </w:p>
        </w:tc>
        <w:tc>
          <w:tcPr>
            <w:tcW w:w="15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Capital Equipment</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2,749,9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6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8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6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ProAir, LLC</w:t>
            </w:r>
          </w:p>
        </w:tc>
        <w:tc>
          <w:tcPr>
            <w:tcW w:w="1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Capital Equipment</w:t>
            </w: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6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2,020</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640" w:type="dxa"/>
            <w:vAlign w:val="bottom"/>
          </w:tcPr>
          <w:p>
            <w:pPr>
              <w:ind w:left="20"/>
              <w:spacing w:after="0" w:line="132" w:lineRule="exact"/>
              <w:rPr>
                <w:sz w:val="20"/>
                <w:szCs w:val="20"/>
                <w:color w:val="auto"/>
              </w:rPr>
            </w:pPr>
            <w:r>
              <w:rPr>
                <w:rFonts w:ascii="Times New Roman" w:cs="Times New Roman" w:eastAsia="Times New Roman" w:hAnsi="Times New Roman"/>
                <w:sz w:val="11"/>
                <w:szCs w:val="11"/>
                <w:color w:val="auto"/>
              </w:rPr>
              <w:t>KCAP Freedom 3, LLC</w:t>
            </w:r>
            <w:r>
              <w:rPr>
                <w:rFonts w:ascii="Times New Roman" w:cs="Times New Roman" w:eastAsia="Times New Roman" w:hAnsi="Times New Roman"/>
                <w:sz w:val="14"/>
                <w:szCs w:val="14"/>
                <w:color w:val="auto"/>
                <w:vertAlign w:val="superscript"/>
              </w:rPr>
              <w:t>(2)</w:t>
            </w:r>
          </w:p>
        </w:tc>
        <w:tc>
          <w:tcPr>
            <w:tcW w:w="15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Joint Venture</w:t>
            </w: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18,668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8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(4,393 )</w:t>
            </w:r>
          </w:p>
        </w:tc>
        <w:tc>
          <w:tcPr>
            <w:tcW w:w="60" w:type="dxa"/>
            <w:vAlign w:val="bottom"/>
          </w:tcPr>
          <w:p>
            <w:pPr>
              <w:spacing w:after="0"/>
              <w:rPr>
                <w:sz w:val="11"/>
                <w:szCs w:val="11"/>
                <w:color w:val="auto"/>
              </w:rPr>
            </w:pPr>
          </w:p>
        </w:tc>
        <w:tc>
          <w:tcPr>
            <w:tcW w:w="560" w:type="dxa"/>
            <w:vAlign w:val="bottom"/>
            <w:gridSpan w:val="2"/>
          </w:tcPr>
          <w:p>
            <w:pPr>
              <w:jc w:val="right"/>
              <w:ind w:right="6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14,275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27,220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i w:val="1"/>
                <w:iCs w:val="1"/>
                <w:color w:val="auto"/>
              </w:rPr>
              <w:t>Total controlled investments</w:t>
            </w:r>
          </w:p>
        </w:tc>
        <w:tc>
          <w:tcPr>
            <w:tcW w:w="154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18,953</w:t>
            </w: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(248 )</w:t>
            </w: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1"/>
                <w:szCs w:val="11"/>
                <w:color w:val="auto"/>
              </w:rPr>
              <w:t>(4,354 )</w:t>
            </w: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1"/>
                <w:szCs w:val="11"/>
                <w:color w:val="auto"/>
              </w:rPr>
              <w:t>(33 )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14,318</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4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2,184</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640" w:type="dxa"/>
            <w:vAlign w:val="bottom"/>
          </w:tcPr>
          <w:p>
            <w:pPr>
              <w:ind w:left="20"/>
              <w:spacing w:after="0" w:line="132" w:lineRule="exact"/>
              <w:rPr>
                <w:sz w:val="20"/>
                <w:szCs w:val="20"/>
                <w:color w:val="auto"/>
              </w:rPr>
            </w:pPr>
            <w:r>
              <w:rPr>
                <w:rFonts w:ascii="Times New Roman" w:cs="Times New Roman" w:eastAsia="Times New Roman" w:hAnsi="Times New Roman"/>
                <w:sz w:val="10"/>
                <w:szCs w:val="10"/>
                <w:b w:val="1"/>
                <w:bCs w:val="1"/>
                <w:i w:val="1"/>
                <w:iCs w:val="1"/>
                <w:color w:val="auto"/>
              </w:rPr>
              <w:t>Non-controlled affiliated investments</w:t>
            </w:r>
            <w:r>
              <w:rPr>
                <w:rFonts w:ascii="Times New Roman" w:cs="Times New Roman" w:eastAsia="Times New Roman" w:hAnsi="Times New Roman"/>
                <w:sz w:val="12"/>
                <w:szCs w:val="12"/>
                <w:b w:val="1"/>
                <w:bCs w:val="1"/>
                <w:i w:val="1"/>
                <w:iCs w:val="1"/>
                <w:color w:val="auto"/>
                <w:vertAlign w:val="superscript"/>
              </w:rPr>
              <w:t>(4)</w:t>
            </w: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64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1"/>
                <w:szCs w:val="11"/>
                <w:color w:val="auto"/>
              </w:rPr>
              <w:t>Series A-Great Lakes Funding II LLC</w:t>
            </w:r>
            <w:r>
              <w:rPr>
                <w:rFonts w:ascii="Times New Roman" w:cs="Times New Roman" w:eastAsia="Times New Roman" w:hAnsi="Times New Roman"/>
                <w:sz w:val="14"/>
                <w:szCs w:val="14"/>
                <w:color w:val="auto"/>
                <w:vertAlign w:val="superscript"/>
              </w:rPr>
              <w:t>(2)(6)(7)</w:t>
            </w:r>
          </w:p>
        </w:tc>
        <w:tc>
          <w:tcPr>
            <w:tcW w:w="1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Joint Venture</w:t>
            </w: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40,287</w:t>
            </w: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2,565</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2,160</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FF0FC"/>
          </w:tcPr>
          <w:p>
            <w:pPr>
              <w:jc w:val="right"/>
              <w:ind w:right="6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45,012</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44,000</w:t>
            </w:r>
          </w:p>
        </w:tc>
        <w:tc>
          <w:tcPr>
            <w:tcW w:w="24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6,764</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640" w:type="dxa"/>
            <w:vAlign w:val="bottom"/>
          </w:tcPr>
          <w:p>
            <w:pPr>
              <w:ind w:left="20"/>
              <w:spacing w:after="0" w:line="132" w:lineRule="exact"/>
              <w:rPr>
                <w:sz w:val="20"/>
                <w:szCs w:val="20"/>
                <w:color w:val="auto"/>
              </w:rPr>
            </w:pPr>
            <w:r>
              <w:rPr>
                <w:rFonts w:ascii="Times New Roman" w:cs="Times New Roman" w:eastAsia="Times New Roman" w:hAnsi="Times New Roman"/>
                <w:sz w:val="11"/>
                <w:szCs w:val="11"/>
                <w:color w:val="auto"/>
              </w:rPr>
              <w:t>GreenPark Infrastructure, LLC - Series A</w:t>
            </w:r>
            <w:r>
              <w:rPr>
                <w:rFonts w:ascii="Times New Roman" w:cs="Times New Roman" w:eastAsia="Times New Roman" w:hAnsi="Times New Roman"/>
                <w:sz w:val="14"/>
                <w:szCs w:val="14"/>
                <w:color w:val="auto"/>
                <w:vertAlign w:val="superscript"/>
              </w:rPr>
              <w:t>(5)</w:t>
            </w:r>
          </w:p>
        </w:tc>
        <w:tc>
          <w:tcPr>
            <w:tcW w:w="15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Energy: Electricity</w:t>
            </w: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8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6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64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1"/>
                <w:szCs w:val="11"/>
                <w:color w:val="auto"/>
              </w:rPr>
              <w:t>GreenPark Infrastructure, LLC - Series M-1</w:t>
            </w:r>
            <w:r>
              <w:rPr>
                <w:rFonts w:ascii="Times New Roman" w:cs="Times New Roman" w:eastAsia="Times New Roman" w:hAnsi="Times New Roman"/>
                <w:sz w:val="14"/>
                <w:szCs w:val="14"/>
                <w:color w:val="auto"/>
                <w:vertAlign w:val="superscript"/>
              </w:rPr>
              <w:t>(5)(7)</w:t>
            </w:r>
          </w:p>
        </w:tc>
        <w:tc>
          <w:tcPr>
            <w:tcW w:w="1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Energy: Electricity</w:t>
            </w: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171</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6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171</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640" w:type="dxa"/>
            <w:vAlign w:val="bottom"/>
          </w:tcPr>
          <w:p>
            <w:pPr>
              <w:ind w:left="20"/>
              <w:spacing w:after="0" w:line="132" w:lineRule="exact"/>
              <w:rPr>
                <w:sz w:val="20"/>
                <w:szCs w:val="20"/>
                <w:color w:val="auto"/>
              </w:rPr>
            </w:pPr>
            <w:r>
              <w:rPr>
                <w:rFonts w:ascii="Times New Roman" w:cs="Times New Roman" w:eastAsia="Times New Roman" w:hAnsi="Times New Roman"/>
                <w:sz w:val="11"/>
                <w:szCs w:val="11"/>
                <w:color w:val="auto"/>
              </w:rPr>
              <w:t>Kleen-Tech Acquisition, LLC</w:t>
            </w:r>
            <w:r>
              <w:rPr>
                <w:rFonts w:ascii="Times New Roman" w:cs="Times New Roman" w:eastAsia="Times New Roman" w:hAnsi="Times New Roman"/>
                <w:sz w:val="14"/>
                <w:szCs w:val="14"/>
                <w:color w:val="auto"/>
                <w:vertAlign w:val="superscript"/>
              </w:rPr>
              <w:t>(5)</w:t>
            </w:r>
          </w:p>
        </w:tc>
        <w:tc>
          <w:tcPr>
            <w:tcW w:w="15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Services: Business</w:t>
            </w: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8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(302 )</w:t>
            </w:r>
          </w:p>
        </w:tc>
        <w:tc>
          <w:tcPr>
            <w:tcW w:w="60" w:type="dxa"/>
            <w:vAlign w:val="bottom"/>
          </w:tcPr>
          <w:p>
            <w:pPr>
              <w:spacing w:after="0"/>
              <w:rPr>
                <w:sz w:val="11"/>
                <w:szCs w:val="11"/>
                <w:color w:val="auto"/>
              </w:rPr>
            </w:pPr>
          </w:p>
        </w:tc>
        <w:tc>
          <w:tcPr>
            <w:tcW w:w="560" w:type="dxa"/>
            <w:vAlign w:val="bottom"/>
            <w:gridSpan w:val="2"/>
          </w:tcPr>
          <w:p>
            <w:pPr>
              <w:jc w:val="right"/>
              <w:ind w:right="6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Northeast Metal Works LLC</w:t>
            </w:r>
          </w:p>
        </w:tc>
        <w:tc>
          <w:tcPr>
            <w:tcW w:w="1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Metals &amp; Mining</w:t>
            </w: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13,445</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(4,428 )</w:t>
            </w:r>
          </w:p>
        </w:tc>
        <w:tc>
          <w:tcPr>
            <w:tcW w:w="120" w:type="dxa"/>
            <w:vAlign w:val="bottom"/>
            <w:shd w:val="clear" w:color="auto" w:fill="CFF0FC"/>
          </w:tcPr>
          <w:p>
            <w:pPr>
              <w:spacing w:after="0"/>
              <w:rPr>
                <w:sz w:val="11"/>
                <w:szCs w:val="1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(9,000 )</w:t>
            </w: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1,107</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1"/>
                <w:szCs w:val="11"/>
                <w:color w:val="auto"/>
              </w:rPr>
              <w:t>(1,124 )</w:t>
            </w: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377</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640" w:type="dxa"/>
            <w:vAlign w:val="bottom"/>
          </w:tcPr>
          <w:p>
            <w:pPr>
              <w:ind w:left="20"/>
              <w:spacing w:after="0" w:line="132" w:lineRule="exact"/>
              <w:rPr>
                <w:sz w:val="20"/>
                <w:szCs w:val="20"/>
                <w:color w:val="auto"/>
              </w:rPr>
            </w:pPr>
            <w:r>
              <w:rPr>
                <w:rFonts w:ascii="Times New Roman" w:cs="Times New Roman" w:eastAsia="Times New Roman" w:hAnsi="Times New Roman"/>
                <w:sz w:val="11"/>
                <w:szCs w:val="11"/>
                <w:color w:val="auto"/>
              </w:rPr>
              <w:t>Northeast Metal Works LLC - Preferred</w:t>
            </w:r>
            <w:r>
              <w:rPr>
                <w:rFonts w:ascii="Times New Roman" w:cs="Times New Roman" w:eastAsia="Times New Roman" w:hAnsi="Times New Roman"/>
                <w:sz w:val="14"/>
                <w:szCs w:val="14"/>
                <w:color w:val="auto"/>
                <w:vertAlign w:val="superscript"/>
              </w:rPr>
              <w:t>(5)</w:t>
            </w:r>
          </w:p>
        </w:tc>
        <w:tc>
          <w:tcPr>
            <w:tcW w:w="15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Metals &amp; Mining</w:t>
            </w: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8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6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2,368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64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1"/>
                <w:szCs w:val="11"/>
                <w:color w:val="auto"/>
              </w:rPr>
              <w:t>Northeast Metal Works LLC - Class O Preferred</w:t>
            </w:r>
            <w:r>
              <w:rPr>
                <w:rFonts w:ascii="Times New Roman" w:cs="Times New Roman" w:eastAsia="Times New Roman" w:hAnsi="Times New Roman"/>
                <w:sz w:val="14"/>
                <w:szCs w:val="14"/>
                <w:color w:val="auto"/>
                <w:vertAlign w:val="superscript"/>
              </w:rPr>
              <w:t>(5)</w:t>
            </w:r>
          </w:p>
        </w:tc>
        <w:tc>
          <w:tcPr>
            <w:tcW w:w="1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Metals &amp; Mining</w:t>
            </w: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4,500,0</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640" w:type="dxa"/>
            <w:vAlign w:val="bottom"/>
            <w:shd w:val="clear" w:color="auto" w:fill="CFF0FC"/>
          </w:tcPr>
          <w:p>
            <w:pPr>
              <w:spacing w:after="0"/>
              <w:rPr>
                <w:sz w:val="11"/>
                <w:szCs w:val="11"/>
                <w:color w:val="auto"/>
              </w:rPr>
            </w:pPr>
          </w:p>
        </w:tc>
        <w:tc>
          <w:tcPr>
            <w:tcW w:w="1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4,500</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1"/>
                <w:szCs w:val="11"/>
                <w:color w:val="auto"/>
              </w:rPr>
              <w:t>(318 )</w:t>
            </w:r>
          </w:p>
        </w:tc>
        <w:tc>
          <w:tcPr>
            <w:tcW w:w="6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6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4,182</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333</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Northeast Metal Works LLC</w:t>
            </w:r>
          </w:p>
        </w:tc>
        <w:tc>
          <w:tcPr>
            <w:tcW w:w="15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Metals &amp; Mining</w:t>
            </w: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4,500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(940 )</w:t>
            </w:r>
          </w:p>
        </w:tc>
        <w:tc>
          <w:tcPr>
            <w:tcW w:w="60" w:type="dxa"/>
            <w:vAlign w:val="bottom"/>
          </w:tcPr>
          <w:p>
            <w:pPr>
              <w:spacing w:after="0"/>
              <w:rPr>
                <w:sz w:val="11"/>
                <w:szCs w:val="11"/>
                <w:color w:val="auto"/>
              </w:rPr>
            </w:pPr>
          </w:p>
        </w:tc>
        <w:tc>
          <w:tcPr>
            <w:tcW w:w="560" w:type="dxa"/>
            <w:vAlign w:val="bottom"/>
            <w:gridSpan w:val="2"/>
          </w:tcPr>
          <w:p>
            <w:pPr>
              <w:jc w:val="right"/>
              <w:ind w:right="6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3,560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64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1"/>
                <w:szCs w:val="11"/>
                <w:color w:val="auto"/>
              </w:rPr>
              <w:t>BMP Slappey Holdco, LLC</w:t>
            </w:r>
            <w:r>
              <w:rPr>
                <w:rFonts w:ascii="Times New Roman" w:cs="Times New Roman" w:eastAsia="Times New Roman" w:hAnsi="Times New Roman"/>
                <w:sz w:val="14"/>
                <w:szCs w:val="14"/>
                <w:color w:val="auto"/>
                <w:vertAlign w:val="superscript"/>
              </w:rPr>
              <w:t>(5)</w:t>
            </w:r>
          </w:p>
        </w:tc>
        <w:tc>
          <w:tcPr>
            <w:tcW w:w="1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Telecommunications</w:t>
            </w: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464</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89</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6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553</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200,000</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640" w:type="dxa"/>
            <w:vAlign w:val="bottom"/>
          </w:tcPr>
          <w:p>
            <w:pPr>
              <w:ind w:left="20"/>
              <w:spacing w:after="0" w:line="132" w:lineRule="exact"/>
              <w:rPr>
                <w:sz w:val="20"/>
                <w:szCs w:val="20"/>
                <w:color w:val="auto"/>
              </w:rPr>
            </w:pPr>
            <w:r>
              <w:rPr>
                <w:rFonts w:ascii="Times New Roman" w:cs="Times New Roman" w:eastAsia="Times New Roman" w:hAnsi="Times New Roman"/>
                <w:sz w:val="11"/>
                <w:szCs w:val="11"/>
                <w:color w:val="auto"/>
              </w:rPr>
              <w:t>BMP Slappey Investment II</w:t>
            </w:r>
            <w:r>
              <w:rPr>
                <w:rFonts w:ascii="Times New Roman" w:cs="Times New Roman" w:eastAsia="Times New Roman" w:hAnsi="Times New Roman"/>
                <w:sz w:val="14"/>
                <w:szCs w:val="14"/>
                <w:color w:val="auto"/>
                <w:vertAlign w:val="superscript"/>
              </w:rPr>
              <w:t>(5)</w:t>
            </w:r>
          </w:p>
        </w:tc>
        <w:tc>
          <w:tcPr>
            <w:tcW w:w="15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Telecommunications</w:t>
            </w: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6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88,946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64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1"/>
                <w:szCs w:val="11"/>
                <w:color w:val="auto"/>
              </w:rPr>
              <w:t>Surge Hippodrome Partners LP</w:t>
            </w:r>
            <w:r>
              <w:rPr>
                <w:rFonts w:ascii="Times New Roman" w:cs="Times New Roman" w:eastAsia="Times New Roman" w:hAnsi="Times New Roman"/>
                <w:sz w:val="14"/>
                <w:szCs w:val="14"/>
                <w:color w:val="auto"/>
                <w:vertAlign w:val="superscript"/>
              </w:rPr>
              <w:t>(5)</w:t>
            </w:r>
          </w:p>
        </w:tc>
        <w:tc>
          <w:tcPr>
            <w:tcW w:w="1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Services: Business</w:t>
            </w: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811</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(813 )</w:t>
            </w:r>
          </w:p>
        </w:tc>
        <w:tc>
          <w:tcPr>
            <w:tcW w:w="120" w:type="dxa"/>
            <w:vAlign w:val="bottom"/>
            <w:shd w:val="clear" w:color="auto" w:fill="CFF0FC"/>
          </w:tcPr>
          <w:p>
            <w:pPr>
              <w:spacing w:after="0"/>
              <w:rPr>
                <w:sz w:val="11"/>
                <w:szCs w:val="1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1"/>
                <w:szCs w:val="11"/>
                <w:color w:val="auto"/>
              </w:rPr>
              <w:t>(386 )</w:t>
            </w: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388</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640" w:type="dxa"/>
            <w:vAlign w:val="bottom"/>
          </w:tcPr>
          <w:p>
            <w:pPr>
              <w:ind w:left="20"/>
              <w:spacing w:after="0" w:line="132" w:lineRule="exact"/>
              <w:rPr>
                <w:sz w:val="20"/>
                <w:szCs w:val="20"/>
                <w:color w:val="auto"/>
              </w:rPr>
            </w:pPr>
            <w:r>
              <w:rPr>
                <w:rFonts w:ascii="Times New Roman" w:cs="Times New Roman" w:eastAsia="Times New Roman" w:hAnsi="Times New Roman"/>
                <w:sz w:val="11"/>
                <w:szCs w:val="11"/>
                <w:color w:val="auto"/>
              </w:rPr>
              <w:t>Surge Hippodrome Holdings LLC</w:t>
            </w:r>
            <w:r>
              <w:rPr>
                <w:rFonts w:ascii="Times New Roman" w:cs="Times New Roman" w:eastAsia="Times New Roman" w:hAnsi="Times New Roman"/>
                <w:sz w:val="14"/>
                <w:szCs w:val="14"/>
                <w:color w:val="auto"/>
                <w:vertAlign w:val="superscript"/>
              </w:rPr>
              <w:t>(5)</w:t>
            </w:r>
          </w:p>
        </w:tc>
        <w:tc>
          <w:tcPr>
            <w:tcW w:w="15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Services: Business</w:t>
            </w: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(496 )</w:t>
            </w:r>
          </w:p>
        </w:tc>
        <w:tc>
          <w:tcPr>
            <w:tcW w:w="1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8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(325 )</w:t>
            </w: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Surge Hippodrome Holdings LLC</w:t>
            </w:r>
          </w:p>
        </w:tc>
        <w:tc>
          <w:tcPr>
            <w:tcW w:w="1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Services: Business</w:t>
            </w: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5,165</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(5,460 )</w:t>
            </w:r>
          </w:p>
        </w:tc>
        <w:tc>
          <w:tcPr>
            <w:tcW w:w="120" w:type="dxa"/>
            <w:vAlign w:val="bottom"/>
            <w:shd w:val="clear" w:color="auto" w:fill="CFF0FC"/>
          </w:tcPr>
          <w:p>
            <w:pPr>
              <w:spacing w:after="0"/>
              <w:rPr>
                <w:sz w:val="11"/>
                <w:szCs w:val="1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328</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1"/>
                <w:szCs w:val="11"/>
                <w:color w:val="auto"/>
              </w:rPr>
              <w:t>(33 )</w:t>
            </w:r>
          </w:p>
        </w:tc>
        <w:tc>
          <w:tcPr>
            <w:tcW w:w="6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6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675</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Navex Topco, Inc.</w:t>
            </w:r>
          </w:p>
        </w:tc>
        <w:tc>
          <w:tcPr>
            <w:tcW w:w="15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Electronics</w:t>
            </w: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7,604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(7,700 )</w:t>
            </w:r>
          </w:p>
        </w:tc>
        <w:tc>
          <w:tcPr>
            <w:tcW w:w="1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8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(214 )</w:t>
            </w:r>
          </w:p>
        </w:tc>
        <w:tc>
          <w:tcPr>
            <w:tcW w:w="60" w:type="dxa"/>
            <w:vAlign w:val="bottom"/>
          </w:tcPr>
          <w:p>
            <w:pPr>
              <w:spacing w:after="0"/>
              <w:rPr>
                <w:sz w:val="11"/>
                <w:szCs w:val="11"/>
                <w:color w:val="auto"/>
              </w:rPr>
            </w:pPr>
          </w:p>
        </w:tc>
        <w:tc>
          <w:tcPr>
            <w:tcW w:w="560" w:type="dxa"/>
            <w:vAlign w:val="bottom"/>
            <w:gridSpan w:val="2"/>
          </w:tcPr>
          <w:p>
            <w:pPr>
              <w:jc w:val="right"/>
              <w:ind w:right="6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Zest Acquisition Corp.</w:t>
            </w:r>
          </w:p>
        </w:tc>
        <w:tc>
          <w:tcPr>
            <w:tcW w:w="1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Healthcare, Education and</w:t>
            </w: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640" w:type="dxa"/>
            <w:vAlign w:val="bottom"/>
            <w:shd w:val="clear" w:color="auto" w:fill="CFF0FC"/>
          </w:tcPr>
          <w:p>
            <w:pPr>
              <w:spacing w:after="0"/>
              <w:rPr>
                <w:sz w:val="11"/>
                <w:szCs w:val="11"/>
                <w:color w:val="auto"/>
              </w:rPr>
            </w:pPr>
          </w:p>
        </w:tc>
        <w:tc>
          <w:tcPr>
            <w:tcW w:w="1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Childcare</w:t>
            </w: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3,390</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(3,501 )</w:t>
            </w:r>
          </w:p>
        </w:tc>
        <w:tc>
          <w:tcPr>
            <w:tcW w:w="120" w:type="dxa"/>
            <w:vAlign w:val="bottom"/>
            <w:shd w:val="clear" w:color="auto" w:fill="CFF0FC"/>
          </w:tcPr>
          <w:p>
            <w:pPr>
              <w:spacing w:after="0"/>
              <w:rPr>
                <w:sz w:val="11"/>
                <w:szCs w:val="1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6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b w:val="1"/>
                <w:bCs w:val="1"/>
                <w:i w:val="1"/>
                <w:iCs w:val="1"/>
                <w:color w:val="auto"/>
              </w:rPr>
              <w:t>Total non-controlled affiliated investments</w:t>
            </w:r>
          </w:p>
        </w:tc>
        <w:tc>
          <w:tcPr>
            <w:tcW w:w="1540" w:type="dxa"/>
            <w:vAlign w:val="bottom"/>
          </w:tcPr>
          <w:p>
            <w:pPr>
              <w:spacing w:after="0"/>
              <w:rPr>
                <w:sz w:val="11"/>
                <w:szCs w:val="11"/>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73,827</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(19,833 )</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980</w:t>
            </w:r>
          </w:p>
        </w:tc>
        <w:tc>
          <w:tcPr>
            <w:tcW w:w="100" w:type="dxa"/>
            <w:vAlign w:val="bottom"/>
          </w:tcPr>
          <w:p>
            <w:pPr>
              <w:spacing w:after="0"/>
              <w:rPr>
                <w:sz w:val="11"/>
                <w:szCs w:val="1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2"/>
              <w:spacing w:after="0"/>
              <w:rPr>
                <w:sz w:val="20"/>
                <w:szCs w:val="20"/>
                <w:color w:val="auto"/>
              </w:rPr>
            </w:pPr>
            <w:r>
              <w:rPr>
                <w:rFonts w:ascii="Times New Roman" w:cs="Times New Roman" w:eastAsia="Times New Roman" w:hAnsi="Times New Roman"/>
                <w:sz w:val="11"/>
                <w:szCs w:val="11"/>
                <w:color w:val="auto"/>
              </w:rPr>
              <w:t>(399 )</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55,222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6,764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640" w:type="dxa"/>
            <w:vAlign w:val="bottom"/>
            <w:shd w:val="clear" w:color="auto" w:fill="CFF0FC"/>
          </w:tcPr>
          <w:p>
            <w:pPr>
              <w:spacing w:after="0"/>
              <w:rPr>
                <w:sz w:val="11"/>
                <w:szCs w:val="11"/>
                <w:color w:val="auto"/>
              </w:rPr>
            </w:pPr>
          </w:p>
        </w:tc>
        <w:tc>
          <w:tcPr>
            <w:tcW w:w="1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640" w:type="dxa"/>
            <w:vAlign w:val="bottom"/>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Total non-controlled affiliated and controlled investments</w:t>
            </w:r>
          </w:p>
        </w:tc>
        <w:tc>
          <w:tcPr>
            <w:tcW w:w="1540" w:type="dxa"/>
            <w:vAlign w:val="bottom"/>
          </w:tcPr>
          <w:p>
            <w:pPr>
              <w:spacing w:after="0"/>
              <w:rPr>
                <w:sz w:val="11"/>
                <w:szCs w:val="11"/>
                <w:color w:val="auto"/>
              </w:rPr>
            </w:pPr>
          </w:p>
        </w:tc>
        <w:tc>
          <w:tcPr>
            <w:tcW w:w="120" w:type="dxa"/>
            <w:vAlign w:val="bottom"/>
            <w:tcBorders>
              <w:bottom w:val="single" w:sz="8" w:color="auto"/>
            </w:tcBorders>
          </w:tcPr>
          <w:p>
            <w:pPr>
              <w:jc w:val="right"/>
              <w:ind w:right="6"/>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1"/>
                <w:szCs w:val="11"/>
                <w:color w:val="auto"/>
              </w:rPr>
              <w:t>92,780</w:t>
            </w:r>
          </w:p>
        </w:tc>
        <w:tc>
          <w:tcPr>
            <w:tcW w:w="100" w:type="dxa"/>
            <w:vAlign w:val="bottom"/>
          </w:tcPr>
          <w:p>
            <w:pPr>
              <w:spacing w:after="0"/>
              <w:rPr>
                <w:sz w:val="11"/>
                <w:szCs w:val="11"/>
                <w:color w:val="auto"/>
              </w:rPr>
            </w:pPr>
          </w:p>
        </w:tc>
        <w:tc>
          <w:tcPr>
            <w:tcW w:w="120" w:type="dxa"/>
            <w:vAlign w:val="bottom"/>
            <w:tcBorders>
              <w:bottom w:val="single" w:sz="8" w:color="auto"/>
            </w:tcBorders>
          </w:tcPr>
          <w:p>
            <w:pPr>
              <w:ind w:left="20"/>
              <w:spacing w:after="0" w:line="112" w:lineRule="exact"/>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1"/>
                <w:szCs w:val="11"/>
                <w:color w:val="auto"/>
              </w:rPr>
              <w:t>(20,081</w:t>
            </w:r>
          </w:p>
        </w:tc>
        <w:tc>
          <w:tcPr>
            <w:tcW w:w="10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auto"/>
            </w:tcBorders>
          </w:tcPr>
          <w:p>
            <w:pPr>
              <w:jc w:val="right"/>
              <w:ind w:right="6"/>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1"/>
                <w:szCs w:val="11"/>
                <w:color w:val="auto"/>
              </w:rPr>
              <w:t>647</w:t>
            </w:r>
          </w:p>
        </w:tc>
        <w:tc>
          <w:tcPr>
            <w:tcW w:w="100" w:type="dxa"/>
            <w:vAlign w:val="bottom"/>
          </w:tcPr>
          <w:p>
            <w:pPr>
              <w:spacing w:after="0"/>
              <w:rPr>
                <w:sz w:val="11"/>
                <w:szCs w:val="11"/>
                <w:color w:val="auto"/>
              </w:rPr>
            </w:pPr>
          </w:p>
        </w:tc>
        <w:tc>
          <w:tcPr>
            <w:tcW w:w="6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1"/>
                <w:szCs w:val="11"/>
                <w:color w:val="auto"/>
              </w:rPr>
              <w:t>(3,374</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bottom w:val="single" w:sz="8" w:color="auto"/>
            </w:tcBorders>
          </w:tcPr>
          <w:p>
            <w:pPr>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1"/>
                <w:szCs w:val="11"/>
                <w:color w:val="auto"/>
              </w:rPr>
              <w:t>(432</w:t>
            </w:r>
          </w:p>
        </w:tc>
        <w:tc>
          <w:tcPr>
            <w:tcW w:w="80" w:type="dxa"/>
            <w:vAlign w:val="bottom"/>
          </w:tcPr>
          <w:p>
            <w:pPr>
              <w:jc w:val="right"/>
              <w:ind w:right="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1"/>
                <w:szCs w:val="11"/>
                <w:color w:val="auto"/>
              </w:rPr>
              <w:t>69,540</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jc w:val="right"/>
              <w:ind w:right="6"/>
              <w:spacing w:after="0" w:line="11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1"/>
                <w:szCs w:val="11"/>
                <w:color w:val="auto"/>
              </w:rPr>
              <w:t>2,501</w:t>
            </w:r>
          </w:p>
        </w:tc>
        <w:tc>
          <w:tcPr>
            <w:tcW w:w="100" w:type="dxa"/>
            <w:vAlign w:val="bottom"/>
          </w:tcPr>
          <w:p>
            <w:pPr>
              <w:spacing w:after="0"/>
              <w:rPr>
                <w:sz w:val="11"/>
                <w:szCs w:val="11"/>
                <w:color w:val="auto"/>
              </w:rPr>
            </w:pPr>
          </w:p>
        </w:tc>
        <w:tc>
          <w:tcPr>
            <w:tcW w:w="6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1"/>
                <w:szCs w:val="11"/>
                <w:color w:val="auto"/>
              </w:rPr>
              <w:t>8,948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(1)Fair value of this investment was determined using significant unobservable inputs, unless otherwise noted.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(2)Non-qualified asset for purposes of section 55(a) of the Investment Company Act of 1940.</w:t>
      </w:r>
    </w:p>
    <w:p>
      <w:pPr>
        <w:spacing w:after="0" w:line="102" w:lineRule="exact"/>
        <w:rPr>
          <w:sz w:val="20"/>
          <w:szCs w:val="20"/>
          <w:color w:val="auto"/>
        </w:rPr>
      </w:pPr>
    </w:p>
    <w:p>
      <w:pPr>
        <w:ind w:right="220"/>
        <w:spacing w:after="0" w:line="276" w:lineRule="auto"/>
        <w:rPr>
          <w:sz w:val="20"/>
          <w:szCs w:val="20"/>
          <w:color w:val="auto"/>
        </w:rPr>
      </w:pPr>
      <w:r>
        <w:rPr>
          <w:rFonts w:ascii="Times New Roman" w:cs="Times New Roman" w:eastAsia="Times New Roman" w:hAnsi="Times New Roman"/>
          <w:sz w:val="11"/>
          <w:szCs w:val="11"/>
          <w:color w:val="auto"/>
        </w:rPr>
        <w:t>(3)As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spacing w:after="0" w:line="69" w:lineRule="exact"/>
        <w:rPr>
          <w:sz w:val="20"/>
          <w:szCs w:val="20"/>
          <w:color w:val="auto"/>
        </w:rPr>
      </w:pPr>
    </w:p>
    <w:p>
      <w:pPr>
        <w:ind w:right="220"/>
        <w:spacing w:after="0" w:line="276" w:lineRule="auto"/>
        <w:rPr>
          <w:sz w:val="20"/>
          <w:szCs w:val="20"/>
          <w:color w:val="auto"/>
        </w:rPr>
      </w:pPr>
      <w:r>
        <w:rPr>
          <w:rFonts w:ascii="Times New Roman" w:cs="Times New Roman" w:eastAsia="Times New Roman" w:hAnsi="Times New Roman"/>
          <w:sz w:val="11"/>
          <w:szCs w:val="11"/>
          <w:color w:val="auto"/>
        </w:rPr>
        <w:t>(4)As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(5)Number of shares held.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(6)The investment is valued at the NAV of the underlying fund.</w:t>
      </w:r>
    </w:p>
    <w:p>
      <w:pPr>
        <w:spacing w:after="0" w:line="1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Security has an unfunded commitment in addition to the amounts shown in the Consolidated Schedule of Investments. See Note 8 for additional information on the Company’s commitments and contingencies.</w:t>
      </w:r>
    </w:p>
    <w:p>
      <w:pPr>
        <w:spacing w:after="0" w:line="10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1"/>
          <w:szCs w:val="11"/>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83" w:name="page84"/>
    <w:bookmarkEnd w:id="83"/>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PORTMAN RIDGE FINANCE CORPORATION</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Investment in Joint Ventures</w:t>
      </w:r>
    </w:p>
    <w:p>
      <w:pPr>
        <w:spacing w:after="0" w:line="105" w:lineRule="exact"/>
        <w:rPr>
          <w:sz w:val="20"/>
          <w:szCs w:val="20"/>
          <w:color w:val="auto"/>
        </w:rPr>
      </w:pPr>
    </w:p>
    <w:p>
      <w:pPr>
        <w:ind w:right="20" w:firstLine="348"/>
        <w:spacing w:after="0" w:line="286" w:lineRule="auto"/>
        <w:rPr>
          <w:sz w:val="20"/>
          <w:szCs w:val="20"/>
          <w:color w:val="auto"/>
        </w:rPr>
      </w:pPr>
      <w:r>
        <w:rPr>
          <w:rFonts w:ascii="Times New Roman" w:cs="Times New Roman" w:eastAsia="Times New Roman" w:hAnsi="Times New Roman"/>
          <w:sz w:val="13"/>
          <w:szCs w:val="13"/>
          <w:color w:val="auto"/>
        </w:rPr>
        <w:t>For the years ended December 31, 2024, 2023 and 2022, the Company recognized $6.6 million, $ 8.9 million and $8.6 million, respectively, in investment income from its investments in Joint Ventures. As of December 31, 2024 and December 31, 2023, the aggregate fair value of the Company’s investments in Joint Ventures was approximately $54.2 million and $59.3 million, respectively.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KCAP Freedom 3 LLC</w:t>
      </w:r>
    </w:p>
    <w:p>
      <w:pPr>
        <w:spacing w:after="0" w:line="105" w:lineRule="exact"/>
        <w:rPr>
          <w:sz w:val="20"/>
          <w:szCs w:val="20"/>
          <w:color w:val="auto"/>
        </w:rPr>
      </w:pPr>
    </w:p>
    <w:p>
      <w:pPr>
        <w:jc w:val="both"/>
        <w:ind w:right="280" w:firstLine="348"/>
        <w:spacing w:after="0" w:line="268" w:lineRule="auto"/>
        <w:rPr>
          <w:sz w:val="20"/>
          <w:szCs w:val="20"/>
          <w:color w:val="auto"/>
        </w:rPr>
      </w:pPr>
      <w:r>
        <w:rPr>
          <w:rFonts w:ascii="Times New Roman" w:cs="Times New Roman" w:eastAsia="Times New Roman" w:hAnsi="Times New Roman"/>
          <w:sz w:val="13"/>
          <w:szCs w:val="13"/>
          <w:color w:val="auto"/>
        </w:rPr>
        <w:t>During the third quarter of 2017, the Company and Freedom 3 Opportunities LLC (“Freedom 3 Opportunities”), an affiliate of Freedom 3 Capital LLC, entered into an agreement to create KCAP Freedom 3 LLC (the “F3C Joint Venture”). The fund capitalized by the F3C Joint Venture invests primarily in middle-market loans and the F3C Joint Venture partners may source middle-market loans from time-to-time for the fund.</w:t>
      </w:r>
    </w:p>
    <w:p>
      <w:pPr>
        <w:spacing w:after="0" w:line="63" w:lineRule="exact"/>
        <w:rPr>
          <w:sz w:val="20"/>
          <w:szCs w:val="20"/>
          <w:color w:val="auto"/>
        </w:rPr>
      </w:pPr>
    </w:p>
    <w:p>
      <w:pPr>
        <w:ind w:right="120" w:firstLine="348"/>
        <w:spacing w:after="0" w:line="262" w:lineRule="auto"/>
        <w:rPr>
          <w:sz w:val="20"/>
          <w:szCs w:val="20"/>
          <w:color w:val="auto"/>
        </w:rPr>
      </w:pPr>
      <w:r>
        <w:rPr>
          <w:rFonts w:ascii="Times New Roman" w:cs="Times New Roman" w:eastAsia="Times New Roman" w:hAnsi="Times New Roman"/>
          <w:sz w:val="13"/>
          <w:szCs w:val="13"/>
          <w:color w:val="auto"/>
        </w:rPr>
        <w:t>The Company owns a 62.8% equity investment in the F3C Joint Venture. The F3C Joint Venture is structured as an unconsolidated Delaware limited liability company. All portfolio and other material decisions regarding the F3C Joint Venture must be submitted to its board of managers, which is comprised of four members, two of whom were selected by the Company and two of whom were selected by Freedom 3 Opportunities, and must be approved by at least one member appointed by the Company and one appointed by Freedom 3 Opportunities. In addition, certain matters may be approved by the F3C Joint Venture’s investment committee, which is comprised of one member appointed by the Company and one member appointed by Freedom 3 Opportunities.</w:t>
      </w:r>
    </w:p>
    <w:p>
      <w:pPr>
        <w:spacing w:after="0" w:line="67" w:lineRule="exact"/>
        <w:rPr>
          <w:sz w:val="20"/>
          <w:szCs w:val="20"/>
          <w:color w:val="auto"/>
        </w:rPr>
      </w:pPr>
    </w:p>
    <w:p>
      <w:pPr>
        <w:ind w:right="80" w:firstLine="348"/>
        <w:spacing w:after="0" w:line="262" w:lineRule="auto"/>
        <w:rPr>
          <w:sz w:val="20"/>
          <w:szCs w:val="20"/>
          <w:color w:val="auto"/>
        </w:rPr>
      </w:pPr>
      <w:r>
        <w:rPr>
          <w:rFonts w:ascii="Times New Roman" w:cs="Times New Roman" w:eastAsia="Times New Roman" w:hAnsi="Times New Roman"/>
          <w:sz w:val="13"/>
          <w:szCs w:val="13"/>
          <w:color w:val="auto"/>
        </w:rPr>
        <w:t>The Company has determined that the F3C Joint Venture is an investment company under Accounting Standards Codification (“ASC”), Financial Services — Investment Companies (“ASC 946”), however, in accordance with such guidance, the Company will generally not consolidate its investment in a company other than a wholly owned investment company subsidiary or a controlled operating company whose business consists of providing services to the Company. The Company does not consolidate its interest in the F3C Joint Venture because the Company does not control the F3C Joint Venture due to allocation of the voting rights among the F3C Joint Venture partners.</w:t>
      </w:r>
    </w:p>
    <w:p>
      <w:pPr>
        <w:spacing w:after="0" w:line="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The fair value of the Company’s investment in the F3C Joint Venture as of December 31, 2024 and December 31, 2023 was $13.0 million and $14.3 million, respectively.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Series A – Great Lakes Funding II LLC</w:t>
      </w:r>
    </w:p>
    <w:p>
      <w:pPr>
        <w:spacing w:after="0" w:line="105" w:lineRule="exact"/>
        <w:rPr>
          <w:sz w:val="20"/>
          <w:szCs w:val="20"/>
          <w:color w:val="auto"/>
        </w:rPr>
      </w:pPr>
    </w:p>
    <w:p>
      <w:pPr>
        <w:ind w:right="120" w:firstLine="348"/>
        <w:spacing w:after="0" w:line="268" w:lineRule="auto"/>
        <w:rPr>
          <w:sz w:val="20"/>
          <w:szCs w:val="20"/>
          <w:color w:val="auto"/>
        </w:rPr>
      </w:pPr>
      <w:r>
        <w:rPr>
          <w:rFonts w:ascii="Times New Roman" w:cs="Times New Roman" w:eastAsia="Times New Roman" w:hAnsi="Times New Roman"/>
          <w:sz w:val="13"/>
          <w:szCs w:val="13"/>
          <w:color w:val="auto"/>
        </w:rPr>
        <w:t>In August 2022, the Company invested in Series A – Great Lakes Funding II LLC (the “Great Lakes II Joint Venture,” collectively with the F3C Joint Venture the “Joint Ventures”), a joint venture with a third-party financial institution and certain other parties with an investment strategy to underwrite and hold senior, secured unitranche loans made to middle-market companies. The Company treats its investment in the Great Lakes II Joint Venture as a joint venture since affiliated funds of the Adviser collectively control a 50% voting interest in the Great Lakes II Joint Venture.</w:t>
      </w:r>
    </w:p>
    <w:p>
      <w:pPr>
        <w:spacing w:after="0" w:line="63" w:lineRule="exact"/>
        <w:rPr>
          <w:sz w:val="20"/>
          <w:szCs w:val="20"/>
          <w:color w:val="auto"/>
        </w:rPr>
      </w:pPr>
    </w:p>
    <w:p>
      <w:pPr>
        <w:ind w:right="160" w:firstLine="348"/>
        <w:spacing w:after="0" w:line="262" w:lineRule="auto"/>
        <w:rPr>
          <w:sz w:val="20"/>
          <w:szCs w:val="20"/>
          <w:color w:val="auto"/>
        </w:rPr>
      </w:pPr>
      <w:r>
        <w:rPr>
          <w:rFonts w:ascii="Times New Roman" w:cs="Times New Roman" w:eastAsia="Times New Roman" w:hAnsi="Times New Roman"/>
          <w:sz w:val="13"/>
          <w:szCs w:val="13"/>
          <w:color w:val="auto"/>
        </w:rPr>
        <w:t>The Great Lakes II Joint Venture is a Delaware series limited liability company, and pursuant to the terms of the Great Lakes Funding II LLC Limited Liability Company Agreement (the “Great Lakes II LLC Agreement”), prior to the end of the investment period with respect to each series established under the Great Lakes II LLC Agreement, each member of the predecessor series would be offered the opportunity to roll its interests into any subsequent series of the Great Lakes II Joint Venture. The Company does not pay any advisory fees in connection with its investment in the Great Lakes II Joint Venture.</w:t>
      </w:r>
    </w:p>
    <w:p>
      <w:pPr>
        <w:spacing w:after="0" w:line="67"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3"/>
          <w:szCs w:val="13"/>
          <w:color w:val="auto"/>
        </w:rPr>
        <w:t>The fair value of the Company’s investment in the Great Lakes II Joint Venture at December 31, 2024 and December 31, 2023 was $41.1 million, and $45.0 million, respectively. Fair value has been determined utilizing the practical expedient pursuant to ASC 820-10. Pursuant to the terms of the Great Lakes II LLC Agreement, the Company generally may not effect any direct or indirect sale, transfer, assignment, hypothecation, pledge or other disposition of or encumbrance upon its interests in the Great Lakes II Joint Venture, except that the Company may sell or otherwise transfer its interests with the consent of the managing members of the Great Lakes II Joint Venture or to an affiliate or a successor to substantially all of the assets of the Company.</w:t>
      </w:r>
    </w:p>
    <w:p>
      <w:pPr>
        <w:spacing w:after="0" w:line="67" w:lineRule="exact"/>
        <w:rPr>
          <w:sz w:val="20"/>
          <w:szCs w:val="20"/>
          <w:color w:val="auto"/>
        </w:rPr>
      </w:pPr>
    </w:p>
    <w:p>
      <w:pPr>
        <w:ind w:right="300" w:firstLine="348"/>
        <w:spacing w:after="0" w:line="286" w:lineRule="auto"/>
        <w:rPr>
          <w:sz w:val="20"/>
          <w:szCs w:val="20"/>
          <w:color w:val="auto"/>
        </w:rPr>
      </w:pPr>
      <w:r>
        <w:rPr>
          <w:rFonts w:ascii="Times New Roman" w:cs="Times New Roman" w:eastAsia="Times New Roman" w:hAnsi="Times New Roman"/>
          <w:sz w:val="13"/>
          <w:szCs w:val="13"/>
          <w:color w:val="auto"/>
        </w:rPr>
        <w:t>As of December 31, 2024, the Company has a $8.2 million unfunded commitment to the Great Lakes II Joint Venture. As of December 31, 2023, the Company had a $5.5 million unfunded commitment to the Great Lakes II Joint Venture.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Fair Value Measurements</w:t>
      </w:r>
    </w:p>
    <w:p>
      <w:pPr>
        <w:spacing w:after="0" w:line="105" w:lineRule="exact"/>
        <w:rPr>
          <w:sz w:val="20"/>
          <w:szCs w:val="20"/>
          <w:color w:val="auto"/>
        </w:rPr>
      </w:pPr>
    </w:p>
    <w:p>
      <w:pPr>
        <w:ind w:right="100" w:firstLine="348"/>
        <w:spacing w:after="0" w:line="255" w:lineRule="auto"/>
        <w:rPr>
          <w:sz w:val="20"/>
          <w:szCs w:val="20"/>
          <w:color w:val="auto"/>
        </w:rPr>
      </w:pPr>
      <w:r>
        <w:rPr>
          <w:rFonts w:ascii="Times New Roman" w:cs="Times New Roman" w:eastAsia="Times New Roman" w:hAnsi="Times New Roman"/>
          <w:sz w:val="13"/>
          <w:szCs w:val="13"/>
          <w:color w:val="auto"/>
        </w:rPr>
        <w:t>The Company follows the provisions of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This fair value definition focuses on an exit price in the principle,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2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ASC 820: Fair Value establishes the following three-level hierarchy, based upon the transparency of inputs to the fair value measurement of an asset or liability as of the measurement date:</w:t>
      </w:r>
    </w:p>
    <w:p>
      <w:pPr>
        <w:spacing w:after="0" w:line="103" w:lineRule="exact"/>
        <w:rPr>
          <w:sz w:val="20"/>
          <w:szCs w:val="20"/>
          <w:color w:val="auto"/>
        </w:rPr>
      </w:pPr>
    </w:p>
    <w:p>
      <w:pPr>
        <w:ind w:right="60" w:firstLine="348"/>
        <w:spacing w:after="0" w:line="268" w:lineRule="auto"/>
        <w:rPr>
          <w:sz w:val="20"/>
          <w:szCs w:val="20"/>
          <w:color w:val="auto"/>
        </w:rPr>
      </w:pPr>
      <w:r>
        <w:rPr>
          <w:rFonts w:ascii="Times New Roman" w:cs="Times New Roman" w:eastAsia="Times New Roman" w:hAnsi="Times New Roman"/>
          <w:sz w:val="13"/>
          <w:szCs w:val="13"/>
          <w:color w:val="auto"/>
        </w:rPr>
        <w:t>Level I – Unadjusted quoted prices are available in active markets for identical investments as of the reporting date. The type of investments included in Level I include listed equities and listed securities. As required by ASC 820: Fair Value, the Company does not adjust the quoted price for these investments, even in situations where the Company holds a large position and a sale could reasonably affect the quoted price.</w:t>
      </w:r>
    </w:p>
    <w:p>
      <w:pPr>
        <w:spacing w:after="0" w:line="63" w:lineRule="exact"/>
        <w:rPr>
          <w:sz w:val="20"/>
          <w:szCs w:val="20"/>
          <w:color w:val="auto"/>
        </w:rPr>
      </w:pPr>
    </w:p>
    <w:p>
      <w:pPr>
        <w:ind w:right="40" w:firstLine="348"/>
        <w:spacing w:after="0" w:line="262" w:lineRule="auto"/>
        <w:rPr>
          <w:sz w:val="20"/>
          <w:szCs w:val="20"/>
          <w:color w:val="auto"/>
        </w:rPr>
      </w:pPr>
      <w:r>
        <w:rPr>
          <w:rFonts w:ascii="Times New Roman" w:cs="Times New Roman" w:eastAsia="Times New Roman" w:hAnsi="Times New Roman"/>
          <w:sz w:val="13"/>
          <w:szCs w:val="13"/>
          <w:color w:val="auto"/>
        </w:rPr>
        <w:t>Level II –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7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1"/>
          <w:szCs w:val="11"/>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2" w:right="660"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3"/>
          <w:szCs w:val="13"/>
          <w:b w:val="1"/>
          <w:bCs w:val="1"/>
          <w:color w:val="auto"/>
        </w:rPr>
        <w:t>PORTMAN RIDGE FINANCE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173" w:lineRule="exact"/>
        <w:rPr>
          <w:sz w:val="20"/>
          <w:szCs w:val="20"/>
          <w:color w:val="auto"/>
        </w:rPr>
      </w:pPr>
    </w:p>
    <w:p>
      <w:pPr>
        <w:ind w:firstLine="348"/>
        <w:spacing w:after="0" w:line="259" w:lineRule="auto"/>
        <w:rPr>
          <w:sz w:val="20"/>
          <w:szCs w:val="20"/>
          <w:color w:val="auto"/>
        </w:rPr>
      </w:pPr>
      <w:r>
        <w:rPr>
          <w:rFonts w:ascii="Times New Roman" w:cs="Times New Roman" w:eastAsia="Times New Roman" w:hAnsi="Times New Roman"/>
          <w:sz w:val="13"/>
          <w:szCs w:val="13"/>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70" w:lineRule="exact"/>
        <w:rPr>
          <w:sz w:val="20"/>
          <w:szCs w:val="20"/>
          <w:color w:val="auto"/>
        </w:rPr>
      </w:pPr>
    </w:p>
    <w:p>
      <w:pPr>
        <w:ind w:right="80" w:firstLine="348"/>
        <w:spacing w:after="0" w:line="256" w:lineRule="auto"/>
        <w:rPr>
          <w:sz w:val="20"/>
          <w:szCs w:val="20"/>
          <w:color w:val="auto"/>
        </w:rPr>
      </w:pPr>
      <w:r>
        <w:rPr>
          <w:rFonts w:ascii="Times New Roman" w:cs="Times New Roman" w:eastAsia="Times New Roman" w:hAnsi="Times New Roman"/>
          <w:sz w:val="13"/>
          <w:szCs w:val="13"/>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the Company considers factors specific to the investment. A majority of the Company’s investments are classified as Level III. The Company evaluates the source of inputs, including any markets in which its investments are trading, in determining fair value. Inputs that are highly correlated to the specific investment being valued and those derived from reliable or knowledgeable sources will tend to have a higher weighting in determining fair value. The Company’s fair value determinations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The following table summarizes the fair value of investments by fair value hierarchy levels provided by ASC 820: Fair Value as of December 31, 2024 and December 31, 2023, respectively:</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0"/>
        </w:trPr>
        <w:tc>
          <w:tcPr>
            <w:tcW w:w="21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 in thousands)</w:t>
            </w:r>
          </w:p>
        </w:tc>
        <w:tc>
          <w:tcPr>
            <w:tcW w:w="320" w:type="dxa"/>
            <w:vAlign w:val="bottom"/>
          </w:tcPr>
          <w:p>
            <w:pPr>
              <w:spacing w:after="0"/>
              <w:rPr>
                <w:sz w:val="14"/>
                <w:szCs w:val="14"/>
                <w:color w:val="auto"/>
              </w:rPr>
            </w:pPr>
          </w:p>
        </w:tc>
        <w:tc>
          <w:tcPr>
            <w:tcW w:w="118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Level I</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Level II</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Level III</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NAV</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56"/>
        </w:trPr>
        <w:tc>
          <w:tcPr>
            <w:tcW w:w="2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First Lien Debt</w:t>
            </w:r>
          </w:p>
        </w:tc>
        <w:tc>
          <w:tcPr>
            <w:tcW w:w="32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289,957</w:t>
            </w: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289,957</w:t>
            </w:r>
          </w:p>
        </w:tc>
        <w:tc>
          <w:tcPr>
            <w:tcW w:w="80" w:type="dxa"/>
            <w:vAlign w:val="bottom"/>
            <w:shd w:val="clear" w:color="auto" w:fill="CFF0FC"/>
          </w:tcPr>
          <w:p>
            <w:pPr>
              <w:spacing w:after="0"/>
              <w:rPr>
                <w:sz w:val="13"/>
                <w:szCs w:val="13"/>
                <w:color w:val="auto"/>
              </w:rPr>
            </w:pPr>
          </w:p>
        </w:tc>
      </w:tr>
      <w:tr>
        <w:trPr>
          <w:trHeight w:val="156"/>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Second Lien Debt</w:t>
            </w:r>
          </w:p>
        </w:tc>
        <w:tc>
          <w:tcPr>
            <w:tcW w:w="320" w:type="dxa"/>
            <w:vAlign w:val="bottom"/>
          </w:tcPr>
          <w:p>
            <w:pPr>
              <w:spacing w:after="0"/>
              <w:rPr>
                <w:sz w:val="13"/>
                <w:szCs w:val="13"/>
                <w:color w:val="auto"/>
              </w:rPr>
            </w:pPr>
          </w:p>
        </w:tc>
        <w:tc>
          <w:tcPr>
            <w:tcW w:w="1180" w:type="dxa"/>
            <w:vAlign w:val="bottom"/>
          </w:tcPr>
          <w:p>
            <w:pPr>
              <w:ind w:left="10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2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28,996</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28,996</w:t>
            </w:r>
          </w:p>
        </w:tc>
        <w:tc>
          <w:tcPr>
            <w:tcW w:w="80" w:type="dxa"/>
            <w:vAlign w:val="bottom"/>
          </w:tcPr>
          <w:p>
            <w:pPr>
              <w:spacing w:after="0"/>
              <w:rPr>
                <w:sz w:val="13"/>
                <w:szCs w:val="13"/>
                <w:color w:val="auto"/>
              </w:rPr>
            </w:pPr>
          </w:p>
        </w:tc>
      </w:tr>
      <w:tr>
        <w:trPr>
          <w:trHeight w:val="156"/>
        </w:trPr>
        <w:tc>
          <w:tcPr>
            <w:tcW w:w="2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Subordinated Debt</w:t>
            </w:r>
          </w:p>
        </w:tc>
        <w:tc>
          <w:tcPr>
            <w:tcW w:w="320" w:type="dxa"/>
            <w:vAlign w:val="bottom"/>
            <w:shd w:val="clear" w:color="auto" w:fill="CFF0FC"/>
          </w:tcPr>
          <w:p>
            <w:pPr>
              <w:spacing w:after="0"/>
              <w:rPr>
                <w:sz w:val="13"/>
                <w:szCs w:val="13"/>
                <w:color w:val="auto"/>
              </w:rPr>
            </w:pPr>
          </w:p>
        </w:tc>
        <w:tc>
          <w:tcPr>
            <w:tcW w:w="118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22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1,740</w:t>
            </w: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1,740</w:t>
            </w:r>
          </w:p>
        </w:tc>
        <w:tc>
          <w:tcPr>
            <w:tcW w:w="80" w:type="dxa"/>
            <w:vAlign w:val="bottom"/>
            <w:shd w:val="clear" w:color="auto" w:fill="CFF0FC"/>
          </w:tcPr>
          <w:p>
            <w:pPr>
              <w:spacing w:after="0"/>
              <w:rPr>
                <w:sz w:val="13"/>
                <w:szCs w:val="13"/>
                <w:color w:val="auto"/>
              </w:rPr>
            </w:pPr>
          </w:p>
        </w:tc>
      </w:tr>
      <w:tr>
        <w:trPr>
          <w:trHeight w:val="156"/>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320" w:type="dxa"/>
            <w:vAlign w:val="bottom"/>
          </w:tcPr>
          <w:p>
            <w:pPr>
              <w:spacing w:after="0"/>
              <w:rPr>
                <w:sz w:val="13"/>
                <w:szCs w:val="13"/>
                <w:color w:val="auto"/>
              </w:rPr>
            </w:pPr>
          </w:p>
        </w:tc>
        <w:tc>
          <w:tcPr>
            <w:tcW w:w="1180" w:type="dxa"/>
            <w:vAlign w:val="bottom"/>
          </w:tcPr>
          <w:p>
            <w:pPr>
              <w:ind w:left="10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2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24,762</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24,762</w:t>
            </w:r>
          </w:p>
        </w:tc>
        <w:tc>
          <w:tcPr>
            <w:tcW w:w="80" w:type="dxa"/>
            <w:vAlign w:val="bottom"/>
          </w:tcPr>
          <w:p>
            <w:pPr>
              <w:spacing w:after="0"/>
              <w:rPr>
                <w:sz w:val="13"/>
                <w:szCs w:val="13"/>
                <w:color w:val="auto"/>
              </w:rPr>
            </w:pPr>
          </w:p>
        </w:tc>
      </w:tr>
      <w:tr>
        <w:trPr>
          <w:trHeight w:val="156"/>
        </w:trPr>
        <w:tc>
          <w:tcPr>
            <w:tcW w:w="2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Collateralized Loan Obligations</w:t>
            </w:r>
          </w:p>
        </w:tc>
        <w:tc>
          <w:tcPr>
            <w:tcW w:w="320" w:type="dxa"/>
            <w:vAlign w:val="bottom"/>
            <w:shd w:val="clear" w:color="auto" w:fill="CFF0FC"/>
          </w:tcPr>
          <w:p>
            <w:pPr>
              <w:spacing w:after="0"/>
              <w:rPr>
                <w:sz w:val="13"/>
                <w:szCs w:val="13"/>
                <w:color w:val="auto"/>
              </w:rPr>
            </w:pPr>
          </w:p>
        </w:tc>
        <w:tc>
          <w:tcPr>
            <w:tcW w:w="118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22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5,193</w:t>
            </w: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5,193</w:t>
            </w:r>
          </w:p>
        </w:tc>
        <w:tc>
          <w:tcPr>
            <w:tcW w:w="80" w:type="dxa"/>
            <w:vAlign w:val="bottom"/>
            <w:shd w:val="clear" w:color="auto" w:fill="CFF0FC"/>
          </w:tcPr>
          <w:p>
            <w:pPr>
              <w:spacing w:after="0"/>
              <w:rPr>
                <w:sz w:val="13"/>
                <w:szCs w:val="13"/>
                <w:color w:val="auto"/>
              </w:rPr>
            </w:pPr>
          </w:p>
        </w:tc>
      </w:tr>
      <w:tr>
        <w:trPr>
          <w:trHeight w:val="156"/>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Joint Ventures</w:t>
            </w:r>
          </w:p>
        </w:tc>
        <w:tc>
          <w:tcPr>
            <w:tcW w:w="320" w:type="dxa"/>
            <w:vAlign w:val="bottom"/>
          </w:tcPr>
          <w:p>
            <w:pPr>
              <w:spacing w:after="0"/>
              <w:rPr>
                <w:sz w:val="13"/>
                <w:szCs w:val="13"/>
                <w:color w:val="auto"/>
              </w:rPr>
            </w:pPr>
          </w:p>
        </w:tc>
        <w:tc>
          <w:tcPr>
            <w:tcW w:w="1180" w:type="dxa"/>
            <w:vAlign w:val="bottom"/>
          </w:tcPr>
          <w:p>
            <w:pPr>
              <w:ind w:left="10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2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13,015</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41,138</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54,153</w:t>
            </w:r>
          </w:p>
        </w:tc>
        <w:tc>
          <w:tcPr>
            <w:tcW w:w="80" w:type="dxa"/>
            <w:vAlign w:val="bottom"/>
          </w:tcPr>
          <w:p>
            <w:pPr>
              <w:spacing w:after="0"/>
              <w:rPr>
                <w:sz w:val="13"/>
                <w:szCs w:val="13"/>
                <w:color w:val="auto"/>
              </w:rPr>
            </w:pPr>
          </w:p>
        </w:tc>
      </w:tr>
      <w:tr>
        <w:trPr>
          <w:trHeight w:val="156"/>
        </w:trPr>
        <w:tc>
          <w:tcPr>
            <w:tcW w:w="2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Derivatives</w:t>
            </w:r>
          </w:p>
        </w:tc>
        <w:tc>
          <w:tcPr>
            <w:tcW w:w="320" w:type="dxa"/>
            <w:vAlign w:val="bottom"/>
            <w:shd w:val="clear" w:color="auto" w:fill="CFF0FC"/>
          </w:tcPr>
          <w:p>
            <w:pPr>
              <w:spacing w:after="0"/>
              <w:rPr>
                <w:sz w:val="13"/>
                <w:szCs w:val="13"/>
                <w:color w:val="auto"/>
              </w:rPr>
            </w:pPr>
          </w:p>
        </w:tc>
        <w:tc>
          <w:tcPr>
            <w:tcW w:w="118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22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80" w:type="dxa"/>
            <w:vAlign w:val="bottom"/>
            <w:shd w:val="clear" w:color="auto" w:fill="CFF0FC"/>
          </w:tcPr>
          <w:p>
            <w:pPr>
              <w:spacing w:after="0"/>
              <w:rPr>
                <w:sz w:val="13"/>
                <w:szCs w:val="13"/>
                <w:color w:val="auto"/>
              </w:rPr>
            </w:pPr>
          </w:p>
        </w:tc>
      </w:tr>
      <w:tr>
        <w:trPr>
          <w:trHeight w:val="156"/>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3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ind w:left="104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363,883</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41,138</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405,021</w:t>
            </w:r>
          </w:p>
        </w:tc>
        <w:tc>
          <w:tcPr>
            <w:tcW w:w="80" w:type="dxa"/>
            <w:vAlign w:val="bottom"/>
          </w:tcPr>
          <w:p>
            <w:pPr>
              <w:spacing w:after="0"/>
              <w:rPr>
                <w:sz w:val="13"/>
                <w:szCs w:val="13"/>
                <w:color w:val="auto"/>
              </w:rPr>
            </w:pPr>
          </w:p>
        </w:tc>
      </w:tr>
      <w:tr>
        <w:trPr>
          <w:trHeight w:val="20"/>
        </w:trPr>
        <w:tc>
          <w:tcPr>
            <w:tcW w:w="2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As of December 31, 2023</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0"/>
        </w:trPr>
        <w:tc>
          <w:tcPr>
            <w:tcW w:w="21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 in thousands)</w:t>
            </w:r>
          </w:p>
        </w:tc>
        <w:tc>
          <w:tcPr>
            <w:tcW w:w="320" w:type="dxa"/>
            <w:vAlign w:val="bottom"/>
          </w:tcPr>
          <w:p>
            <w:pPr>
              <w:spacing w:after="0"/>
              <w:rPr>
                <w:sz w:val="14"/>
                <w:szCs w:val="14"/>
                <w:color w:val="auto"/>
              </w:rPr>
            </w:pPr>
          </w:p>
        </w:tc>
        <w:tc>
          <w:tcPr>
            <w:tcW w:w="118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Level I</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Level II</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Level III</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NAV</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56"/>
        </w:trPr>
        <w:tc>
          <w:tcPr>
            <w:tcW w:w="2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First Lien Debt</w:t>
            </w:r>
          </w:p>
        </w:tc>
        <w:tc>
          <w:tcPr>
            <w:tcW w:w="32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47,303</w:t>
            </w:r>
          </w:p>
        </w:tc>
        <w:tc>
          <w:tcPr>
            <w:tcW w:w="5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289,295</w:t>
            </w: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336,598</w:t>
            </w:r>
          </w:p>
        </w:tc>
        <w:tc>
          <w:tcPr>
            <w:tcW w:w="80" w:type="dxa"/>
            <w:vAlign w:val="bottom"/>
            <w:shd w:val="clear" w:color="auto" w:fill="CFF0FC"/>
          </w:tcPr>
          <w:p>
            <w:pPr>
              <w:spacing w:after="0"/>
              <w:rPr>
                <w:sz w:val="13"/>
                <w:szCs w:val="13"/>
                <w:color w:val="auto"/>
              </w:rPr>
            </w:pPr>
          </w:p>
        </w:tc>
      </w:tr>
      <w:tr>
        <w:trPr>
          <w:trHeight w:val="156"/>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Second Lien Debt</w:t>
            </w:r>
          </w:p>
        </w:tc>
        <w:tc>
          <w:tcPr>
            <w:tcW w:w="320" w:type="dxa"/>
            <w:vAlign w:val="bottom"/>
          </w:tcPr>
          <w:p>
            <w:pPr>
              <w:spacing w:after="0"/>
              <w:rPr>
                <w:sz w:val="13"/>
                <w:szCs w:val="13"/>
                <w:color w:val="auto"/>
              </w:rPr>
            </w:pPr>
          </w:p>
        </w:tc>
        <w:tc>
          <w:tcPr>
            <w:tcW w:w="1180" w:type="dxa"/>
            <w:vAlign w:val="bottom"/>
          </w:tcPr>
          <w:p>
            <w:pPr>
              <w:ind w:left="10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18,022</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23,232</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41,254</w:t>
            </w:r>
          </w:p>
        </w:tc>
        <w:tc>
          <w:tcPr>
            <w:tcW w:w="80" w:type="dxa"/>
            <w:vAlign w:val="bottom"/>
          </w:tcPr>
          <w:p>
            <w:pPr>
              <w:spacing w:after="0"/>
              <w:rPr>
                <w:sz w:val="13"/>
                <w:szCs w:val="13"/>
                <w:color w:val="auto"/>
              </w:rPr>
            </w:pPr>
          </w:p>
        </w:tc>
      </w:tr>
      <w:tr>
        <w:trPr>
          <w:trHeight w:val="156"/>
        </w:trPr>
        <w:tc>
          <w:tcPr>
            <w:tcW w:w="2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Subordinated Debt</w:t>
            </w:r>
          </w:p>
        </w:tc>
        <w:tc>
          <w:tcPr>
            <w:tcW w:w="320" w:type="dxa"/>
            <w:vAlign w:val="bottom"/>
            <w:shd w:val="clear" w:color="auto" w:fill="CFF0FC"/>
          </w:tcPr>
          <w:p>
            <w:pPr>
              <w:spacing w:after="0"/>
              <w:rPr>
                <w:sz w:val="13"/>
                <w:szCs w:val="13"/>
                <w:color w:val="auto"/>
              </w:rPr>
            </w:pPr>
          </w:p>
        </w:tc>
        <w:tc>
          <w:tcPr>
            <w:tcW w:w="118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1,225</w:t>
            </w: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1,225</w:t>
            </w:r>
          </w:p>
        </w:tc>
        <w:tc>
          <w:tcPr>
            <w:tcW w:w="80" w:type="dxa"/>
            <w:vAlign w:val="bottom"/>
            <w:shd w:val="clear" w:color="auto" w:fill="CFF0FC"/>
          </w:tcPr>
          <w:p>
            <w:pPr>
              <w:spacing w:after="0"/>
              <w:rPr>
                <w:sz w:val="13"/>
                <w:szCs w:val="13"/>
                <w:color w:val="auto"/>
              </w:rPr>
            </w:pPr>
          </w:p>
        </w:tc>
      </w:tr>
      <w:tr>
        <w:trPr>
          <w:trHeight w:val="156"/>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320" w:type="dxa"/>
            <w:vAlign w:val="bottom"/>
          </w:tcPr>
          <w:p>
            <w:pPr>
              <w:spacing w:after="0"/>
              <w:rPr>
                <w:sz w:val="13"/>
                <w:szCs w:val="13"/>
                <w:color w:val="auto"/>
              </w:rPr>
            </w:pPr>
          </w:p>
        </w:tc>
        <w:tc>
          <w:tcPr>
            <w:tcW w:w="1180" w:type="dxa"/>
            <w:vAlign w:val="bottom"/>
          </w:tcPr>
          <w:p>
            <w:pPr>
              <w:ind w:left="10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20,533</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20,533</w:t>
            </w:r>
          </w:p>
        </w:tc>
        <w:tc>
          <w:tcPr>
            <w:tcW w:w="80" w:type="dxa"/>
            <w:vAlign w:val="bottom"/>
          </w:tcPr>
          <w:p>
            <w:pPr>
              <w:spacing w:after="0"/>
              <w:rPr>
                <w:sz w:val="13"/>
                <w:szCs w:val="13"/>
                <w:color w:val="auto"/>
              </w:rPr>
            </w:pPr>
          </w:p>
        </w:tc>
      </w:tr>
      <w:tr>
        <w:trPr>
          <w:trHeight w:val="156"/>
        </w:trPr>
        <w:tc>
          <w:tcPr>
            <w:tcW w:w="2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Collateralized Loan Obligations</w:t>
            </w:r>
          </w:p>
        </w:tc>
        <w:tc>
          <w:tcPr>
            <w:tcW w:w="320" w:type="dxa"/>
            <w:vAlign w:val="bottom"/>
            <w:shd w:val="clear" w:color="auto" w:fill="CFF0FC"/>
          </w:tcPr>
          <w:p>
            <w:pPr>
              <w:spacing w:after="0"/>
              <w:rPr>
                <w:sz w:val="13"/>
                <w:szCs w:val="13"/>
                <w:color w:val="auto"/>
              </w:rPr>
            </w:pPr>
          </w:p>
        </w:tc>
        <w:tc>
          <w:tcPr>
            <w:tcW w:w="118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8,968</w:t>
            </w: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8,968</w:t>
            </w:r>
          </w:p>
        </w:tc>
        <w:tc>
          <w:tcPr>
            <w:tcW w:w="80" w:type="dxa"/>
            <w:vAlign w:val="bottom"/>
            <w:shd w:val="clear" w:color="auto" w:fill="CFF0FC"/>
          </w:tcPr>
          <w:p>
            <w:pPr>
              <w:spacing w:after="0"/>
              <w:rPr>
                <w:sz w:val="13"/>
                <w:szCs w:val="13"/>
                <w:color w:val="auto"/>
              </w:rPr>
            </w:pPr>
          </w:p>
        </w:tc>
      </w:tr>
      <w:tr>
        <w:trPr>
          <w:trHeight w:val="156"/>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Joint Ventures</w:t>
            </w:r>
          </w:p>
        </w:tc>
        <w:tc>
          <w:tcPr>
            <w:tcW w:w="320" w:type="dxa"/>
            <w:vAlign w:val="bottom"/>
          </w:tcPr>
          <w:p>
            <w:pPr>
              <w:spacing w:after="0"/>
              <w:rPr>
                <w:sz w:val="13"/>
                <w:szCs w:val="13"/>
                <w:color w:val="auto"/>
              </w:rPr>
            </w:pPr>
          </w:p>
        </w:tc>
        <w:tc>
          <w:tcPr>
            <w:tcW w:w="1180" w:type="dxa"/>
            <w:vAlign w:val="bottom"/>
          </w:tcPr>
          <w:p>
            <w:pPr>
              <w:ind w:left="10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14,275</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45,012</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59,287</w:t>
            </w:r>
          </w:p>
        </w:tc>
        <w:tc>
          <w:tcPr>
            <w:tcW w:w="80" w:type="dxa"/>
            <w:vAlign w:val="bottom"/>
          </w:tcPr>
          <w:p>
            <w:pPr>
              <w:spacing w:after="0"/>
              <w:rPr>
                <w:sz w:val="13"/>
                <w:szCs w:val="13"/>
                <w:color w:val="auto"/>
              </w:rPr>
            </w:pPr>
          </w:p>
        </w:tc>
      </w:tr>
      <w:tr>
        <w:trPr>
          <w:trHeight w:val="156"/>
        </w:trPr>
        <w:tc>
          <w:tcPr>
            <w:tcW w:w="2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Derivatives</w:t>
            </w:r>
          </w:p>
        </w:tc>
        <w:tc>
          <w:tcPr>
            <w:tcW w:w="320" w:type="dxa"/>
            <w:vAlign w:val="bottom"/>
            <w:shd w:val="clear" w:color="auto" w:fill="CFF0FC"/>
          </w:tcPr>
          <w:p>
            <w:pPr>
              <w:spacing w:after="0"/>
              <w:rPr>
                <w:sz w:val="13"/>
                <w:szCs w:val="13"/>
                <w:color w:val="auto"/>
              </w:rPr>
            </w:pPr>
          </w:p>
        </w:tc>
        <w:tc>
          <w:tcPr>
            <w:tcW w:w="118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3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ind w:left="104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65,325</w:t>
            </w: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357,528</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45,012</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467,865</w:t>
            </w:r>
          </w:p>
        </w:tc>
        <w:tc>
          <w:tcPr>
            <w:tcW w:w="80" w:type="dxa"/>
            <w:vAlign w:val="bottom"/>
          </w:tcPr>
          <w:p>
            <w:pPr>
              <w:spacing w:after="0"/>
              <w:rPr>
                <w:sz w:val="13"/>
                <w:szCs w:val="13"/>
                <w:color w:val="auto"/>
              </w:rPr>
            </w:pPr>
          </w:p>
        </w:tc>
      </w:tr>
      <w:tr>
        <w:trPr>
          <w:trHeight w:val="20"/>
        </w:trPr>
        <w:tc>
          <w:tcPr>
            <w:tcW w:w="2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2" w:lineRule="exact"/>
        <w:rPr>
          <w:sz w:val="20"/>
          <w:szCs w:val="20"/>
          <w:color w:val="auto"/>
        </w:rPr>
      </w:pPr>
    </w:p>
    <w:p>
      <w:pPr>
        <w:jc w:val="both"/>
        <w:ind w:right="140" w:firstLine="348"/>
        <w:spacing w:after="0" w:line="268" w:lineRule="auto"/>
        <w:rPr>
          <w:sz w:val="20"/>
          <w:szCs w:val="20"/>
          <w:color w:val="auto"/>
        </w:rPr>
      </w:pPr>
      <w:r>
        <w:rPr>
          <w:rFonts w:ascii="Times New Roman" w:cs="Times New Roman" w:eastAsia="Times New Roman" w:hAnsi="Times New Roman"/>
          <w:sz w:val="13"/>
          <w:szCs w:val="13"/>
          <w:color w:val="auto"/>
        </w:rPr>
        <w:t>As a BDC, the Company is required to invest primarily in the debt and equity of non-public companies for which there is little, if any, market-observable information. As a result, a significant portion of the Company’s investments at any given time will likely be deemed Level III investments. Investment values derived by a third-party pricing service are generally deemed to be Level III values. For those that have observable trades, the Company considers them to be Level II.</w:t>
      </w:r>
    </w:p>
    <w:p>
      <w:pPr>
        <w:spacing w:after="0" w:line="63" w:lineRule="exact"/>
        <w:rPr>
          <w:sz w:val="20"/>
          <w:szCs w:val="20"/>
          <w:color w:val="auto"/>
        </w:rPr>
      </w:pPr>
    </w:p>
    <w:p>
      <w:pPr>
        <w:ind w:right="80" w:firstLine="348"/>
        <w:spacing w:after="0" w:line="286" w:lineRule="auto"/>
        <w:rPr>
          <w:sz w:val="20"/>
          <w:szCs w:val="20"/>
          <w:color w:val="auto"/>
        </w:rPr>
      </w:pPr>
      <w:r>
        <w:rPr>
          <w:rFonts w:ascii="Times New Roman" w:cs="Times New Roman" w:eastAsia="Times New Roman" w:hAnsi="Times New Roman"/>
          <w:sz w:val="13"/>
          <w:szCs w:val="13"/>
          <w:color w:val="auto"/>
        </w:rPr>
        <w:t>The fair value of the Company’s investment in the Great Lakes II Joint Venture at December 31, 2024 and December 31, 2023 was $41.1 million and $45.0 million, respectively. Fair value has been determined utilizing the practical expedient pursuant to ASC 820-10.</w:t>
      </w:r>
    </w:p>
    <w:p>
      <w:pPr>
        <w:spacing w:after="0" w:line="52" w:lineRule="exact"/>
        <w:rPr>
          <w:sz w:val="20"/>
          <w:szCs w:val="20"/>
          <w:color w:val="auto"/>
        </w:rPr>
      </w:pPr>
    </w:p>
    <w:p>
      <w:pPr>
        <w:ind w:right="80" w:firstLine="348"/>
        <w:spacing w:after="0" w:line="262" w:lineRule="auto"/>
        <w:rPr>
          <w:sz w:val="20"/>
          <w:szCs w:val="20"/>
          <w:color w:val="auto"/>
        </w:rPr>
      </w:pPr>
      <w:r>
        <w:rPr>
          <w:rFonts w:ascii="Times New Roman" w:cs="Times New Roman" w:eastAsia="Times New Roman" w:hAnsi="Times New Roman"/>
          <w:sz w:val="13"/>
          <w:szCs w:val="13"/>
          <w:color w:val="auto"/>
        </w:rPr>
        <w:t>Subject to the limitations noted above, values derived for debt and equity securities using comparable public/private companies generally utilize market-observable data from such comparables and specific, non-public and non-observable financial measures (such as earnings or cash flows) for the private, underlying company/issuer. Such non-observable company/issuer data is typically provided on a monthly or quarterly basis, is certified as correct by the management of the company/issuer and/or audited by an independent accounting firm on an annual basis. Since such private company/issuer data is not publicly available it is not deemed market-observable data and, as a result, such investment values are grouped as Level III assets.</w:t>
      </w:r>
    </w:p>
    <w:p>
      <w:pPr>
        <w:spacing w:after="0" w:line="67" w:lineRule="exact"/>
        <w:rPr>
          <w:sz w:val="20"/>
          <w:szCs w:val="20"/>
          <w:color w:val="auto"/>
        </w:rPr>
      </w:pPr>
    </w:p>
    <w:p>
      <w:pPr>
        <w:ind w:right="80" w:firstLine="348"/>
        <w:spacing w:after="0" w:line="268" w:lineRule="auto"/>
        <w:rPr>
          <w:sz w:val="20"/>
          <w:szCs w:val="20"/>
          <w:color w:val="auto"/>
        </w:rPr>
      </w:pPr>
      <w:r>
        <w:rPr>
          <w:rFonts w:ascii="Times New Roman" w:cs="Times New Roman" w:eastAsia="Times New Roman" w:hAnsi="Times New Roman"/>
          <w:sz w:val="13"/>
          <w:szCs w:val="13"/>
          <w:color w:val="auto"/>
        </w:rPr>
        <w:t>The Company’s policy for determining transfers between levels is based solely on the previously defined three -level hierarchy for fair value measurement. Transfers between the levels of the fair value hierarchy are separately noted in the tables below and the reason for such transfer described in each table’s respective footnotes. Certain information relating to investments measured at fair value for which the Company has used unobservable inputs to determine fair value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3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8"/>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For the Year Ended December 31, 2024</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w w:val="96"/>
              </w:rPr>
              <w:t>Subordinated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Collateral Loan</w:t>
            </w:r>
          </w:p>
        </w:tc>
        <w:tc>
          <w:tcPr>
            <w:tcW w:w="140" w:type="dxa"/>
            <w:vAlign w:val="bottom"/>
          </w:tcPr>
          <w:p>
            <w:pPr>
              <w:spacing w:after="0"/>
              <w:rPr>
                <w:sz w:val="11"/>
                <w:szCs w:val="11"/>
                <w:color w:val="auto"/>
              </w:rPr>
            </w:pP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Joint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100" w:type="dxa"/>
            <w:vAlign w:val="bottom"/>
          </w:tcPr>
          <w:p>
            <w:pPr>
              <w:spacing w:after="0"/>
              <w:rPr>
                <w:sz w:val="11"/>
                <w:szCs w:val="11"/>
                <w:color w:val="auto"/>
              </w:rPr>
            </w:pPr>
          </w:p>
        </w:tc>
        <w:tc>
          <w:tcPr>
            <w:tcW w:w="920" w:type="dxa"/>
            <w:vAlign w:val="bottom"/>
            <w:gridSpan w:val="2"/>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w w:val="97"/>
              </w:rPr>
              <w:t>First Lien Debt</w:t>
            </w:r>
          </w:p>
        </w:tc>
        <w:tc>
          <w:tcPr>
            <w:tcW w:w="1020" w:type="dxa"/>
            <w:vAlign w:val="bottom"/>
            <w:gridSpan w:val="3"/>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rPr>
              <w:t>Second Lien Debt</w:t>
            </w:r>
          </w:p>
        </w:tc>
        <w:tc>
          <w:tcPr>
            <w:tcW w:w="100" w:type="dxa"/>
            <w:vAlign w:val="bottom"/>
          </w:tcPr>
          <w:p>
            <w:pPr>
              <w:spacing w:after="0"/>
              <w:rPr>
                <w:sz w:val="11"/>
                <w:szCs w:val="11"/>
                <w:color w:val="auto"/>
              </w:rPr>
            </w:pPr>
          </w:p>
        </w:tc>
        <w:tc>
          <w:tcPr>
            <w:tcW w:w="840" w:type="dxa"/>
            <w:vAlign w:val="bottom"/>
            <w:gridSpan w:val="2"/>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Debt</w:t>
            </w:r>
          </w:p>
        </w:tc>
        <w:tc>
          <w:tcPr>
            <w:tcW w:w="140" w:type="dxa"/>
            <w:vAlign w:val="bottom"/>
          </w:tcPr>
          <w:p>
            <w:pPr>
              <w:spacing w:after="0"/>
              <w:rPr>
                <w:sz w:val="11"/>
                <w:szCs w:val="11"/>
                <w:color w:val="auto"/>
              </w:rPr>
            </w:pPr>
          </w:p>
        </w:tc>
        <w:tc>
          <w:tcPr>
            <w:tcW w:w="680" w:type="dxa"/>
            <w:vAlign w:val="bottom"/>
            <w:gridSpan w:val="2"/>
          </w:tcPr>
          <w:p>
            <w:pPr>
              <w:jc w:val="right"/>
              <w:ind w:right="262"/>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1"/>
                <w:szCs w:val="11"/>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w w:val="95"/>
              </w:rPr>
              <w:t>Obligations</w:t>
            </w:r>
          </w:p>
        </w:tc>
        <w:tc>
          <w:tcPr>
            <w:tcW w:w="140" w:type="dxa"/>
            <w:vAlign w:val="bottom"/>
          </w:tcPr>
          <w:p>
            <w:pPr>
              <w:spacing w:after="0"/>
              <w:rPr>
                <w:sz w:val="11"/>
                <w:szCs w:val="11"/>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Ventures</w:t>
            </w:r>
          </w:p>
        </w:tc>
        <w:tc>
          <w:tcPr>
            <w:tcW w:w="100" w:type="dxa"/>
            <w:vAlign w:val="bottom"/>
          </w:tcPr>
          <w:p>
            <w:pPr>
              <w:spacing w:after="0"/>
              <w:rPr>
                <w:sz w:val="11"/>
                <w:szCs w:val="11"/>
                <w:color w:val="auto"/>
              </w:rPr>
            </w:pPr>
          </w:p>
        </w:tc>
        <w:tc>
          <w:tcPr>
            <w:tcW w:w="64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97"/>
              </w:rPr>
              <w:t>Derivatives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tcPr>
          <w:p>
            <w:pPr>
              <w:jc w:val="right"/>
              <w:ind w:right="262"/>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2"/>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Balance, December 31, 2023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FF0FC"/>
          </w:tcPr>
          <w:p>
            <w:pPr>
              <w:jc w:val="right"/>
              <w:ind w:right="51"/>
              <w:spacing w:after="0"/>
              <w:rPr>
                <w:sz w:val="20"/>
                <w:szCs w:val="20"/>
                <w:color w:val="auto"/>
              </w:rPr>
            </w:pPr>
            <w:r>
              <w:rPr>
                <w:rFonts w:ascii="Times New Roman" w:cs="Times New Roman" w:eastAsia="Times New Roman" w:hAnsi="Times New Roman"/>
                <w:sz w:val="11"/>
                <w:szCs w:val="11"/>
                <w:color w:val="auto"/>
              </w:rPr>
              <w:t>289,295</w:t>
            </w:r>
          </w:p>
        </w:tc>
        <w:tc>
          <w:tcPr>
            <w:tcW w:w="34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23,232</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FF0FC"/>
          </w:tcPr>
          <w:p>
            <w:pPr>
              <w:jc w:val="right"/>
              <w:ind w:right="51"/>
              <w:spacing w:after="0"/>
              <w:rPr>
                <w:sz w:val="20"/>
                <w:szCs w:val="20"/>
                <w:color w:val="auto"/>
              </w:rPr>
            </w:pPr>
            <w:r>
              <w:rPr>
                <w:rFonts w:ascii="Times New Roman" w:cs="Times New Roman" w:eastAsia="Times New Roman" w:hAnsi="Times New Roman"/>
                <w:sz w:val="11"/>
                <w:szCs w:val="11"/>
                <w:color w:val="auto"/>
              </w:rPr>
              <w:t>1,225</w:t>
            </w: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20,533</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8,968</w:t>
            </w: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14,275</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1"/>
                <w:szCs w:val="11"/>
                <w:color w:val="auto"/>
              </w:rPr>
              <w:t>357,528</w:t>
            </w:r>
          </w:p>
        </w:tc>
        <w:tc>
          <w:tcPr>
            <w:tcW w:w="0" w:type="dxa"/>
            <w:vAlign w:val="bottom"/>
          </w:tcPr>
          <w:p>
            <w:pPr>
              <w:spacing w:after="0"/>
              <w:rPr>
                <w:sz w:val="1"/>
                <w:szCs w:val="1"/>
                <w:color w:val="auto"/>
              </w:rPr>
            </w:pPr>
          </w:p>
        </w:tc>
      </w:tr>
      <w:tr>
        <w:trPr>
          <w:trHeight w:val="156"/>
        </w:trPr>
        <w:tc>
          <w:tcPr>
            <w:tcW w:w="334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Transfers out of Level III</w:t>
            </w:r>
            <w:r>
              <w:rPr>
                <w:rFonts w:ascii="Times New Roman" w:cs="Times New Roman" w:eastAsia="Times New Roman" w:hAnsi="Times New Roman"/>
                <w:sz w:val="14"/>
                <w:szCs w:val="14"/>
                <w:color w:val="auto"/>
                <w:vertAlign w:val="superscript"/>
              </w:rPr>
              <w:t>(1)</w:t>
            </w:r>
          </w:p>
        </w:tc>
        <w:tc>
          <w:tcPr>
            <w:tcW w:w="100" w:type="dxa"/>
            <w:vAlign w:val="bottom"/>
          </w:tcPr>
          <w:p>
            <w:pPr>
              <w:spacing w:after="0"/>
              <w:rPr>
                <w:sz w:val="13"/>
                <w:szCs w:val="13"/>
                <w:color w:val="auto"/>
              </w:rPr>
            </w:pPr>
          </w:p>
        </w:tc>
        <w:tc>
          <w:tcPr>
            <w:tcW w:w="920" w:type="dxa"/>
            <w:vAlign w:val="bottom"/>
            <w:gridSpan w:val="2"/>
            <w:vMerge w:val="restart"/>
          </w:tcPr>
          <w:p>
            <w:pPr>
              <w:jc w:val="right"/>
              <w:ind w:right="51"/>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3"/>
                <w:szCs w:val="13"/>
                <w:color w:val="auto"/>
              </w:rPr>
            </w:pPr>
          </w:p>
        </w:tc>
        <w:tc>
          <w:tcPr>
            <w:tcW w:w="680" w:type="dxa"/>
            <w:vAlign w:val="bottom"/>
            <w:gridSpan w:val="2"/>
            <w:vMerge w:val="restart"/>
          </w:tcPr>
          <w:p>
            <w:pPr>
              <w:jc w:val="right"/>
              <w:ind w:right="51"/>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51"/>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42"/>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jc w:val="right"/>
              <w:ind w:right="4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2"/>
        </w:trPr>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2"/>
        </w:trPr>
        <w:tc>
          <w:tcPr>
            <w:tcW w:w="3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334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1"/>
                <w:szCs w:val="11"/>
                <w:color w:val="auto"/>
              </w:rPr>
              <w:t>Transfers into Level III</w:t>
            </w:r>
            <w:r>
              <w:rPr>
                <w:rFonts w:ascii="Times New Roman" w:cs="Times New Roman" w:eastAsia="Times New Roman" w:hAnsi="Times New Roman"/>
                <w:sz w:val="14"/>
                <w:szCs w:val="14"/>
                <w:color w:val="auto"/>
                <w:vertAlign w:val="superscript"/>
              </w:rPr>
              <w:t>(2)</w:t>
            </w: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47,303</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18,022</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51"/>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65,325</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accretion</w:t>
            </w:r>
          </w:p>
        </w:tc>
        <w:tc>
          <w:tcPr>
            <w:tcW w:w="100" w:type="dxa"/>
            <w:vAlign w:val="bottom"/>
          </w:tcPr>
          <w:p>
            <w:pPr>
              <w:spacing w:after="0"/>
              <w:rPr>
                <w:sz w:val="11"/>
                <w:szCs w:val="11"/>
                <w:color w:val="auto"/>
              </w:rPr>
            </w:pPr>
          </w:p>
        </w:tc>
        <w:tc>
          <w:tcPr>
            <w:tcW w:w="920" w:type="dxa"/>
            <w:vAlign w:val="bottom"/>
            <w:gridSpan w:val="2"/>
          </w:tcPr>
          <w:p>
            <w:pPr>
              <w:jc w:val="right"/>
              <w:ind w:right="51"/>
              <w:spacing w:after="0"/>
              <w:rPr>
                <w:sz w:val="20"/>
                <w:szCs w:val="20"/>
                <w:color w:val="auto"/>
              </w:rPr>
            </w:pPr>
            <w:r>
              <w:rPr>
                <w:rFonts w:ascii="Times New Roman" w:cs="Times New Roman" w:eastAsia="Times New Roman" w:hAnsi="Times New Roman"/>
                <w:sz w:val="11"/>
                <w:szCs w:val="11"/>
                <w:color w:val="auto"/>
              </w:rPr>
              <w:t>2,991</w:t>
            </w:r>
          </w:p>
        </w:tc>
        <w:tc>
          <w:tcPr>
            <w:tcW w:w="3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51"/>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680" w:type="dxa"/>
            <w:vAlign w:val="bottom"/>
            <w:gridSpan w:val="2"/>
          </w:tcPr>
          <w:p>
            <w:pPr>
              <w:jc w:val="right"/>
              <w:ind w:right="42"/>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1,511</w:t>
            </w:r>
          </w:p>
        </w:tc>
        <w:tc>
          <w:tcPr>
            <w:tcW w:w="140" w:type="dxa"/>
            <w:vAlign w:val="bottom"/>
          </w:tcPr>
          <w:p>
            <w:pPr>
              <w:spacing w:after="0"/>
              <w:rPr>
                <w:sz w:val="11"/>
                <w:szCs w:val="1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tcPr>
          <w:p>
            <w:pPr>
              <w:jc w:val="right"/>
              <w:ind w:right="42"/>
              <w:spacing w:after="0"/>
              <w:rPr>
                <w:sz w:val="20"/>
                <w:szCs w:val="20"/>
                <w:color w:val="auto"/>
              </w:rPr>
            </w:pPr>
            <w:r>
              <w:rPr>
                <w:rFonts w:ascii="Times New Roman" w:cs="Times New Roman" w:eastAsia="Times New Roman" w:hAnsi="Times New Roman"/>
                <w:sz w:val="11"/>
                <w:szCs w:val="11"/>
                <w:color w:val="auto"/>
              </w:rPr>
              <w:t>4,618</w:t>
            </w:r>
          </w:p>
        </w:tc>
        <w:tc>
          <w:tcPr>
            <w:tcW w:w="0" w:type="dxa"/>
            <w:vAlign w:val="bottom"/>
          </w:tcPr>
          <w:p>
            <w:pPr>
              <w:spacing w:after="0"/>
              <w:rPr>
                <w:sz w:val="1"/>
                <w:szCs w:val="1"/>
                <w:color w:val="auto"/>
              </w:rPr>
            </w:pPr>
          </w:p>
        </w:tc>
      </w:tr>
      <w:tr>
        <w:trPr>
          <w:trHeight w:val="132"/>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Purchases</w:t>
            </w: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70,344</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1"/>
                <w:szCs w:val="11"/>
                <w:color w:val="auto"/>
              </w:rPr>
              <w:t>2,361</w:t>
            </w: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997</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1"/>
                <w:szCs w:val="11"/>
                <w:color w:val="auto"/>
              </w:rPr>
              <w:t>7,173</w:t>
            </w:r>
          </w:p>
        </w:tc>
        <w:tc>
          <w:tcPr>
            <w:tcW w:w="10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80,875</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Sales/Paydowns/Return of Capital</w:t>
            </w:r>
          </w:p>
        </w:tc>
        <w:tc>
          <w:tcPr>
            <w:tcW w:w="10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(101,614)</w:t>
            </w:r>
          </w:p>
        </w:tc>
        <w:tc>
          <w:tcPr>
            <w:tcW w:w="340" w:type="dxa"/>
            <w:vAlign w:val="bottom"/>
          </w:tcPr>
          <w:p>
            <w:pPr>
              <w:spacing w:after="0"/>
              <w:rPr>
                <w:sz w:val="11"/>
                <w:szCs w:val="1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(10,526 )</w:t>
            </w:r>
          </w:p>
        </w:tc>
        <w:tc>
          <w:tcPr>
            <w:tcW w:w="100" w:type="dxa"/>
            <w:vAlign w:val="bottom"/>
          </w:tcPr>
          <w:p>
            <w:pPr>
              <w:spacing w:after="0"/>
              <w:rPr>
                <w:sz w:val="11"/>
                <w:szCs w:val="1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(511 )</w:t>
            </w: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(2,722)</w:t>
            </w:r>
          </w:p>
        </w:tc>
        <w:tc>
          <w:tcPr>
            <w:tcW w:w="140" w:type="dxa"/>
            <w:vAlign w:val="bottom"/>
          </w:tcPr>
          <w:p>
            <w:pPr>
              <w:spacing w:after="0"/>
              <w:rPr>
                <w:sz w:val="11"/>
                <w:szCs w:val="11"/>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(1,976)</w:t>
            </w: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tcPr>
          <w:p>
            <w:pPr>
              <w:jc w:val="right"/>
              <w:ind w:right="2"/>
              <w:spacing w:after="0"/>
              <w:rPr>
                <w:sz w:val="20"/>
                <w:szCs w:val="20"/>
                <w:color w:val="auto"/>
              </w:rPr>
            </w:pPr>
            <w:r>
              <w:rPr>
                <w:rFonts w:ascii="Times New Roman" w:cs="Times New Roman" w:eastAsia="Times New Roman" w:hAnsi="Times New Roman"/>
                <w:sz w:val="11"/>
                <w:szCs w:val="11"/>
                <w:color w:val="auto"/>
              </w:rPr>
              <w:t>(117,271)</w:t>
            </w:r>
          </w:p>
        </w:tc>
        <w:tc>
          <w:tcPr>
            <w:tcW w:w="0" w:type="dxa"/>
            <w:vAlign w:val="bottom"/>
          </w:tcPr>
          <w:p>
            <w:pPr>
              <w:spacing w:after="0"/>
              <w:rPr>
                <w:sz w:val="1"/>
                <w:szCs w:val="1"/>
                <w:color w:val="auto"/>
              </w:rPr>
            </w:pPr>
          </w:p>
        </w:tc>
      </w:tr>
      <w:tr>
        <w:trPr>
          <w:trHeight w:val="132"/>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Total realized gain (loss) included in earnings</w:t>
            </w:r>
          </w:p>
        </w:tc>
        <w:tc>
          <w:tcPr>
            <w:tcW w:w="10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(11,908 )</w:t>
            </w:r>
          </w:p>
        </w:tc>
        <w:tc>
          <w:tcPr>
            <w:tcW w:w="34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(7,868)</w:t>
            </w:r>
          </w:p>
        </w:tc>
        <w:tc>
          <w:tcPr>
            <w:tcW w:w="10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(417 )</w:t>
            </w:r>
          </w:p>
        </w:tc>
        <w:tc>
          <w:tcPr>
            <w:tcW w:w="14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1"/>
                <w:szCs w:val="11"/>
                <w:color w:val="auto"/>
              </w:rPr>
              <w:t>(6,611)</w:t>
            </w:r>
          </w:p>
        </w:tc>
        <w:tc>
          <w:tcPr>
            <w:tcW w:w="10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(2,576)</w:t>
            </w:r>
          </w:p>
        </w:tc>
        <w:tc>
          <w:tcPr>
            <w:tcW w:w="14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1"/>
                <w:szCs w:val="11"/>
                <w:color w:val="auto"/>
              </w:rPr>
              <w:t>(29,380 )</w:t>
            </w:r>
          </w:p>
        </w:tc>
        <w:tc>
          <w:tcPr>
            <w:tcW w:w="0" w:type="dxa"/>
            <w:vAlign w:val="bottom"/>
          </w:tcPr>
          <w:p>
            <w:pPr>
              <w:spacing w:after="0"/>
              <w:rPr>
                <w:sz w:val="1"/>
                <w:szCs w:val="1"/>
                <w:color w:val="auto"/>
              </w:rPr>
            </w:pPr>
          </w:p>
        </w:tc>
      </w:tr>
      <w:tr>
        <w:trPr>
          <w:trHeight w:val="132"/>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Change in unrealized gain (loss) included in earnings</w:t>
            </w:r>
          </w:p>
        </w:tc>
        <w:tc>
          <w:tcPr>
            <w:tcW w:w="10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(6,454)</w:t>
            </w:r>
          </w:p>
        </w:tc>
        <w:tc>
          <w:tcPr>
            <w:tcW w:w="340" w:type="dxa"/>
            <w:vAlign w:val="bottom"/>
          </w:tcPr>
          <w:p>
            <w:pPr>
              <w:spacing w:after="0"/>
              <w:rPr>
                <w:sz w:val="11"/>
                <w:szCs w:val="11"/>
                <w:color w:val="auto"/>
              </w:rPr>
            </w:pPr>
          </w:p>
        </w:tc>
        <w:tc>
          <w:tcPr>
            <w:tcW w:w="680" w:type="dxa"/>
            <w:vAlign w:val="bottom"/>
            <w:gridSpan w:val="2"/>
          </w:tcPr>
          <w:p>
            <w:pPr>
              <w:jc w:val="right"/>
              <w:ind w:right="31"/>
              <w:spacing w:after="0"/>
              <w:rPr>
                <w:sz w:val="20"/>
                <w:szCs w:val="20"/>
                <w:color w:val="auto"/>
              </w:rPr>
            </w:pPr>
            <w:r>
              <w:rPr>
                <w:rFonts w:ascii="Times New Roman" w:cs="Times New Roman" w:eastAsia="Times New Roman" w:hAnsi="Times New Roman"/>
                <w:sz w:val="11"/>
                <w:szCs w:val="11"/>
                <w:color w:val="auto"/>
              </w:rPr>
              <w:t>3,659</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right"/>
              <w:ind w:right="42"/>
              <w:spacing w:after="0"/>
              <w:rPr>
                <w:sz w:val="20"/>
                <w:szCs w:val="20"/>
                <w:color w:val="auto"/>
              </w:rPr>
            </w:pPr>
            <w:r>
              <w:rPr>
                <w:rFonts w:ascii="Times New Roman" w:cs="Times New Roman" w:eastAsia="Times New Roman" w:hAnsi="Times New Roman"/>
                <w:sz w:val="11"/>
                <w:szCs w:val="11"/>
                <w:color w:val="auto"/>
              </w:rPr>
              <w:t>3,589</w:t>
            </w: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tcPr>
          <w:p>
            <w:pPr>
              <w:jc w:val="right"/>
              <w:ind w:right="42"/>
              <w:spacing w:after="0"/>
              <w:rPr>
                <w:sz w:val="20"/>
                <w:szCs w:val="20"/>
                <w:color w:val="auto"/>
              </w:rPr>
            </w:pPr>
            <w:r>
              <w:rPr>
                <w:rFonts w:ascii="Times New Roman" w:cs="Times New Roman" w:eastAsia="Times New Roman" w:hAnsi="Times New Roman"/>
                <w:sz w:val="11"/>
                <w:szCs w:val="11"/>
                <w:color w:val="auto"/>
              </w:rPr>
              <w:t>2,188</w:t>
            </w:r>
          </w:p>
        </w:tc>
        <w:tc>
          <w:tcPr>
            <w:tcW w:w="0" w:type="dxa"/>
            <w:vAlign w:val="bottom"/>
          </w:tcPr>
          <w:p>
            <w:pPr>
              <w:spacing w:after="0"/>
              <w:rPr>
                <w:sz w:val="1"/>
                <w:szCs w:val="1"/>
                <w:color w:val="auto"/>
              </w:rPr>
            </w:pPr>
          </w:p>
        </w:tc>
      </w:tr>
      <w:tr>
        <w:trPr>
          <w:trHeight w:val="172"/>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Balance, December 31, 2024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FF0FC"/>
          </w:tcPr>
          <w:p>
            <w:pPr>
              <w:jc w:val="right"/>
              <w:ind w:right="51"/>
              <w:spacing w:after="0"/>
              <w:rPr>
                <w:sz w:val="20"/>
                <w:szCs w:val="20"/>
                <w:color w:val="auto"/>
              </w:rPr>
            </w:pPr>
            <w:r>
              <w:rPr>
                <w:rFonts w:ascii="Times New Roman" w:cs="Times New Roman" w:eastAsia="Times New Roman" w:hAnsi="Times New Roman"/>
                <w:sz w:val="11"/>
                <w:szCs w:val="11"/>
                <w:color w:val="auto"/>
              </w:rPr>
              <w:t>289,957</w:t>
            </w:r>
          </w:p>
        </w:tc>
        <w:tc>
          <w:tcPr>
            <w:tcW w:w="34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28,996</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FF0FC"/>
          </w:tcPr>
          <w:p>
            <w:pPr>
              <w:jc w:val="right"/>
              <w:ind w:right="51"/>
              <w:spacing w:after="0"/>
              <w:rPr>
                <w:sz w:val="20"/>
                <w:szCs w:val="20"/>
                <w:color w:val="auto"/>
              </w:rPr>
            </w:pPr>
            <w:r>
              <w:rPr>
                <w:rFonts w:ascii="Times New Roman" w:cs="Times New Roman" w:eastAsia="Times New Roman" w:hAnsi="Times New Roman"/>
                <w:sz w:val="11"/>
                <w:szCs w:val="11"/>
                <w:color w:val="auto"/>
              </w:rPr>
              <w:t>1,740</w:t>
            </w: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24,762</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5,193</w:t>
            </w: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13,015</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220</w:t>
            </w:r>
          </w:p>
        </w:tc>
        <w:tc>
          <w:tcPr>
            <w:tcW w:w="26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1"/>
                <w:szCs w:val="11"/>
                <w:color w:val="auto"/>
              </w:rPr>
              <w:t>363,883</w:t>
            </w:r>
          </w:p>
        </w:tc>
        <w:tc>
          <w:tcPr>
            <w:tcW w:w="0" w:type="dxa"/>
            <w:vAlign w:val="bottom"/>
          </w:tcPr>
          <w:p>
            <w:pPr>
              <w:spacing w:after="0"/>
              <w:rPr>
                <w:sz w:val="1"/>
                <w:szCs w:val="1"/>
                <w:color w:val="auto"/>
              </w:rPr>
            </w:pPr>
          </w:p>
        </w:tc>
      </w:tr>
      <w:tr>
        <w:trPr>
          <w:trHeight w:val="108"/>
        </w:trPr>
        <w:tc>
          <w:tcPr>
            <w:tcW w:w="3340" w:type="dxa"/>
            <w:vAlign w:val="bottom"/>
            <w:tcBorders>
              <w:top w:val="single" w:sz="8" w:color="CFF0FC"/>
            </w:tcBorders>
          </w:tcPr>
          <w:p>
            <w:pPr>
              <w:ind w:left="20"/>
              <w:spacing w:after="0" w:line="108" w:lineRule="exact"/>
              <w:rPr>
                <w:sz w:val="20"/>
                <w:szCs w:val="20"/>
                <w:color w:val="auto"/>
              </w:rPr>
            </w:pPr>
            <w:r>
              <w:rPr>
                <w:rFonts w:ascii="Times New Roman" w:cs="Times New Roman" w:eastAsia="Times New Roman" w:hAnsi="Times New Roman"/>
                <w:sz w:val="11"/>
                <w:szCs w:val="11"/>
                <w:color w:val="auto"/>
              </w:rPr>
              <w:t>Changes in unrealized gains (losses) included in earnings related to</w:t>
            </w: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(18,958</w:t>
            </w:r>
          </w:p>
        </w:tc>
        <w:tc>
          <w:tcPr>
            <w:tcW w:w="100" w:type="dxa"/>
            <w:vAlign w:val="bottom"/>
            <w:tcBorders>
              <w:top w:val="single" w:sz="8" w:color="CFF0FC"/>
            </w:tcBorders>
          </w:tcPr>
          <w:p>
            <w:pPr>
              <w:spacing w:after="0"/>
              <w:rPr>
                <w:sz w:val="9"/>
                <w:szCs w:val="9"/>
                <w:color w:val="auto"/>
              </w:rPr>
            </w:pPr>
          </w:p>
        </w:tc>
        <w:tc>
          <w:tcPr>
            <w:tcW w:w="340" w:type="dxa"/>
            <w:vAlign w:val="bottom"/>
            <w:tcBorders>
              <w:top w:val="single" w:sz="8" w:color="auto"/>
            </w:tcBorders>
            <w:vMerge w:val="restart"/>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(2,312</w:t>
            </w: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(1,932</w:t>
            </w:r>
          </w:p>
        </w:tc>
        <w:tc>
          <w:tcPr>
            <w:tcW w:w="10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(4,721</w:t>
            </w:r>
          </w:p>
        </w:tc>
        <w:tc>
          <w:tcPr>
            <w:tcW w:w="8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716</w:t>
            </w: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220</w:t>
            </w:r>
          </w:p>
        </w:tc>
        <w:tc>
          <w:tcPr>
            <w:tcW w:w="10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(26,976</w:t>
            </w:r>
          </w:p>
        </w:tc>
        <w:tc>
          <w:tcPr>
            <w:tcW w:w="8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3340" w:type="dxa"/>
            <w:vAlign w:val="bottom"/>
          </w:tcPr>
          <w:p>
            <w:pPr>
              <w:ind w:left="20"/>
              <w:spacing w:after="0" w:line="89" w:lineRule="exact"/>
              <w:rPr>
                <w:sz w:val="20"/>
                <w:szCs w:val="20"/>
                <w:color w:val="auto"/>
              </w:rPr>
            </w:pPr>
            <w:r>
              <w:rPr>
                <w:rFonts w:ascii="Times New Roman" w:cs="Times New Roman" w:eastAsia="Times New Roman" w:hAnsi="Times New Roman"/>
                <w:sz w:val="10"/>
                <w:szCs w:val="10"/>
                <w:color w:val="auto"/>
              </w:rPr>
              <w:t>investments still held at reporting date</w:t>
            </w:r>
          </w:p>
        </w:tc>
        <w:tc>
          <w:tcPr>
            <w:tcW w:w="100" w:type="dxa"/>
            <w:vAlign w:val="bottom"/>
            <w:tcBorders>
              <w:bottom w:val="single" w:sz="8" w:color="auto"/>
            </w:tcBorders>
            <w:vMerge w:val="continue"/>
          </w:tcPr>
          <w:p>
            <w:pPr>
              <w:spacing w:after="0"/>
              <w:rPr>
                <w:sz w:val="8"/>
                <w:szCs w:val="8"/>
                <w:color w:val="auto"/>
              </w:rPr>
            </w:pPr>
          </w:p>
        </w:tc>
        <w:tc>
          <w:tcPr>
            <w:tcW w:w="820" w:type="dxa"/>
            <w:vAlign w:val="bottom"/>
            <w:tcBorders>
              <w:bottom w:val="single" w:sz="8" w:color="auto"/>
            </w:tcBorders>
            <w:vMerge w:val="continue"/>
          </w:tcPr>
          <w:p>
            <w:pPr>
              <w:spacing w:after="0"/>
              <w:rPr>
                <w:sz w:val="8"/>
                <w:szCs w:val="8"/>
                <w:color w:val="auto"/>
              </w:rPr>
            </w:pPr>
          </w:p>
        </w:tc>
        <w:tc>
          <w:tcPr>
            <w:tcW w:w="100" w:type="dxa"/>
            <w:vAlign w:val="bottom"/>
          </w:tcPr>
          <w:p>
            <w:pPr>
              <w:jc w:val="right"/>
              <w:spacing w:after="0" w:line="89" w:lineRule="exact"/>
              <w:rPr>
                <w:sz w:val="20"/>
                <w:szCs w:val="20"/>
                <w:color w:val="auto"/>
              </w:rPr>
            </w:pPr>
            <w:r>
              <w:rPr>
                <w:rFonts w:ascii="Times New Roman" w:cs="Times New Roman" w:eastAsia="Times New Roman" w:hAnsi="Times New Roman"/>
                <w:sz w:val="10"/>
                <w:szCs w:val="10"/>
                <w:color w:val="auto"/>
              </w:rPr>
              <w:t>)</w:t>
            </w:r>
          </w:p>
        </w:tc>
        <w:tc>
          <w:tcPr>
            <w:tcW w:w="340" w:type="dxa"/>
            <w:vAlign w:val="bottom"/>
            <w:tcBorders>
              <w:bottom w:val="single" w:sz="8" w:color="auto"/>
            </w:tcBorders>
            <w:vMerge w:val="continue"/>
          </w:tcPr>
          <w:p>
            <w:pPr>
              <w:spacing w:after="0"/>
              <w:rPr>
                <w:sz w:val="8"/>
                <w:szCs w:val="8"/>
                <w:color w:val="auto"/>
              </w:rPr>
            </w:pPr>
          </w:p>
        </w:tc>
        <w:tc>
          <w:tcPr>
            <w:tcW w:w="580" w:type="dxa"/>
            <w:vAlign w:val="bottom"/>
            <w:tcBorders>
              <w:bottom w:val="single" w:sz="8" w:color="auto"/>
            </w:tcBorders>
            <w:vMerge w:val="continue"/>
          </w:tcPr>
          <w:p>
            <w:pPr>
              <w:spacing w:after="0"/>
              <w:rPr>
                <w:sz w:val="8"/>
                <w:szCs w:val="8"/>
                <w:color w:val="auto"/>
              </w:rPr>
            </w:pPr>
          </w:p>
        </w:tc>
        <w:tc>
          <w:tcPr>
            <w:tcW w:w="100" w:type="dxa"/>
            <w:vAlign w:val="bottom"/>
          </w:tcPr>
          <w:p>
            <w:pPr>
              <w:jc w:val="right"/>
              <w:spacing w:after="0" w:line="89"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auto"/>
            </w:tcBorders>
            <w:vMerge w:val="continue"/>
          </w:tcPr>
          <w:p>
            <w:pPr>
              <w:spacing w:after="0"/>
              <w:rPr>
                <w:sz w:val="8"/>
                <w:szCs w:val="8"/>
                <w:color w:val="auto"/>
              </w:rPr>
            </w:pPr>
          </w:p>
        </w:tc>
        <w:tc>
          <w:tcPr>
            <w:tcW w:w="740" w:type="dxa"/>
            <w:vAlign w:val="bottom"/>
            <w:tcBorders>
              <w:bottom w:val="single" w:sz="8" w:color="auto"/>
            </w:tcBorders>
            <w:vMerge w:val="continue"/>
          </w:tcPr>
          <w:p>
            <w:pPr>
              <w:spacing w:after="0"/>
              <w:rPr>
                <w:sz w:val="8"/>
                <w:szCs w:val="8"/>
                <w:color w:val="auto"/>
              </w:rPr>
            </w:pPr>
          </w:p>
        </w:tc>
        <w:tc>
          <w:tcPr>
            <w:tcW w:w="100" w:type="dxa"/>
            <w:vAlign w:val="bottom"/>
          </w:tcPr>
          <w:p>
            <w:pPr>
              <w:jc w:val="right"/>
              <w:spacing w:after="0" w:line="8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auto"/>
            </w:tcBorders>
            <w:vMerge w:val="continue"/>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80" w:type="dxa"/>
            <w:vAlign w:val="bottom"/>
          </w:tcPr>
          <w:p>
            <w:pPr>
              <w:jc w:val="right"/>
              <w:ind w:right="2"/>
              <w:spacing w:after="0" w:line="89" w:lineRule="exact"/>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bottom w:val="single" w:sz="8" w:color="auto"/>
            </w:tcBorders>
            <w:vMerge w:val="continue"/>
          </w:tcPr>
          <w:p>
            <w:pPr>
              <w:spacing w:after="0"/>
              <w:rPr>
                <w:sz w:val="8"/>
                <w:szCs w:val="8"/>
                <w:color w:val="auto"/>
              </w:rPr>
            </w:pPr>
          </w:p>
        </w:tc>
        <w:tc>
          <w:tcPr>
            <w:tcW w:w="64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auto"/>
            </w:tcBorders>
            <w:vMerge w:val="continue"/>
          </w:tcPr>
          <w:p>
            <w:pPr>
              <w:spacing w:after="0"/>
              <w:rPr>
                <w:sz w:val="8"/>
                <w:szCs w:val="8"/>
                <w:color w:val="auto"/>
              </w:rPr>
            </w:pPr>
          </w:p>
        </w:tc>
        <w:tc>
          <w:tcPr>
            <w:tcW w:w="70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vMerge w:val="continue"/>
          </w:tcPr>
          <w:p>
            <w:pPr>
              <w:spacing w:after="0"/>
              <w:rPr>
                <w:sz w:val="8"/>
                <w:szCs w:val="8"/>
                <w:color w:val="auto"/>
              </w:rPr>
            </w:pPr>
          </w:p>
        </w:tc>
        <w:tc>
          <w:tcPr>
            <w:tcW w:w="64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560" w:type="dxa"/>
            <w:vAlign w:val="bottom"/>
            <w:tcBorders>
              <w:bottom w:val="single" w:sz="8" w:color="auto"/>
            </w:tcBorders>
            <w:vMerge w:val="continue"/>
          </w:tcPr>
          <w:p>
            <w:pPr>
              <w:spacing w:after="0"/>
              <w:rPr>
                <w:sz w:val="8"/>
                <w:szCs w:val="8"/>
                <w:color w:val="auto"/>
              </w:rPr>
            </w:pPr>
          </w:p>
        </w:tc>
        <w:tc>
          <w:tcPr>
            <w:tcW w:w="80" w:type="dxa"/>
            <w:vAlign w:val="bottom"/>
          </w:tcPr>
          <w:p>
            <w:pPr>
              <w:jc w:val="right"/>
              <w:ind w:right="2"/>
              <w:spacing w:after="0" w:line="89" w:lineRule="exact"/>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71"/>
              <w:spacing w:after="0"/>
              <w:rPr>
                <w:sz w:val="20"/>
                <w:szCs w:val="20"/>
                <w:color w:val="auto"/>
              </w:rPr>
            </w:pPr>
            <w:r>
              <w:rPr>
                <w:rFonts w:ascii="Times New Roman" w:cs="Times New Roman" w:eastAsia="Times New Roman" w:hAnsi="Times New Roman"/>
                <w:sz w:val="11"/>
                <w:szCs w:val="11"/>
                <w:color w:val="auto"/>
              </w:rPr>
              <w:t>F-29</w:t>
            </w: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6"/>
        </w:trPr>
        <w:tc>
          <w:tcPr>
            <w:tcW w:w="33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8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58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7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60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6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7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6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56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2" w:right="660" w:bottom="1440" w:gutter="0" w:footer="0" w:header="0"/>
        </w:sectPr>
      </w:pPr>
    </w:p>
    <w:bookmarkStart w:id="85" w:name="page86"/>
    <w:bookmarkEnd w:id="85"/>
    <w:p>
      <w:pPr>
        <w:jc w:val="center"/>
        <w:ind w:right="-25"/>
        <w:spacing w:after="0"/>
        <w:rPr>
          <w:sz w:val="20"/>
          <w:szCs w:val="20"/>
          <w:color w:val="auto"/>
        </w:rPr>
      </w:pPr>
      <w:r>
        <w:rPr>
          <w:rFonts w:ascii="Times New Roman" w:cs="Times New Roman" w:eastAsia="Times New Roman" w:hAnsi="Times New Roman"/>
          <w:sz w:val="13"/>
          <w:szCs w:val="13"/>
          <w:b w:val="1"/>
          <w:bCs w:val="1"/>
          <w:color w:val="auto"/>
        </w:rPr>
        <w:t>PORTMAN RIDGE FINANCE CORPORATION</w:t>
      </w:r>
    </w:p>
    <w:p>
      <w:pPr>
        <w:spacing w:after="0" w:line="23"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8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1"/>
          <w:szCs w:val="11"/>
          <w:color w:val="auto"/>
        </w:rPr>
        <w:t>(1)Transfers out of Level III represent a transfer of $– million relating to debt securities for which pricing inputs, other than their quoted prices in active markets, were observable as of December 31, 2024.</w:t>
      </w:r>
    </w:p>
    <w:p>
      <w:pPr>
        <w:spacing w:after="0" w:line="10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1"/>
          <w:szCs w:val="11"/>
          <w:color w:val="auto"/>
        </w:rPr>
        <w:t>(2)Transfers into Level III represent a transfer of $65.3 million relating to debt securities for which pricing inputs were unobservable as of December 31, 2024.</w:t>
      </w:r>
    </w:p>
    <w:p>
      <w:pPr>
        <w:spacing w:after="0" w:line="292" w:lineRule="exact"/>
        <w:rPr>
          <w:sz w:val="20"/>
          <w:szCs w:val="20"/>
          <w:color w:val="auto"/>
        </w:rPr>
      </w:pPr>
    </w:p>
    <w:tbl>
      <w:tblPr>
        <w:tblLayout w:type="fixed"/>
        <w:tblInd w:w="6" w:type="dxa"/>
        <w:tblCellMar>
          <w:top w:w="0" w:type="dxa"/>
          <w:left w:w="0" w:type="dxa"/>
          <w:bottom w:w="0" w:type="dxa"/>
          <w:right w:w="0" w:type="dxa"/>
        </w:tblCellMar>
      </w:tblPr>
      <w:tr>
        <w:trPr>
          <w:trHeight w:val="132"/>
        </w:trPr>
        <w:tc>
          <w:tcPr>
            <w:tcW w:w="2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740" w:type="dxa"/>
            <w:vAlign w:val="bottom"/>
            <w:gridSpan w:val="8"/>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For the Year Ended December 31, 2023</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Collateralized Loan</w:t>
            </w:r>
          </w:p>
        </w:tc>
        <w:tc>
          <w:tcPr>
            <w:tcW w:w="160" w:type="dxa"/>
            <w:vAlign w:val="bottom"/>
          </w:tcPr>
          <w:p>
            <w:pPr>
              <w:spacing w:after="0"/>
              <w:rPr>
                <w:sz w:val="11"/>
                <w:szCs w:val="11"/>
                <w:color w:val="auto"/>
              </w:rPr>
            </w:pPr>
          </w:p>
        </w:tc>
        <w:tc>
          <w:tcPr>
            <w:tcW w:w="980" w:type="dxa"/>
            <w:vAlign w:val="bottom"/>
            <w:gridSpan w:val="2"/>
          </w:tcPr>
          <w:p>
            <w:pPr>
              <w:jc w:val="right"/>
              <w:ind w:right="511"/>
              <w:spacing w:after="0"/>
              <w:rPr>
                <w:sz w:val="20"/>
                <w:szCs w:val="20"/>
                <w:color w:val="auto"/>
              </w:rPr>
            </w:pPr>
            <w:r>
              <w:rPr>
                <w:rFonts w:ascii="Times New Roman" w:cs="Times New Roman" w:eastAsia="Times New Roman" w:hAnsi="Times New Roman"/>
                <w:sz w:val="11"/>
                <w:szCs w:val="11"/>
                <w:b w:val="1"/>
                <w:bCs w:val="1"/>
                <w:color w:val="auto"/>
              </w:rPr>
              <w:t>Joint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3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1060" w:type="dxa"/>
            <w:vAlign w:val="bottom"/>
            <w:gridSpan w:val="3"/>
          </w:tcPr>
          <w:p>
            <w:pPr>
              <w:jc w:val="right"/>
              <w:ind w:right="262"/>
              <w:spacing w:after="0"/>
              <w:rPr>
                <w:sz w:val="20"/>
                <w:szCs w:val="20"/>
                <w:color w:val="auto"/>
              </w:rPr>
            </w:pPr>
            <w:r>
              <w:rPr>
                <w:rFonts w:ascii="Times New Roman" w:cs="Times New Roman" w:eastAsia="Times New Roman" w:hAnsi="Times New Roman"/>
                <w:sz w:val="11"/>
                <w:szCs w:val="11"/>
                <w:b w:val="1"/>
                <w:bCs w:val="1"/>
                <w:color w:val="auto"/>
              </w:rPr>
              <w:t>First Lien Debt</w:t>
            </w:r>
          </w:p>
        </w:tc>
        <w:tc>
          <w:tcPr>
            <w:tcW w:w="80" w:type="dxa"/>
            <w:vAlign w:val="bottom"/>
          </w:tcPr>
          <w:p>
            <w:pPr>
              <w:spacing w:after="0"/>
              <w:rPr>
                <w:sz w:val="11"/>
                <w:szCs w:val="11"/>
                <w:color w:val="auto"/>
              </w:rPr>
            </w:pPr>
          </w:p>
        </w:tc>
        <w:tc>
          <w:tcPr>
            <w:tcW w:w="1140" w:type="dxa"/>
            <w:vAlign w:val="bottom"/>
            <w:gridSpan w:val="2"/>
          </w:tcPr>
          <w:p>
            <w:pPr>
              <w:jc w:val="right"/>
              <w:ind w:right="282"/>
              <w:spacing w:after="0"/>
              <w:rPr>
                <w:sz w:val="20"/>
                <w:szCs w:val="20"/>
                <w:color w:val="auto"/>
              </w:rPr>
            </w:pPr>
            <w:r>
              <w:rPr>
                <w:rFonts w:ascii="Times New Roman" w:cs="Times New Roman" w:eastAsia="Times New Roman" w:hAnsi="Times New Roman"/>
                <w:sz w:val="11"/>
                <w:szCs w:val="11"/>
                <w:b w:val="1"/>
                <w:bCs w:val="1"/>
                <w:color w:val="auto"/>
                <w:w w:val="96"/>
              </w:rPr>
              <w:t>Second Lien Debt</w:t>
            </w:r>
          </w:p>
        </w:tc>
        <w:tc>
          <w:tcPr>
            <w:tcW w:w="1160" w:type="dxa"/>
            <w:vAlign w:val="bottom"/>
            <w:gridSpan w:val="3"/>
          </w:tcPr>
          <w:p>
            <w:pPr>
              <w:jc w:val="right"/>
              <w:ind w:right="202"/>
              <w:spacing w:after="0"/>
              <w:rPr>
                <w:sz w:val="20"/>
                <w:szCs w:val="20"/>
                <w:color w:val="auto"/>
              </w:rPr>
            </w:pPr>
            <w:r>
              <w:rPr>
                <w:rFonts w:ascii="Times New Roman" w:cs="Times New Roman" w:eastAsia="Times New Roman" w:hAnsi="Times New Roman"/>
                <w:sz w:val="11"/>
                <w:szCs w:val="11"/>
                <w:b w:val="1"/>
                <w:bCs w:val="1"/>
                <w:color w:val="auto"/>
              </w:rPr>
              <w:t>Subordinated Debt</w:t>
            </w:r>
          </w:p>
        </w:tc>
        <w:tc>
          <w:tcPr>
            <w:tcW w:w="100" w:type="dxa"/>
            <w:vAlign w:val="bottom"/>
          </w:tcPr>
          <w:p>
            <w:pPr>
              <w:spacing w:after="0"/>
              <w:rPr>
                <w:sz w:val="11"/>
                <w:szCs w:val="11"/>
                <w:color w:val="auto"/>
              </w:rPr>
            </w:pPr>
          </w:p>
        </w:tc>
        <w:tc>
          <w:tcPr>
            <w:tcW w:w="660" w:type="dxa"/>
            <w:vAlign w:val="bottom"/>
            <w:gridSpan w:val="2"/>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40" w:type="dxa"/>
            <w:vAlign w:val="bottom"/>
          </w:tcPr>
          <w:p>
            <w:pPr>
              <w:spacing w:after="0"/>
              <w:rPr>
                <w:sz w:val="11"/>
                <w:szCs w:val="11"/>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Obligations</w:t>
            </w:r>
          </w:p>
        </w:tc>
        <w:tc>
          <w:tcPr>
            <w:tcW w:w="160" w:type="dxa"/>
            <w:vAlign w:val="bottom"/>
          </w:tcPr>
          <w:p>
            <w:pPr>
              <w:spacing w:after="0"/>
              <w:rPr>
                <w:sz w:val="11"/>
                <w:szCs w:val="11"/>
                <w:color w:val="auto"/>
              </w:rPr>
            </w:pPr>
          </w:p>
        </w:tc>
        <w:tc>
          <w:tcPr>
            <w:tcW w:w="980" w:type="dxa"/>
            <w:vAlign w:val="bottom"/>
            <w:gridSpan w:val="2"/>
          </w:tcPr>
          <w:p>
            <w:pPr>
              <w:jc w:val="right"/>
              <w:ind w:right="411"/>
              <w:spacing w:after="0"/>
              <w:rPr>
                <w:sz w:val="20"/>
                <w:szCs w:val="20"/>
                <w:color w:val="auto"/>
              </w:rPr>
            </w:pPr>
            <w:r>
              <w:rPr>
                <w:rFonts w:ascii="Times New Roman" w:cs="Times New Roman" w:eastAsia="Times New Roman" w:hAnsi="Times New Roman"/>
                <w:sz w:val="11"/>
                <w:szCs w:val="11"/>
                <w:b w:val="1"/>
                <w:bCs w:val="1"/>
                <w:color w:val="auto"/>
              </w:rPr>
              <w:t>Ventures</w:t>
            </w:r>
          </w:p>
        </w:tc>
        <w:tc>
          <w:tcPr>
            <w:tcW w:w="80" w:type="dxa"/>
            <w:vAlign w:val="bottom"/>
          </w:tcPr>
          <w:p>
            <w:pPr>
              <w:spacing w:after="0"/>
              <w:rPr>
                <w:sz w:val="11"/>
                <w:szCs w:val="1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Derivatives</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jc w:val="right"/>
              <w:ind w:right="262"/>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2"/>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Balance, December 31, 2022</w:t>
            </w:r>
          </w:p>
        </w:tc>
        <w:tc>
          <w:tcPr>
            <w:tcW w:w="26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359,648</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50,453</w:t>
            </w:r>
          </w:p>
        </w:tc>
        <w:tc>
          <w:tcPr>
            <w:tcW w:w="240" w:type="dxa"/>
            <w:vAlign w:val="bottom"/>
            <w:shd w:val="clear" w:color="auto" w:fill="CFF0FC"/>
          </w:tcPr>
          <w:p>
            <w:pPr>
              <w:spacing w:after="0"/>
              <w:rPr>
                <w:sz w:val="11"/>
                <w:szCs w:val="11"/>
                <w:color w:val="auto"/>
              </w:rPr>
            </w:pPr>
          </w:p>
        </w:tc>
        <w:tc>
          <w:tcPr>
            <w:tcW w:w="360" w:type="dxa"/>
            <w:vAlign w:val="bottom"/>
            <w:shd w:val="clear" w:color="auto" w:fill="CFF0FC"/>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21,905</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20,453</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18,668</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34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471,170</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380" w:type="dxa"/>
            <w:vAlign w:val="bottom"/>
          </w:tcPr>
          <w:p>
            <w:pPr>
              <w:ind w:left="20"/>
              <w:spacing w:after="0" w:line="132" w:lineRule="exact"/>
              <w:rPr>
                <w:sz w:val="20"/>
                <w:szCs w:val="20"/>
                <w:color w:val="auto"/>
              </w:rPr>
            </w:pPr>
            <w:r>
              <w:rPr>
                <w:rFonts w:ascii="Times New Roman" w:cs="Times New Roman" w:eastAsia="Times New Roman" w:hAnsi="Times New Roman"/>
                <w:sz w:val="11"/>
                <w:szCs w:val="11"/>
                <w:color w:val="auto"/>
              </w:rPr>
              <w:t>Transfers out of Level III</w:t>
            </w:r>
            <w:r>
              <w:rPr>
                <w:rFonts w:ascii="Times New Roman" w:cs="Times New Roman" w:eastAsia="Times New Roman" w:hAnsi="Times New Roman"/>
                <w:sz w:val="14"/>
                <w:szCs w:val="14"/>
                <w:color w:val="auto"/>
                <w:vertAlign w:val="superscript"/>
              </w:rPr>
              <w:t>(1)</w:t>
            </w:r>
          </w:p>
        </w:tc>
        <w:tc>
          <w:tcPr>
            <w:tcW w:w="260" w:type="dxa"/>
            <w:vAlign w:val="bottom"/>
          </w:tcPr>
          <w:p>
            <w:pPr>
              <w:spacing w:after="0"/>
              <w:rPr>
                <w:sz w:val="11"/>
                <w:szCs w:val="11"/>
                <w:color w:val="auto"/>
              </w:rPr>
            </w:pPr>
          </w:p>
        </w:tc>
        <w:tc>
          <w:tcPr>
            <w:tcW w:w="800" w:type="dxa"/>
            <w:vAlign w:val="bottom"/>
            <w:gridSpan w:val="2"/>
          </w:tcPr>
          <w:p>
            <w:pPr>
              <w:jc w:val="right"/>
              <w:ind w:right="162"/>
              <w:spacing w:after="0"/>
              <w:rPr>
                <w:sz w:val="20"/>
                <w:szCs w:val="20"/>
                <w:color w:val="auto"/>
              </w:rPr>
            </w:pPr>
            <w:r>
              <w:rPr>
                <w:rFonts w:ascii="Times New Roman" w:cs="Times New Roman" w:eastAsia="Times New Roman" w:hAnsi="Times New Roman"/>
                <w:sz w:val="11"/>
                <w:szCs w:val="11"/>
                <w:color w:val="auto"/>
              </w:rPr>
              <w:t>(18,021 )</w:t>
            </w:r>
          </w:p>
        </w:tc>
        <w:tc>
          <w:tcPr>
            <w:tcW w:w="80" w:type="dxa"/>
            <w:vAlign w:val="bottom"/>
          </w:tcPr>
          <w:p>
            <w:pPr>
              <w:spacing w:after="0"/>
              <w:rPr>
                <w:sz w:val="11"/>
                <w:szCs w:val="11"/>
                <w:color w:val="auto"/>
              </w:rPr>
            </w:pPr>
          </w:p>
        </w:tc>
        <w:tc>
          <w:tcPr>
            <w:tcW w:w="1140" w:type="dxa"/>
            <w:vAlign w:val="bottom"/>
            <w:gridSpan w:val="2"/>
          </w:tcPr>
          <w:p>
            <w:pPr>
              <w:jc w:val="right"/>
              <w:ind w:right="162"/>
              <w:spacing w:after="0"/>
              <w:rPr>
                <w:sz w:val="20"/>
                <w:szCs w:val="20"/>
                <w:color w:val="auto"/>
              </w:rPr>
            </w:pPr>
            <w:r>
              <w:rPr>
                <w:rFonts w:ascii="Times New Roman" w:cs="Times New Roman" w:eastAsia="Times New Roman" w:hAnsi="Times New Roman"/>
                <w:sz w:val="11"/>
                <w:szCs w:val="11"/>
                <w:color w:val="auto"/>
              </w:rPr>
              <w:t>(1,178 )</w:t>
            </w:r>
          </w:p>
        </w:tc>
        <w:tc>
          <w:tcPr>
            <w:tcW w:w="360" w:type="dxa"/>
            <w:vAlign w:val="bottom"/>
          </w:tcPr>
          <w:p>
            <w:pPr>
              <w:spacing w:after="0"/>
              <w:rPr>
                <w:sz w:val="11"/>
                <w:szCs w:val="11"/>
                <w:color w:val="auto"/>
              </w:rPr>
            </w:pPr>
          </w:p>
        </w:tc>
        <w:tc>
          <w:tcPr>
            <w:tcW w:w="800" w:type="dxa"/>
            <w:vAlign w:val="bottom"/>
            <w:gridSpan w:val="2"/>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71"/>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980" w:type="dxa"/>
            <w:vAlign w:val="bottom"/>
            <w:gridSpan w:val="2"/>
          </w:tcPr>
          <w:p>
            <w:pPr>
              <w:jc w:val="right"/>
              <w:ind w:right="151"/>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1"/>
                <w:szCs w:val="11"/>
                <w:color w:val="auto"/>
              </w:rPr>
              <w:t>(19,199 )</w:t>
            </w:r>
          </w:p>
        </w:tc>
        <w:tc>
          <w:tcPr>
            <w:tcW w:w="0" w:type="dxa"/>
            <w:vAlign w:val="bottom"/>
          </w:tcPr>
          <w:p>
            <w:pPr>
              <w:spacing w:after="0"/>
              <w:rPr>
                <w:sz w:val="1"/>
                <w:szCs w:val="1"/>
                <w:color w:val="auto"/>
              </w:rPr>
            </w:pPr>
          </w:p>
        </w:tc>
      </w:tr>
      <w:tr>
        <w:trPr>
          <w:trHeight w:val="132"/>
        </w:trPr>
        <w:tc>
          <w:tcPr>
            <w:tcW w:w="238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1"/>
                <w:szCs w:val="11"/>
                <w:color w:val="auto"/>
              </w:rPr>
              <w:t>Transfers into Level III</w:t>
            </w:r>
            <w:r>
              <w:rPr>
                <w:rFonts w:ascii="Times New Roman" w:cs="Times New Roman" w:eastAsia="Times New Roman" w:hAnsi="Times New Roman"/>
                <w:sz w:val="14"/>
                <w:szCs w:val="14"/>
                <w:color w:val="auto"/>
                <w:vertAlign w:val="superscript"/>
              </w:rPr>
              <w:t>(2)</w:t>
            </w:r>
          </w:p>
        </w:tc>
        <w:tc>
          <w:tcPr>
            <w:tcW w:w="2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2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1,643</w:t>
            </w:r>
          </w:p>
        </w:tc>
        <w:tc>
          <w:tcPr>
            <w:tcW w:w="2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71"/>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51"/>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1,643</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accretion</w:t>
            </w:r>
          </w:p>
        </w:tc>
        <w:tc>
          <w:tcPr>
            <w:tcW w:w="2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5,034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gridSpan w:val="2"/>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71"/>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right"/>
              <w:ind w:right="151"/>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7,315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Purchases</w:t>
            </w:r>
          </w:p>
        </w:tc>
        <w:tc>
          <w:tcPr>
            <w:tcW w:w="2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40,727</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857</w:t>
            </w:r>
          </w:p>
        </w:tc>
        <w:tc>
          <w:tcPr>
            <w:tcW w:w="2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649</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51"/>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42,233</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Sales/Paydowns/Return of Capital</w:t>
            </w:r>
          </w:p>
        </w:tc>
        <w:tc>
          <w:tcPr>
            <w:tcW w:w="260" w:type="dxa"/>
            <w:vAlign w:val="bottom"/>
          </w:tcPr>
          <w:p>
            <w:pPr>
              <w:spacing w:after="0"/>
              <w:rPr>
                <w:sz w:val="11"/>
                <w:szCs w:val="11"/>
                <w:color w:val="auto"/>
              </w:rPr>
            </w:pPr>
          </w:p>
        </w:tc>
        <w:tc>
          <w:tcPr>
            <w:tcW w:w="800" w:type="dxa"/>
            <w:vAlign w:val="bottom"/>
            <w:gridSpan w:val="2"/>
          </w:tcPr>
          <w:p>
            <w:pPr>
              <w:jc w:val="right"/>
              <w:ind w:right="162"/>
              <w:spacing w:after="0"/>
              <w:rPr>
                <w:sz w:val="20"/>
                <w:szCs w:val="20"/>
                <w:color w:val="auto"/>
              </w:rPr>
            </w:pPr>
            <w:r>
              <w:rPr>
                <w:rFonts w:ascii="Times New Roman" w:cs="Times New Roman" w:eastAsia="Times New Roman" w:hAnsi="Times New Roman"/>
                <w:sz w:val="11"/>
                <w:szCs w:val="11"/>
                <w:color w:val="auto"/>
              </w:rPr>
              <w:t>(95,846 )</w:t>
            </w:r>
          </w:p>
        </w:tc>
        <w:tc>
          <w:tcPr>
            <w:tcW w:w="80" w:type="dxa"/>
            <w:vAlign w:val="bottom"/>
          </w:tcPr>
          <w:p>
            <w:pPr>
              <w:spacing w:after="0"/>
              <w:rPr>
                <w:sz w:val="11"/>
                <w:szCs w:val="11"/>
                <w:color w:val="auto"/>
              </w:rPr>
            </w:pPr>
          </w:p>
        </w:tc>
        <w:tc>
          <w:tcPr>
            <w:tcW w:w="1140" w:type="dxa"/>
            <w:vAlign w:val="bottom"/>
            <w:gridSpan w:val="2"/>
          </w:tcPr>
          <w:p>
            <w:pPr>
              <w:jc w:val="right"/>
              <w:ind w:right="162"/>
              <w:spacing w:after="0"/>
              <w:rPr>
                <w:sz w:val="20"/>
                <w:szCs w:val="20"/>
                <w:color w:val="auto"/>
              </w:rPr>
            </w:pPr>
            <w:r>
              <w:rPr>
                <w:rFonts w:ascii="Times New Roman" w:cs="Times New Roman" w:eastAsia="Times New Roman" w:hAnsi="Times New Roman"/>
                <w:sz w:val="11"/>
                <w:szCs w:val="11"/>
                <w:color w:val="auto"/>
              </w:rPr>
              <w:t>(26,708 )</w:t>
            </w:r>
          </w:p>
        </w:tc>
        <w:tc>
          <w:tcPr>
            <w:tcW w:w="3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5,568</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11"/>
              <w:spacing w:after="0"/>
              <w:rPr>
                <w:sz w:val="20"/>
                <w:szCs w:val="20"/>
                <w:color w:val="auto"/>
              </w:rPr>
            </w:pPr>
            <w:r>
              <w:rPr>
                <w:rFonts w:ascii="Times New Roman" w:cs="Times New Roman" w:eastAsia="Times New Roman" w:hAnsi="Times New Roman"/>
                <w:sz w:val="11"/>
                <w:szCs w:val="11"/>
                <w:color w:val="auto"/>
              </w:rPr>
              <w:t>(1,552 )</w:t>
            </w:r>
          </w:p>
        </w:tc>
        <w:tc>
          <w:tcPr>
            <w:tcW w:w="140" w:type="dxa"/>
            <w:vAlign w:val="bottom"/>
          </w:tcPr>
          <w:p>
            <w:pPr>
              <w:spacing w:after="0"/>
              <w:rPr>
                <w:sz w:val="11"/>
                <w:szCs w:val="1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(2,097 )</w:t>
            </w:r>
          </w:p>
        </w:tc>
        <w:tc>
          <w:tcPr>
            <w:tcW w:w="160" w:type="dxa"/>
            <w:vAlign w:val="bottom"/>
          </w:tcPr>
          <w:p>
            <w:pPr>
              <w:spacing w:after="0"/>
              <w:rPr>
                <w:sz w:val="11"/>
                <w:szCs w:val="11"/>
                <w:color w:val="auto"/>
              </w:rPr>
            </w:pPr>
          </w:p>
        </w:tc>
        <w:tc>
          <w:tcPr>
            <w:tcW w:w="980" w:type="dxa"/>
            <w:vAlign w:val="bottom"/>
            <w:gridSpan w:val="2"/>
          </w:tcPr>
          <w:p>
            <w:pPr>
              <w:jc w:val="right"/>
              <w:ind w:right="151"/>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1"/>
                <w:szCs w:val="11"/>
                <w:color w:val="auto"/>
              </w:rPr>
              <w:t>(120,635 )</w:t>
            </w:r>
          </w:p>
        </w:tc>
        <w:tc>
          <w:tcPr>
            <w:tcW w:w="0" w:type="dxa"/>
            <w:vAlign w:val="bottom"/>
          </w:tcPr>
          <w:p>
            <w:pPr>
              <w:spacing w:after="0"/>
              <w:rPr>
                <w:sz w:val="1"/>
                <w:szCs w:val="1"/>
                <w:color w:val="auto"/>
              </w:rPr>
            </w:pPr>
          </w:p>
        </w:tc>
      </w:tr>
      <w:tr>
        <w:trPr>
          <w:trHeight w:val="132"/>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Realized gain (loss) included in earnings</w:t>
            </w:r>
          </w:p>
        </w:tc>
        <w:tc>
          <w:tcPr>
            <w:tcW w:w="2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62"/>
              <w:spacing w:after="0"/>
              <w:rPr>
                <w:sz w:val="20"/>
                <w:szCs w:val="20"/>
                <w:color w:val="auto"/>
              </w:rPr>
            </w:pPr>
            <w:r>
              <w:rPr>
                <w:rFonts w:ascii="Times New Roman" w:cs="Times New Roman" w:eastAsia="Times New Roman" w:hAnsi="Times New Roman"/>
                <w:sz w:val="11"/>
                <w:szCs w:val="11"/>
                <w:color w:val="auto"/>
              </w:rPr>
              <w:t>(704 )</w:t>
            </w:r>
          </w:p>
        </w:tc>
        <w:tc>
          <w:tcPr>
            <w:tcW w:w="8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162"/>
              <w:spacing w:after="0"/>
              <w:rPr>
                <w:sz w:val="20"/>
                <w:szCs w:val="20"/>
                <w:color w:val="auto"/>
              </w:rPr>
            </w:pPr>
            <w:r>
              <w:rPr>
                <w:rFonts w:ascii="Times New Roman" w:cs="Times New Roman" w:eastAsia="Times New Roman" w:hAnsi="Times New Roman"/>
                <w:sz w:val="11"/>
                <w:szCs w:val="11"/>
                <w:color w:val="auto"/>
              </w:rPr>
              <w:t>(1,124 )</w:t>
            </w:r>
          </w:p>
        </w:tc>
        <w:tc>
          <w:tcPr>
            <w:tcW w:w="3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3,334</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(25,446 )</w:t>
            </w:r>
          </w:p>
        </w:tc>
        <w:tc>
          <w:tcPr>
            <w:tcW w:w="16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51"/>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1"/>
                <w:szCs w:val="11"/>
                <w:color w:val="auto"/>
              </w:rPr>
              <w:t>(23,940 )</w:t>
            </w:r>
          </w:p>
        </w:tc>
        <w:tc>
          <w:tcPr>
            <w:tcW w:w="0" w:type="dxa"/>
            <w:vAlign w:val="bottom"/>
          </w:tcPr>
          <w:p>
            <w:pPr>
              <w:spacing w:after="0"/>
              <w:rPr>
                <w:sz w:val="1"/>
                <w:szCs w:val="1"/>
                <w:color w:val="auto"/>
              </w:rPr>
            </w:pPr>
          </w:p>
        </w:tc>
      </w:tr>
      <w:tr>
        <w:trPr>
          <w:trHeight w:val="132"/>
        </w:trPr>
        <w:tc>
          <w:tcPr>
            <w:tcW w:w="2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Change in unrealized gain (loss) included in</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earnings</w:t>
            </w:r>
          </w:p>
        </w:tc>
        <w:tc>
          <w:tcPr>
            <w:tcW w:w="260" w:type="dxa"/>
            <w:vAlign w:val="bottom"/>
          </w:tcPr>
          <w:p>
            <w:pPr>
              <w:spacing w:after="0"/>
              <w:rPr>
                <w:sz w:val="11"/>
                <w:szCs w:val="11"/>
                <w:color w:val="auto"/>
              </w:rPr>
            </w:pPr>
          </w:p>
        </w:tc>
        <w:tc>
          <w:tcPr>
            <w:tcW w:w="800" w:type="dxa"/>
            <w:vAlign w:val="bottom"/>
            <w:gridSpan w:val="2"/>
          </w:tcPr>
          <w:p>
            <w:pPr>
              <w:jc w:val="right"/>
              <w:ind w:right="162"/>
              <w:spacing w:after="0"/>
              <w:rPr>
                <w:sz w:val="20"/>
                <w:szCs w:val="20"/>
                <w:color w:val="auto"/>
              </w:rPr>
            </w:pPr>
            <w:r>
              <w:rPr>
                <w:rFonts w:ascii="Times New Roman" w:cs="Times New Roman" w:eastAsia="Times New Roman" w:hAnsi="Times New Roman"/>
                <w:sz w:val="11"/>
                <w:szCs w:val="11"/>
                <w:color w:val="auto"/>
              </w:rPr>
              <w:t>(1,543 )</w:t>
            </w:r>
          </w:p>
        </w:tc>
        <w:tc>
          <w:tcPr>
            <w:tcW w:w="80" w:type="dxa"/>
            <w:vAlign w:val="bottom"/>
          </w:tcPr>
          <w:p>
            <w:pPr>
              <w:spacing w:after="0"/>
              <w:rPr>
                <w:sz w:val="11"/>
                <w:szCs w:val="11"/>
                <w:color w:val="auto"/>
              </w:rPr>
            </w:pPr>
          </w:p>
        </w:tc>
        <w:tc>
          <w:tcPr>
            <w:tcW w:w="1140" w:type="dxa"/>
            <w:vAlign w:val="bottom"/>
            <w:gridSpan w:val="2"/>
          </w:tcPr>
          <w:p>
            <w:pPr>
              <w:jc w:val="right"/>
              <w:ind w:right="162"/>
              <w:spacing w:after="0"/>
              <w:rPr>
                <w:sz w:val="20"/>
                <w:szCs w:val="20"/>
                <w:color w:val="auto"/>
              </w:rPr>
            </w:pPr>
            <w:r>
              <w:rPr>
                <w:rFonts w:ascii="Times New Roman" w:cs="Times New Roman" w:eastAsia="Times New Roman" w:hAnsi="Times New Roman"/>
                <w:sz w:val="11"/>
                <w:szCs w:val="11"/>
                <w:color w:val="auto"/>
              </w:rPr>
              <w:t>(994 )</w:t>
            </w:r>
          </w:p>
        </w:tc>
        <w:tc>
          <w:tcPr>
            <w:tcW w:w="360" w:type="dxa"/>
            <w:vAlign w:val="bottom"/>
          </w:tcPr>
          <w:p>
            <w:pPr>
              <w:spacing w:after="0"/>
              <w:rPr>
                <w:sz w:val="11"/>
                <w:szCs w:val="11"/>
                <w:color w:val="auto"/>
              </w:rPr>
            </w:pPr>
          </w:p>
        </w:tc>
        <w:tc>
          <w:tcPr>
            <w:tcW w:w="800" w:type="dxa"/>
            <w:vAlign w:val="bottom"/>
            <w:gridSpan w:val="2"/>
          </w:tcPr>
          <w:p>
            <w:pPr>
              <w:jc w:val="right"/>
              <w:ind w:right="122"/>
              <w:spacing w:after="0"/>
              <w:rPr>
                <w:sz w:val="20"/>
                <w:szCs w:val="20"/>
                <w:color w:val="auto"/>
              </w:rPr>
            </w:pPr>
            <w:r>
              <w:rPr>
                <w:rFonts w:ascii="Times New Roman" w:cs="Times New Roman" w:eastAsia="Times New Roman" w:hAnsi="Times New Roman"/>
                <w:sz w:val="11"/>
                <w:szCs w:val="11"/>
                <w:color w:val="auto"/>
              </w:rPr>
              <w:t>(4,386 )</w:t>
            </w:r>
          </w:p>
        </w:tc>
        <w:tc>
          <w:tcPr>
            <w:tcW w:w="100" w:type="dxa"/>
            <w:vAlign w:val="bottom"/>
          </w:tcPr>
          <w:p>
            <w:pPr>
              <w:spacing w:after="0"/>
              <w:rPr>
                <w:sz w:val="11"/>
                <w:szCs w:val="11"/>
                <w:color w:val="auto"/>
              </w:rPr>
            </w:pPr>
          </w:p>
        </w:tc>
        <w:tc>
          <w:tcPr>
            <w:tcW w:w="660" w:type="dxa"/>
            <w:vAlign w:val="bottom"/>
            <w:gridSpan w:val="2"/>
          </w:tcPr>
          <w:p>
            <w:pPr>
              <w:jc w:val="right"/>
              <w:ind w:right="111"/>
              <w:spacing w:after="0"/>
              <w:rPr>
                <w:sz w:val="20"/>
                <w:szCs w:val="20"/>
                <w:color w:val="auto"/>
              </w:rPr>
            </w:pPr>
            <w:r>
              <w:rPr>
                <w:rFonts w:ascii="Times New Roman" w:cs="Times New Roman" w:eastAsia="Times New Roman" w:hAnsi="Times New Roman"/>
                <w:sz w:val="11"/>
                <w:szCs w:val="11"/>
                <w:color w:val="auto"/>
              </w:rPr>
              <w:t>(3,803 )</w:t>
            </w: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14,060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right"/>
              <w:ind w:right="91"/>
              <w:spacing w:after="0"/>
              <w:rPr>
                <w:sz w:val="20"/>
                <w:szCs w:val="20"/>
                <w:color w:val="auto"/>
              </w:rPr>
            </w:pPr>
            <w:r>
              <w:rPr>
                <w:rFonts w:ascii="Times New Roman" w:cs="Times New Roman" w:eastAsia="Times New Roman" w:hAnsi="Times New Roman"/>
                <w:sz w:val="11"/>
                <w:szCs w:val="11"/>
                <w:color w:val="auto"/>
              </w:rPr>
              <w:t>(4,393 )</w:t>
            </w:r>
          </w:p>
        </w:tc>
        <w:tc>
          <w:tcPr>
            <w:tcW w:w="8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1"/>
                <w:szCs w:val="11"/>
                <w:color w:val="auto"/>
              </w:rPr>
              <w:t>(1,059 )</w:t>
            </w:r>
          </w:p>
        </w:tc>
        <w:tc>
          <w:tcPr>
            <w:tcW w:w="0" w:type="dxa"/>
            <w:vAlign w:val="bottom"/>
          </w:tcPr>
          <w:p>
            <w:pPr>
              <w:spacing w:after="0"/>
              <w:rPr>
                <w:sz w:val="1"/>
                <w:szCs w:val="1"/>
                <w:color w:val="auto"/>
              </w:rPr>
            </w:pPr>
          </w:p>
        </w:tc>
      </w:tr>
      <w:tr>
        <w:trPr>
          <w:trHeight w:val="172"/>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Balance, December 31, 2023</w:t>
            </w:r>
          </w:p>
        </w:tc>
        <w:tc>
          <w:tcPr>
            <w:tcW w:w="26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289,295</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23,232</w:t>
            </w: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1,225</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20,533</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8,968</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14,275</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34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357,528</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380" w:type="dxa"/>
            <w:vAlign w:val="bottom"/>
            <w:tcBorders>
              <w:top w:val="single" w:sz="8" w:color="CFF0FC"/>
            </w:tcBorders>
          </w:tcPr>
          <w:p>
            <w:pPr>
              <w:ind w:left="20"/>
              <w:spacing w:after="0" w:line="108" w:lineRule="exact"/>
              <w:rPr>
                <w:sz w:val="20"/>
                <w:szCs w:val="20"/>
                <w:color w:val="auto"/>
              </w:rPr>
            </w:pPr>
            <w:r>
              <w:rPr>
                <w:rFonts w:ascii="Times New Roman" w:cs="Times New Roman" w:eastAsia="Times New Roman" w:hAnsi="Times New Roman"/>
                <w:sz w:val="11"/>
                <w:szCs w:val="11"/>
                <w:color w:val="auto"/>
              </w:rPr>
              <w:t>Changes in unrealized gains (losses) included in</w:t>
            </w:r>
          </w:p>
        </w:tc>
        <w:tc>
          <w:tcPr>
            <w:tcW w:w="2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earnings related to investments still held at</w:t>
            </w:r>
          </w:p>
        </w:tc>
        <w:tc>
          <w:tcPr>
            <w:tcW w:w="260" w:type="dxa"/>
            <w:vAlign w:val="bottom"/>
            <w:vMerge w:val="restart"/>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(6,242</w:t>
            </w:r>
          </w:p>
        </w:tc>
        <w:tc>
          <w:tcPr>
            <w:tcW w:w="24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(2,037</w:t>
            </w:r>
          </w:p>
        </w:tc>
        <w:tc>
          <w:tcPr>
            <w:tcW w:w="240" w:type="dxa"/>
            <w:vAlign w:val="bottom"/>
          </w:tcPr>
          <w:p>
            <w:pPr>
              <w:spacing w:after="0"/>
              <w:rPr>
                <w:sz w:val="11"/>
                <w:szCs w:val="11"/>
                <w:color w:val="auto"/>
              </w:rPr>
            </w:pPr>
          </w:p>
        </w:tc>
        <w:tc>
          <w:tcPr>
            <w:tcW w:w="360" w:type="dxa"/>
            <w:vAlign w:val="bottom"/>
            <w:vMerge w:val="restart"/>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(4,388</w:t>
            </w:r>
          </w:p>
        </w:tc>
        <w:tc>
          <w:tcPr>
            <w:tcW w:w="2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(2,082</w:t>
            </w:r>
          </w:p>
        </w:tc>
        <w:tc>
          <w:tcPr>
            <w:tcW w:w="220" w:type="dxa"/>
            <w:vAlign w:val="bottom"/>
          </w:tcPr>
          <w:p>
            <w:pPr>
              <w:spacing w:after="0"/>
              <w:rPr>
                <w:sz w:val="11"/>
                <w:szCs w:val="11"/>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5,461</w:t>
            </w:r>
          </w:p>
        </w:tc>
        <w:tc>
          <w:tcPr>
            <w:tcW w:w="220" w:type="dxa"/>
            <w:vAlign w:val="bottom"/>
          </w:tcPr>
          <w:p>
            <w:pPr>
              <w:spacing w:after="0"/>
              <w:rPr>
                <w:sz w:val="11"/>
                <w:szCs w:val="11"/>
                <w:color w:val="auto"/>
              </w:rPr>
            </w:pPr>
          </w:p>
        </w:tc>
        <w:tc>
          <w:tcPr>
            <w:tcW w:w="1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(4,392</w:t>
            </w:r>
          </w:p>
        </w:tc>
        <w:tc>
          <w:tcPr>
            <w:tcW w:w="20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vMerge w:val="restart"/>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1"/>
                <w:szCs w:val="11"/>
                <w:color w:val="auto"/>
              </w:rPr>
            </w:pPr>
          </w:p>
        </w:tc>
        <w:tc>
          <w:tcPr>
            <w:tcW w:w="14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(13,680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380" w:type="dxa"/>
            <w:vAlign w:val="bottom"/>
          </w:tcPr>
          <w:p>
            <w:pPr>
              <w:ind w:left="20"/>
              <w:spacing w:after="0" w:line="89" w:lineRule="exact"/>
              <w:rPr>
                <w:sz w:val="20"/>
                <w:szCs w:val="20"/>
                <w:color w:val="auto"/>
              </w:rPr>
            </w:pPr>
            <w:r>
              <w:rPr>
                <w:rFonts w:ascii="Times New Roman" w:cs="Times New Roman" w:eastAsia="Times New Roman" w:hAnsi="Times New Roman"/>
                <w:sz w:val="10"/>
                <w:szCs w:val="10"/>
                <w:color w:val="auto"/>
              </w:rPr>
              <w:t>reporting date</w:t>
            </w:r>
          </w:p>
        </w:tc>
        <w:tc>
          <w:tcPr>
            <w:tcW w:w="260" w:type="dxa"/>
            <w:vAlign w:val="bottom"/>
            <w:tcBorders>
              <w:bottom w:val="single" w:sz="8" w:color="auto"/>
            </w:tcBorders>
            <w:vMerge w:val="continue"/>
          </w:tcPr>
          <w:p>
            <w:pPr>
              <w:spacing w:after="0"/>
              <w:rPr>
                <w:sz w:val="8"/>
                <w:szCs w:val="8"/>
                <w:color w:val="auto"/>
              </w:rPr>
            </w:pPr>
          </w:p>
        </w:tc>
        <w:tc>
          <w:tcPr>
            <w:tcW w:w="560" w:type="dxa"/>
            <w:vAlign w:val="bottom"/>
            <w:tcBorders>
              <w:bottom w:val="single" w:sz="8" w:color="auto"/>
            </w:tcBorders>
            <w:vMerge w:val="continue"/>
          </w:tcPr>
          <w:p>
            <w:pPr>
              <w:spacing w:after="0"/>
              <w:rPr>
                <w:sz w:val="8"/>
                <w:szCs w:val="8"/>
                <w:color w:val="auto"/>
              </w:rPr>
            </w:pPr>
          </w:p>
        </w:tc>
        <w:tc>
          <w:tcPr>
            <w:tcW w:w="240" w:type="dxa"/>
            <w:vAlign w:val="bottom"/>
          </w:tcPr>
          <w:p>
            <w:pPr>
              <w:jc w:val="right"/>
              <w:ind w:right="162"/>
              <w:spacing w:after="0" w:line="89" w:lineRule="exact"/>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bottom w:val="single" w:sz="8" w:color="auto"/>
            </w:tcBorders>
            <w:vMerge w:val="continue"/>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240" w:type="dxa"/>
            <w:vAlign w:val="bottom"/>
          </w:tcPr>
          <w:p>
            <w:pPr>
              <w:jc w:val="right"/>
              <w:ind w:right="162"/>
              <w:spacing w:after="0" w:line="89" w:lineRule="exact"/>
              <w:rPr>
                <w:sz w:val="20"/>
                <w:szCs w:val="20"/>
                <w:color w:val="auto"/>
              </w:rPr>
            </w:pPr>
            <w:r>
              <w:rPr>
                <w:rFonts w:ascii="Times New Roman" w:cs="Times New Roman" w:eastAsia="Times New Roman" w:hAnsi="Times New Roman"/>
                <w:sz w:val="8"/>
                <w:szCs w:val="8"/>
                <w:color w:val="auto"/>
                <w:w w:val="73"/>
              </w:rPr>
              <w:t>)</w:t>
            </w:r>
          </w:p>
        </w:tc>
        <w:tc>
          <w:tcPr>
            <w:tcW w:w="360" w:type="dxa"/>
            <w:vAlign w:val="bottom"/>
            <w:tcBorders>
              <w:bottom w:val="single" w:sz="8" w:color="auto"/>
            </w:tcBorders>
            <w:vMerge w:val="continue"/>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200" w:type="dxa"/>
            <w:vAlign w:val="bottom"/>
          </w:tcPr>
          <w:p>
            <w:pPr>
              <w:jc w:val="right"/>
              <w:ind w:right="122"/>
              <w:spacing w:after="0" w:line="89" w:lineRule="exact"/>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bottom w:val="single" w:sz="8" w:color="auto"/>
            </w:tcBorders>
            <w:vMerge w:val="continue"/>
          </w:tcPr>
          <w:p>
            <w:pPr>
              <w:spacing w:after="0"/>
              <w:rPr>
                <w:sz w:val="8"/>
                <w:szCs w:val="8"/>
                <w:color w:val="auto"/>
              </w:rPr>
            </w:pPr>
          </w:p>
        </w:tc>
        <w:tc>
          <w:tcPr>
            <w:tcW w:w="440" w:type="dxa"/>
            <w:vAlign w:val="bottom"/>
            <w:tcBorders>
              <w:bottom w:val="single" w:sz="8" w:color="auto"/>
            </w:tcBorders>
            <w:vMerge w:val="continue"/>
          </w:tcPr>
          <w:p>
            <w:pPr>
              <w:spacing w:after="0"/>
              <w:rPr>
                <w:sz w:val="8"/>
                <w:szCs w:val="8"/>
                <w:color w:val="auto"/>
              </w:rPr>
            </w:pPr>
          </w:p>
        </w:tc>
        <w:tc>
          <w:tcPr>
            <w:tcW w:w="220" w:type="dxa"/>
            <w:vAlign w:val="bottom"/>
          </w:tcPr>
          <w:p>
            <w:pPr>
              <w:jc w:val="right"/>
              <w:ind w:right="111"/>
              <w:spacing w:after="0" w:line="8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auto"/>
            </w:tcBorders>
            <w:vMerge w:val="continue"/>
          </w:tcPr>
          <w:p>
            <w:pPr>
              <w:spacing w:after="0"/>
              <w:rPr>
                <w:sz w:val="8"/>
                <w:szCs w:val="8"/>
                <w:color w:val="auto"/>
              </w:rPr>
            </w:pPr>
          </w:p>
        </w:tc>
        <w:tc>
          <w:tcPr>
            <w:tcW w:w="82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200" w:type="dxa"/>
            <w:vAlign w:val="bottom"/>
          </w:tcPr>
          <w:p>
            <w:pPr>
              <w:jc w:val="right"/>
              <w:ind w:right="91"/>
              <w:spacing w:after="0" w:line="89"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auto"/>
            </w:tcBorders>
            <w:vMerge w:val="continue"/>
          </w:tcPr>
          <w:p>
            <w:pPr>
              <w:spacing w:after="0"/>
              <w:rPr>
                <w:sz w:val="8"/>
                <w:szCs w:val="8"/>
                <w:color w:val="auto"/>
              </w:rPr>
            </w:pPr>
          </w:p>
        </w:tc>
        <w:tc>
          <w:tcPr>
            <w:tcW w:w="640" w:type="dxa"/>
            <w:vAlign w:val="bottom"/>
            <w:tcBorders>
              <w:bottom w:val="single" w:sz="8" w:color="auto"/>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vMerge w:val="continue"/>
          </w:tcPr>
          <w:p>
            <w:pPr>
              <w:spacing w:after="0"/>
              <w:rPr>
                <w:sz w:val="8"/>
                <w:szCs w:val="8"/>
                <w:color w:val="auto"/>
              </w:rPr>
            </w:pPr>
          </w:p>
        </w:tc>
        <w:tc>
          <w:tcPr>
            <w:tcW w:w="520" w:type="dxa"/>
            <w:vAlign w:val="bottom"/>
            <w:tcBorders>
              <w:bottom w:val="single" w:sz="8" w:color="auto"/>
            </w:tcBorders>
            <w:vMerge w:val="continue"/>
          </w:tcPr>
          <w:p>
            <w:pPr>
              <w:spacing w:after="0"/>
              <w:rPr>
                <w:sz w:val="8"/>
                <w:szCs w:val="8"/>
                <w:color w:val="auto"/>
              </w:rPr>
            </w:pPr>
          </w:p>
        </w:tc>
        <w:tc>
          <w:tcPr>
            <w:tcW w:w="80" w:type="dxa"/>
            <w:vAlign w:val="bottom"/>
          </w:tcPr>
          <w:p>
            <w:pPr>
              <w:jc w:val="right"/>
              <w:ind w:right="2"/>
              <w:spacing w:after="0" w:line="89" w:lineRule="exact"/>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ind w:left="286" w:hanging="286"/>
        <w:spacing w:after="0"/>
        <w:tabs>
          <w:tab w:leader="none" w:pos="286"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Transfers out of Level III represent a transfer of $19.2 million relating to debt securities for which pricing inputs, other than their quoted prices in active markets were observable as of December 31, 2023.</w:t>
      </w:r>
    </w:p>
    <w:p>
      <w:pPr>
        <w:spacing w:after="0" w:line="101" w:lineRule="exact"/>
        <w:rPr>
          <w:rFonts w:ascii="Times New Roman" w:cs="Times New Roman" w:eastAsia="Times New Roman" w:hAnsi="Times New Roman"/>
          <w:sz w:val="11"/>
          <w:szCs w:val="11"/>
          <w:color w:val="auto"/>
        </w:rPr>
      </w:pPr>
    </w:p>
    <w:p>
      <w:pPr>
        <w:ind w:left="286" w:hanging="286"/>
        <w:spacing w:after="0"/>
        <w:tabs>
          <w:tab w:leader="none" w:pos="286"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Transfers into Level III represent a transfer of $1.6 million relating to debt securities for which pricing inputs, other than their quoted prices in active markets were unobservable as of December 31, 2023.</w:t>
      </w:r>
    </w:p>
    <w:p>
      <w:pPr>
        <w:spacing w:after="0" w:line="246" w:lineRule="exact"/>
        <w:rPr>
          <w:sz w:val="20"/>
          <w:szCs w:val="20"/>
          <w:color w:val="auto"/>
        </w:rPr>
      </w:pPr>
    </w:p>
    <w:p>
      <w:pPr>
        <w:jc w:val="both"/>
        <w:ind w:left="6" w:right="100" w:firstLine="348"/>
        <w:spacing w:after="0" w:line="268" w:lineRule="auto"/>
        <w:rPr>
          <w:sz w:val="20"/>
          <w:szCs w:val="20"/>
          <w:color w:val="auto"/>
        </w:rPr>
      </w:pPr>
      <w:r>
        <w:rPr>
          <w:rFonts w:ascii="Times New Roman" w:cs="Times New Roman" w:eastAsia="Times New Roman" w:hAnsi="Times New Roman"/>
          <w:sz w:val="13"/>
          <w:szCs w:val="13"/>
          <w:color w:val="auto"/>
        </w:rPr>
        <w:t>As of December 31, 2023, the Company’s Level II portfolio investments were valued by a third-party pricing services for which the prices are not adjusted and for which inputs are observable or can be corroborated by observable market data for substantially the full character of the financial instrument, or by inputs that are derived principally from, or corroborated by, observable market information. The fair value of the Company’s Level II portfolio investments was $0.0 million and $65.3 million as of December 31, 2024 and December 31, 2023, respectively.</w:t>
      </w:r>
    </w:p>
    <w:p>
      <w:pPr>
        <w:spacing w:after="0" w:line="75" w:lineRule="exact"/>
        <w:rPr>
          <w:sz w:val="20"/>
          <w:szCs w:val="20"/>
          <w:color w:val="auto"/>
        </w:rPr>
      </w:pPr>
    </w:p>
    <w:p>
      <w:pPr>
        <w:ind w:left="4046"/>
        <w:spacing w:after="0"/>
        <w:rPr>
          <w:sz w:val="20"/>
          <w:szCs w:val="20"/>
          <w:color w:val="auto"/>
        </w:rPr>
      </w:pPr>
      <w:r>
        <w:rPr>
          <w:rFonts w:ascii="Times New Roman" w:cs="Times New Roman" w:eastAsia="Times New Roman" w:hAnsi="Times New Roman"/>
          <w:sz w:val="11"/>
          <w:szCs w:val="11"/>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417830</wp:posOffset>
            </wp:positionV>
            <wp:extent cx="6732905"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6"/>
          </w:cols>
          <w:pgMar w:left="654" w:top="1132" w:right="680" w:bottom="1440" w:gutter="0" w:footer="0" w:header="0"/>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PORTMAN RIDGE FINANCE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1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As of December 31, 2024, the Company’s Level III portfolio investments had the following valuation techniques and significant inputs (dollars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60" w:type="dxa"/>
            <w:vAlign w:val="bottom"/>
          </w:tcPr>
          <w:p>
            <w:pPr>
              <w:ind w:left="760"/>
              <w:spacing w:after="0"/>
              <w:rPr>
                <w:sz w:val="20"/>
                <w:szCs w:val="20"/>
                <w:color w:val="auto"/>
              </w:rPr>
            </w:pPr>
            <w:r>
              <w:rPr>
                <w:rFonts w:ascii="Times New Roman" w:cs="Times New Roman" w:eastAsia="Times New Roman" w:hAnsi="Times New Roman"/>
                <w:sz w:val="11"/>
                <w:szCs w:val="11"/>
                <w:b w:val="1"/>
                <w:bCs w:val="1"/>
                <w:color w:val="auto"/>
              </w:rPr>
              <w:t>Primary Valuation</w:t>
            </w:r>
          </w:p>
        </w:tc>
        <w:tc>
          <w:tcPr>
            <w:tcW w:w="2220" w:type="dxa"/>
            <w:vAlign w:val="bottom"/>
          </w:tcPr>
          <w:p>
            <w:pPr>
              <w:ind w:left="1140"/>
              <w:spacing w:after="0"/>
              <w:rPr>
                <w:sz w:val="20"/>
                <w:szCs w:val="20"/>
                <w:color w:val="auto"/>
              </w:rPr>
            </w:pPr>
            <w:r>
              <w:rPr>
                <w:rFonts w:ascii="Times New Roman" w:cs="Times New Roman" w:eastAsia="Times New Roman" w:hAnsi="Times New Roman"/>
                <w:sz w:val="11"/>
                <w:szCs w:val="11"/>
                <w:b w:val="1"/>
                <w:bCs w:val="1"/>
                <w:color w:val="auto"/>
              </w:rPr>
              <w:t>Unobservable</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Range of Inputs</w:t>
            </w:r>
          </w:p>
        </w:tc>
      </w:tr>
      <w:tr>
        <w:trPr>
          <w:trHeight w:val="144"/>
        </w:trPr>
        <w:tc>
          <w:tcPr>
            <w:tcW w:w="2440" w:type="dxa"/>
            <w:vAlign w:val="bottom"/>
          </w:tcPr>
          <w:p>
            <w:pPr>
              <w:jc w:val="right"/>
              <w:ind w:right="1086"/>
              <w:spacing w:after="0"/>
              <w:rPr>
                <w:sz w:val="20"/>
                <w:szCs w:val="20"/>
                <w:color w:val="auto"/>
              </w:rPr>
            </w:pPr>
            <w:r>
              <w:rPr>
                <w:rFonts w:ascii="Times New Roman" w:cs="Times New Roman" w:eastAsia="Times New Roman" w:hAnsi="Times New Roman"/>
                <w:sz w:val="11"/>
                <w:szCs w:val="11"/>
                <w:b w:val="1"/>
                <w:bCs w:val="1"/>
                <w:color w:val="auto"/>
              </w:rPr>
              <w:t>Type</w:t>
            </w:r>
          </w:p>
        </w:tc>
        <w:tc>
          <w:tcPr>
            <w:tcW w:w="400" w:type="dxa"/>
            <w:vAlign w:val="bottom"/>
          </w:tcPr>
          <w:p>
            <w:pPr>
              <w:spacing w:after="0"/>
              <w:rPr>
                <w:sz w:val="12"/>
                <w:szCs w:val="12"/>
                <w:color w:val="auto"/>
              </w:rPr>
            </w:pPr>
          </w:p>
        </w:tc>
        <w:tc>
          <w:tcPr>
            <w:tcW w:w="1540" w:type="dxa"/>
            <w:vAlign w:val="bottom"/>
          </w:tcPr>
          <w:p>
            <w:pPr>
              <w:jc w:val="right"/>
              <w:ind w:right="706"/>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2060" w:type="dxa"/>
            <w:vAlign w:val="bottom"/>
          </w:tcPr>
          <w:p>
            <w:pPr>
              <w:ind w:left="960"/>
              <w:spacing w:after="0"/>
              <w:rPr>
                <w:sz w:val="20"/>
                <w:szCs w:val="20"/>
                <w:color w:val="auto"/>
              </w:rPr>
            </w:pPr>
            <w:r>
              <w:rPr>
                <w:rFonts w:ascii="Times New Roman" w:cs="Times New Roman" w:eastAsia="Times New Roman" w:hAnsi="Times New Roman"/>
                <w:sz w:val="11"/>
                <w:szCs w:val="11"/>
                <w:b w:val="1"/>
                <w:bCs w:val="1"/>
                <w:color w:val="auto"/>
              </w:rPr>
              <w:t>Techniques</w:t>
            </w:r>
          </w:p>
        </w:tc>
        <w:tc>
          <w:tcPr>
            <w:tcW w:w="2220" w:type="dxa"/>
            <w:vAlign w:val="bottom"/>
          </w:tcPr>
          <w:p>
            <w:pPr>
              <w:ind w:left="1300"/>
              <w:spacing w:after="0"/>
              <w:rPr>
                <w:sz w:val="20"/>
                <w:szCs w:val="20"/>
                <w:color w:val="auto"/>
              </w:rPr>
            </w:pPr>
            <w:r>
              <w:rPr>
                <w:rFonts w:ascii="Times New Roman" w:cs="Times New Roman" w:eastAsia="Times New Roman" w:hAnsi="Times New Roman"/>
                <w:sz w:val="11"/>
                <w:szCs w:val="11"/>
                <w:b w:val="1"/>
                <w:bCs w:val="1"/>
                <w:color w:val="auto"/>
              </w:rPr>
              <w:t>Inputs</w:t>
            </w:r>
          </w:p>
        </w:tc>
        <w:tc>
          <w:tcPr>
            <w:tcW w:w="660" w:type="dxa"/>
            <w:vAlign w:val="bottom"/>
          </w:tcPr>
          <w:p>
            <w:pPr>
              <w:spacing w:after="0"/>
              <w:rPr>
                <w:sz w:val="12"/>
                <w:szCs w:val="12"/>
                <w:color w:val="auto"/>
              </w:rPr>
            </w:pPr>
          </w:p>
        </w:tc>
        <w:tc>
          <w:tcPr>
            <w:tcW w:w="124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1"/>
                <w:szCs w:val="11"/>
                <w:b w:val="1"/>
                <w:bCs w:val="1"/>
                <w:color w:val="auto"/>
              </w:rPr>
              <w:t>(Weighted Average)</w:t>
            </w:r>
            <w:r>
              <w:rPr>
                <w:rFonts w:ascii="Times New Roman" w:cs="Times New Roman" w:eastAsia="Times New Roman" w:hAnsi="Times New Roman"/>
                <w:sz w:val="14"/>
                <w:szCs w:val="14"/>
                <w:b w:val="1"/>
                <w:bCs w:val="1"/>
                <w:color w:val="auto"/>
                <w:vertAlign w:val="superscript"/>
              </w:rPr>
              <w:t>(1)</w:t>
            </w:r>
          </w:p>
        </w:tc>
      </w:tr>
      <w:tr>
        <w:trPr>
          <w:trHeight w:val="132"/>
        </w:trPr>
        <w:tc>
          <w:tcPr>
            <w:tcW w:w="24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First Lien Debt</w:t>
            </w:r>
          </w:p>
        </w:tc>
        <w:tc>
          <w:tcPr>
            <w:tcW w:w="40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15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47,177</w:t>
            </w:r>
          </w:p>
        </w:tc>
        <w:tc>
          <w:tcPr>
            <w:tcW w:w="2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Enterprise Value</w:t>
            </w:r>
          </w:p>
        </w:tc>
        <w:tc>
          <w:tcPr>
            <w:tcW w:w="22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1"/>
                <w:szCs w:val="11"/>
                <w:color w:val="auto"/>
              </w:rPr>
              <w:t>Average EBITDA Multiple</w:t>
            </w:r>
          </w:p>
        </w:tc>
        <w:tc>
          <w:tcPr>
            <w:tcW w:w="6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1"/>
                <w:szCs w:val="11"/>
                <w:color w:val="auto"/>
                <w:w w:val="93"/>
              </w:rPr>
              <w:t>0.1x</w:t>
            </w:r>
          </w:p>
        </w:tc>
        <w:tc>
          <w:tcPr>
            <w:tcW w:w="1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1"/>
                <w:szCs w:val="11"/>
                <w:color w:val="auto"/>
              </w:rPr>
              <w:t>- 9.0x (4.7x)</w:t>
            </w:r>
          </w:p>
        </w:tc>
      </w:tr>
      <w:tr>
        <w:trPr>
          <w:trHeight w:val="176"/>
        </w:trPr>
        <w:tc>
          <w:tcPr>
            <w:tcW w:w="2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22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Average Revenue Multiple</w:t>
            </w:r>
          </w:p>
        </w:tc>
        <w:tc>
          <w:tcPr>
            <w:tcW w:w="66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3"/>
              </w:rPr>
              <w:t>0.2x</w:t>
            </w:r>
          </w:p>
        </w:tc>
        <w:tc>
          <w:tcPr>
            <w:tcW w:w="12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- 1.4x (1.1x)</w:t>
            </w:r>
          </w:p>
        </w:tc>
      </w:tr>
      <w:tr>
        <w:trPr>
          <w:trHeight w:val="40"/>
        </w:trPr>
        <w:tc>
          <w:tcPr>
            <w:tcW w:w="2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06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900" w:type="dxa"/>
            <w:vAlign w:val="bottom"/>
            <w:gridSpan w:val="3"/>
          </w:tcPr>
          <w:p>
            <w:pPr>
              <w:spacing w:after="0"/>
              <w:rPr>
                <w:sz w:val="3"/>
                <w:szCs w:val="3"/>
                <w:color w:val="auto"/>
              </w:rPr>
            </w:pPr>
          </w:p>
        </w:tc>
      </w:tr>
      <w:tr>
        <w:trPr>
          <w:trHeight w:val="132"/>
        </w:trPr>
        <w:tc>
          <w:tcPr>
            <w:tcW w:w="24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5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214,658</w:t>
            </w:r>
          </w:p>
        </w:tc>
        <w:tc>
          <w:tcPr>
            <w:tcW w:w="2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Income Approach</w:t>
            </w:r>
          </w:p>
        </w:tc>
        <w:tc>
          <w:tcPr>
            <w:tcW w:w="22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1"/>
                <w:szCs w:val="11"/>
                <w:color w:val="auto"/>
              </w:rPr>
              <w:t>Implied Discount Rate</w:t>
            </w:r>
          </w:p>
        </w:tc>
        <w:tc>
          <w:tcPr>
            <w:tcW w:w="1900" w:type="dxa"/>
            <w:vAlign w:val="bottom"/>
            <w:gridSpan w:val="3"/>
            <w:shd w:val="clear" w:color="auto" w:fill="CFF0FC"/>
          </w:tcPr>
          <w:p>
            <w:pPr>
              <w:ind w:left="460"/>
              <w:spacing w:after="0"/>
              <w:rPr>
                <w:sz w:val="20"/>
                <w:szCs w:val="20"/>
                <w:color w:val="auto"/>
              </w:rPr>
            </w:pPr>
            <w:r>
              <w:rPr>
                <w:rFonts w:ascii="Times New Roman" w:cs="Times New Roman" w:eastAsia="Times New Roman" w:hAnsi="Times New Roman"/>
                <w:sz w:val="11"/>
                <w:szCs w:val="11"/>
                <w:color w:val="auto"/>
              </w:rPr>
              <w:t>7.3% - 37.8% (11.6%)</w:t>
            </w:r>
          </w:p>
        </w:tc>
      </w:tr>
      <w:tr>
        <w:trPr>
          <w:trHeight w:val="132"/>
        </w:trPr>
        <w:tc>
          <w:tcPr>
            <w:tcW w:w="2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28,122</w:t>
            </w:r>
          </w:p>
        </w:tc>
        <w:tc>
          <w:tcPr>
            <w:tcW w:w="20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Market</w:t>
            </w:r>
          </w:p>
        </w:tc>
        <w:tc>
          <w:tcPr>
            <w:tcW w:w="222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Broker/Dealer Quotes</w:t>
            </w:r>
          </w:p>
        </w:tc>
        <w:tc>
          <w:tcPr>
            <w:tcW w:w="66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4"/>
              </w:rPr>
              <w:t>N/A</w:t>
            </w: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32"/>
        </w:trPr>
        <w:tc>
          <w:tcPr>
            <w:tcW w:w="24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Second Lien Debt</w:t>
            </w:r>
          </w:p>
        </w:tc>
        <w:tc>
          <w:tcPr>
            <w:tcW w:w="400" w:type="dxa"/>
            <w:vAlign w:val="bottom"/>
            <w:shd w:val="clear" w:color="auto" w:fill="CFF0FC"/>
          </w:tcPr>
          <w:p>
            <w:pPr>
              <w:spacing w:after="0"/>
              <w:rPr>
                <w:sz w:val="11"/>
                <w:szCs w:val="11"/>
                <w:color w:val="auto"/>
              </w:rPr>
            </w:pPr>
          </w:p>
        </w:tc>
        <w:tc>
          <w:tcPr>
            <w:tcW w:w="15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20,980</w:t>
            </w:r>
          </w:p>
        </w:tc>
        <w:tc>
          <w:tcPr>
            <w:tcW w:w="2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Income Approach</w:t>
            </w:r>
          </w:p>
        </w:tc>
        <w:tc>
          <w:tcPr>
            <w:tcW w:w="22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1"/>
                <w:szCs w:val="11"/>
                <w:color w:val="auto"/>
              </w:rPr>
              <w:t>Implied Discount Rate</w:t>
            </w:r>
          </w:p>
        </w:tc>
        <w:tc>
          <w:tcPr>
            <w:tcW w:w="1900" w:type="dxa"/>
            <w:vAlign w:val="bottom"/>
            <w:gridSpan w:val="3"/>
            <w:shd w:val="clear" w:color="auto" w:fill="CFF0FC"/>
          </w:tcPr>
          <w:p>
            <w:pPr>
              <w:ind w:left="460"/>
              <w:spacing w:after="0"/>
              <w:rPr>
                <w:sz w:val="20"/>
                <w:szCs w:val="20"/>
                <w:color w:val="auto"/>
              </w:rPr>
            </w:pPr>
            <w:r>
              <w:rPr>
                <w:rFonts w:ascii="Times New Roman" w:cs="Times New Roman" w:eastAsia="Times New Roman" w:hAnsi="Times New Roman"/>
                <w:sz w:val="11"/>
                <w:szCs w:val="11"/>
                <w:color w:val="auto"/>
              </w:rPr>
              <w:t>8.2% - 19.5% (15.8%)</w:t>
            </w:r>
          </w:p>
        </w:tc>
      </w:tr>
      <w:tr>
        <w:trPr>
          <w:trHeight w:val="132"/>
        </w:trPr>
        <w:tc>
          <w:tcPr>
            <w:tcW w:w="2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8,016</w:t>
            </w:r>
          </w:p>
        </w:tc>
        <w:tc>
          <w:tcPr>
            <w:tcW w:w="20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Market</w:t>
            </w:r>
          </w:p>
        </w:tc>
        <w:tc>
          <w:tcPr>
            <w:tcW w:w="222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Broker/Dealer Quotes</w:t>
            </w:r>
          </w:p>
        </w:tc>
        <w:tc>
          <w:tcPr>
            <w:tcW w:w="66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4"/>
              </w:rPr>
              <w:t>N/A</w:t>
            </w: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32"/>
        </w:trPr>
        <w:tc>
          <w:tcPr>
            <w:tcW w:w="24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Subordinated Debt</w:t>
            </w:r>
          </w:p>
        </w:tc>
        <w:tc>
          <w:tcPr>
            <w:tcW w:w="400" w:type="dxa"/>
            <w:vAlign w:val="bottom"/>
            <w:shd w:val="clear" w:color="auto" w:fill="CFF0FC"/>
          </w:tcPr>
          <w:p>
            <w:pPr>
              <w:spacing w:after="0"/>
              <w:rPr>
                <w:sz w:val="11"/>
                <w:szCs w:val="11"/>
                <w:color w:val="auto"/>
              </w:rPr>
            </w:pPr>
          </w:p>
        </w:tc>
        <w:tc>
          <w:tcPr>
            <w:tcW w:w="15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528</w:t>
            </w:r>
          </w:p>
        </w:tc>
        <w:tc>
          <w:tcPr>
            <w:tcW w:w="2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Income Approach</w:t>
            </w:r>
          </w:p>
        </w:tc>
        <w:tc>
          <w:tcPr>
            <w:tcW w:w="22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1"/>
                <w:szCs w:val="11"/>
                <w:color w:val="auto"/>
              </w:rPr>
              <w:t>Implied Discount Rate</w:t>
            </w:r>
          </w:p>
        </w:tc>
        <w:tc>
          <w:tcPr>
            <w:tcW w:w="76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1"/>
                <w:szCs w:val="11"/>
                <w:color w:val="auto"/>
                <w:w w:val="98"/>
              </w:rPr>
              <w:t>15.4%</w:t>
            </w:r>
          </w:p>
        </w:tc>
        <w:tc>
          <w:tcPr>
            <w:tcW w:w="1140" w:type="dxa"/>
            <w:vAlign w:val="bottom"/>
            <w:shd w:val="clear" w:color="auto" w:fill="CFF0FC"/>
          </w:tcPr>
          <w:p>
            <w:pPr>
              <w:spacing w:after="0"/>
              <w:rPr>
                <w:sz w:val="11"/>
                <w:szCs w:val="11"/>
                <w:color w:val="auto"/>
              </w:rPr>
            </w:pPr>
          </w:p>
        </w:tc>
      </w:tr>
      <w:tr>
        <w:trPr>
          <w:trHeight w:val="132"/>
        </w:trPr>
        <w:tc>
          <w:tcPr>
            <w:tcW w:w="2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1,212</w:t>
            </w:r>
          </w:p>
        </w:tc>
        <w:tc>
          <w:tcPr>
            <w:tcW w:w="20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Enterprise Value</w:t>
            </w:r>
          </w:p>
        </w:tc>
        <w:tc>
          <w:tcPr>
            <w:tcW w:w="222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Recovery Percentage</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w w:val="98"/>
              </w:rPr>
              <w:t>19.4%</w:t>
            </w:r>
          </w:p>
        </w:tc>
        <w:tc>
          <w:tcPr>
            <w:tcW w:w="1140" w:type="dxa"/>
            <w:vAlign w:val="bottom"/>
          </w:tcPr>
          <w:p>
            <w:pPr>
              <w:spacing w:after="0"/>
              <w:rPr>
                <w:sz w:val="11"/>
                <w:szCs w:val="11"/>
                <w:color w:val="auto"/>
              </w:rPr>
            </w:pPr>
          </w:p>
        </w:tc>
      </w:tr>
      <w:tr>
        <w:trPr>
          <w:trHeight w:val="132"/>
        </w:trPr>
        <w:tc>
          <w:tcPr>
            <w:tcW w:w="24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400" w:type="dxa"/>
            <w:vAlign w:val="bottom"/>
            <w:shd w:val="clear" w:color="auto" w:fill="CFF0FC"/>
          </w:tcPr>
          <w:p>
            <w:pPr>
              <w:spacing w:after="0"/>
              <w:rPr>
                <w:sz w:val="11"/>
                <w:szCs w:val="11"/>
                <w:color w:val="auto"/>
              </w:rPr>
            </w:pPr>
          </w:p>
        </w:tc>
        <w:tc>
          <w:tcPr>
            <w:tcW w:w="15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24,519</w:t>
            </w:r>
          </w:p>
        </w:tc>
        <w:tc>
          <w:tcPr>
            <w:tcW w:w="2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Enterprise Value</w:t>
            </w:r>
          </w:p>
        </w:tc>
        <w:tc>
          <w:tcPr>
            <w:tcW w:w="22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1"/>
                <w:szCs w:val="11"/>
                <w:color w:val="auto"/>
              </w:rPr>
              <w:t>Average EBITDA Multiple</w:t>
            </w:r>
          </w:p>
        </w:tc>
        <w:tc>
          <w:tcPr>
            <w:tcW w:w="6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1"/>
                <w:szCs w:val="11"/>
                <w:color w:val="auto"/>
                <w:w w:val="93"/>
              </w:rPr>
              <w:t>0.1x</w:t>
            </w:r>
          </w:p>
        </w:tc>
        <w:tc>
          <w:tcPr>
            <w:tcW w:w="1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1"/>
                <w:szCs w:val="11"/>
                <w:color w:val="auto"/>
              </w:rPr>
              <w:t>- 18.0x (6.2x)</w:t>
            </w:r>
          </w:p>
        </w:tc>
      </w:tr>
      <w:tr>
        <w:trPr>
          <w:trHeight w:val="132"/>
        </w:trPr>
        <w:tc>
          <w:tcPr>
            <w:tcW w:w="2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22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Average Revenue Multiple</w:t>
            </w:r>
          </w:p>
        </w:tc>
        <w:tc>
          <w:tcPr>
            <w:tcW w:w="66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3"/>
              </w:rPr>
              <w:t>1.4x</w:t>
            </w:r>
          </w:p>
        </w:tc>
        <w:tc>
          <w:tcPr>
            <w:tcW w:w="12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- 1.4x (0.0x)</w:t>
            </w:r>
          </w:p>
        </w:tc>
      </w:tr>
      <w:tr>
        <w:trPr>
          <w:trHeight w:val="196"/>
        </w:trPr>
        <w:tc>
          <w:tcPr>
            <w:tcW w:w="244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CFF0FC"/>
            </w:tcBorders>
            <w:shd w:val="clear" w:color="auto" w:fill="CFF0FC"/>
          </w:tcPr>
          <w:p>
            <w:pPr>
              <w:spacing w:after="0"/>
              <w:rPr>
                <w:sz w:val="17"/>
                <w:szCs w:val="17"/>
                <w:color w:val="auto"/>
              </w:rPr>
            </w:pPr>
          </w:p>
        </w:tc>
        <w:tc>
          <w:tcPr>
            <w:tcW w:w="1540" w:type="dxa"/>
            <w:vAlign w:val="bottom"/>
            <w:tcBorders>
              <w:bottom w:val="single" w:sz="8" w:color="CFF0FC"/>
            </w:tcBorders>
            <w:shd w:val="clear" w:color="auto" w:fill="CFF0FC"/>
          </w:tcPr>
          <w:p>
            <w:pPr>
              <w:spacing w:after="0"/>
              <w:rPr>
                <w:sz w:val="17"/>
                <w:szCs w:val="17"/>
                <w:color w:val="auto"/>
              </w:rPr>
            </w:pPr>
          </w:p>
        </w:tc>
        <w:tc>
          <w:tcPr>
            <w:tcW w:w="2060" w:type="dxa"/>
            <w:vAlign w:val="bottom"/>
            <w:tcBorders>
              <w:bottom w:val="single" w:sz="8" w:color="CFF0FC"/>
            </w:tcBorders>
            <w:shd w:val="clear" w:color="auto" w:fill="CFF0FC"/>
          </w:tcPr>
          <w:p>
            <w:pPr>
              <w:spacing w:after="0"/>
              <w:rPr>
                <w:sz w:val="17"/>
                <w:szCs w:val="17"/>
                <w:color w:val="auto"/>
              </w:rPr>
            </w:pPr>
          </w:p>
        </w:tc>
        <w:tc>
          <w:tcPr>
            <w:tcW w:w="22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1"/>
                <w:szCs w:val="11"/>
                <w:color w:val="auto"/>
              </w:rPr>
              <w:t>Book value of equity (asset)</w:t>
            </w:r>
          </w:p>
        </w:tc>
        <w:tc>
          <w:tcPr>
            <w:tcW w:w="660" w:type="dxa"/>
            <w:vAlign w:val="bottom"/>
            <w:tcBorders>
              <w:bottom w:val="single" w:sz="8" w:color="CFF0FC"/>
            </w:tcBorders>
            <w:shd w:val="clear" w:color="auto" w:fill="CFF0FC"/>
          </w:tcPr>
          <w:p>
            <w:pPr>
              <w:ind w:left="460"/>
              <w:spacing w:after="0"/>
              <w:rPr>
                <w:sz w:val="20"/>
                <w:szCs w:val="20"/>
                <w:color w:val="auto"/>
              </w:rPr>
            </w:pPr>
            <w:r>
              <w:rPr>
                <w:rFonts w:ascii="Times New Roman" w:cs="Times New Roman" w:eastAsia="Times New Roman" w:hAnsi="Times New Roman"/>
                <w:sz w:val="11"/>
                <w:szCs w:val="11"/>
                <w:color w:val="auto"/>
                <w:w w:val="93"/>
              </w:rPr>
              <w:t>1.0x</w:t>
            </w:r>
          </w:p>
        </w:tc>
        <w:tc>
          <w:tcPr>
            <w:tcW w:w="10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spacing w:after="0"/>
              <w:rPr>
                <w:sz w:val="17"/>
                <w:szCs w:val="17"/>
                <w:color w:val="auto"/>
              </w:rPr>
            </w:pPr>
          </w:p>
        </w:tc>
      </w:tr>
      <w:tr>
        <w:trPr>
          <w:trHeight w:val="176"/>
        </w:trPr>
        <w:tc>
          <w:tcPr>
            <w:tcW w:w="2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22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Book Value Multiple</w:t>
            </w:r>
          </w:p>
        </w:tc>
        <w:tc>
          <w:tcPr>
            <w:tcW w:w="66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3"/>
              </w:rPr>
              <w:t>0.5x</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40"/>
        </w:trPr>
        <w:tc>
          <w:tcPr>
            <w:tcW w:w="2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06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900" w:type="dxa"/>
            <w:vAlign w:val="bottom"/>
            <w:gridSpan w:val="3"/>
          </w:tcPr>
          <w:p>
            <w:pPr>
              <w:spacing w:after="0"/>
              <w:rPr>
                <w:sz w:val="3"/>
                <w:szCs w:val="3"/>
                <w:color w:val="auto"/>
              </w:rPr>
            </w:pPr>
          </w:p>
        </w:tc>
      </w:tr>
      <w:tr>
        <w:trPr>
          <w:trHeight w:val="196"/>
        </w:trPr>
        <w:tc>
          <w:tcPr>
            <w:tcW w:w="244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CFF0FC"/>
            </w:tcBorders>
            <w:shd w:val="clear" w:color="auto" w:fill="CFF0FC"/>
          </w:tcPr>
          <w:p>
            <w:pPr>
              <w:spacing w:after="0"/>
              <w:rPr>
                <w:sz w:val="17"/>
                <w:szCs w:val="17"/>
                <w:color w:val="auto"/>
              </w:rPr>
            </w:pPr>
          </w:p>
        </w:tc>
        <w:tc>
          <w:tcPr>
            <w:tcW w:w="1540" w:type="dxa"/>
            <w:vAlign w:val="bottom"/>
            <w:tcBorders>
              <w:bottom w:val="single" w:sz="8" w:color="CFF0FC"/>
            </w:tcBorders>
            <w:shd w:val="clear" w:color="auto" w:fill="CFF0FC"/>
          </w:tcPr>
          <w:p>
            <w:pPr>
              <w:spacing w:after="0"/>
              <w:rPr>
                <w:sz w:val="17"/>
                <w:szCs w:val="17"/>
                <w:color w:val="auto"/>
              </w:rPr>
            </w:pPr>
          </w:p>
        </w:tc>
        <w:tc>
          <w:tcPr>
            <w:tcW w:w="2060" w:type="dxa"/>
            <w:vAlign w:val="bottom"/>
            <w:tcBorders>
              <w:bottom w:val="single" w:sz="8" w:color="CFF0FC"/>
            </w:tcBorders>
            <w:shd w:val="clear" w:color="auto" w:fill="CFF0FC"/>
          </w:tcPr>
          <w:p>
            <w:pPr>
              <w:spacing w:after="0"/>
              <w:rPr>
                <w:sz w:val="17"/>
                <w:szCs w:val="17"/>
                <w:color w:val="auto"/>
              </w:rPr>
            </w:pPr>
          </w:p>
        </w:tc>
        <w:tc>
          <w:tcPr>
            <w:tcW w:w="22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1"/>
                <w:szCs w:val="11"/>
                <w:color w:val="auto"/>
              </w:rPr>
              <w:t>Time Horizon</w:t>
            </w:r>
          </w:p>
        </w:tc>
        <w:tc>
          <w:tcPr>
            <w:tcW w:w="1900" w:type="dxa"/>
            <w:vAlign w:val="bottom"/>
            <w:tcBorders>
              <w:bottom w:val="single" w:sz="8" w:color="CFF0FC"/>
            </w:tcBorders>
            <w:gridSpan w:val="3"/>
            <w:shd w:val="clear" w:color="auto" w:fill="CFF0FC"/>
          </w:tcPr>
          <w:p>
            <w:pPr>
              <w:ind w:left="460"/>
              <w:spacing w:after="0"/>
              <w:rPr>
                <w:sz w:val="20"/>
                <w:szCs w:val="20"/>
                <w:color w:val="auto"/>
              </w:rPr>
            </w:pPr>
            <w:r>
              <w:rPr>
                <w:rFonts w:ascii="Times New Roman" w:cs="Times New Roman" w:eastAsia="Times New Roman" w:hAnsi="Times New Roman"/>
                <w:sz w:val="11"/>
                <w:szCs w:val="11"/>
                <w:color w:val="auto"/>
              </w:rPr>
              <w:t>3.3 - 4.9 (3.7)</w:t>
            </w:r>
          </w:p>
        </w:tc>
      </w:tr>
      <w:tr>
        <w:trPr>
          <w:trHeight w:val="132"/>
        </w:trPr>
        <w:tc>
          <w:tcPr>
            <w:tcW w:w="2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243</w:t>
            </w:r>
          </w:p>
        </w:tc>
        <w:tc>
          <w:tcPr>
            <w:tcW w:w="20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Income Approach</w:t>
            </w:r>
          </w:p>
        </w:tc>
        <w:tc>
          <w:tcPr>
            <w:tcW w:w="222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Implied Discount Rate</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w w:val="98"/>
              </w:rPr>
              <w:t>17.8%</w:t>
            </w:r>
          </w:p>
        </w:tc>
        <w:tc>
          <w:tcPr>
            <w:tcW w:w="1140" w:type="dxa"/>
            <w:vAlign w:val="bottom"/>
          </w:tcPr>
          <w:p>
            <w:pPr>
              <w:spacing w:after="0"/>
              <w:rPr>
                <w:sz w:val="11"/>
                <w:szCs w:val="11"/>
                <w:color w:val="auto"/>
              </w:rPr>
            </w:pPr>
          </w:p>
        </w:tc>
      </w:tr>
      <w:tr>
        <w:trPr>
          <w:trHeight w:val="132"/>
        </w:trPr>
        <w:tc>
          <w:tcPr>
            <w:tcW w:w="24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Collateralized Loan Obligations</w:t>
            </w:r>
          </w:p>
        </w:tc>
        <w:tc>
          <w:tcPr>
            <w:tcW w:w="400" w:type="dxa"/>
            <w:vAlign w:val="bottom"/>
            <w:shd w:val="clear" w:color="auto" w:fill="CFF0FC"/>
          </w:tcPr>
          <w:p>
            <w:pPr>
              <w:spacing w:after="0"/>
              <w:rPr>
                <w:sz w:val="11"/>
                <w:szCs w:val="11"/>
                <w:color w:val="auto"/>
              </w:rPr>
            </w:pPr>
          </w:p>
        </w:tc>
        <w:tc>
          <w:tcPr>
            <w:tcW w:w="15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5,193</w:t>
            </w:r>
          </w:p>
        </w:tc>
        <w:tc>
          <w:tcPr>
            <w:tcW w:w="2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Discounted Cash Flow</w:t>
            </w:r>
          </w:p>
        </w:tc>
        <w:tc>
          <w:tcPr>
            <w:tcW w:w="22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1"/>
                <w:szCs w:val="11"/>
                <w:color w:val="auto"/>
              </w:rPr>
              <w:t>Discount Rate</w:t>
            </w:r>
          </w:p>
        </w:tc>
        <w:tc>
          <w:tcPr>
            <w:tcW w:w="76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1"/>
                <w:szCs w:val="11"/>
                <w:color w:val="auto"/>
                <w:w w:val="98"/>
              </w:rPr>
              <w:t>15.9%</w:t>
            </w:r>
          </w:p>
        </w:tc>
        <w:tc>
          <w:tcPr>
            <w:tcW w:w="11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- 18.2% (9.6%)</w:t>
            </w:r>
          </w:p>
        </w:tc>
      </w:tr>
      <w:tr>
        <w:trPr>
          <w:trHeight w:val="132"/>
        </w:trPr>
        <w:tc>
          <w:tcPr>
            <w:tcW w:w="2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22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Probability of Default</w:t>
            </w:r>
          </w:p>
        </w:tc>
        <w:tc>
          <w:tcPr>
            <w:tcW w:w="1900" w:type="dxa"/>
            <w:vAlign w:val="bottom"/>
            <w:gridSpan w:val="3"/>
          </w:tcPr>
          <w:p>
            <w:pPr>
              <w:ind w:left="460"/>
              <w:spacing w:after="0"/>
              <w:rPr>
                <w:sz w:val="20"/>
                <w:szCs w:val="20"/>
                <w:color w:val="auto"/>
              </w:rPr>
            </w:pPr>
            <w:r>
              <w:rPr>
                <w:rFonts w:ascii="Times New Roman" w:cs="Times New Roman" w:eastAsia="Times New Roman" w:hAnsi="Times New Roman"/>
                <w:sz w:val="11"/>
                <w:szCs w:val="11"/>
                <w:color w:val="auto"/>
              </w:rPr>
              <w:t>1.8% - 2.5% (2.0%)</w:t>
            </w:r>
          </w:p>
        </w:tc>
      </w:tr>
      <w:tr>
        <w:trPr>
          <w:trHeight w:val="196"/>
        </w:trPr>
        <w:tc>
          <w:tcPr>
            <w:tcW w:w="244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CFF0FC"/>
            </w:tcBorders>
            <w:shd w:val="clear" w:color="auto" w:fill="CFF0FC"/>
          </w:tcPr>
          <w:p>
            <w:pPr>
              <w:spacing w:after="0"/>
              <w:rPr>
                <w:sz w:val="17"/>
                <w:szCs w:val="17"/>
                <w:color w:val="auto"/>
              </w:rPr>
            </w:pPr>
          </w:p>
        </w:tc>
        <w:tc>
          <w:tcPr>
            <w:tcW w:w="1540" w:type="dxa"/>
            <w:vAlign w:val="bottom"/>
            <w:tcBorders>
              <w:bottom w:val="single" w:sz="8" w:color="CFF0FC"/>
            </w:tcBorders>
            <w:shd w:val="clear" w:color="auto" w:fill="CFF0FC"/>
          </w:tcPr>
          <w:p>
            <w:pPr>
              <w:spacing w:after="0"/>
              <w:rPr>
                <w:sz w:val="17"/>
                <w:szCs w:val="17"/>
                <w:color w:val="auto"/>
              </w:rPr>
            </w:pPr>
          </w:p>
        </w:tc>
        <w:tc>
          <w:tcPr>
            <w:tcW w:w="2060" w:type="dxa"/>
            <w:vAlign w:val="bottom"/>
            <w:tcBorders>
              <w:bottom w:val="single" w:sz="8" w:color="CFF0FC"/>
            </w:tcBorders>
            <w:shd w:val="clear" w:color="auto" w:fill="CFF0FC"/>
          </w:tcPr>
          <w:p>
            <w:pPr>
              <w:spacing w:after="0"/>
              <w:rPr>
                <w:sz w:val="17"/>
                <w:szCs w:val="17"/>
                <w:color w:val="auto"/>
              </w:rPr>
            </w:pPr>
          </w:p>
        </w:tc>
        <w:tc>
          <w:tcPr>
            <w:tcW w:w="22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1"/>
                <w:szCs w:val="11"/>
                <w:color w:val="auto"/>
              </w:rPr>
              <w:t>Recovery Rate</w:t>
            </w:r>
          </w:p>
        </w:tc>
        <w:tc>
          <w:tcPr>
            <w:tcW w:w="760" w:type="dxa"/>
            <w:vAlign w:val="bottom"/>
            <w:tcBorders>
              <w:bottom w:val="single" w:sz="8" w:color="CFF0FC"/>
            </w:tcBorders>
            <w:gridSpan w:val="2"/>
            <w:shd w:val="clear" w:color="auto" w:fill="CFF0FC"/>
          </w:tcPr>
          <w:p>
            <w:pPr>
              <w:ind w:left="460"/>
              <w:spacing w:after="0"/>
              <w:rPr>
                <w:sz w:val="20"/>
                <w:szCs w:val="20"/>
                <w:color w:val="auto"/>
              </w:rPr>
            </w:pPr>
            <w:r>
              <w:rPr>
                <w:rFonts w:ascii="Times New Roman" w:cs="Times New Roman" w:eastAsia="Times New Roman" w:hAnsi="Times New Roman"/>
                <w:sz w:val="11"/>
                <w:szCs w:val="11"/>
                <w:color w:val="auto"/>
                <w:w w:val="98"/>
              </w:rPr>
              <w:t>65.0%</w:t>
            </w:r>
          </w:p>
        </w:tc>
        <w:tc>
          <w:tcPr>
            <w:tcW w:w="1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- 75.0% (70.0%)</w:t>
            </w:r>
          </w:p>
        </w:tc>
      </w:tr>
      <w:tr>
        <w:trPr>
          <w:trHeight w:val="132"/>
        </w:trPr>
        <w:tc>
          <w:tcPr>
            <w:tcW w:w="2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22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Prepayment Rate</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w w:val="98"/>
              </w:rPr>
              <w:t>15.0%</w:t>
            </w:r>
          </w:p>
        </w:tc>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- 25.0% (20.0%)</w:t>
            </w:r>
          </w:p>
        </w:tc>
      </w:tr>
      <w:tr>
        <w:trPr>
          <w:trHeight w:val="132"/>
        </w:trPr>
        <w:tc>
          <w:tcPr>
            <w:tcW w:w="24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Joint Ventures</w:t>
            </w:r>
          </w:p>
        </w:tc>
        <w:tc>
          <w:tcPr>
            <w:tcW w:w="400" w:type="dxa"/>
            <w:vAlign w:val="bottom"/>
            <w:shd w:val="clear" w:color="auto" w:fill="CFF0FC"/>
          </w:tcPr>
          <w:p>
            <w:pPr>
              <w:spacing w:after="0"/>
              <w:rPr>
                <w:sz w:val="11"/>
                <w:szCs w:val="11"/>
                <w:color w:val="auto"/>
              </w:rPr>
            </w:pPr>
          </w:p>
        </w:tc>
        <w:tc>
          <w:tcPr>
            <w:tcW w:w="15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13,015</w:t>
            </w:r>
          </w:p>
        </w:tc>
        <w:tc>
          <w:tcPr>
            <w:tcW w:w="2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Discounted Cash Flow</w:t>
            </w:r>
          </w:p>
        </w:tc>
        <w:tc>
          <w:tcPr>
            <w:tcW w:w="22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1"/>
                <w:szCs w:val="11"/>
                <w:color w:val="auto"/>
              </w:rPr>
              <w:t>Discount Rate</w:t>
            </w:r>
          </w:p>
        </w:tc>
        <w:tc>
          <w:tcPr>
            <w:tcW w:w="76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1"/>
                <w:szCs w:val="11"/>
                <w:color w:val="auto"/>
                <w:w w:val="98"/>
              </w:rPr>
              <w:t>18.1%</w:t>
            </w:r>
          </w:p>
        </w:tc>
        <w:tc>
          <w:tcPr>
            <w:tcW w:w="11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- 19.7% (18.9%)</w:t>
            </w:r>
          </w:p>
        </w:tc>
      </w:tr>
      <w:tr>
        <w:trPr>
          <w:trHeight w:val="132"/>
        </w:trPr>
        <w:tc>
          <w:tcPr>
            <w:tcW w:w="2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22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Probability of Default</w:t>
            </w:r>
          </w:p>
        </w:tc>
        <w:tc>
          <w:tcPr>
            <w:tcW w:w="1900" w:type="dxa"/>
            <w:vAlign w:val="bottom"/>
            <w:gridSpan w:val="3"/>
          </w:tcPr>
          <w:p>
            <w:pPr>
              <w:ind w:left="460"/>
              <w:spacing w:after="0"/>
              <w:rPr>
                <w:sz w:val="20"/>
                <w:szCs w:val="20"/>
                <w:color w:val="auto"/>
              </w:rPr>
            </w:pPr>
            <w:r>
              <w:rPr>
                <w:rFonts w:ascii="Times New Roman" w:cs="Times New Roman" w:eastAsia="Times New Roman" w:hAnsi="Times New Roman"/>
                <w:sz w:val="11"/>
                <w:szCs w:val="11"/>
                <w:color w:val="auto"/>
              </w:rPr>
              <w:t>2.8% - 3.3% (3.0%)</w:t>
            </w:r>
          </w:p>
        </w:tc>
      </w:tr>
      <w:tr>
        <w:trPr>
          <w:trHeight w:val="196"/>
        </w:trPr>
        <w:tc>
          <w:tcPr>
            <w:tcW w:w="244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CFF0FC"/>
            </w:tcBorders>
            <w:shd w:val="clear" w:color="auto" w:fill="CFF0FC"/>
          </w:tcPr>
          <w:p>
            <w:pPr>
              <w:spacing w:after="0"/>
              <w:rPr>
                <w:sz w:val="17"/>
                <w:szCs w:val="17"/>
                <w:color w:val="auto"/>
              </w:rPr>
            </w:pPr>
          </w:p>
        </w:tc>
        <w:tc>
          <w:tcPr>
            <w:tcW w:w="1540" w:type="dxa"/>
            <w:vAlign w:val="bottom"/>
            <w:tcBorders>
              <w:bottom w:val="single" w:sz="8" w:color="CFF0FC"/>
            </w:tcBorders>
            <w:shd w:val="clear" w:color="auto" w:fill="CFF0FC"/>
          </w:tcPr>
          <w:p>
            <w:pPr>
              <w:spacing w:after="0"/>
              <w:rPr>
                <w:sz w:val="17"/>
                <w:szCs w:val="17"/>
                <w:color w:val="auto"/>
              </w:rPr>
            </w:pPr>
          </w:p>
        </w:tc>
        <w:tc>
          <w:tcPr>
            <w:tcW w:w="2060" w:type="dxa"/>
            <w:vAlign w:val="bottom"/>
            <w:tcBorders>
              <w:bottom w:val="single" w:sz="8" w:color="CFF0FC"/>
            </w:tcBorders>
            <w:shd w:val="clear" w:color="auto" w:fill="CFF0FC"/>
          </w:tcPr>
          <w:p>
            <w:pPr>
              <w:spacing w:after="0"/>
              <w:rPr>
                <w:sz w:val="17"/>
                <w:szCs w:val="17"/>
                <w:color w:val="auto"/>
              </w:rPr>
            </w:pPr>
          </w:p>
        </w:tc>
        <w:tc>
          <w:tcPr>
            <w:tcW w:w="22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1"/>
                <w:szCs w:val="11"/>
                <w:color w:val="auto"/>
              </w:rPr>
              <w:t>Recovery Rate</w:t>
            </w:r>
          </w:p>
        </w:tc>
        <w:tc>
          <w:tcPr>
            <w:tcW w:w="760" w:type="dxa"/>
            <w:vAlign w:val="bottom"/>
            <w:tcBorders>
              <w:bottom w:val="single" w:sz="8" w:color="CFF0FC"/>
            </w:tcBorders>
            <w:gridSpan w:val="2"/>
            <w:shd w:val="clear" w:color="auto" w:fill="CFF0FC"/>
          </w:tcPr>
          <w:p>
            <w:pPr>
              <w:ind w:left="460"/>
              <w:spacing w:after="0"/>
              <w:rPr>
                <w:sz w:val="20"/>
                <w:szCs w:val="20"/>
                <w:color w:val="auto"/>
              </w:rPr>
            </w:pPr>
            <w:r>
              <w:rPr>
                <w:rFonts w:ascii="Times New Roman" w:cs="Times New Roman" w:eastAsia="Times New Roman" w:hAnsi="Times New Roman"/>
                <w:sz w:val="11"/>
                <w:szCs w:val="11"/>
                <w:color w:val="auto"/>
                <w:w w:val="98"/>
              </w:rPr>
              <w:t>65.0%</w:t>
            </w:r>
          </w:p>
        </w:tc>
        <w:tc>
          <w:tcPr>
            <w:tcW w:w="1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- 75.0% (70.0%)</w:t>
            </w:r>
          </w:p>
        </w:tc>
      </w:tr>
      <w:tr>
        <w:trPr>
          <w:trHeight w:val="132"/>
        </w:trPr>
        <w:tc>
          <w:tcPr>
            <w:tcW w:w="2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22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Prepayment Rate</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w w:val="98"/>
              </w:rPr>
              <w:t>15.0%</w:t>
            </w:r>
          </w:p>
        </w:tc>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- 25.0% (20.0%)</w:t>
            </w:r>
          </w:p>
        </w:tc>
      </w:tr>
      <w:tr>
        <w:trPr>
          <w:trHeight w:val="132"/>
        </w:trPr>
        <w:tc>
          <w:tcPr>
            <w:tcW w:w="24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Derivatives</w:t>
            </w:r>
          </w:p>
        </w:tc>
        <w:tc>
          <w:tcPr>
            <w:tcW w:w="400" w:type="dxa"/>
            <w:vAlign w:val="bottom"/>
            <w:shd w:val="clear" w:color="auto" w:fill="CFF0FC"/>
          </w:tcPr>
          <w:p>
            <w:pPr>
              <w:spacing w:after="0"/>
              <w:rPr>
                <w:sz w:val="11"/>
                <w:szCs w:val="11"/>
                <w:color w:val="auto"/>
              </w:rPr>
            </w:pPr>
          </w:p>
        </w:tc>
        <w:tc>
          <w:tcPr>
            <w:tcW w:w="15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220</w:t>
            </w:r>
          </w:p>
        </w:tc>
        <w:tc>
          <w:tcPr>
            <w:tcW w:w="2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Enterprise Value</w:t>
            </w:r>
          </w:p>
        </w:tc>
        <w:tc>
          <w:tcPr>
            <w:tcW w:w="22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1"/>
                <w:szCs w:val="11"/>
                <w:color w:val="auto"/>
              </w:rPr>
              <w:t>Average EBITDA Multiple</w:t>
            </w:r>
          </w:p>
        </w:tc>
        <w:tc>
          <w:tcPr>
            <w:tcW w:w="1900" w:type="dxa"/>
            <w:vAlign w:val="bottom"/>
            <w:gridSpan w:val="3"/>
            <w:shd w:val="clear" w:color="auto" w:fill="CFF0FC"/>
          </w:tcPr>
          <w:p>
            <w:pPr>
              <w:ind w:left="460"/>
              <w:spacing w:after="0"/>
              <w:rPr>
                <w:sz w:val="20"/>
                <w:szCs w:val="20"/>
                <w:color w:val="auto"/>
              </w:rPr>
            </w:pPr>
            <w:r>
              <w:rPr>
                <w:rFonts w:ascii="Times New Roman" w:cs="Times New Roman" w:eastAsia="Times New Roman" w:hAnsi="Times New Roman"/>
                <w:sz w:val="11"/>
                <w:szCs w:val="11"/>
                <w:color w:val="auto"/>
              </w:rPr>
              <w:t>14.5x - 14.5x (0.0x)</w:t>
            </w:r>
          </w:p>
        </w:tc>
      </w:tr>
      <w:tr>
        <w:trPr>
          <w:trHeight w:val="132"/>
        </w:trPr>
        <w:tc>
          <w:tcPr>
            <w:tcW w:w="2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22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Average Revenue Multiple</w:t>
            </w:r>
          </w:p>
        </w:tc>
        <w:tc>
          <w:tcPr>
            <w:tcW w:w="66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3"/>
              </w:rPr>
              <w:t>1.4x</w:t>
            </w:r>
          </w:p>
        </w:tc>
        <w:tc>
          <w:tcPr>
            <w:tcW w:w="12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- 1.4x (0.0x)</w:t>
            </w:r>
          </w:p>
        </w:tc>
      </w:tr>
      <w:tr>
        <w:trPr>
          <w:trHeight w:val="132"/>
        </w:trPr>
        <w:tc>
          <w:tcPr>
            <w:tcW w:w="24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540" w:type="dxa"/>
            <w:vAlign w:val="bottom"/>
            <w:shd w:val="clear" w:color="auto" w:fill="CFF0FC"/>
          </w:tcPr>
          <w:p>
            <w:pPr>
              <w:spacing w:after="0"/>
              <w:rPr>
                <w:sz w:val="11"/>
                <w:szCs w:val="11"/>
                <w:color w:val="auto"/>
              </w:rPr>
            </w:pPr>
          </w:p>
        </w:tc>
        <w:tc>
          <w:tcPr>
            <w:tcW w:w="2060" w:type="dxa"/>
            <w:vAlign w:val="bottom"/>
            <w:shd w:val="clear" w:color="auto" w:fill="CFF0FC"/>
          </w:tcPr>
          <w:p>
            <w:pPr>
              <w:spacing w:after="0"/>
              <w:rPr>
                <w:sz w:val="11"/>
                <w:szCs w:val="11"/>
                <w:color w:val="auto"/>
              </w:rPr>
            </w:pPr>
          </w:p>
        </w:tc>
        <w:tc>
          <w:tcPr>
            <w:tcW w:w="22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1"/>
                <w:szCs w:val="11"/>
                <w:color w:val="auto"/>
              </w:rPr>
              <w:t>Book Value Multiple</w:t>
            </w:r>
          </w:p>
        </w:tc>
        <w:tc>
          <w:tcPr>
            <w:tcW w:w="6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1"/>
                <w:szCs w:val="11"/>
                <w:color w:val="auto"/>
                <w:w w:val="93"/>
              </w:rPr>
              <w:t>0.5x</w:t>
            </w: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r>
      <w:tr>
        <w:trPr>
          <w:trHeight w:val="176"/>
        </w:trPr>
        <w:tc>
          <w:tcPr>
            <w:tcW w:w="2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22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Discount Rate</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w w:val="98"/>
              </w:rPr>
              <w:t>40.0%</w:t>
            </w:r>
          </w:p>
        </w:tc>
        <w:tc>
          <w:tcPr>
            <w:tcW w:w="1140" w:type="dxa"/>
            <w:vAlign w:val="bottom"/>
          </w:tcPr>
          <w:p>
            <w:pPr>
              <w:spacing w:after="0"/>
              <w:rPr>
                <w:sz w:val="15"/>
                <w:szCs w:val="15"/>
                <w:color w:val="auto"/>
              </w:rPr>
            </w:pPr>
          </w:p>
        </w:tc>
      </w:tr>
      <w:tr>
        <w:trPr>
          <w:trHeight w:val="28"/>
        </w:trPr>
        <w:tc>
          <w:tcPr>
            <w:tcW w:w="2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32"/>
        </w:trPr>
        <w:tc>
          <w:tcPr>
            <w:tcW w:w="24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Total Level III Investments</w:t>
            </w:r>
          </w:p>
        </w:tc>
        <w:tc>
          <w:tcPr>
            <w:tcW w:w="40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15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363,883</w:t>
            </w:r>
          </w:p>
        </w:tc>
        <w:tc>
          <w:tcPr>
            <w:tcW w:w="2060" w:type="dxa"/>
            <w:vAlign w:val="bottom"/>
            <w:shd w:val="clear" w:color="auto" w:fill="CFF0FC"/>
          </w:tcPr>
          <w:p>
            <w:pPr>
              <w:spacing w:after="0"/>
              <w:rPr>
                <w:sz w:val="11"/>
                <w:szCs w:val="11"/>
                <w:color w:val="auto"/>
              </w:rPr>
            </w:pPr>
          </w:p>
        </w:tc>
        <w:tc>
          <w:tcPr>
            <w:tcW w:w="2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r>
    </w:tbl>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The weighted averages disclosed in the table above were weighted by their relative fair value.</w:t>
      </w:r>
    </w:p>
    <w:p>
      <w:pPr>
        <w:spacing w:after="0" w:line="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As of December 31, 2023, the Company’s Level III portfolio investments had the following valuation techniques and significant inputs (dollars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60" w:type="dxa"/>
            <w:vAlign w:val="bottom"/>
          </w:tcPr>
          <w:p>
            <w:pPr>
              <w:ind w:left="500"/>
              <w:spacing w:after="0"/>
              <w:rPr>
                <w:sz w:val="20"/>
                <w:szCs w:val="20"/>
                <w:color w:val="auto"/>
              </w:rPr>
            </w:pPr>
            <w:r>
              <w:rPr>
                <w:rFonts w:ascii="Times New Roman" w:cs="Times New Roman" w:eastAsia="Times New Roman" w:hAnsi="Times New Roman"/>
                <w:sz w:val="11"/>
                <w:szCs w:val="11"/>
                <w:b w:val="1"/>
                <w:bCs w:val="1"/>
                <w:color w:val="auto"/>
              </w:rPr>
              <w:t>Primary Valuation</w:t>
            </w:r>
          </w:p>
        </w:tc>
        <w:tc>
          <w:tcPr>
            <w:tcW w:w="2240" w:type="dxa"/>
            <w:vAlign w:val="bottom"/>
          </w:tcPr>
          <w:p>
            <w:pPr>
              <w:ind w:left="1020"/>
              <w:spacing w:after="0"/>
              <w:rPr>
                <w:sz w:val="20"/>
                <w:szCs w:val="20"/>
                <w:color w:val="auto"/>
              </w:rPr>
            </w:pPr>
            <w:r>
              <w:rPr>
                <w:rFonts w:ascii="Times New Roman" w:cs="Times New Roman" w:eastAsia="Times New Roman" w:hAnsi="Times New Roman"/>
                <w:sz w:val="11"/>
                <w:szCs w:val="11"/>
                <w:b w:val="1"/>
                <w:bCs w:val="1"/>
                <w:color w:val="auto"/>
              </w:rPr>
              <w:t>Unobservable</w:t>
            </w:r>
          </w:p>
        </w:tc>
        <w:tc>
          <w:tcPr>
            <w:tcW w:w="540" w:type="dxa"/>
            <w:vAlign w:val="bottom"/>
          </w:tcPr>
          <w:p>
            <w:pPr>
              <w:spacing w:after="0"/>
              <w:rPr>
                <w:sz w:val="10"/>
                <w:szCs w:val="10"/>
                <w:color w:val="auto"/>
              </w:rPr>
            </w:pPr>
          </w:p>
        </w:tc>
        <w:tc>
          <w:tcPr>
            <w:tcW w:w="1720" w:type="dxa"/>
            <w:vAlign w:val="bottom"/>
          </w:tcPr>
          <w:p>
            <w:pPr>
              <w:ind w:left="400"/>
              <w:spacing w:after="0"/>
              <w:rPr>
                <w:sz w:val="20"/>
                <w:szCs w:val="20"/>
                <w:color w:val="auto"/>
              </w:rPr>
            </w:pPr>
            <w:r>
              <w:rPr>
                <w:rFonts w:ascii="Times New Roman" w:cs="Times New Roman" w:eastAsia="Times New Roman" w:hAnsi="Times New Roman"/>
                <w:sz w:val="11"/>
                <w:szCs w:val="11"/>
                <w:b w:val="1"/>
                <w:bCs w:val="1"/>
                <w:color w:val="auto"/>
              </w:rPr>
              <w:t>Range of Inputs</w:t>
            </w:r>
          </w:p>
        </w:tc>
      </w:tr>
      <w:tr>
        <w:trPr>
          <w:trHeight w:val="144"/>
        </w:trPr>
        <w:tc>
          <w:tcPr>
            <w:tcW w:w="2560" w:type="dxa"/>
            <w:vAlign w:val="bottom"/>
          </w:tcPr>
          <w:p>
            <w:pPr>
              <w:jc w:val="right"/>
              <w:ind w:right="1186"/>
              <w:spacing w:after="0"/>
              <w:rPr>
                <w:sz w:val="20"/>
                <w:szCs w:val="20"/>
                <w:color w:val="auto"/>
              </w:rPr>
            </w:pPr>
            <w:r>
              <w:rPr>
                <w:rFonts w:ascii="Times New Roman" w:cs="Times New Roman" w:eastAsia="Times New Roman" w:hAnsi="Times New Roman"/>
                <w:sz w:val="11"/>
                <w:szCs w:val="11"/>
                <w:b w:val="1"/>
                <w:bCs w:val="1"/>
                <w:color w:val="auto"/>
              </w:rPr>
              <w:t>Type</w:t>
            </w:r>
          </w:p>
        </w:tc>
        <w:tc>
          <w:tcPr>
            <w:tcW w:w="320" w:type="dxa"/>
            <w:vAlign w:val="bottom"/>
          </w:tcPr>
          <w:p>
            <w:pPr>
              <w:spacing w:after="0"/>
              <w:rPr>
                <w:sz w:val="12"/>
                <w:szCs w:val="12"/>
                <w:color w:val="auto"/>
              </w:rPr>
            </w:pPr>
          </w:p>
        </w:tc>
        <w:tc>
          <w:tcPr>
            <w:tcW w:w="152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660" w:type="dxa"/>
            <w:vAlign w:val="bottom"/>
          </w:tcPr>
          <w:p>
            <w:pPr>
              <w:ind w:left="700"/>
              <w:spacing w:after="0"/>
              <w:rPr>
                <w:sz w:val="20"/>
                <w:szCs w:val="20"/>
                <w:color w:val="auto"/>
              </w:rPr>
            </w:pPr>
            <w:r>
              <w:rPr>
                <w:rFonts w:ascii="Times New Roman" w:cs="Times New Roman" w:eastAsia="Times New Roman" w:hAnsi="Times New Roman"/>
                <w:sz w:val="11"/>
                <w:szCs w:val="11"/>
                <w:b w:val="1"/>
                <w:bCs w:val="1"/>
                <w:color w:val="auto"/>
              </w:rPr>
              <w:t>Techniques</w:t>
            </w:r>
          </w:p>
        </w:tc>
        <w:tc>
          <w:tcPr>
            <w:tcW w:w="2240" w:type="dxa"/>
            <w:vAlign w:val="bottom"/>
          </w:tcPr>
          <w:p>
            <w:pPr>
              <w:ind w:left="1200"/>
              <w:spacing w:after="0"/>
              <w:rPr>
                <w:sz w:val="20"/>
                <w:szCs w:val="20"/>
                <w:color w:val="auto"/>
              </w:rPr>
            </w:pPr>
            <w:r>
              <w:rPr>
                <w:rFonts w:ascii="Times New Roman" w:cs="Times New Roman" w:eastAsia="Times New Roman" w:hAnsi="Times New Roman"/>
                <w:sz w:val="11"/>
                <w:szCs w:val="11"/>
                <w:b w:val="1"/>
                <w:bCs w:val="1"/>
                <w:color w:val="auto"/>
              </w:rPr>
              <w:t>Inputs</w:t>
            </w:r>
          </w:p>
        </w:tc>
        <w:tc>
          <w:tcPr>
            <w:tcW w:w="540" w:type="dxa"/>
            <w:vAlign w:val="bottom"/>
          </w:tcPr>
          <w:p>
            <w:pPr>
              <w:spacing w:after="0"/>
              <w:rPr>
                <w:sz w:val="12"/>
                <w:szCs w:val="12"/>
                <w:color w:val="auto"/>
              </w:rPr>
            </w:pPr>
          </w:p>
        </w:tc>
        <w:tc>
          <w:tcPr>
            <w:tcW w:w="1720" w:type="dxa"/>
            <w:vAlign w:val="bottom"/>
          </w:tcPr>
          <w:p>
            <w:pPr>
              <w:ind w:left="260"/>
              <w:spacing w:after="0" w:line="144" w:lineRule="exact"/>
              <w:rPr>
                <w:sz w:val="20"/>
                <w:szCs w:val="20"/>
                <w:color w:val="auto"/>
              </w:rPr>
            </w:pPr>
            <w:r>
              <w:rPr>
                <w:rFonts w:ascii="Times New Roman" w:cs="Times New Roman" w:eastAsia="Times New Roman" w:hAnsi="Times New Roman"/>
                <w:sz w:val="11"/>
                <w:szCs w:val="11"/>
                <w:b w:val="1"/>
                <w:bCs w:val="1"/>
                <w:color w:val="auto"/>
              </w:rPr>
              <w:t>(Weighted Average)</w:t>
            </w:r>
            <w:r>
              <w:rPr>
                <w:rFonts w:ascii="Times New Roman" w:cs="Times New Roman" w:eastAsia="Times New Roman" w:hAnsi="Times New Roman"/>
                <w:sz w:val="14"/>
                <w:szCs w:val="14"/>
                <w:b w:val="1"/>
                <w:bCs w:val="1"/>
                <w:color w:val="auto"/>
                <w:vertAlign w:val="superscript"/>
              </w:rPr>
              <w:t>(1)</w:t>
            </w:r>
          </w:p>
        </w:tc>
      </w:tr>
      <w:tr>
        <w:trPr>
          <w:trHeight w:val="132"/>
        </w:trPr>
        <w:tc>
          <w:tcPr>
            <w:tcW w:w="256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First Lien Debt</w:t>
            </w:r>
          </w:p>
        </w:tc>
        <w:tc>
          <w:tcPr>
            <w:tcW w:w="32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8,846</w:t>
            </w:r>
          </w:p>
        </w:tc>
        <w:tc>
          <w:tcPr>
            <w:tcW w:w="16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Enterprise Value</w:t>
            </w:r>
          </w:p>
        </w:tc>
        <w:tc>
          <w:tcPr>
            <w:tcW w:w="22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1"/>
                <w:szCs w:val="11"/>
                <w:color w:val="auto"/>
              </w:rPr>
              <w:t>Average EBITDA Multiple</w:t>
            </w:r>
          </w:p>
        </w:tc>
        <w:tc>
          <w:tcPr>
            <w:tcW w:w="5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w w:val="93"/>
              </w:rPr>
              <w:t>0.4x</w:t>
            </w:r>
          </w:p>
        </w:tc>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- 0.4x (0.1x)</w:t>
            </w:r>
          </w:p>
        </w:tc>
      </w:tr>
      <w:tr>
        <w:trPr>
          <w:trHeight w:val="132"/>
        </w:trPr>
        <w:tc>
          <w:tcPr>
            <w:tcW w:w="2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Expected Sale Proceeds</w:t>
            </w:r>
          </w:p>
        </w:tc>
        <w:tc>
          <w:tcPr>
            <w:tcW w:w="2260" w:type="dxa"/>
            <w:vAlign w:val="bottom"/>
            <w:gridSpan w:val="2"/>
          </w:tcPr>
          <w:p>
            <w:pPr>
              <w:ind w:left="340"/>
              <w:spacing w:after="0"/>
              <w:rPr>
                <w:sz w:val="20"/>
                <w:szCs w:val="20"/>
                <w:color w:val="auto"/>
              </w:rPr>
            </w:pPr>
            <w:r>
              <w:rPr>
                <w:rFonts w:ascii="Times New Roman" w:cs="Times New Roman" w:eastAsia="Times New Roman" w:hAnsi="Times New Roman"/>
                <w:sz w:val="11"/>
                <w:szCs w:val="11"/>
                <w:color w:val="auto"/>
              </w:rPr>
              <w:t>97.6x</w:t>
            </w:r>
          </w:p>
        </w:tc>
      </w:tr>
      <w:tr>
        <w:trPr>
          <w:trHeight w:val="132"/>
        </w:trPr>
        <w:tc>
          <w:tcPr>
            <w:tcW w:w="25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275,179</w:t>
            </w:r>
          </w:p>
        </w:tc>
        <w:tc>
          <w:tcPr>
            <w:tcW w:w="16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Income Approach</w:t>
            </w:r>
          </w:p>
        </w:tc>
        <w:tc>
          <w:tcPr>
            <w:tcW w:w="22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1"/>
                <w:szCs w:val="11"/>
                <w:color w:val="auto"/>
              </w:rPr>
              <w:t>Implied Discount Rate</w:t>
            </w:r>
          </w:p>
        </w:tc>
        <w:tc>
          <w:tcPr>
            <w:tcW w:w="226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5.3% - 40.7% (12.4%)</w:t>
            </w:r>
          </w:p>
        </w:tc>
      </w:tr>
      <w:tr>
        <w:trPr>
          <w:trHeight w:val="132"/>
        </w:trPr>
        <w:tc>
          <w:tcPr>
            <w:tcW w:w="2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5,270</w:t>
            </w:r>
          </w:p>
        </w:tc>
        <w:tc>
          <w:tcPr>
            <w:tcW w:w="16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Recent Transaction</w:t>
            </w:r>
          </w:p>
        </w:tc>
        <w:tc>
          <w:tcPr>
            <w:tcW w:w="224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Implied Discount Rate</w:t>
            </w:r>
          </w:p>
        </w:tc>
        <w:tc>
          <w:tcPr>
            <w:tcW w:w="2260" w:type="dxa"/>
            <w:vAlign w:val="bottom"/>
            <w:gridSpan w:val="2"/>
          </w:tcPr>
          <w:p>
            <w:pPr>
              <w:ind w:left="340"/>
              <w:spacing w:after="0"/>
              <w:rPr>
                <w:sz w:val="20"/>
                <w:szCs w:val="20"/>
                <w:color w:val="auto"/>
              </w:rPr>
            </w:pPr>
            <w:r>
              <w:rPr>
                <w:rFonts w:ascii="Times New Roman" w:cs="Times New Roman" w:eastAsia="Times New Roman" w:hAnsi="Times New Roman"/>
                <w:sz w:val="11"/>
                <w:szCs w:val="11"/>
                <w:color w:val="auto"/>
              </w:rPr>
              <w:t>13.8% - 14.2% (14.0%)</w:t>
            </w:r>
          </w:p>
        </w:tc>
      </w:tr>
      <w:tr>
        <w:trPr>
          <w:trHeight w:val="132"/>
        </w:trPr>
        <w:tc>
          <w:tcPr>
            <w:tcW w:w="256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Second Lien Debt</w:t>
            </w:r>
          </w:p>
        </w:tc>
        <w:tc>
          <w:tcPr>
            <w:tcW w:w="320" w:type="dxa"/>
            <w:vAlign w:val="bottom"/>
            <w:shd w:val="clear" w:color="auto" w:fill="CFF0FC"/>
          </w:tcPr>
          <w:p>
            <w:pPr>
              <w:spacing w:after="0"/>
              <w:rPr>
                <w:sz w:val="11"/>
                <w:szCs w:val="1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300</w:t>
            </w:r>
          </w:p>
        </w:tc>
        <w:tc>
          <w:tcPr>
            <w:tcW w:w="140" w:type="dxa"/>
            <w:vAlign w:val="bottom"/>
            <w:shd w:val="clear" w:color="auto" w:fill="CFF0FC"/>
          </w:tcPr>
          <w:p>
            <w:pPr>
              <w:spacing w:after="0"/>
              <w:rPr>
                <w:sz w:val="11"/>
                <w:szCs w:val="11"/>
                <w:color w:val="auto"/>
              </w:rPr>
            </w:pPr>
          </w:p>
        </w:tc>
        <w:tc>
          <w:tcPr>
            <w:tcW w:w="16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Enterprise Value</w:t>
            </w:r>
          </w:p>
        </w:tc>
        <w:tc>
          <w:tcPr>
            <w:tcW w:w="22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1"/>
                <w:szCs w:val="11"/>
                <w:color w:val="auto"/>
              </w:rPr>
              <w:t>Implied Discount Rate</w:t>
            </w:r>
          </w:p>
        </w:tc>
        <w:tc>
          <w:tcPr>
            <w:tcW w:w="5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w w:val="93"/>
              </w:rPr>
              <w:t>9.5x</w:t>
            </w:r>
          </w:p>
        </w:tc>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- 9.5x (9.5x)</w:t>
            </w:r>
          </w:p>
        </w:tc>
      </w:tr>
      <w:tr>
        <w:trPr>
          <w:trHeight w:val="132"/>
        </w:trPr>
        <w:tc>
          <w:tcPr>
            <w:tcW w:w="2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22,932</w:t>
            </w:r>
          </w:p>
        </w:tc>
        <w:tc>
          <w:tcPr>
            <w:tcW w:w="140" w:type="dxa"/>
            <w:vAlign w:val="bottom"/>
          </w:tcPr>
          <w:p>
            <w:pPr>
              <w:spacing w:after="0"/>
              <w:rPr>
                <w:sz w:val="11"/>
                <w:szCs w:val="11"/>
                <w:color w:val="auto"/>
              </w:rPr>
            </w:pPr>
          </w:p>
        </w:tc>
        <w:tc>
          <w:tcPr>
            <w:tcW w:w="16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Income approach</w:t>
            </w:r>
          </w:p>
        </w:tc>
        <w:tc>
          <w:tcPr>
            <w:tcW w:w="224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Implied Discount Rate</w:t>
            </w:r>
          </w:p>
        </w:tc>
        <w:tc>
          <w:tcPr>
            <w:tcW w:w="2260" w:type="dxa"/>
            <w:vAlign w:val="bottom"/>
            <w:gridSpan w:val="2"/>
          </w:tcPr>
          <w:p>
            <w:pPr>
              <w:ind w:left="340"/>
              <w:spacing w:after="0"/>
              <w:rPr>
                <w:sz w:val="20"/>
                <w:szCs w:val="20"/>
                <w:color w:val="auto"/>
              </w:rPr>
            </w:pPr>
            <w:r>
              <w:rPr>
                <w:rFonts w:ascii="Times New Roman" w:cs="Times New Roman" w:eastAsia="Times New Roman" w:hAnsi="Times New Roman"/>
                <w:sz w:val="11"/>
                <w:szCs w:val="11"/>
                <w:color w:val="auto"/>
              </w:rPr>
              <w:t>13.8% - 14.2% (14.0%)</w:t>
            </w:r>
          </w:p>
        </w:tc>
      </w:tr>
      <w:tr>
        <w:trPr>
          <w:trHeight w:val="132"/>
        </w:trPr>
        <w:tc>
          <w:tcPr>
            <w:tcW w:w="256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Subordinated Debt</w:t>
            </w:r>
          </w:p>
        </w:tc>
        <w:tc>
          <w:tcPr>
            <w:tcW w:w="320" w:type="dxa"/>
            <w:vAlign w:val="bottom"/>
            <w:shd w:val="clear" w:color="auto" w:fill="CFF0FC"/>
          </w:tcPr>
          <w:p>
            <w:pPr>
              <w:spacing w:after="0"/>
              <w:rPr>
                <w:sz w:val="11"/>
                <w:szCs w:val="11"/>
                <w:color w:val="auto"/>
              </w:rPr>
            </w:pP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1,225</w:t>
            </w:r>
          </w:p>
        </w:tc>
        <w:tc>
          <w:tcPr>
            <w:tcW w:w="16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Enterprise Value</w:t>
            </w:r>
          </w:p>
        </w:tc>
        <w:tc>
          <w:tcPr>
            <w:tcW w:w="22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1"/>
                <w:szCs w:val="11"/>
                <w:color w:val="auto"/>
              </w:rPr>
              <w:t>Average Settlement Value</w:t>
            </w:r>
          </w:p>
        </w:tc>
        <w:tc>
          <w:tcPr>
            <w:tcW w:w="226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61.0x - 61.0x (61.0x)</w:t>
            </w:r>
          </w:p>
        </w:tc>
      </w:tr>
      <w:tr>
        <w:trPr>
          <w:trHeight w:val="132"/>
        </w:trPr>
        <w:tc>
          <w:tcPr>
            <w:tcW w:w="2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Recovery Rate Multiple</w:t>
            </w:r>
          </w:p>
        </w:tc>
        <w:tc>
          <w:tcPr>
            <w:tcW w:w="540" w:type="dxa"/>
            <w:vAlign w:val="bottom"/>
          </w:tcPr>
          <w:p>
            <w:pPr>
              <w:ind w:left="340"/>
              <w:spacing w:after="0"/>
              <w:rPr>
                <w:sz w:val="20"/>
                <w:szCs w:val="20"/>
                <w:color w:val="auto"/>
              </w:rPr>
            </w:pPr>
            <w:r>
              <w:rPr>
                <w:rFonts w:ascii="Times New Roman" w:cs="Times New Roman" w:eastAsia="Times New Roman" w:hAnsi="Times New Roman"/>
                <w:sz w:val="11"/>
                <w:szCs w:val="11"/>
                <w:color w:val="auto"/>
                <w:w w:val="93"/>
              </w:rPr>
              <w:t>0.1x</w:t>
            </w:r>
          </w:p>
        </w:tc>
        <w:tc>
          <w:tcPr>
            <w:tcW w:w="1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- 0.1x (0.1x)</w:t>
            </w:r>
          </w:p>
        </w:tc>
      </w:tr>
      <w:tr>
        <w:trPr>
          <w:trHeight w:val="132"/>
        </w:trPr>
        <w:tc>
          <w:tcPr>
            <w:tcW w:w="256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Collateralized Loan Obligations</w:t>
            </w:r>
          </w:p>
        </w:tc>
        <w:tc>
          <w:tcPr>
            <w:tcW w:w="320" w:type="dxa"/>
            <w:vAlign w:val="bottom"/>
            <w:shd w:val="clear" w:color="auto" w:fill="CFF0FC"/>
          </w:tcPr>
          <w:p>
            <w:pPr>
              <w:spacing w:after="0"/>
              <w:rPr>
                <w:sz w:val="11"/>
                <w:szCs w:val="11"/>
                <w:color w:val="auto"/>
              </w:rPr>
            </w:pP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8,968</w:t>
            </w:r>
          </w:p>
        </w:tc>
        <w:tc>
          <w:tcPr>
            <w:tcW w:w="16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Discounted Cash Flow</w:t>
            </w:r>
          </w:p>
        </w:tc>
        <w:tc>
          <w:tcPr>
            <w:tcW w:w="22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1"/>
                <w:szCs w:val="11"/>
                <w:color w:val="auto"/>
              </w:rPr>
              <w:t>Discount Rate</w:t>
            </w:r>
          </w:p>
        </w:tc>
        <w:tc>
          <w:tcPr>
            <w:tcW w:w="226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18.4% - 25.2% (21.1%)</w:t>
            </w:r>
          </w:p>
        </w:tc>
      </w:tr>
      <w:tr>
        <w:trPr>
          <w:trHeight w:val="132"/>
        </w:trPr>
        <w:tc>
          <w:tcPr>
            <w:tcW w:w="2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Probability of Default</w:t>
            </w:r>
          </w:p>
        </w:tc>
        <w:tc>
          <w:tcPr>
            <w:tcW w:w="2260" w:type="dxa"/>
            <w:vAlign w:val="bottom"/>
            <w:gridSpan w:val="2"/>
          </w:tcPr>
          <w:p>
            <w:pPr>
              <w:ind w:left="340"/>
              <w:spacing w:after="0"/>
              <w:rPr>
                <w:sz w:val="20"/>
                <w:szCs w:val="20"/>
                <w:color w:val="auto"/>
              </w:rPr>
            </w:pPr>
            <w:r>
              <w:rPr>
                <w:rFonts w:ascii="Times New Roman" w:cs="Times New Roman" w:eastAsia="Times New Roman" w:hAnsi="Times New Roman"/>
                <w:sz w:val="11"/>
                <w:szCs w:val="11"/>
                <w:color w:val="auto"/>
              </w:rPr>
              <w:t>1.8% - 2.5% (2.0%)</w:t>
            </w:r>
          </w:p>
        </w:tc>
      </w:tr>
      <w:tr>
        <w:trPr>
          <w:trHeight w:val="132"/>
        </w:trPr>
        <w:tc>
          <w:tcPr>
            <w:tcW w:w="25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3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60" w:type="dxa"/>
            <w:vAlign w:val="bottom"/>
            <w:shd w:val="clear" w:color="auto" w:fill="CFF0FC"/>
          </w:tcPr>
          <w:p>
            <w:pPr>
              <w:spacing w:after="0"/>
              <w:rPr>
                <w:sz w:val="11"/>
                <w:szCs w:val="11"/>
                <w:color w:val="auto"/>
              </w:rPr>
            </w:pPr>
          </w:p>
        </w:tc>
        <w:tc>
          <w:tcPr>
            <w:tcW w:w="22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1"/>
                <w:szCs w:val="11"/>
                <w:color w:val="auto"/>
              </w:rPr>
              <w:t>Recovery Rate</w:t>
            </w:r>
          </w:p>
        </w:tc>
        <w:tc>
          <w:tcPr>
            <w:tcW w:w="226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65.0% - 75.0% (70.0%)</w:t>
            </w:r>
          </w:p>
        </w:tc>
      </w:tr>
      <w:tr>
        <w:trPr>
          <w:trHeight w:val="132"/>
        </w:trPr>
        <w:tc>
          <w:tcPr>
            <w:tcW w:w="2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Prepayment Rate</w:t>
            </w:r>
          </w:p>
        </w:tc>
        <w:tc>
          <w:tcPr>
            <w:tcW w:w="2260" w:type="dxa"/>
            <w:vAlign w:val="bottom"/>
            <w:gridSpan w:val="2"/>
          </w:tcPr>
          <w:p>
            <w:pPr>
              <w:ind w:left="340"/>
              <w:spacing w:after="0"/>
              <w:rPr>
                <w:sz w:val="20"/>
                <w:szCs w:val="20"/>
                <w:color w:val="auto"/>
              </w:rPr>
            </w:pPr>
            <w:r>
              <w:rPr>
                <w:rFonts w:ascii="Times New Roman" w:cs="Times New Roman" w:eastAsia="Times New Roman" w:hAnsi="Times New Roman"/>
                <w:sz w:val="11"/>
                <w:szCs w:val="11"/>
                <w:color w:val="auto"/>
              </w:rPr>
              <w:t>15.0% - 25.0% (20.0%)</w:t>
            </w:r>
          </w:p>
        </w:tc>
      </w:tr>
      <w:tr>
        <w:trPr>
          <w:trHeight w:val="132"/>
        </w:trPr>
        <w:tc>
          <w:tcPr>
            <w:tcW w:w="256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Joint Ventures</w:t>
            </w:r>
          </w:p>
        </w:tc>
        <w:tc>
          <w:tcPr>
            <w:tcW w:w="320" w:type="dxa"/>
            <w:vAlign w:val="bottom"/>
            <w:shd w:val="clear" w:color="auto" w:fill="CFF0FC"/>
          </w:tcPr>
          <w:p>
            <w:pPr>
              <w:spacing w:after="0"/>
              <w:rPr>
                <w:sz w:val="11"/>
                <w:szCs w:val="1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14,275</w:t>
            </w:r>
          </w:p>
        </w:tc>
        <w:tc>
          <w:tcPr>
            <w:tcW w:w="140" w:type="dxa"/>
            <w:vAlign w:val="bottom"/>
            <w:shd w:val="clear" w:color="auto" w:fill="CFF0FC"/>
          </w:tcPr>
          <w:p>
            <w:pPr>
              <w:spacing w:after="0"/>
              <w:rPr>
                <w:sz w:val="11"/>
                <w:szCs w:val="11"/>
                <w:color w:val="auto"/>
              </w:rPr>
            </w:pPr>
          </w:p>
        </w:tc>
        <w:tc>
          <w:tcPr>
            <w:tcW w:w="16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Discounted Cash Flow</w:t>
            </w:r>
          </w:p>
        </w:tc>
        <w:tc>
          <w:tcPr>
            <w:tcW w:w="22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1"/>
                <w:szCs w:val="11"/>
                <w:color w:val="auto"/>
              </w:rPr>
              <w:t>Discount Rate</w:t>
            </w:r>
          </w:p>
        </w:tc>
        <w:tc>
          <w:tcPr>
            <w:tcW w:w="226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20.5% - 22.1% (21.3%)</w:t>
            </w:r>
          </w:p>
        </w:tc>
      </w:tr>
      <w:tr>
        <w:trPr>
          <w:trHeight w:val="132"/>
        </w:trPr>
        <w:tc>
          <w:tcPr>
            <w:tcW w:w="2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Probability of Default</w:t>
            </w:r>
          </w:p>
        </w:tc>
        <w:tc>
          <w:tcPr>
            <w:tcW w:w="2260" w:type="dxa"/>
            <w:vAlign w:val="bottom"/>
            <w:gridSpan w:val="2"/>
          </w:tcPr>
          <w:p>
            <w:pPr>
              <w:ind w:left="340"/>
              <w:spacing w:after="0"/>
              <w:rPr>
                <w:sz w:val="20"/>
                <w:szCs w:val="20"/>
                <w:color w:val="auto"/>
              </w:rPr>
            </w:pPr>
            <w:r>
              <w:rPr>
                <w:rFonts w:ascii="Times New Roman" w:cs="Times New Roman" w:eastAsia="Times New Roman" w:hAnsi="Times New Roman"/>
                <w:sz w:val="11"/>
                <w:szCs w:val="11"/>
                <w:color w:val="auto"/>
              </w:rPr>
              <w:t>2.8% - 3.3% (3.0%)</w:t>
            </w:r>
          </w:p>
        </w:tc>
      </w:tr>
      <w:tr>
        <w:trPr>
          <w:trHeight w:val="132"/>
        </w:trPr>
        <w:tc>
          <w:tcPr>
            <w:tcW w:w="25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3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60" w:type="dxa"/>
            <w:vAlign w:val="bottom"/>
            <w:shd w:val="clear" w:color="auto" w:fill="CFF0FC"/>
          </w:tcPr>
          <w:p>
            <w:pPr>
              <w:spacing w:after="0"/>
              <w:rPr>
                <w:sz w:val="11"/>
                <w:szCs w:val="11"/>
                <w:color w:val="auto"/>
              </w:rPr>
            </w:pPr>
          </w:p>
        </w:tc>
        <w:tc>
          <w:tcPr>
            <w:tcW w:w="22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1"/>
                <w:szCs w:val="11"/>
                <w:color w:val="auto"/>
              </w:rPr>
              <w:t>Recovery Rate</w:t>
            </w:r>
          </w:p>
        </w:tc>
        <w:tc>
          <w:tcPr>
            <w:tcW w:w="226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65.0% - 75.0% (70.0%)</w:t>
            </w:r>
          </w:p>
        </w:tc>
      </w:tr>
      <w:tr>
        <w:trPr>
          <w:trHeight w:val="132"/>
        </w:trPr>
        <w:tc>
          <w:tcPr>
            <w:tcW w:w="2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Prepayment Rate</w:t>
            </w:r>
          </w:p>
        </w:tc>
        <w:tc>
          <w:tcPr>
            <w:tcW w:w="2260" w:type="dxa"/>
            <w:vAlign w:val="bottom"/>
            <w:gridSpan w:val="2"/>
          </w:tcPr>
          <w:p>
            <w:pPr>
              <w:ind w:left="340"/>
              <w:spacing w:after="0"/>
              <w:rPr>
                <w:sz w:val="20"/>
                <w:szCs w:val="20"/>
                <w:color w:val="auto"/>
              </w:rPr>
            </w:pPr>
            <w:r>
              <w:rPr>
                <w:rFonts w:ascii="Times New Roman" w:cs="Times New Roman" w:eastAsia="Times New Roman" w:hAnsi="Times New Roman"/>
                <w:sz w:val="11"/>
                <w:szCs w:val="11"/>
                <w:color w:val="auto"/>
              </w:rPr>
              <w:t>15.0% - 25.0% (20.0%)</w:t>
            </w:r>
          </w:p>
        </w:tc>
      </w:tr>
      <w:tr>
        <w:trPr>
          <w:trHeight w:val="132"/>
        </w:trPr>
        <w:tc>
          <w:tcPr>
            <w:tcW w:w="256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320" w:type="dxa"/>
            <w:vAlign w:val="bottom"/>
            <w:shd w:val="clear" w:color="auto" w:fill="CFF0FC"/>
          </w:tcPr>
          <w:p>
            <w:pPr>
              <w:spacing w:after="0"/>
              <w:rPr>
                <w:sz w:val="11"/>
                <w:szCs w:val="1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19,805</w:t>
            </w:r>
          </w:p>
        </w:tc>
        <w:tc>
          <w:tcPr>
            <w:tcW w:w="140" w:type="dxa"/>
            <w:vAlign w:val="bottom"/>
            <w:shd w:val="clear" w:color="auto" w:fill="CFF0FC"/>
          </w:tcPr>
          <w:p>
            <w:pPr>
              <w:spacing w:after="0"/>
              <w:rPr>
                <w:sz w:val="11"/>
                <w:szCs w:val="11"/>
                <w:color w:val="auto"/>
              </w:rPr>
            </w:pPr>
          </w:p>
        </w:tc>
        <w:tc>
          <w:tcPr>
            <w:tcW w:w="16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Enterprise Value</w:t>
            </w:r>
          </w:p>
        </w:tc>
        <w:tc>
          <w:tcPr>
            <w:tcW w:w="22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1"/>
                <w:szCs w:val="11"/>
                <w:color w:val="auto"/>
              </w:rPr>
              <w:t>Average EBITDA Multiple</w:t>
            </w:r>
          </w:p>
        </w:tc>
        <w:tc>
          <w:tcPr>
            <w:tcW w:w="5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w w:val="93"/>
              </w:rPr>
              <w:t>5.0x</w:t>
            </w:r>
          </w:p>
        </w:tc>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- 18.0x (6.9x)</w:t>
            </w:r>
          </w:p>
        </w:tc>
      </w:tr>
      <w:tr>
        <w:trPr>
          <w:trHeight w:val="132"/>
        </w:trPr>
        <w:tc>
          <w:tcPr>
            <w:tcW w:w="2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Average EBITDA Multiple / WACC</w:t>
            </w:r>
          </w:p>
        </w:tc>
        <w:tc>
          <w:tcPr>
            <w:tcW w:w="540" w:type="dxa"/>
            <w:vAlign w:val="bottom"/>
          </w:tcPr>
          <w:p>
            <w:pPr>
              <w:ind w:left="340"/>
              <w:spacing w:after="0"/>
              <w:rPr>
                <w:sz w:val="20"/>
                <w:szCs w:val="20"/>
                <w:color w:val="auto"/>
              </w:rPr>
            </w:pPr>
            <w:r>
              <w:rPr>
                <w:rFonts w:ascii="Times New Roman" w:cs="Times New Roman" w:eastAsia="Times New Roman" w:hAnsi="Times New Roman"/>
                <w:sz w:val="11"/>
                <w:szCs w:val="11"/>
                <w:color w:val="auto"/>
                <w:w w:val="93"/>
              </w:rPr>
              <w:t>0.4x</w:t>
            </w:r>
          </w:p>
        </w:tc>
        <w:tc>
          <w:tcPr>
            <w:tcW w:w="1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- 3.7x (1.1x)</w:t>
            </w:r>
          </w:p>
        </w:tc>
      </w:tr>
      <w:tr>
        <w:trPr>
          <w:trHeight w:val="132"/>
        </w:trPr>
        <w:tc>
          <w:tcPr>
            <w:tcW w:w="25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3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60" w:type="dxa"/>
            <w:vAlign w:val="bottom"/>
            <w:shd w:val="clear" w:color="auto" w:fill="CFF0FC"/>
          </w:tcPr>
          <w:p>
            <w:pPr>
              <w:spacing w:after="0"/>
              <w:rPr>
                <w:sz w:val="11"/>
                <w:szCs w:val="11"/>
                <w:color w:val="auto"/>
              </w:rPr>
            </w:pPr>
          </w:p>
        </w:tc>
        <w:tc>
          <w:tcPr>
            <w:tcW w:w="22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1"/>
                <w:szCs w:val="11"/>
                <w:color w:val="auto"/>
              </w:rPr>
              <w:t>Book Value of Equity</w:t>
            </w:r>
          </w:p>
        </w:tc>
        <w:tc>
          <w:tcPr>
            <w:tcW w:w="5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w w:val="93"/>
              </w:rPr>
              <w:t>1.0x</w:t>
            </w:r>
          </w:p>
        </w:tc>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- 1.6x (1.6x)</w:t>
            </w:r>
          </w:p>
        </w:tc>
      </w:tr>
      <w:tr>
        <w:trPr>
          <w:trHeight w:val="132"/>
        </w:trPr>
        <w:tc>
          <w:tcPr>
            <w:tcW w:w="2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140" w:type="dxa"/>
            <w:vAlign w:val="bottom"/>
          </w:tcPr>
          <w:p>
            <w:pPr>
              <w:spacing w:after="0"/>
              <w:rPr>
                <w:sz w:val="11"/>
                <w:szCs w:val="11"/>
                <w:color w:val="auto"/>
              </w:rPr>
            </w:pPr>
          </w:p>
        </w:tc>
        <w:tc>
          <w:tcPr>
            <w:tcW w:w="16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Income Approach</w:t>
            </w:r>
          </w:p>
        </w:tc>
        <w:tc>
          <w:tcPr>
            <w:tcW w:w="224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Implied Discount Rate</w:t>
            </w:r>
          </w:p>
        </w:tc>
        <w:tc>
          <w:tcPr>
            <w:tcW w:w="2260" w:type="dxa"/>
            <w:vAlign w:val="bottom"/>
            <w:gridSpan w:val="2"/>
          </w:tcPr>
          <w:p>
            <w:pPr>
              <w:ind w:left="340"/>
              <w:spacing w:after="0"/>
              <w:rPr>
                <w:sz w:val="20"/>
                <w:szCs w:val="20"/>
                <w:color w:val="auto"/>
              </w:rPr>
            </w:pPr>
            <w:r>
              <w:rPr>
                <w:rFonts w:ascii="Times New Roman" w:cs="Times New Roman" w:eastAsia="Times New Roman" w:hAnsi="Times New Roman"/>
                <w:sz w:val="11"/>
                <w:szCs w:val="11"/>
                <w:color w:val="auto"/>
              </w:rPr>
              <w:t>15.0% - 15.0% (15.0%)</w:t>
            </w:r>
          </w:p>
        </w:tc>
      </w:tr>
      <w:tr>
        <w:trPr>
          <w:trHeight w:val="132"/>
        </w:trPr>
        <w:tc>
          <w:tcPr>
            <w:tcW w:w="25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671</w:t>
            </w:r>
          </w:p>
        </w:tc>
        <w:tc>
          <w:tcPr>
            <w:tcW w:w="140" w:type="dxa"/>
            <w:vAlign w:val="bottom"/>
            <w:shd w:val="clear" w:color="auto" w:fill="CFF0FC"/>
          </w:tcPr>
          <w:p>
            <w:pPr>
              <w:spacing w:after="0"/>
              <w:rPr>
                <w:sz w:val="11"/>
                <w:szCs w:val="11"/>
                <w:color w:val="auto"/>
              </w:rPr>
            </w:pPr>
          </w:p>
        </w:tc>
        <w:tc>
          <w:tcPr>
            <w:tcW w:w="16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Recent Transaction</w:t>
            </w:r>
          </w:p>
        </w:tc>
        <w:tc>
          <w:tcPr>
            <w:tcW w:w="22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1"/>
                <w:szCs w:val="11"/>
                <w:color w:val="auto"/>
              </w:rPr>
              <w:t>Implied Discount Rate</w:t>
            </w:r>
          </w:p>
        </w:tc>
        <w:tc>
          <w:tcPr>
            <w:tcW w:w="226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12.4% - 12.4% (12.4%)</w:t>
            </w:r>
          </w:p>
        </w:tc>
      </w:tr>
      <w:tr>
        <w:trPr>
          <w:trHeight w:val="132"/>
        </w:trPr>
        <w:tc>
          <w:tcPr>
            <w:tcW w:w="256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Derivatives</w:t>
            </w:r>
          </w:p>
        </w:tc>
        <w:tc>
          <w:tcPr>
            <w:tcW w:w="320" w:type="dxa"/>
            <w:vAlign w:val="bottom"/>
          </w:tcPr>
          <w:p>
            <w:pPr>
              <w:spacing w:after="0"/>
              <w:rPr>
                <w:sz w:val="11"/>
                <w:szCs w:val="11"/>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Enterprise Value</w:t>
            </w:r>
          </w:p>
        </w:tc>
        <w:tc>
          <w:tcPr>
            <w:tcW w:w="224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Average EBITDA Multiple</w:t>
            </w:r>
          </w:p>
        </w:tc>
        <w:tc>
          <w:tcPr>
            <w:tcW w:w="540" w:type="dxa"/>
            <w:vAlign w:val="bottom"/>
          </w:tcPr>
          <w:p>
            <w:pPr>
              <w:ind w:left="340"/>
              <w:spacing w:after="0"/>
              <w:rPr>
                <w:sz w:val="20"/>
                <w:szCs w:val="20"/>
                <w:color w:val="auto"/>
              </w:rPr>
            </w:pPr>
            <w:r>
              <w:rPr>
                <w:rFonts w:ascii="Times New Roman" w:cs="Times New Roman" w:eastAsia="Times New Roman" w:hAnsi="Times New Roman"/>
                <w:sz w:val="11"/>
                <w:szCs w:val="11"/>
                <w:color w:val="auto"/>
                <w:w w:val="93"/>
              </w:rPr>
              <w:t>2.5x</w:t>
            </w:r>
          </w:p>
        </w:tc>
        <w:tc>
          <w:tcPr>
            <w:tcW w:w="1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- 2.5x (2.5x)</w:t>
            </w:r>
          </w:p>
        </w:tc>
      </w:tr>
      <w:tr>
        <w:trPr>
          <w:trHeight w:val="172"/>
        </w:trPr>
        <w:tc>
          <w:tcPr>
            <w:tcW w:w="2560" w:type="dxa"/>
            <w:vAlign w:val="bottom"/>
            <w:tcBorders>
              <w:bottom w:val="single" w:sz="8" w:color="CFF0FC"/>
            </w:tcBorders>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Total Level III Investments</w:t>
            </w:r>
          </w:p>
        </w:tc>
        <w:tc>
          <w:tcPr>
            <w:tcW w:w="320" w:type="dxa"/>
            <w:vAlign w:val="bottom"/>
            <w:tcBorders>
              <w:bottom w:val="single" w:sz="8" w:color="auto"/>
            </w:tcBorders>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357,528</w:t>
            </w:r>
          </w:p>
        </w:tc>
        <w:tc>
          <w:tcPr>
            <w:tcW w:w="140" w:type="dxa"/>
            <w:vAlign w:val="bottom"/>
            <w:tcBorders>
              <w:bottom w:val="single" w:sz="8" w:color="CFF0FC"/>
            </w:tcBorders>
            <w:shd w:val="clear" w:color="auto" w:fill="CFF0FC"/>
          </w:tcPr>
          <w:p>
            <w:pPr>
              <w:spacing w:after="0"/>
              <w:rPr>
                <w:sz w:val="14"/>
                <w:szCs w:val="14"/>
                <w:color w:val="auto"/>
              </w:rPr>
            </w:pPr>
          </w:p>
        </w:tc>
        <w:tc>
          <w:tcPr>
            <w:tcW w:w="1660" w:type="dxa"/>
            <w:vAlign w:val="bottom"/>
            <w:tcBorders>
              <w:bottom w:val="single" w:sz="8" w:color="CFF0FC"/>
            </w:tcBorders>
            <w:shd w:val="clear" w:color="auto" w:fill="CFF0FC"/>
          </w:tcPr>
          <w:p>
            <w:pPr>
              <w:spacing w:after="0"/>
              <w:rPr>
                <w:sz w:val="14"/>
                <w:szCs w:val="14"/>
                <w:color w:val="auto"/>
              </w:rPr>
            </w:pPr>
          </w:p>
        </w:tc>
        <w:tc>
          <w:tcPr>
            <w:tcW w:w="224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CFF0FC"/>
            </w:tcBorders>
            <w:shd w:val="clear" w:color="auto" w:fill="CFF0FC"/>
          </w:tcPr>
          <w:p>
            <w:pPr>
              <w:spacing w:after="0"/>
              <w:rPr>
                <w:sz w:val="14"/>
                <w:szCs w:val="14"/>
                <w:color w:val="auto"/>
              </w:rPr>
            </w:pPr>
          </w:p>
        </w:tc>
        <w:tc>
          <w:tcPr>
            <w:tcW w:w="1720" w:type="dxa"/>
            <w:vAlign w:val="bottom"/>
            <w:tcBorders>
              <w:bottom w:val="single" w:sz="8" w:color="CFF0FC"/>
            </w:tcBorders>
            <w:shd w:val="clear" w:color="auto" w:fill="CFF0FC"/>
          </w:tcPr>
          <w:p>
            <w:pPr>
              <w:spacing w:after="0"/>
              <w:rPr>
                <w:sz w:val="14"/>
                <w:szCs w:val="14"/>
                <w:color w:val="auto"/>
              </w:rPr>
            </w:pPr>
          </w:p>
        </w:tc>
      </w:tr>
    </w:tbl>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The weighted averages disclosed in the table above were weighted by their relative fair value.</w:t>
      </w:r>
    </w:p>
    <w:p>
      <w:pPr>
        <w:spacing w:after="0" w:line="90" w:lineRule="exact"/>
        <w:rPr>
          <w:sz w:val="20"/>
          <w:szCs w:val="20"/>
          <w:color w:val="auto"/>
        </w:rPr>
      </w:pPr>
    </w:p>
    <w:p>
      <w:pPr>
        <w:ind w:right="40" w:firstLine="348"/>
        <w:spacing w:after="0" w:line="268" w:lineRule="auto"/>
        <w:rPr>
          <w:sz w:val="20"/>
          <w:szCs w:val="20"/>
          <w:color w:val="auto"/>
        </w:rPr>
      </w:pPr>
      <w:r>
        <w:rPr>
          <w:rFonts w:ascii="Times New Roman" w:cs="Times New Roman" w:eastAsia="Times New Roman" w:hAnsi="Times New Roman"/>
          <w:sz w:val="13"/>
          <w:szCs w:val="13"/>
          <w:color w:val="auto"/>
        </w:rPr>
        <w:t>The significant unobservable inputs used in the fair value measurement of the Company’s debt securities may include, among other things, broad market indices, the comparable yields of similar investments in similar industries, effective discount rates, average EBITDA multiples, and weighted average cost of capital. Significant increases or decreases in such comparable yields would result in a significantly lower or higher fair value measurement, respectively.</w:t>
      </w:r>
    </w:p>
    <w:p>
      <w:pPr>
        <w:spacing w:after="0" w:line="7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1"/>
          <w:szCs w:val="11"/>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PORTMAN RIDGE FINANCE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173" w:lineRule="exact"/>
        <w:rPr>
          <w:sz w:val="20"/>
          <w:szCs w:val="20"/>
          <w:color w:val="auto"/>
        </w:rPr>
      </w:pPr>
    </w:p>
    <w:p>
      <w:pPr>
        <w:ind w:right="260" w:firstLine="348"/>
        <w:spacing w:after="0" w:line="286" w:lineRule="auto"/>
        <w:rPr>
          <w:sz w:val="20"/>
          <w:szCs w:val="20"/>
          <w:color w:val="auto"/>
        </w:rPr>
      </w:pPr>
      <w:r>
        <w:rPr>
          <w:rFonts w:ascii="Times New Roman" w:cs="Times New Roman" w:eastAsia="Times New Roman" w:hAnsi="Times New Roman"/>
          <w:sz w:val="13"/>
          <w:szCs w:val="13"/>
          <w:color w:val="auto"/>
        </w:rPr>
        <w:t>The significant unobservable inputs used in the fair value measurement of the Company’s equity securities include the EBITDA multiple of similar investments in similar industries and the weighted average cost of capital. Significant increases or decreases in such inputs would result in a significantly lower or higher fair value measurement.</w:t>
      </w:r>
    </w:p>
    <w:p>
      <w:pPr>
        <w:spacing w:after="0" w:line="52" w:lineRule="exact"/>
        <w:rPr>
          <w:sz w:val="20"/>
          <w:szCs w:val="20"/>
          <w:color w:val="auto"/>
        </w:rPr>
      </w:pPr>
    </w:p>
    <w:p>
      <w:pPr>
        <w:ind w:right="20" w:firstLine="348"/>
        <w:spacing w:after="0" w:line="255" w:lineRule="auto"/>
        <w:rPr>
          <w:sz w:val="20"/>
          <w:szCs w:val="20"/>
          <w:color w:val="auto"/>
        </w:rPr>
      </w:pPr>
      <w:r>
        <w:rPr>
          <w:rFonts w:ascii="Times New Roman" w:cs="Times New Roman" w:eastAsia="Times New Roman" w:hAnsi="Times New Roman"/>
          <w:sz w:val="13"/>
          <w:szCs w:val="13"/>
          <w:color w:val="auto"/>
        </w:rPr>
        <w:t>Significant unobservable inputs used in the fair value measurement of the Company’s CLO Fund Securities include default rates, recovery rates, prepayment rates,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 Significant increases or decreases in probability of default and loss severity inputs in isolation would result in a significantly lower or higher fair value measurement, respectively. In general, a change in the assumption of the probability of default is accompanied by a directionally similar change in the assumption used for the loss severity in an event of default. Significant increases or decreases in the discount rate in isolation would result in a significantly lower or higher fair value measurement.</w:t>
      </w:r>
    </w:p>
    <w:p>
      <w:pPr>
        <w:spacing w:after="0" w:line="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The Company’s investment in the F3C Joint Venture is carried at fair value based upon the fair value of the investments held by the F3C Joint Venture.</w:t>
      </w:r>
    </w:p>
    <w:p>
      <w:pPr>
        <w:spacing w:after="0" w:line="103" w:lineRule="exact"/>
        <w:rPr>
          <w:sz w:val="20"/>
          <w:szCs w:val="20"/>
          <w:color w:val="auto"/>
        </w:rPr>
      </w:pPr>
    </w:p>
    <w:p>
      <w:pPr>
        <w:ind w:right="260" w:firstLine="348"/>
        <w:spacing w:after="0" w:line="286" w:lineRule="auto"/>
        <w:rPr>
          <w:sz w:val="20"/>
          <w:szCs w:val="20"/>
          <w:color w:val="auto"/>
        </w:rPr>
      </w:pPr>
      <w:r>
        <w:rPr>
          <w:rFonts w:ascii="Times New Roman" w:cs="Times New Roman" w:eastAsia="Times New Roman" w:hAnsi="Times New Roman"/>
          <w:sz w:val="13"/>
          <w:szCs w:val="13"/>
          <w:color w:val="auto"/>
        </w:rPr>
        <w:t>The Company values derivative contracts using various pricing models that take into account the terms of the contract (including notional amount and contract maturity) and observable and unobservable inputs such as interest rates and changes in fair value of the reference asset.</w:t>
      </w:r>
    </w:p>
    <w:p>
      <w:pPr>
        <w:spacing w:after="0" w:line="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The following table details derivative investments at December 31, 2024 and December 31, 2023:</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6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80" w:type="dxa"/>
            <w:vAlign w:val="bottom"/>
            <w:gridSpan w:val="4"/>
          </w:tcPr>
          <w:p>
            <w:pPr>
              <w:ind w:left="86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4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Derivative assets</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4660" w:type="dxa"/>
            <w:vAlign w:val="bottom"/>
          </w:tcPr>
          <w:p>
            <w:pPr>
              <w:ind w:left="1760"/>
              <w:spacing w:after="0"/>
              <w:rPr>
                <w:sz w:val="20"/>
                <w:szCs w:val="20"/>
                <w:color w:val="auto"/>
              </w:rPr>
            </w:pPr>
            <w:r>
              <w:rPr>
                <w:rFonts w:ascii="Times New Roman" w:cs="Times New Roman" w:eastAsia="Times New Roman" w:hAnsi="Times New Roman"/>
                <w:sz w:val="13"/>
                <w:szCs w:val="13"/>
                <w:b w:val="1"/>
                <w:bCs w:val="1"/>
                <w:color w:val="auto"/>
              </w:rPr>
              <w:t>Types of contracts</w:t>
            </w:r>
          </w:p>
        </w:tc>
        <w:tc>
          <w:tcPr>
            <w:tcW w:w="60" w:type="dxa"/>
            <w:vAlign w:val="bottom"/>
          </w:tcPr>
          <w:p>
            <w:pPr>
              <w:spacing w:after="0"/>
              <w:rPr>
                <w:sz w:val="14"/>
                <w:szCs w:val="14"/>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w w:val="99"/>
              </w:rPr>
              <w:t>Notional amounts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Realized gain(loss)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Unrealized gain(loss)</w:t>
            </w:r>
          </w:p>
        </w:tc>
      </w:tr>
      <w:tr>
        <w:trPr>
          <w:trHeight w:val="156"/>
        </w:trPr>
        <w:tc>
          <w:tcPr>
            <w:tcW w:w="46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Call option</w:t>
            </w:r>
            <w:r>
              <w:rPr>
                <w:rFonts w:ascii="Times New Roman" w:cs="Times New Roman" w:eastAsia="Times New Roman" w:hAnsi="Times New Roman"/>
                <w:sz w:val="16"/>
                <w:szCs w:val="16"/>
                <w:color w:val="auto"/>
                <w:vertAlign w:val="superscript"/>
              </w:rPr>
              <w:t>(1)</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100" w:type="dxa"/>
            <w:vAlign w:val="bottom"/>
            <w:shd w:val="clear" w:color="auto" w:fill="CFF0FC"/>
          </w:tcPr>
          <w:p>
            <w:pPr>
              <w:spacing w:after="0"/>
              <w:rPr>
                <w:sz w:val="13"/>
                <w:szCs w:val="13"/>
                <w:color w:val="auto"/>
              </w:rPr>
            </w:pPr>
          </w:p>
        </w:tc>
      </w:tr>
      <w:tr>
        <w:trPr>
          <w:trHeight w:val="156"/>
        </w:trPr>
        <w:tc>
          <w:tcPr>
            <w:tcW w:w="466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Put option</w:t>
            </w:r>
            <w:r>
              <w:rPr>
                <w:rFonts w:ascii="Times New Roman" w:cs="Times New Roman" w:eastAsia="Times New Roman" w:hAnsi="Times New Roman"/>
                <w:sz w:val="16"/>
                <w:szCs w:val="16"/>
                <w:color w:val="auto"/>
                <w:vertAlign w:val="superscript"/>
              </w:rPr>
              <w:t>(1)</w:t>
            </w:r>
          </w:p>
        </w:tc>
        <w:tc>
          <w:tcPr>
            <w:tcW w:w="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1,563</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ind w:left="100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r>
      <w:tr>
        <w:trPr>
          <w:trHeight w:val="196"/>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1,571</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3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Net amount included in non-controlled/non-affiliated investments on the consolidated statements of assets and liabilities.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6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80" w:type="dxa"/>
            <w:vAlign w:val="bottom"/>
            <w:gridSpan w:val="4"/>
          </w:tcPr>
          <w:p>
            <w:pPr>
              <w:ind w:left="86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4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Derivative assets</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4660" w:type="dxa"/>
            <w:vAlign w:val="bottom"/>
          </w:tcPr>
          <w:p>
            <w:pPr>
              <w:ind w:left="1760"/>
              <w:spacing w:after="0"/>
              <w:rPr>
                <w:sz w:val="20"/>
                <w:szCs w:val="20"/>
                <w:color w:val="auto"/>
              </w:rPr>
            </w:pPr>
            <w:r>
              <w:rPr>
                <w:rFonts w:ascii="Times New Roman" w:cs="Times New Roman" w:eastAsia="Times New Roman" w:hAnsi="Times New Roman"/>
                <w:sz w:val="13"/>
                <w:szCs w:val="13"/>
                <w:b w:val="1"/>
                <w:bCs w:val="1"/>
                <w:color w:val="auto"/>
              </w:rPr>
              <w:t>Types of contracts</w:t>
            </w:r>
          </w:p>
        </w:tc>
        <w:tc>
          <w:tcPr>
            <w:tcW w:w="60" w:type="dxa"/>
            <w:vAlign w:val="bottom"/>
          </w:tcPr>
          <w:p>
            <w:pPr>
              <w:spacing w:after="0"/>
              <w:rPr>
                <w:sz w:val="14"/>
                <w:szCs w:val="14"/>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w w:val="99"/>
              </w:rPr>
              <w:t>Notional amounts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Realized gain(loss)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Unrealized gain(loss)</w:t>
            </w:r>
          </w:p>
        </w:tc>
      </w:tr>
      <w:tr>
        <w:trPr>
          <w:trHeight w:val="156"/>
        </w:trPr>
        <w:tc>
          <w:tcPr>
            <w:tcW w:w="46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Call option</w:t>
            </w:r>
            <w:r>
              <w:rPr>
                <w:rFonts w:ascii="Times New Roman" w:cs="Times New Roman" w:eastAsia="Times New Roman" w:hAnsi="Times New Roman"/>
                <w:sz w:val="16"/>
                <w:szCs w:val="16"/>
                <w:color w:val="auto"/>
                <w:vertAlign w:val="superscript"/>
              </w:rPr>
              <w:t>(1)</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gridSpan w:val="2"/>
            <w:shd w:val="clear" w:color="auto" w:fill="CFF0FC"/>
          </w:tcPr>
          <w:p>
            <w:pPr>
              <w:ind w:left="114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466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Put option</w:t>
            </w:r>
            <w:r>
              <w:rPr>
                <w:rFonts w:ascii="Times New Roman" w:cs="Times New Roman" w:eastAsia="Times New Roman" w:hAnsi="Times New Roman"/>
                <w:sz w:val="16"/>
                <w:szCs w:val="16"/>
                <w:color w:val="auto"/>
                <w:vertAlign w:val="superscript"/>
              </w:rPr>
              <w:t>(1)</w:t>
            </w:r>
          </w:p>
        </w:tc>
        <w:tc>
          <w:tcPr>
            <w:tcW w:w="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563</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ind w:left="960"/>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ind w:left="100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2"/>
          </w:tcPr>
          <w:p>
            <w:pPr>
              <w:ind w:left="1140"/>
              <w:spacing w:after="0"/>
              <w:rPr>
                <w:sz w:val="20"/>
                <w:szCs w:val="20"/>
                <w:color w:val="auto"/>
              </w:rPr>
            </w:pPr>
            <w:r>
              <w:rPr>
                <w:rFonts w:ascii="Times New Roman" w:cs="Times New Roman" w:eastAsia="Times New Roman" w:hAnsi="Times New Roman"/>
                <w:sz w:val="13"/>
                <w:szCs w:val="13"/>
                <w:color w:val="auto"/>
              </w:rPr>
              <w:t>—</w:t>
            </w:r>
          </w:p>
        </w:tc>
      </w:tr>
      <w:tr>
        <w:trPr>
          <w:trHeight w:val="196"/>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571</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shd w:val="clear" w:color="auto" w:fill="CFF0FC"/>
          </w:tcPr>
          <w:p>
            <w:pPr>
              <w:ind w:left="114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Net amount included in non-controlled/non-affiliated investments on the consolidated statements of assets and liabilities.</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5. RELATED PARTY TRANSACTIONS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Advisory Agreement</w:t>
      </w:r>
    </w:p>
    <w:p>
      <w:pPr>
        <w:spacing w:after="0" w:line="1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The Adviser provides management services to the Company pursuant to the Advisory Agreement. Under the terms of the Advisory Agreement, the Adviser is responsible for the following:</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•managing the Company’s assets in accordance with our investment objective, policies and restrictions;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•determining the composition of the Company’s portfolio, the nature and timing of the changes to the portfolio and the manner of implementing such changes;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•identifying, evaluating and negotiating the structure of the Company’s investments;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•monitoring the Company’s investments;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•determining the securities and other assets that the Company will purchase, retain or sell;</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•assisting the Board with its valuation of the Company’s assets;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•directing investment professionals of the Adviser to provide managerial assistance to the Company’s portfolio companies;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•performing due diligence on prospective portfolio companies;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•exercising voting rights in respect of portfolio securities and other investments for the Company;</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•serving on, and exercising observer rights for, boards of directors and similar committees of our portfolio companies; and</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•providing the Company with such other investment advisory, research and related services as we may, from time to time, reasonably require for the investment of capital.</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The Adviser’s services under the Advisory Agreement are not exclusive, and it is free to furnish similar services to other entities so long as its services to the Company are not impaired.</w:t>
      </w:r>
    </w:p>
    <w:p>
      <w:pPr>
        <w:spacing w:after="0" w:line="11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1"/>
          <w:szCs w:val="11"/>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88" w:name="page89"/>
    <w:bookmarkEnd w:id="88"/>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PORTMAN RIDGE FINANCE CORPORATION</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Term</w:t>
      </w:r>
    </w:p>
    <w:p>
      <w:pPr>
        <w:spacing w:after="0" w:line="105" w:lineRule="exact"/>
        <w:rPr>
          <w:sz w:val="20"/>
          <w:szCs w:val="20"/>
          <w:color w:val="auto"/>
        </w:rPr>
      </w:pPr>
    </w:p>
    <w:p>
      <w:pPr>
        <w:ind w:right="100" w:firstLine="348"/>
        <w:spacing w:after="0" w:line="286" w:lineRule="auto"/>
        <w:rPr>
          <w:sz w:val="20"/>
          <w:szCs w:val="20"/>
          <w:color w:val="auto"/>
        </w:rPr>
      </w:pPr>
      <w:r>
        <w:rPr>
          <w:rFonts w:ascii="Times New Roman" w:cs="Times New Roman" w:eastAsia="Times New Roman" w:hAnsi="Times New Roman"/>
          <w:sz w:val="13"/>
          <w:szCs w:val="13"/>
          <w:color w:val="auto"/>
        </w:rPr>
        <w:t>Unless earlier terminated as described below, the Investment Advisory Agreement will remain in effect from year-to-year if approved annually by a majority of the Board or by the holders of a majority of the outstanding shares, and, in each case, a majority of the independent directors.</w:t>
      </w:r>
    </w:p>
    <w:p>
      <w:pPr>
        <w:spacing w:after="0" w:line="52" w:lineRule="exact"/>
        <w:rPr>
          <w:sz w:val="20"/>
          <w:szCs w:val="20"/>
          <w:color w:val="auto"/>
        </w:rPr>
      </w:pPr>
    </w:p>
    <w:p>
      <w:pPr>
        <w:ind w:right="140" w:firstLine="348"/>
        <w:spacing w:after="0" w:line="259" w:lineRule="auto"/>
        <w:rPr>
          <w:sz w:val="20"/>
          <w:szCs w:val="20"/>
          <w:color w:val="auto"/>
        </w:rPr>
      </w:pPr>
      <w:r>
        <w:rPr>
          <w:rFonts w:ascii="Times New Roman" w:cs="Times New Roman" w:eastAsia="Times New Roman" w:hAnsi="Times New Roman"/>
          <w:sz w:val="13"/>
          <w:szCs w:val="13"/>
          <w:color w:val="auto"/>
        </w:rPr>
        <w:t>The Advisory Agreement will automatically terminate within the meaning of the 1940 Act and related Securities and Exchange Commission (“SEC”) guidance and interpretations in the event of its assignment. In accordance with the 1940 Act, without payment of any penalty, we may terminate the Advisory Agreement with the Adviser upon 60 days’ written notice. The decision to terminate the agreement may be made by a majority of the Board or the stockholders holding a majority of the outstanding shares of our common stock. See “Advisory Agreement—Removal of Adviser” below. In addition, without payment of any penalty, the Adviser may generally terminate the Advisory Agreement upon 60 days’ written notice and, in certain circumstances, the Adviser may only be able to terminate the Advisory Agreement upon 120 days’ written notice.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Removal of Adviser</w:t>
      </w:r>
    </w:p>
    <w:p>
      <w:pPr>
        <w:spacing w:after="0" w:line="105" w:lineRule="exact"/>
        <w:rPr>
          <w:sz w:val="20"/>
          <w:szCs w:val="20"/>
          <w:color w:val="auto"/>
        </w:rPr>
      </w:pPr>
    </w:p>
    <w:p>
      <w:pPr>
        <w:jc w:val="both"/>
        <w:ind w:right="100" w:firstLine="348"/>
        <w:spacing w:after="0" w:line="268" w:lineRule="auto"/>
        <w:rPr>
          <w:sz w:val="20"/>
          <w:szCs w:val="20"/>
          <w:color w:val="auto"/>
        </w:rPr>
      </w:pPr>
      <w:r>
        <w:rPr>
          <w:rFonts w:ascii="Times New Roman" w:cs="Times New Roman" w:eastAsia="Times New Roman" w:hAnsi="Times New Roman"/>
          <w:sz w:val="13"/>
          <w:szCs w:val="13"/>
          <w:color w:val="auto"/>
        </w:rPr>
        <w:t>The Adviser may be removed by the Board or by the affirmative vote of a Majority of the Outstanding Shares. “Majority of the Outstanding Shares” means the lesser of (1) 67% or more of the outstanding shares of our common stock present at a meeting, if the holders of more than 50% of the outstanding shares of our common stock are present or represented by proxy or (2) a majority of outstanding shares of our common stock.</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Compensation of Adviser</w:t>
      </w:r>
    </w:p>
    <w:p>
      <w:pPr>
        <w:spacing w:after="0" w:line="105"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3"/>
          <w:szCs w:val="13"/>
          <w:color w:val="auto"/>
        </w:rPr>
        <w:t>Pursuant to the terms of the Advisory Agreement, the Company pays the Adviser (i) a base management fee (the “Base Management Fee”) and (ii) an incentive fee (the “Incentive Fee”). For the period from the date of the Advisory Agreement (the “Effective Date”) through the end of the first calendar quarter after the Effective Date, the Base Management Fee will be calculated at an annual rate of 1.50% of the Company’s gross assets, excluding cash and cash equivalents, but including assets purchased with borrowed amounts, as of the end of such calendar quarter. Subsequently, the Base Management Fee will be 1.50% of the Company’s average gross assets, excluding cash and cash equivalents, but including assets purchased with borrowed amounts, at the end of the two most recently completed calendar quarters; provided, however, that the Base Management Fee will be 1.00% of the Company’s average gross assets, excluding cash and cash equivalents, but including assets purchased with borrowed amounts, that exceed the product of (i) 200% and (ii) the value of the Company’s net asset value at the end of the most recently completed calendar quarter. The Incentive Fee consists of two parts: (1) a portion based on the Company’s pre-incentive fee net investment income (the “Income-Based Fee”) and (2) a portion based on the net capital gains received on the Company’s portfolio of securities on a cumulative basis for each calendar year, net of all realized capital losses and all unrealized capital depreciation on a cumulative basis, in each case calculated from the Effective Date, less the aggregate amount of any previously paid capital gains Incentive Fee (the “Capital Gains Fee”). The Income-Based Fee is 17.50% of pre-incentive fee net investment income with a 7.00% hurdle rate. The Capital Gains Fee is 17.50%.</w:t>
      </w:r>
    </w:p>
    <w:p>
      <w:pPr>
        <w:spacing w:after="0" w:line="74" w:lineRule="exact"/>
        <w:rPr>
          <w:sz w:val="20"/>
          <w:szCs w:val="20"/>
          <w:color w:val="auto"/>
        </w:rPr>
      </w:pPr>
    </w:p>
    <w:p>
      <w:pPr>
        <w:ind w:right="60" w:firstLine="348"/>
        <w:spacing w:after="0" w:line="257" w:lineRule="auto"/>
        <w:rPr>
          <w:sz w:val="20"/>
          <w:szCs w:val="20"/>
          <w:color w:val="auto"/>
        </w:rPr>
      </w:pPr>
      <w:r>
        <w:rPr>
          <w:rFonts w:ascii="Times New Roman" w:cs="Times New Roman" w:eastAsia="Times New Roman" w:hAnsi="Times New Roman"/>
          <w:sz w:val="13"/>
          <w:szCs w:val="13"/>
          <w:color w:val="auto"/>
        </w:rPr>
        <w:t>Pre-incentive fee net investment income means dividends (including reinvested dividends), interest and fee income accrued by the Company during the calendar quarter, minus operating expenses for the quarter (including the management fee, expenses payable under the administration agreement, and any interest expense and dividends paid on any issued and outstanding preferred stock, but excluding the incentive fee). Pre -incentive fee net investment income includes, in the case of investments with a deferred interest feature (such as original issue discount, debt instruments with payment-in-kind (“PIK”) interest and zero coupon securities), accrued income that the Company may not have received in cash. The Adviser is not obligated to return the incentive fee it receives on PIK interest that is later determined to be uncollectible in cash. Pre-incentive fee net investment income does not include any realized capital gains, realized capital losses or unrealized capital appreciation or depreciation.</w:t>
      </w:r>
    </w:p>
    <w:p>
      <w:pPr>
        <w:spacing w:after="0" w:line="72" w:lineRule="exact"/>
        <w:rPr>
          <w:sz w:val="20"/>
          <w:szCs w:val="20"/>
          <w:color w:val="auto"/>
        </w:rPr>
      </w:pPr>
    </w:p>
    <w:p>
      <w:pPr>
        <w:ind w:right="80" w:firstLine="348"/>
        <w:spacing w:after="0" w:line="256" w:lineRule="auto"/>
        <w:rPr>
          <w:sz w:val="20"/>
          <w:szCs w:val="20"/>
          <w:color w:val="auto"/>
        </w:rPr>
      </w:pPr>
      <w:r>
        <w:rPr>
          <w:rFonts w:ascii="Times New Roman" w:cs="Times New Roman" w:eastAsia="Times New Roman" w:hAnsi="Times New Roman"/>
          <w:sz w:val="13"/>
          <w:szCs w:val="13"/>
          <w:color w:val="auto"/>
        </w:rPr>
        <w:t>To determine the income incentive fee, pre-incentive fee net investment income is expressed as a rate of return on the value of our net assets at the end of the immediately preceding calendar quarter. Because of the structure of the incentive fee, it is possible that the Company may pay an incentive fee in a calendar quarter in which the Company incurs a loss. For example, if the Company receives pre-incentive fee net investment income in excess of the quarterly hurdle rate, the Company will pay the applicable incentive fee even if the Company has incurred a loss in that calendar quarter due to realized capital losses and unrealized capital depreciation. In addition, because the quarterly hurdle rate is calculated based on our net assets, decreases in the Company’s net assets due to realized capital losses or unrealized capital depreciation in any given calendar quarter may increase the likelihood that the hurdle rate is reached and therefore the likelihood of the Company paying an incentive fee for the subsequent quarter. The Company’s net investment income used to calculate this component of the incentive fee is also included in the amount of the Company’s gross assets used to calculate the management fee because gross assets are total assets (including cash received) before deducting liabilities (such as declared dividend payments).</w:t>
      </w:r>
    </w:p>
    <w:p>
      <w:pPr>
        <w:spacing w:after="0" w:line="72" w:lineRule="exact"/>
        <w:rPr>
          <w:sz w:val="20"/>
          <w:szCs w:val="20"/>
          <w:color w:val="auto"/>
        </w:rPr>
      </w:pPr>
    </w:p>
    <w:p>
      <w:pPr>
        <w:ind w:right="80" w:firstLine="348"/>
        <w:spacing w:after="0" w:line="257" w:lineRule="auto"/>
        <w:rPr>
          <w:sz w:val="20"/>
          <w:szCs w:val="20"/>
          <w:color w:val="auto"/>
        </w:rPr>
      </w:pPr>
      <w:r>
        <w:rPr>
          <w:rFonts w:ascii="Times New Roman" w:cs="Times New Roman" w:eastAsia="Times New Roman" w:hAnsi="Times New Roman"/>
          <w:sz w:val="13"/>
          <w:szCs w:val="13"/>
          <w:color w:val="auto"/>
        </w:rPr>
        <w:t>The second component of the incentive fee, the capital gains incentive fee, payable at the end of each calendar year in arrears, equals 17.50% of cumulative realized capital gains through the end of such calendar year commencing with the calendar year ending December 31, 2019, computed net of all realized capital losses and unrealized capital depreciation on a cumulative basis, in each case calculated from the Effective Date, less the aggregate amount of any previously paid capital gains incentive fee for prior periods. The Company will accrue, but will not pay, a capital gains incentive fee with respect to unrealized appreciation because a capital gains incentive fee would be owed to the Adviser if the Company were to sell the relevant investment and realize a capital gain. In no event will the capital gains incentive fee payable pursuant to the Investment Advisory Agreement be in excess of the amount permitted by the Investment Advisers Act of 1940, as amended (the “Advisers Act”) including Section 205 thereof.</w:t>
      </w:r>
    </w:p>
    <w:p>
      <w:pPr>
        <w:spacing w:after="0" w:line="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The fees that are payable under the Investment Advisory Agreement for any partial period will be appropriately prorated.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Limitations of Liability and Indemnification</w:t>
      </w:r>
    </w:p>
    <w:p>
      <w:pPr>
        <w:spacing w:after="0" w:line="105" w:lineRule="exact"/>
        <w:rPr>
          <w:sz w:val="20"/>
          <w:szCs w:val="20"/>
          <w:color w:val="auto"/>
        </w:rPr>
      </w:pPr>
    </w:p>
    <w:p>
      <w:pPr>
        <w:ind w:right="20" w:firstLine="348"/>
        <w:spacing w:after="0" w:line="255" w:lineRule="auto"/>
        <w:rPr>
          <w:sz w:val="20"/>
          <w:szCs w:val="20"/>
          <w:color w:val="auto"/>
        </w:rPr>
      </w:pPr>
      <w:r>
        <w:rPr>
          <w:rFonts w:ascii="Times New Roman" w:cs="Times New Roman" w:eastAsia="Times New Roman" w:hAnsi="Times New Roman"/>
          <w:sz w:val="13"/>
          <w:szCs w:val="13"/>
          <w:color w:val="auto"/>
        </w:rPr>
        <w:t>Under the Advisory Agreement, the Adviser, its officers, managers, partners, agents, employees, controlling persons, members and any other person or entity affiliated with the Adviser, including without limitation its managing member, will not be liable to the Company for acts or omissions performed in accordance with and pursuant to the Advisory Agreement, except those resulting from acts constituting criminal conduct, gross negligence, willful misfeasance, bad faith or reckless disregard of the duties that the Adviser owes to the Company under the Advisory Agreement. In addition, as part of the Advisory Agreement, the Company has agreed to indemnify the Adviser and each of its officers, managers, partners, agents, employees, controlling persons, members and any other person or entity affiliated with the Adviser, including without limitation its general partner, and the Administrator from and against any damages, liabilities, costs and expenses, including reasonable legal fees and other expenses reasonably incurred, in or by reason of any pending, threatened or completed action, suit, investigation or other proceeding (including an action or suit by or in the right of the Company or its security holders) arising out of or otherwise based upon the performance of any of the Adviser’s duties or obligations under the Advisory Agreement or otherwise as an investment adviser of the Company, except where attributable to criminal conduct, gross negligence, willful misfeasance, bad faith or reckless disregard of such person’s duties under the Advisory Agreement.</w:t>
      </w:r>
    </w:p>
    <w:p>
      <w:pPr>
        <w:spacing w:after="0" w:line="24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1"/>
          <w:szCs w:val="11"/>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2" w:right="660"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3"/>
          <w:szCs w:val="13"/>
          <w:b w:val="1"/>
          <w:bCs w:val="1"/>
          <w:color w:val="auto"/>
        </w:rPr>
        <w:t>PORTMAN RIDGE FINANCE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Board Approval of the Advisory Agreement</w:t>
      </w:r>
    </w:p>
    <w:p>
      <w:pPr>
        <w:spacing w:after="0" w:line="105" w:lineRule="exact"/>
        <w:rPr>
          <w:sz w:val="20"/>
          <w:szCs w:val="20"/>
          <w:color w:val="auto"/>
        </w:rPr>
      </w:pPr>
    </w:p>
    <w:p>
      <w:pPr>
        <w:ind w:right="40" w:firstLine="348"/>
        <w:spacing w:after="0" w:line="256" w:lineRule="auto"/>
        <w:rPr>
          <w:sz w:val="20"/>
          <w:szCs w:val="20"/>
          <w:color w:val="auto"/>
        </w:rPr>
      </w:pPr>
      <w:r>
        <w:rPr>
          <w:rFonts w:ascii="Times New Roman" w:cs="Times New Roman" w:eastAsia="Times New Roman" w:hAnsi="Times New Roman"/>
          <w:sz w:val="13"/>
          <w:szCs w:val="13"/>
          <w:color w:val="auto"/>
        </w:rPr>
        <w:t>On December 12, 2018, the then-current Board of the Company held an in-person meeting to consider and approve the Advisory Agreement and related matters, and on April 1, 2019 the Company entered into the Advisory Agreement with the Adviser. The Board most recently determined to re-approve the Advisory Agreement at a meeting held on March 12, 2025. In reaching a decision to re- approve the Advisory Agreement, the Board was provided the information required to consider the Advisory Agreement, including: (a) the nature, quality and extent of the advisory and other services to be provided to the Company by the Adviser; (b) comparative data with respect to advisory fees or similar expenses paid by other BDCs with similar investment objectives; (c) the Company projected operating expenses and expense ratio compared to BDCs with similar investment objectives; (d) any existing and potential sources of indirect income to the Adviser from its relationship with the Company and the profitability of that relationship; (e) information about the services to be performed and the personnel performing such services under the Advisory Agreement; and (f) the organizational capability and financial condition of the Adviser and its affiliates.</w:t>
      </w:r>
    </w:p>
    <w:p>
      <w:pPr>
        <w:spacing w:after="0" w:line="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The Board, including a majority of independent directors, will oversee and monitor the Company’s investment performance and annually reviews the compensation we pay to the Adviser.</w:t>
      </w:r>
    </w:p>
    <w:p>
      <w:pPr>
        <w:spacing w:after="0" w:line="103" w:lineRule="exact"/>
        <w:rPr>
          <w:sz w:val="20"/>
          <w:szCs w:val="20"/>
          <w:color w:val="auto"/>
        </w:rPr>
      </w:pPr>
    </w:p>
    <w:p>
      <w:pPr>
        <w:jc w:val="both"/>
        <w:ind w:right="180" w:firstLine="348"/>
        <w:spacing w:after="0" w:line="268" w:lineRule="auto"/>
        <w:rPr>
          <w:sz w:val="20"/>
          <w:szCs w:val="20"/>
          <w:color w:val="auto"/>
        </w:rPr>
      </w:pPr>
      <w:r>
        <w:rPr>
          <w:rFonts w:ascii="Times New Roman" w:cs="Times New Roman" w:eastAsia="Times New Roman" w:hAnsi="Times New Roman"/>
          <w:sz w:val="13"/>
          <w:szCs w:val="13"/>
          <w:color w:val="auto"/>
        </w:rPr>
        <w:t>The Company incurred base management fees of $6.6 million for the year ended December 31, 2024, $7.5 million for the year ended December 31, 2023, and $ 8.3 million for the year ended December 31, 2022. The Company incurred incentive fees of $5.0 million for the year ended December 31, 2024, $7.4 million for the year ended December 31, 2023, and $6.1 million for the year ended December 31, 2022.</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b w:val="1"/>
          <w:bCs w:val="1"/>
          <w:i w:val="1"/>
          <w:iCs w:val="1"/>
          <w:color w:val="auto"/>
        </w:rPr>
        <w:t>Administration Agreement</w:t>
      </w:r>
    </w:p>
    <w:p>
      <w:pPr>
        <w:spacing w:after="0" w:line="107" w:lineRule="exact"/>
        <w:rPr>
          <w:sz w:val="20"/>
          <w:szCs w:val="20"/>
          <w:color w:val="auto"/>
        </w:rPr>
      </w:pPr>
    </w:p>
    <w:p>
      <w:pPr>
        <w:ind w:right="80" w:firstLine="348"/>
        <w:spacing w:after="0" w:line="257" w:lineRule="auto"/>
        <w:rPr>
          <w:sz w:val="20"/>
          <w:szCs w:val="20"/>
          <w:color w:val="auto"/>
        </w:rPr>
      </w:pPr>
      <w:r>
        <w:rPr>
          <w:rFonts w:ascii="Times New Roman" w:cs="Times New Roman" w:eastAsia="Times New Roman" w:hAnsi="Times New Roman"/>
          <w:sz w:val="13"/>
          <w:szCs w:val="13"/>
          <w:color w:val="auto"/>
        </w:rPr>
        <w:t>Under the terms of the administration agreement (the “Administration Agreement”) between the Company and BC Partners Management LLC (the “Administrator”), the Administrator will perform, or oversee the performance of, required administrative services, which includes providing office space, equipment and office services, maintaining financial records, preparing reports to stockholders and reports filed with the SEC, and managing the payment of expenses and the performance of administrative and professional services rendered by others. The Company will reimburse the Administrator for services performed for us pursuant to the terms of the Administration Agreement. In addition, pursuant to the terms of the Administration Agreement, the Administrator may delegate its obligations under the Administration Agreement to an affiliate or to a third party and the Company will reimburse the Administrator for any services performed for it by such affiliate or third party.</w:t>
      </w:r>
    </w:p>
    <w:p>
      <w:pPr>
        <w:spacing w:after="0" w:line="72" w:lineRule="exact"/>
        <w:rPr>
          <w:sz w:val="20"/>
          <w:szCs w:val="20"/>
          <w:color w:val="auto"/>
        </w:rPr>
      </w:pPr>
    </w:p>
    <w:p>
      <w:pPr>
        <w:ind w:right="140" w:firstLine="348"/>
        <w:spacing w:after="0" w:line="262" w:lineRule="auto"/>
        <w:rPr>
          <w:sz w:val="20"/>
          <w:szCs w:val="20"/>
          <w:color w:val="auto"/>
        </w:rPr>
      </w:pPr>
      <w:r>
        <w:rPr>
          <w:rFonts w:ascii="Times New Roman" w:cs="Times New Roman" w:eastAsia="Times New Roman" w:hAnsi="Times New Roman"/>
          <w:sz w:val="13"/>
          <w:szCs w:val="13"/>
          <w:color w:val="auto"/>
        </w:rPr>
        <w:t>Payments under the Administration Agreement are equal to an amount that reimburses the Administrator for its costs and expenses in performing its obligations and providing personnel and facilities (including rent, office equipment and utilities) for the Company’s use under the Administration Agreement, including an allocable portion of the compensation paid to the Company’s chief compliance officer and chief financial officer and their respective staff who provide services to the Company. The Board, including the independent directors, will review the general nature of the services provided by the Administrator as well as the related cost to the Company for those services and consider whether the cost is reasonable in light of the services provided.</w:t>
      </w:r>
    </w:p>
    <w:p>
      <w:pPr>
        <w:spacing w:after="0" w:line="67" w:lineRule="exact"/>
        <w:rPr>
          <w:sz w:val="20"/>
          <w:szCs w:val="20"/>
          <w:color w:val="auto"/>
        </w:rPr>
      </w:pPr>
    </w:p>
    <w:p>
      <w:pPr>
        <w:ind w:right="240" w:firstLine="348"/>
        <w:spacing w:after="0" w:line="268" w:lineRule="auto"/>
        <w:rPr>
          <w:sz w:val="20"/>
          <w:szCs w:val="20"/>
          <w:color w:val="auto"/>
        </w:rPr>
      </w:pPr>
      <w:r>
        <w:rPr>
          <w:rFonts w:ascii="Times New Roman" w:cs="Times New Roman" w:eastAsia="Times New Roman" w:hAnsi="Times New Roman"/>
          <w:sz w:val="13"/>
          <w:szCs w:val="13"/>
          <w:color w:val="auto"/>
        </w:rPr>
        <w:t>Unless earlier terminated as described below, the Administration Agreement will remain in effect from year-to-year if approved annually by a majority of the Board or by the holders of a Majority of the Outstanding Shares, and, in each case, a majority of the independent directors. On April 1, 2019, the Board approved the Administration Agreement with the Administrator and the Board most recently determined to re-approve the Administration Agreement at a meeting held on March 12, 2025.</w:t>
      </w:r>
    </w:p>
    <w:p>
      <w:pPr>
        <w:spacing w:after="0" w:line="63" w:lineRule="exact"/>
        <w:rPr>
          <w:sz w:val="20"/>
          <w:szCs w:val="20"/>
          <w:color w:val="auto"/>
        </w:rPr>
      </w:pPr>
    </w:p>
    <w:p>
      <w:pPr>
        <w:ind w:right="40" w:firstLine="348"/>
        <w:spacing w:after="0" w:line="268" w:lineRule="auto"/>
        <w:rPr>
          <w:sz w:val="20"/>
          <w:szCs w:val="20"/>
          <w:color w:val="auto"/>
        </w:rPr>
      </w:pPr>
      <w:r>
        <w:rPr>
          <w:rFonts w:ascii="Times New Roman" w:cs="Times New Roman" w:eastAsia="Times New Roman" w:hAnsi="Times New Roman"/>
          <w:sz w:val="13"/>
          <w:szCs w:val="13"/>
          <w:color w:val="auto"/>
        </w:rPr>
        <w:t>The Company may terminate the Administration Agreement, without payment of any penalty, upon 60 days’ written notice. The decision to terminate the agreement may be made by a majority of the Board or the stockholders holding a Majority of the Outstanding Shares. In addition, the Adviser may terminate the Administration Agreement, without payment of any penalty, upon 60 days’ written notice.</w:t>
      </w:r>
    </w:p>
    <w:p>
      <w:pPr>
        <w:spacing w:after="0" w:line="63" w:lineRule="exact"/>
        <w:rPr>
          <w:sz w:val="20"/>
          <w:szCs w:val="20"/>
          <w:color w:val="auto"/>
        </w:rPr>
      </w:pPr>
    </w:p>
    <w:p>
      <w:pPr>
        <w:ind w:right="80" w:firstLine="348"/>
        <w:spacing w:after="0" w:line="286" w:lineRule="auto"/>
        <w:rPr>
          <w:sz w:val="20"/>
          <w:szCs w:val="20"/>
          <w:color w:val="auto"/>
        </w:rPr>
      </w:pPr>
      <w:r>
        <w:rPr>
          <w:rFonts w:ascii="Times New Roman" w:cs="Times New Roman" w:eastAsia="Times New Roman" w:hAnsi="Times New Roman"/>
          <w:sz w:val="13"/>
          <w:szCs w:val="13"/>
          <w:color w:val="auto"/>
        </w:rPr>
        <w:t>The Company incurred $1.8 million of Administrative services expense for the year ended December 31, 2024, $2.4 million for the year ended ending December 31, 2023, and $3.4 million for the year ended December 31, 2022.</w:t>
      </w:r>
    </w:p>
    <w:p>
      <w:pPr>
        <w:spacing w:after="0" w:line="52" w:lineRule="exact"/>
        <w:rPr>
          <w:sz w:val="20"/>
          <w:szCs w:val="20"/>
          <w:color w:val="auto"/>
        </w:rPr>
      </w:pPr>
    </w:p>
    <w:p>
      <w:pPr>
        <w:ind w:right="60" w:firstLine="348"/>
        <w:spacing w:after="0" w:line="262" w:lineRule="auto"/>
        <w:rPr>
          <w:sz w:val="20"/>
          <w:szCs w:val="20"/>
          <w:color w:val="auto"/>
        </w:rPr>
      </w:pPr>
      <w:r>
        <w:rPr>
          <w:rFonts w:ascii="Times New Roman" w:cs="Times New Roman" w:eastAsia="Times New Roman" w:hAnsi="Times New Roman"/>
          <w:sz w:val="13"/>
          <w:szCs w:val="13"/>
          <w:color w:val="auto"/>
        </w:rPr>
        <w:t>During the year ended December 31, 2023, the Adviser reimbursed the Company approximately $5.3 million for expenses relating to certain administrative transition services provided by the former administrative and other personnel of OHAI, GARS and HCAP to the Company following the Company’s acquisition of each of these BDCs. The Adviser reimbursed the Company approximately $1.1 million, $2.1 million, $1.6 million, and $0.5 million for such expenses paid by the Company during the years ended 2023, 2022, 2021 and 2020, respectively, inclusive of interest. Beginning on October 1, 2023, the Adviser bore and will continue to bear on a go-forward basis the expenses associated with these administrative transition services.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Payment of Expenses under the Advisory and Administration Agreements</w:t>
      </w:r>
    </w:p>
    <w:p>
      <w:pPr>
        <w:spacing w:after="0" w:line="107" w:lineRule="exact"/>
        <w:rPr>
          <w:sz w:val="20"/>
          <w:szCs w:val="20"/>
          <w:color w:val="auto"/>
        </w:rPr>
      </w:pPr>
    </w:p>
    <w:p>
      <w:pPr>
        <w:ind w:right="120" w:firstLine="348"/>
        <w:spacing w:after="0" w:line="256" w:lineRule="auto"/>
        <w:rPr>
          <w:sz w:val="20"/>
          <w:szCs w:val="20"/>
          <w:color w:val="auto"/>
        </w:rPr>
      </w:pPr>
      <w:r>
        <w:rPr>
          <w:rFonts w:ascii="Times New Roman" w:cs="Times New Roman" w:eastAsia="Times New Roman" w:hAnsi="Times New Roman"/>
          <w:sz w:val="13"/>
          <w:szCs w:val="13"/>
          <w:color w:val="auto"/>
        </w:rPr>
        <w:t>Except as specifically provided below, all investment professionals and staff of the Adviser, when and to the extent engaged in providing investment advisory and management services to the Company, and the compensation and routine overhead expenses (including rent, office equipment and utilities), of such personnel allocable to such services, is provided and paid for by the Adviser. The Company bears an allocable portion of the compensation paid by the Adviser (or its affiliates) to the Company’s chief compliance officer and chief financial officer and their respective staffs (based on a percentage of time such individuals devote, on an estimated basis, to our business affairs). The Company also bears all other costs and expenses of our operations, administration and transactions, including, but not limited to (i) investment advisory fees, including management fees and incentive fees, to the Adviser, pursuant to the Advisory Agreement; (ii) an allocable portion of overhead and other expenses incurred by the Adviser (or its affiliates) in performing its administrative obligations under the Advisory Agreement, and (iii) all other expenses of our operations and transactions including, without limitation, those relating to:</w:t>
      </w:r>
    </w:p>
    <w:p>
      <w:pPr>
        <w:spacing w:after="0" w:line="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•the cost of calculating the Company’s net asset value, including the cost of any third-party valuation services;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•the cost of effecting any sales and repurchases of the Company’s common stock and other securities;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•fees and expenses payable under any dealer manager or placement agent agreements, if any;</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•administration fees payable under the Administration Agreement and any sub-administration agreements, including related expenses;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•debt service and other costs of borrowings or other financing arrangements;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•costs of hedging;</w:t>
      </w:r>
    </w:p>
    <w:p>
      <w:pPr>
        <w:spacing w:after="0" w:line="103" w:lineRule="exact"/>
        <w:rPr>
          <w:sz w:val="20"/>
          <w:szCs w:val="20"/>
          <w:color w:val="auto"/>
        </w:rPr>
      </w:pPr>
    </w:p>
    <w:p>
      <w:pPr>
        <w:ind w:left="360"/>
        <w:spacing w:after="0" w:line="286" w:lineRule="auto"/>
        <w:rPr>
          <w:sz w:val="20"/>
          <w:szCs w:val="20"/>
          <w:color w:val="auto"/>
        </w:rPr>
      </w:pPr>
      <w:r>
        <w:rPr>
          <w:rFonts w:ascii="Times New Roman" w:cs="Times New Roman" w:eastAsia="Times New Roman" w:hAnsi="Times New Roman"/>
          <w:sz w:val="13"/>
          <w:szCs w:val="13"/>
          <w:color w:val="auto"/>
        </w:rPr>
        <w:t>•expenses, including travel expense, incurred by the Adviser, or members of the investment team, or payable to third parties, performing due diligence on prospective portfolio companies and, if necessary, enforcing our rights;</w:t>
      </w:r>
    </w:p>
    <w:p>
      <w:pPr>
        <w:spacing w:after="0" w:line="6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1"/>
          <w:szCs w:val="11"/>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90" w:name="page91"/>
    <w:bookmarkEnd w:id="90"/>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PORTMAN RIDGE FINANCE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1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•transfer agent and custodial fees;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•fees and expenses associated with marketing efforts;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•federal and state registration fees, any stock exchange listing fees and fees payable to rating agencies;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•federal, state and local taxes;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•independent directors’ fees and expenses including certain travel expenses;</w:t>
      </w:r>
    </w:p>
    <w:p>
      <w:pPr>
        <w:spacing w:after="0" w:line="103" w:lineRule="exact"/>
        <w:rPr>
          <w:sz w:val="20"/>
          <w:szCs w:val="20"/>
          <w:color w:val="auto"/>
        </w:rPr>
      </w:pPr>
    </w:p>
    <w:p>
      <w:pPr>
        <w:ind w:left="360" w:right="120"/>
        <w:spacing w:after="0" w:line="286" w:lineRule="auto"/>
        <w:rPr>
          <w:sz w:val="20"/>
          <w:szCs w:val="20"/>
          <w:color w:val="auto"/>
        </w:rPr>
      </w:pPr>
      <w:r>
        <w:rPr>
          <w:rFonts w:ascii="Times New Roman" w:cs="Times New Roman" w:eastAsia="Times New Roman" w:hAnsi="Times New Roman"/>
          <w:sz w:val="13"/>
          <w:szCs w:val="13"/>
          <w:color w:val="auto"/>
        </w:rPr>
        <w:t>•costs of preparing financial statements and maintaining books and records and filing reports or other documents with the SEC (or other regulatory bodies) and other reporting and compliance costs, including registration and listing fees, and the compensation of professionals responsible for the preparation of the foregoing;</w:t>
      </w:r>
    </w:p>
    <w:p>
      <w:pPr>
        <w:spacing w:after="0" w:line="52" w:lineRule="exact"/>
        <w:rPr>
          <w:sz w:val="20"/>
          <w:szCs w:val="20"/>
          <w:color w:val="auto"/>
        </w:rPr>
      </w:pPr>
    </w:p>
    <w:p>
      <w:pPr>
        <w:ind w:left="360" w:right="300"/>
        <w:spacing w:after="0" w:line="286" w:lineRule="auto"/>
        <w:rPr>
          <w:sz w:val="20"/>
          <w:szCs w:val="20"/>
          <w:color w:val="auto"/>
        </w:rPr>
      </w:pPr>
      <w:r>
        <w:rPr>
          <w:rFonts w:ascii="Times New Roman" w:cs="Times New Roman" w:eastAsia="Times New Roman" w:hAnsi="Times New Roman"/>
          <w:sz w:val="13"/>
          <w:szCs w:val="13"/>
          <w:color w:val="auto"/>
        </w:rPr>
        <w:t>•the costs of any reports, proxy statements or other notices to stockholders (including printing and mailing costs), the costs of any stockholder or director meetings and the compensation of personnel responsible for the preparation of the foregoing and related matters;</w:t>
      </w:r>
    </w:p>
    <w:p>
      <w:pPr>
        <w:spacing w:after="0" w:line="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•commissions and other compensation payable to brokers or dealers;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•research and market data;</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•fidelity bond, directors and officers errors and omissions liability insurance and other insurance premiums;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•direct costs and expenses of administration, including printing, mailing, long distance telephone and staff;</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•fees and expenses associated with independent audits, outside legal and consulting costs;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•costs of winding up our affairs;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•costs incurred by either the Administrator or us in connection with administering our business, including payments under the Administration Agreement;</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•extraordinary expenses (such as litigation or indemnification);</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•costs associated with reporting and compliance obligations under the 1940 Act and applicable federal and state securities laws; and</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•costs associated with the Company’s legacy lease;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Co-investment Exemptive Relief</w:t>
      </w:r>
    </w:p>
    <w:p>
      <w:pPr>
        <w:spacing w:after="0" w:line="105" w:lineRule="exact"/>
        <w:rPr>
          <w:sz w:val="20"/>
          <w:szCs w:val="20"/>
          <w:color w:val="auto"/>
        </w:rPr>
      </w:pPr>
    </w:p>
    <w:p>
      <w:pPr>
        <w:ind w:right="100" w:firstLine="348"/>
        <w:spacing w:after="0" w:line="268" w:lineRule="auto"/>
        <w:rPr>
          <w:sz w:val="20"/>
          <w:szCs w:val="20"/>
          <w:color w:val="auto"/>
        </w:rPr>
      </w:pPr>
      <w:r>
        <w:rPr>
          <w:rFonts w:ascii="Times New Roman" w:cs="Times New Roman" w:eastAsia="Times New Roman" w:hAnsi="Times New Roman"/>
          <w:sz w:val="13"/>
          <w:szCs w:val="13"/>
          <w:color w:val="auto"/>
        </w:rPr>
        <w:t>As a BDC, we are subject to certain regulatory restrictions in making investments. For example, BDCs generally are not permitted to co-invest with certain affiliated entities in transactions originated by the BDC or its affiliates in the absence of an exemptive order from the SEC. However, BDCs are permitted to, and may, simultaneously co-invest in transactions where price is the only negotiated term.</w:t>
      </w:r>
    </w:p>
    <w:p>
      <w:pPr>
        <w:spacing w:after="0" w:line="63" w:lineRule="exact"/>
        <w:rPr>
          <w:sz w:val="20"/>
          <w:szCs w:val="20"/>
          <w:color w:val="auto"/>
        </w:rPr>
      </w:pPr>
    </w:p>
    <w:p>
      <w:pPr>
        <w:jc w:val="both"/>
        <w:ind w:right="20" w:firstLine="348"/>
        <w:spacing w:after="0" w:line="268" w:lineRule="auto"/>
        <w:rPr>
          <w:sz w:val="20"/>
          <w:szCs w:val="20"/>
          <w:color w:val="auto"/>
        </w:rPr>
      </w:pPr>
      <w:r>
        <w:rPr>
          <w:rFonts w:ascii="Times New Roman" w:cs="Times New Roman" w:eastAsia="Times New Roman" w:hAnsi="Times New Roman"/>
          <w:sz w:val="13"/>
          <w:szCs w:val="13"/>
          <w:color w:val="auto"/>
        </w:rPr>
        <w:t>On April 10, 2023, superseding a prior exemptive order granted on October 23, 2018, the SEC issued an order granting an application for exemptive relief to us and certain of our affiliates that allows BDCs managed by the Adviser, including us, to co- invest, subject to the satisfaction of certain conditions, in certain private placement transactions, with other funds managed by the Adviser or its affiliates, certain proprietary accounts of the Adviser or its affiliates and any future funds that are advised by the Adviser or its affiliated investment advisers.</w:t>
      </w:r>
    </w:p>
    <w:p>
      <w:pPr>
        <w:spacing w:after="0" w:line="63" w:lineRule="exact"/>
        <w:rPr>
          <w:sz w:val="20"/>
          <w:szCs w:val="20"/>
          <w:color w:val="auto"/>
        </w:rPr>
      </w:pPr>
    </w:p>
    <w:p>
      <w:pPr>
        <w:ind w:right="100" w:firstLine="348"/>
        <w:spacing w:after="0" w:line="262" w:lineRule="auto"/>
        <w:rPr>
          <w:sz w:val="20"/>
          <w:szCs w:val="20"/>
          <w:color w:val="auto"/>
        </w:rPr>
      </w:pPr>
      <w:r>
        <w:rPr>
          <w:rFonts w:ascii="Times New Roman" w:cs="Times New Roman" w:eastAsia="Times New Roman" w:hAnsi="Times New Roman"/>
          <w:sz w:val="13"/>
          <w:szCs w:val="13"/>
          <w:color w:val="auto"/>
        </w:rPr>
        <w:t>Under the terms of the exemptive order, in order for the Company to participate in a co- investment transaction a “required majority” (as defined in Section 57(o) of the 1940 Act) of the Company’s independent directors must conclude that (i) the terms of the proposed transaction, including the consideration to be paid, are reasonable and fair to the Company and its stockholders and do not involve overreaching with respect to the Company or its stockholders on the part of any person concerned, and (ii) the proposed transaction is consistent with the interests of the Company’s stockholders and is consistent with the Company’s investment objectives and strategies and certain criteria established by the Board.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Related Party Trades</w:t>
      </w:r>
    </w:p>
    <w:p>
      <w:pPr>
        <w:spacing w:after="0" w:line="1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There were no transactions subject to Rule 17a-7 under the 1940 Act during the years ended December 31, 2024 or 2023.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5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6. BORROWINGS</w:t>
            </w: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52"/>
        </w:trPr>
        <w:tc>
          <w:tcPr>
            <w:tcW w:w="65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The Company’s debt obligations consist of the following:</w:t>
            </w: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6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tcPr>
          <w:p>
            <w:pPr>
              <w:jc w:val="right"/>
              <w:ind w:right="694"/>
              <w:spacing w:after="0"/>
              <w:rPr>
                <w:sz w:val="20"/>
                <w:szCs w:val="20"/>
                <w:color w:val="auto"/>
              </w:rPr>
            </w:pPr>
            <w:r>
              <w:rPr>
                <w:rFonts w:ascii="Times New Roman" w:cs="Times New Roman" w:eastAsia="Times New Roman" w:hAnsi="Times New Roman"/>
                <w:sz w:val="13"/>
                <w:szCs w:val="13"/>
                <w:b w:val="1"/>
                <w:bCs w:val="1"/>
                <w:color w:val="auto"/>
              </w:rPr>
              <w:t>As of</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4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As of</w:t>
            </w:r>
          </w:p>
        </w:tc>
      </w:tr>
      <w:tr>
        <w:trPr>
          <w:trHeight w:val="174"/>
        </w:trPr>
        <w:tc>
          <w:tcPr>
            <w:tcW w:w="65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 in thousands)</w:t>
            </w:r>
          </w:p>
        </w:tc>
        <w:tc>
          <w:tcPr>
            <w:tcW w:w="220" w:type="dxa"/>
            <w:vAlign w:val="bottom"/>
          </w:tcPr>
          <w:p>
            <w:pPr>
              <w:spacing w:after="0"/>
              <w:rPr>
                <w:sz w:val="15"/>
                <w:szCs w:val="15"/>
                <w:color w:val="auto"/>
              </w:rPr>
            </w:pPr>
          </w:p>
        </w:tc>
        <w:tc>
          <w:tcPr>
            <w:tcW w:w="158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4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52"/>
        </w:trPr>
        <w:tc>
          <w:tcPr>
            <w:tcW w:w="6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2018-2 Secured Notes (net of original issue discount of $- and $712, respectively)</w:t>
            </w:r>
          </w:p>
        </w:tc>
        <w:tc>
          <w:tcPr>
            <w:tcW w:w="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124,971</w:t>
            </w:r>
          </w:p>
        </w:tc>
        <w:tc>
          <w:tcPr>
            <w:tcW w:w="80" w:type="dxa"/>
            <w:vAlign w:val="bottom"/>
            <w:shd w:val="clear" w:color="auto" w:fill="CFF0FC"/>
          </w:tcPr>
          <w:p>
            <w:pPr>
              <w:spacing w:after="0"/>
              <w:rPr>
                <w:sz w:val="13"/>
                <w:szCs w:val="13"/>
                <w:color w:val="auto"/>
              </w:rPr>
            </w:pPr>
          </w:p>
        </w:tc>
      </w:tr>
      <w:tr>
        <w:trPr>
          <w:trHeight w:val="156"/>
        </w:trPr>
        <w:tc>
          <w:tcPr>
            <w:tcW w:w="6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4.875% Notes Due 2026 (net of deferred financing costs and original issue discount of $1,017 and $1,786, respectively)</w:t>
            </w:r>
          </w:p>
        </w:tc>
        <w:tc>
          <w:tcPr>
            <w:tcW w:w="22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106,983</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106,214</w:t>
            </w:r>
          </w:p>
        </w:tc>
        <w:tc>
          <w:tcPr>
            <w:tcW w:w="80" w:type="dxa"/>
            <w:vAlign w:val="bottom"/>
          </w:tcPr>
          <w:p>
            <w:pPr>
              <w:spacing w:after="0"/>
              <w:rPr>
                <w:sz w:val="13"/>
                <w:szCs w:val="13"/>
                <w:color w:val="auto"/>
              </w:rPr>
            </w:pPr>
          </w:p>
        </w:tc>
      </w:tr>
      <w:tr>
        <w:trPr>
          <w:trHeight w:val="144"/>
        </w:trPr>
        <w:tc>
          <w:tcPr>
            <w:tcW w:w="652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Great Lakes Portman Ridge Funding LLC Revolving Credit Facility (net of deferred financing costs of $1,322 and $775,</w:t>
            </w:r>
          </w:p>
        </w:tc>
        <w:tc>
          <w:tcPr>
            <w:tcW w:w="220" w:type="dxa"/>
            <w:vAlign w:val="bottom"/>
            <w:shd w:val="clear" w:color="auto" w:fill="CFF0FC"/>
          </w:tcPr>
          <w:p>
            <w:pPr>
              <w:spacing w:after="0"/>
              <w:rPr>
                <w:sz w:val="12"/>
                <w:szCs w:val="12"/>
                <w:color w:val="auto"/>
              </w:rPr>
            </w:pPr>
          </w:p>
        </w:tc>
        <w:tc>
          <w:tcPr>
            <w:tcW w:w="1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68"/>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respectively)</w:t>
            </w:r>
          </w:p>
        </w:tc>
        <w:tc>
          <w:tcPr>
            <w:tcW w:w="220" w:type="dxa"/>
            <w:vAlign w:val="bottom"/>
            <w:shd w:val="clear" w:color="auto" w:fill="CFF0FC"/>
          </w:tcPr>
          <w:p>
            <w:pPr>
              <w:spacing w:after="0"/>
              <w:rPr>
                <w:sz w:val="14"/>
                <w:szCs w:val="14"/>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158,157</w:t>
            </w: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91,225</w:t>
            </w:r>
          </w:p>
        </w:tc>
        <w:tc>
          <w:tcPr>
            <w:tcW w:w="80" w:type="dxa"/>
            <w:vAlign w:val="bottom"/>
            <w:shd w:val="clear" w:color="auto" w:fill="CFF0FC"/>
          </w:tcPr>
          <w:p>
            <w:pPr>
              <w:spacing w:after="0"/>
              <w:rPr>
                <w:sz w:val="14"/>
                <w:szCs w:val="14"/>
                <w:color w:val="auto"/>
              </w:rPr>
            </w:pPr>
          </w:p>
        </w:tc>
      </w:tr>
      <w:tr>
        <w:trPr>
          <w:trHeight w:val="156"/>
        </w:trPr>
        <w:tc>
          <w:tcPr>
            <w:tcW w:w="6520" w:type="dxa"/>
            <w:vAlign w:val="bottom"/>
          </w:tcPr>
          <w:p>
            <w:pPr>
              <w:spacing w:after="0"/>
              <w:rPr>
                <w:sz w:val="13"/>
                <w:szCs w:val="13"/>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265,140</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322,410</w:t>
            </w:r>
          </w:p>
        </w:tc>
        <w:tc>
          <w:tcPr>
            <w:tcW w:w="80" w:type="dxa"/>
            <w:vAlign w:val="bottom"/>
          </w:tcPr>
          <w:p>
            <w:pPr>
              <w:spacing w:after="0"/>
              <w:rPr>
                <w:sz w:val="13"/>
                <w:szCs w:val="13"/>
                <w:color w:val="auto"/>
              </w:rPr>
            </w:pPr>
          </w:p>
        </w:tc>
      </w:tr>
      <w:tr>
        <w:trPr>
          <w:trHeight w:val="20"/>
        </w:trPr>
        <w:tc>
          <w:tcPr>
            <w:tcW w:w="6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0" w:lineRule="exact"/>
        <w:rPr>
          <w:sz w:val="20"/>
          <w:szCs w:val="20"/>
          <w:color w:val="auto"/>
        </w:rPr>
      </w:pPr>
    </w:p>
    <w:p>
      <w:pPr>
        <w:ind w:right="240" w:firstLine="348"/>
        <w:spacing w:after="0" w:line="286" w:lineRule="auto"/>
        <w:rPr>
          <w:sz w:val="20"/>
          <w:szCs w:val="20"/>
          <w:color w:val="auto"/>
        </w:rPr>
      </w:pPr>
      <w:r>
        <w:rPr>
          <w:rFonts w:ascii="Times New Roman" w:cs="Times New Roman" w:eastAsia="Times New Roman" w:hAnsi="Times New Roman"/>
          <w:sz w:val="13"/>
          <w:szCs w:val="13"/>
          <w:color w:val="auto"/>
        </w:rPr>
        <w:t>The weighted average stated interest rate and weighted average maturity on all our debt outstanding as of December 31, 2024 were 6.2% and 2.1 years, respectively, and as of December 31, 2023 were 7.0% and 3.7 years, respectively.</w:t>
      </w:r>
    </w:p>
    <w:p>
      <w:pPr>
        <w:spacing w:after="0" w:line="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i w:val="1"/>
          <w:iCs w:val="1"/>
          <w:color w:val="auto"/>
        </w:rPr>
        <w:t>Notes Offering</w:t>
      </w:r>
    </w:p>
    <w:p>
      <w:pPr>
        <w:spacing w:after="0" w:line="11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1"/>
          <w:szCs w:val="11"/>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PORTMAN RIDGE FINANCE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173" w:lineRule="exact"/>
        <w:rPr>
          <w:sz w:val="20"/>
          <w:szCs w:val="20"/>
          <w:color w:val="auto"/>
        </w:rPr>
      </w:pPr>
    </w:p>
    <w:p>
      <w:pPr>
        <w:ind w:right="120" w:firstLine="348"/>
        <w:spacing w:after="0" w:line="259" w:lineRule="auto"/>
        <w:rPr>
          <w:sz w:val="20"/>
          <w:szCs w:val="20"/>
          <w:color w:val="auto"/>
        </w:rPr>
      </w:pPr>
      <w:r>
        <w:rPr>
          <w:rFonts w:ascii="Times New Roman" w:cs="Times New Roman" w:eastAsia="Times New Roman" w:hAnsi="Times New Roman"/>
          <w:sz w:val="13"/>
          <w:szCs w:val="13"/>
          <w:color w:val="auto"/>
        </w:rPr>
        <w:t>On April 30, 2021, the Company issued $80 million in aggregate principal amount of unsecured 4.875% Notes due 2026 (the “4.875% Notes due 2026”) in a private placement exempt from registration under the Section 4(a)(2) of the Securities Act. The 4.875% Notes due 2026 were not registered under the Securities Act or any state securities laws and may not be reoffered or resold in the United States absent registration or an applicable exemption from such registration requirements. The net proceeds to the Company were approximately $77.7 million, after deducting estimated offering expenses. The Company used the net proceeds of the offering to redeem in full its 6.125% Notes due 2022, to make investments in portfolio companies in accordance with its investment objectives, and for general corporate purposes.</w:t>
      </w:r>
    </w:p>
    <w:p>
      <w:pPr>
        <w:spacing w:after="0" w:line="70" w:lineRule="exact"/>
        <w:rPr>
          <w:sz w:val="20"/>
          <w:szCs w:val="20"/>
          <w:color w:val="auto"/>
        </w:rPr>
      </w:pPr>
    </w:p>
    <w:p>
      <w:pPr>
        <w:ind w:right="320" w:firstLine="348"/>
        <w:spacing w:after="0" w:line="268" w:lineRule="auto"/>
        <w:rPr>
          <w:sz w:val="20"/>
          <w:szCs w:val="20"/>
          <w:color w:val="auto"/>
        </w:rPr>
      </w:pPr>
      <w:r>
        <w:rPr>
          <w:rFonts w:ascii="Times New Roman" w:cs="Times New Roman" w:eastAsia="Times New Roman" w:hAnsi="Times New Roman"/>
          <w:sz w:val="13"/>
          <w:szCs w:val="13"/>
          <w:color w:val="auto"/>
        </w:rPr>
        <w:t>On April 30, 2021, the Company and U.S. Bank National Association (the “Trustee”) entered into a Supplemental Indenture (the “Third Supplemental Indenture”), which supplements that certain Base Indenture, dated as of October 10, 2012 (as may be further amended, supplemented or otherwise modified from time to time, the “Base Indenture” and, together with the Third Supplemental Indenture, the “Indenture”). The Third Supplemental Indenture relates to the Company’s issuance of the 4.875% Notes due 2026.</w:t>
      </w:r>
    </w:p>
    <w:p>
      <w:pPr>
        <w:spacing w:after="0" w:line="63" w:lineRule="exact"/>
        <w:rPr>
          <w:sz w:val="20"/>
          <w:szCs w:val="20"/>
          <w:color w:val="auto"/>
        </w:rPr>
      </w:pPr>
    </w:p>
    <w:p>
      <w:pPr>
        <w:ind w:right="80" w:firstLine="348"/>
        <w:spacing w:after="0" w:line="257" w:lineRule="auto"/>
        <w:rPr>
          <w:sz w:val="20"/>
          <w:szCs w:val="20"/>
          <w:color w:val="auto"/>
        </w:rPr>
      </w:pPr>
      <w:r>
        <w:rPr>
          <w:rFonts w:ascii="Times New Roman" w:cs="Times New Roman" w:eastAsia="Times New Roman" w:hAnsi="Times New Roman"/>
          <w:sz w:val="13"/>
          <w:szCs w:val="13"/>
          <w:color w:val="auto"/>
        </w:rPr>
        <w:t>The 4.875% Notes due 2026 will mature on April 30, 2026 and may be redeemed in whole or in part at the Company’s option at any time or from time to time at the redemption prices set forth in the Indenture and bear interest at a rate of 4.875% per year payable semi-annually on April 30 and October 30 of each year. The 4.875% Notes due 2026 are general unsecured obligations of the Company that rank senior in right of payment to all of the Company’s existing and future indebtedness that is expressly subordinated in right of payment to the 4.875% Notes due 2026, rank pari passu with all existing and future unsecured unsubordinated indebtedness issued by the Company, rank effectively junior to any of the Company’s secured indebtedness (including unsecured indebtedness that the Company later secures) to the extent of the value of the assets securing such indebtedness, and rank structurally junior to all existing and future indebtedness (including trade payables) incurred by the Company’s subsidiaries, financing vehicles or similar facilities.</w:t>
      </w:r>
    </w:p>
    <w:p>
      <w:pPr>
        <w:spacing w:after="0" w:line="72" w:lineRule="exact"/>
        <w:rPr>
          <w:sz w:val="20"/>
          <w:szCs w:val="20"/>
          <w:color w:val="auto"/>
        </w:rPr>
      </w:pPr>
    </w:p>
    <w:p>
      <w:pPr>
        <w:ind w:right="40" w:firstLine="348"/>
        <w:spacing w:after="0" w:line="262" w:lineRule="auto"/>
        <w:rPr>
          <w:sz w:val="20"/>
          <w:szCs w:val="20"/>
          <w:color w:val="auto"/>
        </w:rPr>
      </w:pPr>
      <w:r>
        <w:rPr>
          <w:rFonts w:ascii="Times New Roman" w:cs="Times New Roman" w:eastAsia="Times New Roman" w:hAnsi="Times New Roman"/>
          <w:sz w:val="13"/>
          <w:szCs w:val="13"/>
          <w:color w:val="auto"/>
        </w:rPr>
        <w:t>The Indenture contains certain covenants, including covenants requiring the Company to comply with the asset coverage requirements of Sections 18(a)(1)(A) and 18(a)(1)(B) as modified by Section 61(a)(2) of the 1940 Act, whether or not it is subject to those requirements, and to provide financial information to the holders of the Notes and the Trustee if the Company is no longer subject to the reporting requirements under the Exchange Act. Additionally, the Company has agreed to use its commercially reasonable efforts to maintain a rating of the 4.875% Notes due 2026 from a rating agency, as long as the notes are outstanding. These covenants are subject to important limitations and exceptions that are described in the Indenture.</w:t>
      </w:r>
    </w:p>
    <w:p>
      <w:pPr>
        <w:spacing w:after="0" w:line="67" w:lineRule="exact"/>
        <w:rPr>
          <w:sz w:val="20"/>
          <w:szCs w:val="20"/>
          <w:color w:val="auto"/>
        </w:rPr>
      </w:pPr>
    </w:p>
    <w:p>
      <w:pPr>
        <w:ind w:right="60" w:firstLine="348"/>
        <w:spacing w:after="0" w:line="286" w:lineRule="auto"/>
        <w:rPr>
          <w:sz w:val="20"/>
          <w:szCs w:val="20"/>
          <w:color w:val="auto"/>
        </w:rPr>
      </w:pPr>
      <w:r>
        <w:rPr>
          <w:rFonts w:ascii="Times New Roman" w:cs="Times New Roman" w:eastAsia="Times New Roman" w:hAnsi="Times New Roman"/>
          <w:sz w:val="13"/>
          <w:szCs w:val="13"/>
          <w:color w:val="auto"/>
        </w:rPr>
        <w:t>In addition, on the occurrence of a “change of control repurchase event,” as defined in the Indenture, the Company will generally be required to make an offer to purchase the outstanding notes at a price equal to 100% of the principal amount of such notes plus accrued and unpaid interest to the repurchase date.</w:t>
      </w:r>
    </w:p>
    <w:p>
      <w:pPr>
        <w:spacing w:after="0" w:line="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i w:val="1"/>
          <w:iCs w:val="1"/>
          <w:color w:val="auto"/>
        </w:rPr>
        <w:t>Sale of Additional 4.875% Notes due 2026</w:t>
      </w:r>
    </w:p>
    <w:p>
      <w:pPr>
        <w:spacing w:after="0" w:line="105" w:lineRule="exact"/>
        <w:rPr>
          <w:sz w:val="20"/>
          <w:szCs w:val="20"/>
          <w:color w:val="auto"/>
        </w:rPr>
      </w:pPr>
    </w:p>
    <w:p>
      <w:pPr>
        <w:ind w:right="160" w:firstLine="348"/>
        <w:spacing w:after="0" w:line="259" w:lineRule="auto"/>
        <w:rPr>
          <w:sz w:val="20"/>
          <w:szCs w:val="20"/>
          <w:color w:val="auto"/>
        </w:rPr>
      </w:pPr>
      <w:r>
        <w:rPr>
          <w:rFonts w:ascii="Times New Roman" w:cs="Times New Roman" w:eastAsia="Times New Roman" w:hAnsi="Times New Roman"/>
          <w:sz w:val="13"/>
          <w:szCs w:val="13"/>
          <w:color w:val="auto"/>
        </w:rPr>
        <w:t>On June 23, 2021, the Company issued $28 million in aggregate principal amount of its 4.875% Notes due 2026 (the “New Notes”) in a private placement exempt from registration under the Section 4(a)(2) of the Securities Act. The New Notes have not been registered under the Securities Act or any state securities laws and may not be reoffered or resold in the United States absent registration or an applicable exemption from such registration requirements. The net proceeds to the Company were approximately $27.4 million, after deducting estimated offering expenses. The Company intends to use the net proceeds of the offering to redeem in full its HCAP Notes (as defined below), make investments in portfolio companies in accordance with its investment objectives, and for general corporate purposes.</w:t>
      </w:r>
    </w:p>
    <w:p>
      <w:pPr>
        <w:spacing w:after="0" w:line="70" w:lineRule="exact"/>
        <w:rPr>
          <w:sz w:val="20"/>
          <w:szCs w:val="20"/>
          <w:color w:val="auto"/>
        </w:rPr>
      </w:pPr>
    </w:p>
    <w:p>
      <w:pPr>
        <w:ind w:right="260" w:firstLine="348"/>
        <w:spacing w:after="0" w:line="268" w:lineRule="auto"/>
        <w:rPr>
          <w:sz w:val="20"/>
          <w:szCs w:val="20"/>
          <w:color w:val="auto"/>
        </w:rPr>
      </w:pPr>
      <w:r>
        <w:rPr>
          <w:rFonts w:ascii="Times New Roman" w:cs="Times New Roman" w:eastAsia="Times New Roman" w:hAnsi="Times New Roman"/>
          <w:sz w:val="13"/>
          <w:szCs w:val="13"/>
          <w:color w:val="auto"/>
        </w:rPr>
        <w:t>The New Notes were issued under the Indenture governing the 4.875% Notes due 2026. The New Notes were issued as “Additional Notes” under the Indenture and have identical terms to Company’s $80.0 million of aggregate principal amount of 4.875% Notes due 2026 that were issued on April 30, 2021, other than the issue date. The New Notes will be treated as a single class of notes with the Company’s existing 4.875% Notes due 2026 for all purposes under the Indenture.</w:t>
      </w:r>
    </w:p>
    <w:p>
      <w:pPr>
        <w:spacing w:after="0" w:line="63" w:lineRule="exact"/>
        <w:rPr>
          <w:sz w:val="20"/>
          <w:szCs w:val="20"/>
          <w:color w:val="auto"/>
        </w:rPr>
      </w:pPr>
    </w:p>
    <w:p>
      <w:pPr>
        <w:ind w:right="20" w:firstLine="348"/>
        <w:spacing w:after="0" w:line="324" w:lineRule="auto"/>
        <w:rPr>
          <w:sz w:val="20"/>
          <w:szCs w:val="20"/>
          <w:color w:val="auto"/>
        </w:rPr>
      </w:pPr>
      <w:r>
        <w:rPr>
          <w:rFonts w:ascii="Times New Roman" w:cs="Times New Roman" w:eastAsia="Times New Roman" w:hAnsi="Times New Roman"/>
          <w:sz w:val="13"/>
          <w:szCs w:val="13"/>
          <w:color w:val="auto"/>
        </w:rPr>
        <w:t>In connection with the issuance of the 4.875% Notes Due 2026, (including the New Notes) the Company incurred approximately $2.4 million of original issue discount, and $1.2 million of debt offering costs, both of which are being amortized over the expected term of the facility on an effective yield method.</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i w:val="1"/>
          <w:iCs w:val="1"/>
          <w:color w:val="auto"/>
        </w:rPr>
        <w:t>Exchange of 4.875% Notes due 2026</w:t>
      </w:r>
    </w:p>
    <w:p>
      <w:pPr>
        <w:spacing w:after="0" w:line="105" w:lineRule="exact"/>
        <w:rPr>
          <w:sz w:val="20"/>
          <w:szCs w:val="20"/>
          <w:color w:val="auto"/>
        </w:rPr>
      </w:pPr>
    </w:p>
    <w:p>
      <w:pPr>
        <w:ind w:right="20" w:firstLine="348"/>
        <w:spacing w:after="0" w:line="256" w:lineRule="auto"/>
        <w:rPr>
          <w:sz w:val="20"/>
          <w:szCs w:val="20"/>
          <w:color w:val="auto"/>
        </w:rPr>
      </w:pPr>
      <w:r>
        <w:rPr>
          <w:rFonts w:ascii="Times New Roman" w:cs="Times New Roman" w:eastAsia="Times New Roman" w:hAnsi="Times New Roman"/>
          <w:sz w:val="13"/>
          <w:szCs w:val="13"/>
          <w:color w:val="auto"/>
        </w:rPr>
        <w:t>On October 5, 2021, the Company filed with the SEC a registration statement relating to an offer to exchange the 4.875% Notes due 2026 for new notes issued by the Company that are registered under the Securities Act (the “Exchange Offer”), which registration statement was declared effective on December 2, 2021. Upon the terms and subject to the conditions in the prospectus relating to the Exchange Offer, the Company accepted any existing 4.875% Notes due 2026 (the “Restricted Notes”) validly tendered and not withdrawn prior to January 3, 2022, the expiration date of the Exchange Offer, and issued new 4.875% Notes due 2026 that have been registered under the Securities Act (the “Exchange Notes”) . The form and terms of the Exchange Notes are substantially identical to those of the Restricted Notes, except that the transfer restrictions and registration rights relating to the Restricted Notes do not apply to the Exchange Notes, and the Exchange Notes do not provide for the payment of additional interest in the event of a registration default. In addition, the Exchange Notes bear a different CUSIP number than the Restricted Notes. The Exchange Notes are issued under and entitled to the benefits of the same indenture that authorized the issuance of the Restricted Notes.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On the expiration date of the Exchange Offer, all of the Restricted Notes had been validly tendered, and all of the outstanding Restricted Notes were exchanged for newly issued Exchange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Notes.</w:t>
      </w:r>
    </w:p>
    <w:p>
      <w:pPr>
        <w:spacing w:after="0" w:line="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i w:val="1"/>
          <w:iCs w:val="1"/>
          <w:color w:val="auto"/>
        </w:rPr>
        <w:t>Fair Value of 4.875% Notes due 2026.</w:t>
      </w:r>
    </w:p>
    <w:p>
      <w:pPr>
        <w:spacing w:after="0" w:line="105" w:lineRule="exact"/>
        <w:rPr>
          <w:sz w:val="20"/>
          <w:szCs w:val="20"/>
          <w:color w:val="auto"/>
        </w:rPr>
      </w:pPr>
    </w:p>
    <w:p>
      <w:pPr>
        <w:ind w:right="60" w:firstLine="348"/>
        <w:spacing w:after="0" w:line="262" w:lineRule="auto"/>
        <w:rPr>
          <w:sz w:val="20"/>
          <w:szCs w:val="20"/>
          <w:color w:val="auto"/>
        </w:rPr>
      </w:pPr>
      <w:r>
        <w:rPr>
          <w:rFonts w:ascii="Times New Roman" w:cs="Times New Roman" w:eastAsia="Times New Roman" w:hAnsi="Times New Roman"/>
          <w:sz w:val="13"/>
          <w:szCs w:val="13"/>
          <w:color w:val="auto"/>
        </w:rPr>
        <w:t>The 4.875% Notes due 2026 were issued during the second quarter of 2021 and are carried at cost, net of unamortized discount of approximately $ 0.7 million and unamortized offering costs of approximately $ 0.3 million as of December 31, 2024. As of December 31, 2023, the 4.875% Notes due 2026 were carried net of unamortized discount of approximately $1.2 million and unamortized offering costs of approximately $0.6 million. The fair value of the Company’s outstanding 4.875% Notes due 2026 disclosed, but not carried, was approximately $103.8 million as of December 31, 2024 and $106.2 million as of December 31, 2023. The fair value of the 4.875% Notes due 2026 is categorized as Level III under the ASC 820 Fair Value Hierarchy.</w:t>
      </w:r>
    </w:p>
    <w:p>
      <w:pPr>
        <w:spacing w:after="0" w:line="67" w:lineRule="exact"/>
        <w:rPr>
          <w:sz w:val="20"/>
          <w:szCs w:val="20"/>
          <w:color w:val="auto"/>
        </w:rPr>
      </w:pPr>
    </w:p>
    <w:p>
      <w:pPr>
        <w:ind w:right="400" w:firstLine="348"/>
        <w:spacing w:after="0" w:line="269" w:lineRule="auto"/>
        <w:rPr>
          <w:sz w:val="20"/>
          <w:szCs w:val="20"/>
          <w:color w:val="auto"/>
        </w:rPr>
      </w:pPr>
      <w:r>
        <w:rPr>
          <w:rFonts w:ascii="Times New Roman" w:cs="Times New Roman" w:eastAsia="Times New Roman" w:hAnsi="Times New Roman"/>
          <w:sz w:val="13"/>
          <w:szCs w:val="13"/>
          <w:color w:val="auto"/>
        </w:rPr>
        <w:t>The following table summarizes the interest expense, amortization of original issue discount, deferred financing costs, average outstanding balance, and average stated interest rate on the 4.875% Notes due 2026 for the years ended December 31, 2024, 2023 and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1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gridSpan w:val="5"/>
          </w:tcPr>
          <w:p>
            <w:pPr>
              <w:jc w:val="right"/>
              <w:ind w:right="214"/>
              <w:spacing w:after="0"/>
              <w:rPr>
                <w:sz w:val="20"/>
                <w:szCs w:val="20"/>
                <w:color w:val="auto"/>
              </w:rPr>
            </w:pPr>
            <w:r>
              <w:rPr>
                <w:rFonts w:ascii="Times New Roman" w:cs="Times New Roman" w:eastAsia="Times New Roman" w:hAnsi="Times New Roman"/>
                <w:sz w:val="13"/>
                <w:szCs w:val="13"/>
                <w:color w:val="auto"/>
              </w:rPr>
              <w:t>For the Year Ended December 31,</w:t>
            </w: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8"/>
        </w:trPr>
        <w:tc>
          <w:tcPr>
            <w:tcW w:w="3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in thousands)</w:t>
            </w:r>
          </w:p>
        </w:tc>
        <w:tc>
          <w:tcPr>
            <w:tcW w:w="2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20" w:type="dxa"/>
            <w:vAlign w:val="bottom"/>
          </w:tcPr>
          <w:p>
            <w:pPr>
              <w:jc w:val="right"/>
              <w:ind w:right="694"/>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3"/>
                <w:szCs w:val="13"/>
                <w:color w:val="auto"/>
              </w:rPr>
            </w:pPr>
          </w:p>
        </w:tc>
      </w:tr>
      <w:tr>
        <w:trPr>
          <w:trHeight w:val="168"/>
        </w:trPr>
        <w:tc>
          <w:tcPr>
            <w:tcW w:w="3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expense</w:t>
            </w:r>
          </w:p>
        </w:tc>
        <w:tc>
          <w:tcPr>
            <w:tcW w:w="2640" w:type="dxa"/>
            <w:vAlign w:val="bottom"/>
            <w:gridSpan w:val="2"/>
          </w:tcPr>
          <w:p>
            <w:pPr>
              <w:jc w:val="right"/>
              <w:ind w:right="225"/>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5,265</w:t>
            </w:r>
          </w:p>
        </w:tc>
        <w:tc>
          <w:tcPr>
            <w:tcW w:w="120" w:type="dxa"/>
            <w:vAlign w:val="bottom"/>
          </w:tcPr>
          <w:p>
            <w:pPr>
              <w:spacing w:after="0"/>
              <w:rPr>
                <w:sz w:val="14"/>
                <w:szCs w:val="14"/>
                <w:color w:val="auto"/>
              </w:rPr>
            </w:pPr>
          </w:p>
        </w:tc>
        <w:tc>
          <w:tcPr>
            <w:tcW w:w="360" w:type="dxa"/>
            <w:vAlign w:val="bottom"/>
            <w:gridSpan w:val="2"/>
          </w:tcPr>
          <w:p>
            <w:pPr>
              <w:jc w:val="right"/>
              <w:ind w:right="194"/>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5,265</w:t>
            </w:r>
          </w:p>
        </w:tc>
        <w:tc>
          <w:tcPr>
            <w:tcW w:w="120" w:type="dxa"/>
            <w:vAlign w:val="bottom"/>
          </w:tcPr>
          <w:p>
            <w:pPr>
              <w:spacing w:after="0"/>
              <w:rPr>
                <w:sz w:val="14"/>
                <w:szCs w:val="14"/>
                <w:color w:val="auto"/>
              </w:rPr>
            </w:pPr>
          </w:p>
        </w:tc>
        <w:tc>
          <w:tcPr>
            <w:tcW w:w="480" w:type="dxa"/>
            <w:vAlign w:val="bottom"/>
          </w:tcPr>
          <w:p>
            <w:pPr>
              <w:jc w:val="right"/>
              <w:ind w:right="334"/>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5,265</w:t>
            </w:r>
          </w:p>
        </w:tc>
        <w:tc>
          <w:tcPr>
            <w:tcW w:w="120" w:type="dxa"/>
            <w:vAlign w:val="bottom"/>
          </w:tcPr>
          <w:p>
            <w:pPr>
              <w:spacing w:after="0"/>
              <w:rPr>
                <w:sz w:val="14"/>
                <w:szCs w:val="14"/>
                <w:color w:val="auto"/>
              </w:rPr>
            </w:pPr>
          </w:p>
        </w:tc>
      </w:tr>
      <w:tr>
        <w:trPr>
          <w:trHeight w:val="168"/>
        </w:trPr>
        <w:tc>
          <w:tcPr>
            <w:tcW w:w="3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Amortization of original issue discount</w:t>
            </w:r>
          </w:p>
        </w:tc>
        <w:tc>
          <w:tcPr>
            <w:tcW w:w="23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506</w:t>
            </w: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479</w:t>
            </w: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454</w:t>
            </w:r>
          </w:p>
        </w:tc>
        <w:tc>
          <w:tcPr>
            <w:tcW w:w="120" w:type="dxa"/>
            <w:vAlign w:val="bottom"/>
            <w:shd w:val="clear" w:color="auto" w:fill="CFF0FC"/>
          </w:tcPr>
          <w:p>
            <w:pPr>
              <w:spacing w:after="0"/>
              <w:rPr>
                <w:sz w:val="14"/>
                <w:szCs w:val="14"/>
                <w:color w:val="auto"/>
              </w:rPr>
            </w:pPr>
          </w:p>
        </w:tc>
      </w:tr>
      <w:tr>
        <w:trPr>
          <w:trHeight w:val="156"/>
        </w:trPr>
        <w:tc>
          <w:tcPr>
            <w:tcW w:w="3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Deferred financing costs</w:t>
            </w:r>
          </w:p>
        </w:tc>
        <w:tc>
          <w:tcPr>
            <w:tcW w:w="2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w:t>
            </w:r>
          </w:p>
        </w:tc>
        <w:tc>
          <w:tcPr>
            <w:tcW w:w="120" w:type="dxa"/>
            <w:vAlign w:val="bottom"/>
          </w:tcPr>
          <w:p>
            <w:pPr>
              <w:spacing w:after="0"/>
              <w:rPr>
                <w:sz w:val="13"/>
                <w:szCs w:val="13"/>
                <w:color w:val="auto"/>
              </w:rPr>
            </w:pPr>
          </w:p>
        </w:tc>
      </w:tr>
      <w:tr>
        <w:trPr>
          <w:trHeight w:val="196"/>
        </w:trPr>
        <w:tc>
          <w:tcPr>
            <w:tcW w:w="3140" w:type="dxa"/>
            <w:vAlign w:val="bottom"/>
            <w:tcBorders>
              <w:bottom w:val="single" w:sz="8" w:color="CFF0FC"/>
            </w:tcBorders>
            <w:shd w:val="clear" w:color="auto" w:fill="CFF0FC"/>
          </w:tcPr>
          <w:p>
            <w:pPr>
              <w:ind w:left="180"/>
              <w:spacing w:after="0" w:line="136" w:lineRule="exact"/>
              <w:rPr>
                <w:sz w:val="20"/>
                <w:szCs w:val="20"/>
                <w:color w:val="auto"/>
              </w:rPr>
            </w:pPr>
            <w:r>
              <w:rPr>
                <w:rFonts w:ascii="Times New Roman" w:cs="Times New Roman" w:eastAsia="Times New Roman" w:hAnsi="Times New Roman"/>
                <w:sz w:val="13"/>
                <w:szCs w:val="13"/>
                <w:color w:val="auto"/>
              </w:rPr>
              <w:t>Total interest and financing expenses</w:t>
            </w:r>
          </w:p>
        </w:tc>
        <w:tc>
          <w:tcPr>
            <w:tcW w:w="23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6,034</w:t>
            </w:r>
          </w:p>
        </w:tc>
        <w:tc>
          <w:tcPr>
            <w:tcW w:w="1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19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6,000</w:t>
            </w:r>
          </w:p>
        </w:tc>
        <w:tc>
          <w:tcPr>
            <w:tcW w:w="12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ind w:right="33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5,966</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32"/>
        </w:trPr>
        <w:tc>
          <w:tcPr>
            <w:tcW w:w="3140" w:type="dxa"/>
            <w:vAlign w:val="bottom"/>
          </w:tcPr>
          <w:p>
            <w:pPr>
              <w:ind w:left="180"/>
              <w:spacing w:after="0" w:line="133" w:lineRule="exact"/>
              <w:rPr>
                <w:sz w:val="20"/>
                <w:szCs w:val="20"/>
                <w:color w:val="auto"/>
              </w:rPr>
            </w:pPr>
            <w:r>
              <w:rPr>
                <w:rFonts w:ascii="Times New Roman" w:cs="Times New Roman" w:eastAsia="Times New Roman" w:hAnsi="Times New Roman"/>
                <w:sz w:val="13"/>
                <w:szCs w:val="13"/>
                <w:color w:val="auto"/>
              </w:rPr>
              <w:t>Average outstanding balance</w:t>
            </w:r>
          </w:p>
        </w:tc>
        <w:tc>
          <w:tcPr>
            <w:tcW w:w="2640" w:type="dxa"/>
            <w:vAlign w:val="bottom"/>
            <w:gridSpan w:val="2"/>
          </w:tcPr>
          <w:p>
            <w:pPr>
              <w:jc w:val="right"/>
              <w:ind w:right="225"/>
              <w:spacing w:after="0" w:line="133"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108,000</w:t>
            </w:r>
          </w:p>
        </w:tc>
        <w:tc>
          <w:tcPr>
            <w:tcW w:w="120" w:type="dxa"/>
            <w:vAlign w:val="bottom"/>
          </w:tcPr>
          <w:p>
            <w:pPr>
              <w:spacing w:after="0"/>
              <w:rPr>
                <w:sz w:val="11"/>
                <w:szCs w:val="11"/>
                <w:color w:val="auto"/>
              </w:rPr>
            </w:pPr>
          </w:p>
        </w:tc>
        <w:tc>
          <w:tcPr>
            <w:tcW w:w="360" w:type="dxa"/>
            <w:vAlign w:val="bottom"/>
            <w:gridSpan w:val="2"/>
          </w:tcPr>
          <w:p>
            <w:pPr>
              <w:jc w:val="right"/>
              <w:ind w:right="194"/>
              <w:spacing w:after="0" w:line="133"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108,000</w:t>
            </w:r>
          </w:p>
        </w:tc>
        <w:tc>
          <w:tcPr>
            <w:tcW w:w="120" w:type="dxa"/>
            <w:vAlign w:val="bottom"/>
          </w:tcPr>
          <w:p>
            <w:pPr>
              <w:spacing w:after="0"/>
              <w:rPr>
                <w:sz w:val="11"/>
                <w:szCs w:val="11"/>
                <w:color w:val="auto"/>
              </w:rPr>
            </w:pPr>
          </w:p>
        </w:tc>
        <w:tc>
          <w:tcPr>
            <w:tcW w:w="480" w:type="dxa"/>
            <w:vAlign w:val="bottom"/>
          </w:tcPr>
          <w:p>
            <w:pPr>
              <w:jc w:val="right"/>
              <w:ind w:right="33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108,000</w:t>
            </w:r>
          </w:p>
        </w:tc>
        <w:tc>
          <w:tcPr>
            <w:tcW w:w="120" w:type="dxa"/>
            <w:vAlign w:val="bottom"/>
          </w:tcPr>
          <w:p>
            <w:pPr>
              <w:spacing w:after="0"/>
              <w:rPr>
                <w:sz w:val="11"/>
                <w:szCs w:val="11"/>
                <w:color w:val="auto"/>
              </w:rPr>
            </w:pPr>
          </w:p>
        </w:tc>
      </w:tr>
      <w:tr>
        <w:trPr>
          <w:trHeight w:val="156"/>
        </w:trPr>
        <w:tc>
          <w:tcPr>
            <w:tcW w:w="3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Average stated interest rate</w:t>
            </w:r>
          </w:p>
        </w:tc>
        <w:tc>
          <w:tcPr>
            <w:tcW w:w="23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4.88 %</w:t>
            </w:r>
          </w:p>
        </w:tc>
        <w:tc>
          <w:tcPr>
            <w:tcW w:w="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4.88 %</w:t>
            </w:r>
          </w:p>
        </w:tc>
        <w:tc>
          <w:tcPr>
            <w:tcW w:w="48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4.88 %</w:t>
            </w:r>
          </w:p>
        </w:tc>
      </w:tr>
      <w:tr>
        <w:trPr>
          <w:trHeight w:val="512"/>
        </w:trPr>
        <w:tc>
          <w:tcPr>
            <w:tcW w:w="3140" w:type="dxa"/>
            <w:vAlign w:val="bottom"/>
          </w:tcPr>
          <w:p>
            <w:pPr>
              <w:spacing w:after="0"/>
              <w:rPr>
                <w:sz w:val="24"/>
                <w:szCs w:val="24"/>
                <w:color w:val="auto"/>
              </w:rPr>
            </w:pPr>
          </w:p>
        </w:tc>
        <w:tc>
          <w:tcPr>
            <w:tcW w:w="2640" w:type="dxa"/>
            <w:vAlign w:val="bottom"/>
            <w:gridSpan w:val="2"/>
          </w:tcPr>
          <w:p>
            <w:pPr>
              <w:jc w:val="right"/>
              <w:ind w:right="1485"/>
              <w:spacing w:after="0"/>
              <w:rPr>
                <w:sz w:val="20"/>
                <w:szCs w:val="20"/>
                <w:color w:val="auto"/>
              </w:rPr>
            </w:pPr>
            <w:r>
              <w:rPr>
                <w:rFonts w:ascii="Times New Roman" w:cs="Times New Roman" w:eastAsia="Times New Roman" w:hAnsi="Times New Roman"/>
                <w:sz w:val="11"/>
                <w:szCs w:val="11"/>
                <w:color w:val="auto"/>
              </w:rPr>
              <w:t>F-36</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676"/>
        </w:trPr>
        <w:tc>
          <w:tcPr>
            <w:tcW w:w="3140" w:type="dxa"/>
            <w:vAlign w:val="bottom"/>
            <w:tcBorders>
              <w:bottom w:val="single" w:sz="8" w:color="EEEEEE"/>
            </w:tcBorders>
          </w:tcPr>
          <w:p>
            <w:pPr>
              <w:spacing w:after="0"/>
              <w:rPr>
                <w:sz w:val="24"/>
                <w:szCs w:val="24"/>
                <w:color w:val="auto"/>
              </w:rPr>
            </w:pPr>
          </w:p>
        </w:tc>
        <w:tc>
          <w:tcPr>
            <w:tcW w:w="230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11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114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13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PORTMAN RIDGE FINANCE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1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i w:val="1"/>
          <w:iCs w:val="1"/>
          <w:color w:val="auto"/>
        </w:rPr>
        <w:t>Revolving Credit Facility</w:t>
      </w:r>
    </w:p>
    <w:p>
      <w:pPr>
        <w:spacing w:after="0" w:line="105" w:lineRule="exact"/>
        <w:rPr>
          <w:sz w:val="20"/>
          <w:szCs w:val="20"/>
          <w:color w:val="auto"/>
        </w:rPr>
      </w:pPr>
    </w:p>
    <w:p>
      <w:pPr>
        <w:ind w:right="120" w:firstLine="348"/>
        <w:spacing w:after="0" w:line="268" w:lineRule="auto"/>
        <w:rPr>
          <w:sz w:val="20"/>
          <w:szCs w:val="20"/>
          <w:color w:val="auto"/>
        </w:rPr>
      </w:pPr>
      <w:r>
        <w:rPr>
          <w:rFonts w:ascii="Times New Roman" w:cs="Times New Roman" w:eastAsia="Times New Roman" w:hAnsi="Times New Roman"/>
          <w:sz w:val="13"/>
          <w:szCs w:val="13"/>
          <w:color w:val="auto"/>
        </w:rPr>
        <w:t>On December 18, 2019, Great Lakes Portman Ridge Funding LLC (“GLPRF LLC”), our wholly -owned subsidiary, entered into a senior secured revolving credit facility (as amended, restated or otherwise modified from time to time, the “Revolving Credit Facility”) with JPMorgan Chase Bank, National Association (“JPM”). JPM serves as administrative agent, U.S. Bank National Association serves as collateral agent, securities intermediary and collateral administrator, and we serve as portfolio manager under the Revolving Credit Facility.</w:t>
      </w:r>
    </w:p>
    <w:p>
      <w:pPr>
        <w:spacing w:after="0" w:line="63" w:lineRule="exact"/>
        <w:rPr>
          <w:sz w:val="20"/>
          <w:szCs w:val="20"/>
          <w:color w:val="auto"/>
        </w:rPr>
      </w:pPr>
    </w:p>
    <w:p>
      <w:pPr>
        <w:ind w:right="60" w:firstLine="348"/>
        <w:spacing w:after="0" w:line="268" w:lineRule="auto"/>
        <w:rPr>
          <w:sz w:val="20"/>
          <w:szCs w:val="20"/>
          <w:color w:val="auto"/>
        </w:rPr>
      </w:pPr>
      <w:r>
        <w:rPr>
          <w:rFonts w:ascii="Times New Roman" w:cs="Times New Roman" w:eastAsia="Times New Roman" w:hAnsi="Times New Roman"/>
          <w:sz w:val="13"/>
          <w:szCs w:val="13"/>
          <w:color w:val="auto"/>
        </w:rPr>
        <w:t>GLPRF LLC is required to utilize a minimum of the commitments under the Revolving Credit Facility. Unused amounts below such minimum utilization amount accrue interest as if such amounts are outstanding as borrowings under the Revolving Credit Facility. In addition, GLPRF LLC pays a non-usage fee during the reinvestment period on the average daily unborrowed portion of the financing commitments in excess of such minimum utilization amount.</w:t>
      </w:r>
    </w:p>
    <w:p>
      <w:pPr>
        <w:spacing w:after="0" w:line="63" w:lineRule="exact"/>
        <w:rPr>
          <w:sz w:val="20"/>
          <w:szCs w:val="20"/>
          <w:color w:val="auto"/>
        </w:rPr>
      </w:pPr>
    </w:p>
    <w:p>
      <w:pPr>
        <w:ind w:right="60" w:firstLine="348"/>
        <w:spacing w:after="0" w:line="268" w:lineRule="auto"/>
        <w:rPr>
          <w:sz w:val="20"/>
          <w:szCs w:val="20"/>
          <w:color w:val="auto"/>
        </w:rPr>
      </w:pPr>
      <w:r>
        <w:rPr>
          <w:rFonts w:ascii="Times New Roman" w:cs="Times New Roman" w:eastAsia="Times New Roman" w:hAnsi="Times New Roman"/>
          <w:sz w:val="13"/>
          <w:szCs w:val="13"/>
          <w:color w:val="auto"/>
        </w:rPr>
        <w:t>The initial principal amount of the Revolving Credit Facility was $115 million. The Revolving Credit Facility has an accordion feature, subject to the satisfaction of various conditions, which could bring total commitments under the Revolving Credit Facility to up to $215 million. Proceeds from borrowings under the Revolving Credit Facility may be used to fund portfolio investments by GLPRF LLC and to make advances under delayed draw term loans where GLPRF LLC is a lender.</w:t>
      </w:r>
    </w:p>
    <w:p>
      <w:pPr>
        <w:spacing w:after="0" w:line="63" w:lineRule="exact"/>
        <w:rPr>
          <w:sz w:val="20"/>
          <w:szCs w:val="20"/>
          <w:color w:val="auto"/>
        </w:rPr>
      </w:pPr>
    </w:p>
    <w:p>
      <w:pPr>
        <w:ind w:right="80" w:firstLine="348"/>
        <w:spacing w:after="0" w:line="259" w:lineRule="auto"/>
        <w:rPr>
          <w:sz w:val="20"/>
          <w:szCs w:val="20"/>
          <w:color w:val="auto"/>
        </w:rPr>
      </w:pPr>
      <w:r>
        <w:rPr>
          <w:rFonts w:ascii="Times New Roman" w:cs="Times New Roman" w:eastAsia="Times New Roman" w:hAnsi="Times New Roman"/>
          <w:sz w:val="13"/>
          <w:szCs w:val="13"/>
          <w:color w:val="auto"/>
        </w:rPr>
        <w:t>GLPRF LLC’s obligations to the lenders under the Revolving Credit Facility are secured by a first priority security interest in all of GLPRF LLC’s portfolio of investments and cash. The obligations of GLPRF LLC under the Revolving Credit Facility are non-recourse to us, and our exposure under the Revolving Credit Facility is limited to the value of our investment in GLPRF LLC. In connection with the Revolving Credit Facility, GLPRF LLC has made certain customary representations and warranties and is required to comply with various covenants, reporting requirements and other customary requirements for similar facilities. The Revolving Credit Facility contains customary events of default for similar financing transactions, including if a change of control of GLPRF LLC occurs or if we are no longer the portfolio manager of GLPRF LLC.</w:t>
      </w:r>
    </w:p>
    <w:p>
      <w:pPr>
        <w:spacing w:after="0" w:line="70" w:lineRule="exact"/>
        <w:rPr>
          <w:sz w:val="20"/>
          <w:szCs w:val="20"/>
          <w:color w:val="auto"/>
        </w:rPr>
      </w:pPr>
    </w:p>
    <w:p>
      <w:pPr>
        <w:ind w:right="80" w:firstLine="348"/>
        <w:spacing w:after="0" w:line="286" w:lineRule="auto"/>
        <w:rPr>
          <w:sz w:val="20"/>
          <w:szCs w:val="20"/>
          <w:color w:val="auto"/>
        </w:rPr>
      </w:pPr>
      <w:r>
        <w:rPr>
          <w:rFonts w:ascii="Times New Roman" w:cs="Times New Roman" w:eastAsia="Times New Roman" w:hAnsi="Times New Roman"/>
          <w:sz w:val="13"/>
          <w:szCs w:val="13"/>
          <w:color w:val="auto"/>
        </w:rPr>
        <w:t>On April 29, 2022, GLPRF LLC amended the Revolving Credit Facility with JPM as administrative agent. The amended agreement replaced three-month SOFR as the benchmark interest rate and reduced the applicable margin to 2.80% per annum from 2.85% per annum.</w:t>
      </w:r>
    </w:p>
    <w:p>
      <w:pPr>
        <w:spacing w:after="0" w:line="52" w:lineRule="exact"/>
        <w:rPr>
          <w:sz w:val="20"/>
          <w:szCs w:val="20"/>
          <w:color w:val="auto"/>
        </w:rPr>
      </w:pPr>
    </w:p>
    <w:p>
      <w:pPr>
        <w:ind w:right="40" w:firstLine="348"/>
        <w:spacing w:after="0" w:line="255" w:lineRule="auto"/>
        <w:rPr>
          <w:sz w:val="20"/>
          <w:szCs w:val="20"/>
          <w:color w:val="auto"/>
        </w:rPr>
      </w:pPr>
      <w:r>
        <w:rPr>
          <w:rFonts w:ascii="Times New Roman" w:cs="Times New Roman" w:eastAsia="Times New Roman" w:hAnsi="Times New Roman"/>
          <w:sz w:val="13"/>
          <w:szCs w:val="13"/>
          <w:color w:val="auto"/>
        </w:rPr>
        <w:t>On July 23, 2024, GLPRF LLC amended the Revolving Credit Facility with JPM as administrative agent. The amended agreement, among other things, (i) provided for a committed increase to the aggregate principal amount of the Revolving Credit Facility in an amount not to exceed $85.0 million, for a total commitment of $200.0 million, which increase became effective on August 20, 2024, (ii) provided for a committed seven-day bridge advance in an aggregate principal amount of $18.3 million, which advance became effective on August 20, 2024, (iii) reduced the applicable margin on the Revolving Credit Facility to 2.50% per annum, (iv) extended the period in which the Company may request advances under the Revolving Credit Facility to August 29, 2026, (v) extended the stated maturity of the Revolving Credit Facility to August 29, 2027, (vi) reduced the requirement to utilize a minimum of commitments under the Revolving Credit Facility to 70%, (vii) reduced the non-usage fee applicable during the reinvestment period to 0.55% per annum on the average daily unborrowed portion of the financing commitments in excess of the minimum utilization amount, (viii) extended the non-call period under the Revolving Credit Facility to April 29, 2025, and (ix) provided for certain fees to be paid to the administrative agent and the lenders in connection therewith.</w:t>
      </w:r>
    </w:p>
    <w:p>
      <w:pPr>
        <w:spacing w:after="0" w:line="23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color w:val="auto"/>
        </w:rPr>
        <w:t>As of December 31, 2024, GLPRF LLC was in compliance with all of its debt covenants and $159.5 million principal amount of borrowings was outstanding under the Revolving Credit</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Facility. The fair value of GLPRF LLC approximated its carrying value on the consolidated statements of assets and liabilities and is categorized as Level III under the ASC 820 Fair Value Hierarchy.</w:t>
      </w:r>
    </w:p>
    <w:p>
      <w:pPr>
        <w:spacing w:after="0" w:line="89" w:lineRule="exact"/>
        <w:rPr>
          <w:sz w:val="20"/>
          <w:szCs w:val="20"/>
          <w:color w:val="auto"/>
        </w:rPr>
      </w:pPr>
    </w:p>
    <w:p>
      <w:pPr>
        <w:ind w:right="80" w:firstLine="348"/>
        <w:spacing w:after="0" w:line="286" w:lineRule="auto"/>
        <w:rPr>
          <w:sz w:val="20"/>
          <w:szCs w:val="20"/>
          <w:color w:val="auto"/>
        </w:rPr>
      </w:pPr>
      <w:r>
        <w:rPr>
          <w:rFonts w:ascii="Times New Roman" w:cs="Times New Roman" w:eastAsia="Times New Roman" w:hAnsi="Times New Roman"/>
          <w:sz w:val="13"/>
          <w:szCs w:val="13"/>
          <w:color w:val="auto"/>
        </w:rPr>
        <w:t>The fair value of the Revolving Credit Facility disclosed, but not carried, was approximately $160.3 million and $91.2 million at December 31, 2024 and December 31, 2023, respectively, and is categorized as Level III under the ASC 820 Fair Value Hierarchy</w:t>
      </w:r>
    </w:p>
    <w:p>
      <w:pPr>
        <w:spacing w:after="0" w:line="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The following table summarizes the interest expense, deferred financing costs, average outstanding balance, and average stated interest rate on the Revolving Credit Facility for the years 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December 31, 2024, 2023 and 2022:</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gridSpan w:val="5"/>
          </w:tcPr>
          <w:p>
            <w:pPr>
              <w:jc w:val="right"/>
              <w:ind w:right="214"/>
              <w:spacing w:after="0"/>
              <w:rPr>
                <w:sz w:val="20"/>
                <w:szCs w:val="20"/>
                <w:color w:val="auto"/>
              </w:rPr>
            </w:pPr>
            <w:r>
              <w:rPr>
                <w:rFonts w:ascii="Times New Roman" w:cs="Times New Roman" w:eastAsia="Times New Roman" w:hAnsi="Times New Roman"/>
                <w:sz w:val="13"/>
                <w:szCs w:val="13"/>
                <w:color w:val="auto"/>
              </w:rPr>
              <w:t>For the Year Ended December 31,</w:t>
            </w: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8"/>
        </w:trPr>
        <w:tc>
          <w:tcPr>
            <w:tcW w:w="54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in thousands)</w:t>
            </w:r>
          </w:p>
        </w:tc>
        <w:tc>
          <w:tcPr>
            <w:tcW w:w="340" w:type="dxa"/>
            <w:vAlign w:val="bottom"/>
          </w:tcPr>
          <w:p>
            <w:pPr>
              <w:spacing w:after="0"/>
              <w:rPr>
                <w:sz w:val="13"/>
                <w:szCs w:val="13"/>
                <w:color w:val="auto"/>
              </w:rPr>
            </w:pPr>
          </w:p>
        </w:tc>
        <w:tc>
          <w:tcPr>
            <w:tcW w:w="1120" w:type="dxa"/>
            <w:vAlign w:val="bottom"/>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20" w:type="dxa"/>
            <w:vAlign w:val="bottom"/>
          </w:tcPr>
          <w:p>
            <w:pPr>
              <w:jc w:val="right"/>
              <w:ind w:right="694"/>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3"/>
                <w:szCs w:val="13"/>
                <w:color w:val="auto"/>
              </w:rPr>
            </w:pPr>
          </w:p>
        </w:tc>
      </w:tr>
      <w:tr>
        <w:trPr>
          <w:trHeight w:val="168"/>
        </w:trPr>
        <w:tc>
          <w:tcPr>
            <w:tcW w:w="54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expense</w:t>
            </w:r>
          </w:p>
        </w:tc>
        <w:tc>
          <w:tcPr>
            <w:tcW w:w="34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9,334</w:t>
            </w:r>
          </w:p>
        </w:tc>
        <w:tc>
          <w:tcPr>
            <w:tcW w:w="120" w:type="dxa"/>
            <w:vAlign w:val="bottom"/>
          </w:tcPr>
          <w:p>
            <w:pPr>
              <w:spacing w:after="0"/>
              <w:rPr>
                <w:sz w:val="14"/>
                <w:szCs w:val="14"/>
                <w:color w:val="auto"/>
              </w:rPr>
            </w:pPr>
          </w:p>
        </w:tc>
        <w:tc>
          <w:tcPr>
            <w:tcW w:w="360" w:type="dxa"/>
            <w:vAlign w:val="bottom"/>
            <w:gridSpan w:val="2"/>
          </w:tcPr>
          <w:p>
            <w:pPr>
              <w:jc w:val="right"/>
              <w:ind w:right="194"/>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7,465</w:t>
            </w:r>
          </w:p>
        </w:tc>
        <w:tc>
          <w:tcPr>
            <w:tcW w:w="120" w:type="dxa"/>
            <w:vAlign w:val="bottom"/>
          </w:tcPr>
          <w:p>
            <w:pPr>
              <w:spacing w:after="0"/>
              <w:rPr>
                <w:sz w:val="14"/>
                <w:szCs w:val="14"/>
                <w:color w:val="auto"/>
              </w:rPr>
            </w:pPr>
          </w:p>
        </w:tc>
        <w:tc>
          <w:tcPr>
            <w:tcW w:w="480" w:type="dxa"/>
            <w:vAlign w:val="bottom"/>
          </w:tcPr>
          <w:p>
            <w:pPr>
              <w:jc w:val="right"/>
              <w:ind w:right="334"/>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4,477</w:t>
            </w:r>
          </w:p>
        </w:tc>
        <w:tc>
          <w:tcPr>
            <w:tcW w:w="120" w:type="dxa"/>
            <w:vAlign w:val="bottom"/>
          </w:tcPr>
          <w:p>
            <w:pPr>
              <w:spacing w:after="0"/>
              <w:rPr>
                <w:sz w:val="14"/>
                <w:szCs w:val="14"/>
                <w:color w:val="auto"/>
              </w:rPr>
            </w:pPr>
          </w:p>
        </w:tc>
      </w:tr>
      <w:tr>
        <w:trPr>
          <w:trHeight w:val="156"/>
        </w:trPr>
        <w:tc>
          <w:tcPr>
            <w:tcW w:w="5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Deferred financing costs</w:t>
            </w:r>
          </w:p>
        </w:tc>
        <w:tc>
          <w:tcPr>
            <w:tcW w:w="34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405</w:t>
            </w:r>
          </w:p>
        </w:tc>
        <w:tc>
          <w:tcPr>
            <w:tcW w:w="1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333</w:t>
            </w:r>
          </w:p>
        </w:tc>
        <w:tc>
          <w:tcPr>
            <w:tcW w:w="1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345</w:t>
            </w:r>
          </w:p>
        </w:tc>
        <w:tc>
          <w:tcPr>
            <w:tcW w:w="120" w:type="dxa"/>
            <w:vAlign w:val="bottom"/>
            <w:shd w:val="clear" w:color="auto" w:fill="CFF0FC"/>
          </w:tcPr>
          <w:p>
            <w:pPr>
              <w:spacing w:after="0"/>
              <w:rPr>
                <w:sz w:val="13"/>
                <w:szCs w:val="13"/>
                <w:color w:val="auto"/>
              </w:rPr>
            </w:pPr>
          </w:p>
        </w:tc>
      </w:tr>
      <w:tr>
        <w:trPr>
          <w:trHeight w:val="156"/>
        </w:trPr>
        <w:tc>
          <w:tcPr>
            <w:tcW w:w="5440" w:type="dxa"/>
            <w:vAlign w:val="bottom"/>
          </w:tcPr>
          <w:p>
            <w:pPr>
              <w:ind w:left="180"/>
              <w:spacing w:after="0" w:line="136" w:lineRule="exact"/>
              <w:rPr>
                <w:sz w:val="20"/>
                <w:szCs w:val="20"/>
                <w:color w:val="auto"/>
              </w:rPr>
            </w:pPr>
            <w:r>
              <w:rPr>
                <w:rFonts w:ascii="Times New Roman" w:cs="Times New Roman" w:eastAsia="Times New Roman" w:hAnsi="Times New Roman"/>
                <w:sz w:val="13"/>
                <w:szCs w:val="13"/>
                <w:color w:val="auto"/>
              </w:rPr>
              <w:t>Total interest and financing expenses</w:t>
            </w:r>
          </w:p>
        </w:tc>
        <w:tc>
          <w:tcPr>
            <w:tcW w:w="34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9,739</w:t>
            </w:r>
          </w:p>
        </w:tc>
        <w:tc>
          <w:tcPr>
            <w:tcW w:w="120" w:type="dxa"/>
            <w:vAlign w:val="bottom"/>
          </w:tcPr>
          <w:p>
            <w:pPr>
              <w:spacing w:after="0"/>
              <w:rPr>
                <w:sz w:val="13"/>
                <w:szCs w:val="13"/>
                <w:color w:val="auto"/>
              </w:rPr>
            </w:pPr>
          </w:p>
        </w:tc>
        <w:tc>
          <w:tcPr>
            <w:tcW w:w="360" w:type="dxa"/>
            <w:vAlign w:val="bottom"/>
            <w:gridSpan w:val="2"/>
          </w:tcPr>
          <w:p>
            <w:pPr>
              <w:jc w:val="right"/>
              <w:ind w:right="19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7,798</w:t>
            </w:r>
          </w:p>
        </w:tc>
        <w:tc>
          <w:tcPr>
            <w:tcW w:w="120" w:type="dxa"/>
            <w:vAlign w:val="bottom"/>
          </w:tcPr>
          <w:p>
            <w:pPr>
              <w:spacing w:after="0"/>
              <w:rPr>
                <w:sz w:val="13"/>
                <w:szCs w:val="13"/>
                <w:color w:val="auto"/>
              </w:rPr>
            </w:pPr>
          </w:p>
        </w:tc>
        <w:tc>
          <w:tcPr>
            <w:tcW w:w="480" w:type="dxa"/>
            <w:vAlign w:val="bottom"/>
          </w:tcPr>
          <w:p>
            <w:pPr>
              <w:jc w:val="right"/>
              <w:ind w:right="33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4,822</w:t>
            </w:r>
          </w:p>
        </w:tc>
        <w:tc>
          <w:tcPr>
            <w:tcW w:w="120" w:type="dxa"/>
            <w:vAlign w:val="bottom"/>
          </w:tcPr>
          <w:p>
            <w:pPr>
              <w:spacing w:after="0"/>
              <w:rPr>
                <w:sz w:val="13"/>
                <w:szCs w:val="13"/>
                <w:color w:val="auto"/>
              </w:rPr>
            </w:pPr>
          </w:p>
        </w:tc>
      </w:tr>
      <w:tr>
        <w:trPr>
          <w:trHeight w:val="20"/>
        </w:trPr>
        <w:tc>
          <w:tcPr>
            <w:tcW w:w="5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2"/>
        </w:trPr>
        <w:tc>
          <w:tcPr>
            <w:tcW w:w="5440" w:type="dxa"/>
            <w:vAlign w:val="bottom"/>
            <w:shd w:val="clear" w:color="auto" w:fill="CFF0FC"/>
          </w:tcPr>
          <w:p>
            <w:pPr>
              <w:ind w:left="180"/>
              <w:spacing w:after="0" w:line="133" w:lineRule="exact"/>
              <w:rPr>
                <w:sz w:val="20"/>
                <w:szCs w:val="20"/>
                <w:color w:val="auto"/>
              </w:rPr>
            </w:pPr>
            <w:r>
              <w:rPr>
                <w:rFonts w:ascii="Times New Roman" w:cs="Times New Roman" w:eastAsia="Times New Roman" w:hAnsi="Times New Roman"/>
                <w:sz w:val="13"/>
                <w:szCs w:val="13"/>
                <w:color w:val="auto"/>
              </w:rPr>
              <w:t>Average outstanding balance</w:t>
            </w:r>
          </w:p>
        </w:tc>
        <w:tc>
          <w:tcPr>
            <w:tcW w:w="340" w:type="dxa"/>
            <w:vAlign w:val="bottom"/>
            <w:shd w:val="clear" w:color="auto" w:fill="CFF0FC"/>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116,548</w:t>
            </w: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40" w:type="dxa"/>
            <w:vAlign w:val="bottom"/>
            <w:shd w:val="clear" w:color="auto" w:fill="CFF0FC"/>
          </w:tcPr>
          <w:p>
            <w:pPr>
              <w:jc w:val="right"/>
              <w:ind w:right="19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80,136</w:t>
            </w: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ind w:right="33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88,821</w:t>
            </w:r>
          </w:p>
        </w:tc>
        <w:tc>
          <w:tcPr>
            <w:tcW w:w="120" w:type="dxa"/>
            <w:vAlign w:val="bottom"/>
            <w:shd w:val="clear" w:color="auto" w:fill="CFF0FC"/>
          </w:tcPr>
          <w:p>
            <w:pPr>
              <w:spacing w:after="0"/>
              <w:rPr>
                <w:sz w:val="11"/>
                <w:szCs w:val="11"/>
                <w:color w:val="auto"/>
              </w:rPr>
            </w:pPr>
          </w:p>
        </w:tc>
      </w:tr>
      <w:tr>
        <w:trPr>
          <w:trHeight w:val="172"/>
        </w:trPr>
        <w:tc>
          <w:tcPr>
            <w:tcW w:w="54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Average stated interest rate</w:t>
            </w:r>
          </w:p>
        </w:tc>
        <w:tc>
          <w:tcPr>
            <w:tcW w:w="34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7.67 %</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7.84 %</w:t>
            </w:r>
          </w:p>
        </w:tc>
        <w:tc>
          <w:tcPr>
            <w:tcW w:w="48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4.53 %</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2018-2 Secured Notes</w:t>
      </w:r>
    </w:p>
    <w:p>
      <w:pPr>
        <w:spacing w:after="0" w:line="105" w:lineRule="exact"/>
        <w:rPr>
          <w:sz w:val="20"/>
          <w:szCs w:val="20"/>
          <w:color w:val="auto"/>
        </w:rPr>
      </w:pPr>
    </w:p>
    <w:p>
      <w:pPr>
        <w:ind w:right="100" w:firstLine="348"/>
        <w:spacing w:after="0" w:line="268" w:lineRule="auto"/>
        <w:rPr>
          <w:sz w:val="20"/>
          <w:szCs w:val="20"/>
          <w:color w:val="auto"/>
        </w:rPr>
      </w:pPr>
      <w:r>
        <w:rPr>
          <w:rFonts w:ascii="Times New Roman" w:cs="Times New Roman" w:eastAsia="Times New Roman" w:hAnsi="Times New Roman"/>
          <w:sz w:val="13"/>
          <w:szCs w:val="13"/>
          <w:color w:val="auto"/>
        </w:rPr>
        <w:t>On October 28, 2020, the Company completed the GARS Acquisition, pursuant to the terms and conditions of the GARS Merger Agreement. In connection therewith, the Company now consolidates the financial statements the 2018-2 CLO a $420.0 million par value CLO facility. On the date of the transaction the debt assumed was recognized at fair value, resulting in a $2.4 million discount which is amortized over the remaining term of the borrowings.</w:t>
      </w:r>
    </w:p>
    <w:p>
      <w:pPr>
        <w:spacing w:after="0" w:line="63" w:lineRule="exact"/>
        <w:rPr>
          <w:sz w:val="20"/>
          <w:szCs w:val="20"/>
          <w:color w:val="auto"/>
        </w:rPr>
      </w:pPr>
    </w:p>
    <w:p>
      <w:pPr>
        <w:ind w:right="20" w:firstLine="348"/>
        <w:spacing w:after="0" w:line="253" w:lineRule="auto"/>
        <w:rPr>
          <w:sz w:val="20"/>
          <w:szCs w:val="20"/>
          <w:color w:val="auto"/>
        </w:rPr>
      </w:pPr>
      <w:r>
        <w:rPr>
          <w:rFonts w:ascii="Times New Roman" w:cs="Times New Roman" w:eastAsia="Times New Roman" w:hAnsi="Times New Roman"/>
          <w:sz w:val="13"/>
          <w:szCs w:val="13"/>
          <w:color w:val="auto"/>
        </w:rPr>
        <w:t>The CLO was executed by GF 2018-2 (the “Issuer”) and Portman Ridge Funding 2018-2 LLC (formerly known as Garrison Funding 2018- 2 LLC, together with the Issuer, the “Co-Issuers”) who issued $312.0 million of senior secured notes (collectively referred to as the “2018-2 Secured Notes” individually defined above in the table) and $108.0 million of subordinated notes (the “2018-2 Subordinated Notes” and, together with the 2018-2 Secured Notes, the “2018-2 Notes”) backed by a diversified portfolio of primarily senior secured loans. The Company owns all $108.0 million of the 2018-2 Subordinated Notes and $18.3 million of the Class B-R Notes and serves as collateral manager for the Co-Issuers. The Company is entitled to receive interest from the Class B-R Notes, distributions from the 2018-2 Subordinated Notes and fees for serving as collateral manager in accordance with the CLO’s governing documents and to the extent funds are available for such purposes. However, as a result of retaining all of the 2018-2 Subordinated Notes, the Company consolidates the accounts of the Co-Issuers into its financial statements and all transactions between the Company and the Co-Issuers are eliminated on consolidation. As a result of this consolidation, the 2018-2 Secured Notes issued by the CLO is treated as the Company’s indebtedness, except any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2018-2 Secured Notes owned by the Company, which are eliminated in consolidation. The 2018-2 Notes are scheduled to mature on November 20, 2029, however the Co-Issuers may redeem the</w:t>
      </w:r>
    </w:p>
    <w:p>
      <w:pPr>
        <w:spacing w:after="0" w:line="7"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3"/>
          <w:szCs w:val="13"/>
          <w:color w:val="auto"/>
        </w:rPr>
        <w:t>2018- 2 Notes on any business day after November 20, 2020. The indenture governing the 2018-2 Notes provides that, to the extent cash is available from cash collections, the holders of the 2018-2 Notes are to receive quarterly interest payments on the 20th day or, if not a business day, the next succeeding business day of February, May, August and November of each year until the stated maturity or earlier redemption. On July 18, 2019, $25.0 million outstanding of the aggregate $50.0 million Class A-1 R-R Notes available under the CLO converted to Class A-1</w:t>
      </w:r>
    </w:p>
    <w:p>
      <w:pPr>
        <w:spacing w:after="0" w:line="8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1"/>
          <w:szCs w:val="11"/>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PORTMAN RIDGE FINANCE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17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3"/>
          <w:szCs w:val="13"/>
          <w:color w:val="auto"/>
        </w:rPr>
        <w:t>T-R Notes. On November 18, 2022, the Company drew $14.3 million of the $25.0 million unfunded Class A-1 R-R Notes. The Reinvestment Period ended on November 20, 2022, and the remaining amount of the unfunded Class A-1 R-R Notes terminated.</w:t>
      </w:r>
    </w:p>
    <w:p>
      <w:pPr>
        <w:spacing w:after="0" w:line="52" w:lineRule="exact"/>
        <w:rPr>
          <w:sz w:val="20"/>
          <w:szCs w:val="20"/>
          <w:color w:val="auto"/>
        </w:rPr>
      </w:pPr>
    </w:p>
    <w:p>
      <w:pPr>
        <w:ind w:right="500" w:firstLine="348"/>
        <w:spacing w:after="0" w:line="286" w:lineRule="auto"/>
        <w:rPr>
          <w:sz w:val="20"/>
          <w:szCs w:val="20"/>
          <w:color w:val="auto"/>
        </w:rPr>
      </w:pPr>
      <w:r>
        <w:rPr>
          <w:rFonts w:ascii="Times New Roman" w:cs="Times New Roman" w:eastAsia="Times New Roman" w:hAnsi="Times New Roman"/>
          <w:sz w:val="13"/>
          <w:szCs w:val="13"/>
          <w:color w:val="auto"/>
        </w:rPr>
        <w:t>During the first quarter of 2021, the Company redeemed approximately $88.0 million of the 2018-2 Secured Notes. In connection therewith, the Company recognized a realized loss on extinguishment of debt of approximately $0.9 million.</w:t>
      </w:r>
    </w:p>
    <w:p>
      <w:pPr>
        <w:spacing w:after="0" w:line="52" w:lineRule="exact"/>
        <w:rPr>
          <w:sz w:val="20"/>
          <w:szCs w:val="20"/>
          <w:color w:val="auto"/>
        </w:rPr>
      </w:pPr>
    </w:p>
    <w:p>
      <w:pPr>
        <w:ind w:right="80" w:firstLine="348"/>
        <w:spacing w:after="0" w:line="286" w:lineRule="auto"/>
        <w:rPr>
          <w:sz w:val="20"/>
          <w:szCs w:val="20"/>
          <w:color w:val="auto"/>
        </w:rPr>
      </w:pPr>
      <w:r>
        <w:rPr>
          <w:rFonts w:ascii="Times New Roman" w:cs="Times New Roman" w:eastAsia="Times New Roman" w:hAnsi="Times New Roman"/>
          <w:sz w:val="13"/>
          <w:szCs w:val="13"/>
          <w:color w:val="auto"/>
        </w:rPr>
        <w:t>During the year ended December 31, 2023, the Company redeemed approximately $52.5 million of the par value of 2018-2 Secured Notes. In connection therewith, the Company recognized a realized loss on extinguishment of approximately $0.4 million.</w:t>
      </w:r>
    </w:p>
    <w:p>
      <w:pPr>
        <w:spacing w:after="0" w:line="52" w:lineRule="exact"/>
        <w:rPr>
          <w:sz w:val="20"/>
          <w:szCs w:val="20"/>
          <w:color w:val="auto"/>
        </w:rPr>
      </w:pPr>
    </w:p>
    <w:p>
      <w:pPr>
        <w:jc w:val="both"/>
        <w:ind w:right="180" w:firstLine="348"/>
        <w:spacing w:after="0" w:line="268" w:lineRule="auto"/>
        <w:rPr>
          <w:sz w:val="20"/>
          <w:szCs w:val="20"/>
          <w:color w:val="auto"/>
        </w:rPr>
      </w:pPr>
      <w:r>
        <w:rPr>
          <w:rFonts w:ascii="Times New Roman" w:cs="Times New Roman" w:eastAsia="Times New Roman" w:hAnsi="Times New Roman"/>
          <w:sz w:val="13"/>
          <w:szCs w:val="13"/>
          <w:color w:val="auto"/>
        </w:rPr>
        <w:t>On August 20, 2024, an optional redemption of the CLO occurred and all rated notes were repaid in full. As of December 31, 2024, no 2018-2 Secured Notes were outstanding. Accordingly, during 2024 the Company redeemed approximately $125.7 million of the par value of 2018-2 Secured Notes. In connection therewith, the Company recognized a realized loss on extinguishment of approximately $0.7 million.</w:t>
      </w:r>
    </w:p>
    <w:p>
      <w:pPr>
        <w:spacing w:after="0" w:line="63" w:lineRule="exact"/>
        <w:rPr>
          <w:sz w:val="20"/>
          <w:szCs w:val="20"/>
          <w:color w:val="auto"/>
        </w:rPr>
      </w:pPr>
    </w:p>
    <w:p>
      <w:pPr>
        <w:ind w:right="400" w:firstLine="348"/>
        <w:spacing w:after="0" w:line="286" w:lineRule="auto"/>
        <w:rPr>
          <w:sz w:val="20"/>
          <w:szCs w:val="20"/>
          <w:color w:val="auto"/>
        </w:rPr>
      </w:pPr>
      <w:r>
        <w:rPr>
          <w:rFonts w:ascii="Times New Roman" w:cs="Times New Roman" w:eastAsia="Times New Roman" w:hAnsi="Times New Roman"/>
          <w:sz w:val="13"/>
          <w:szCs w:val="13"/>
          <w:color w:val="auto"/>
        </w:rPr>
        <w:t>The fair value of the 2018-2 Notes approximated their carrying value on the consolidated statements of financial condition and are categorized as Level III under the ASC 820 Fair Value Hierarchy. The fair value of the Company's outstanding 2018-2 Notes was approximately $125.0 million at December 31, 2023.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8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 in thousands)</w:t>
            </w:r>
          </w:p>
        </w:tc>
        <w:tc>
          <w:tcPr>
            <w:tcW w:w="6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40" w:type="dxa"/>
            <w:vAlign w:val="bottom"/>
            <w:vMerge w:val="restart"/>
          </w:tcPr>
          <w:p>
            <w:pPr>
              <w:ind w:left="580"/>
              <w:spacing w:after="0"/>
              <w:rPr>
                <w:sz w:val="20"/>
                <w:szCs w:val="20"/>
                <w:color w:val="auto"/>
              </w:rPr>
            </w:pPr>
            <w:r>
              <w:rPr>
                <w:rFonts w:ascii="Times New Roman" w:cs="Times New Roman" w:eastAsia="Times New Roman" w:hAnsi="Times New Roman"/>
                <w:sz w:val="13"/>
                <w:szCs w:val="13"/>
                <w:b w:val="1"/>
                <w:bCs w:val="1"/>
                <w:color w:val="auto"/>
              </w:rPr>
              <w:t>Stated</w:t>
            </w:r>
          </w:p>
        </w:tc>
        <w:tc>
          <w:tcPr>
            <w:tcW w:w="0" w:type="dxa"/>
            <w:vAlign w:val="bottom"/>
          </w:tcPr>
          <w:p>
            <w:pPr>
              <w:spacing w:after="0"/>
              <w:rPr>
                <w:sz w:val="1"/>
                <w:szCs w:val="1"/>
                <w:color w:val="auto"/>
              </w:rPr>
            </w:pPr>
          </w:p>
        </w:tc>
      </w:tr>
      <w:tr>
        <w:trPr>
          <w:trHeight w:val="127"/>
        </w:trPr>
        <w:tc>
          <w:tcPr>
            <w:tcW w:w="1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640" w:type="dxa"/>
            <w:vAlign w:val="bottom"/>
          </w:tcPr>
          <w:p>
            <w:pPr>
              <w:spacing w:after="0"/>
              <w:rPr>
                <w:sz w:val="14"/>
                <w:szCs w:val="14"/>
                <w:color w:val="auto"/>
              </w:rPr>
            </w:pPr>
          </w:p>
        </w:tc>
        <w:tc>
          <w:tcPr>
            <w:tcW w:w="174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Amortized Carrying Value</w:t>
            </w:r>
          </w:p>
        </w:tc>
        <w:tc>
          <w:tcPr>
            <w:tcW w:w="120" w:type="dxa"/>
            <w:vAlign w:val="bottom"/>
          </w:tcPr>
          <w:p>
            <w:pPr>
              <w:spacing w:after="0"/>
              <w:rPr>
                <w:sz w:val="14"/>
                <w:szCs w:val="14"/>
                <w:color w:val="auto"/>
              </w:rPr>
            </w:pPr>
          </w:p>
        </w:tc>
        <w:tc>
          <w:tcPr>
            <w:tcW w:w="178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Outstanding Principal at Par</w:t>
            </w:r>
          </w:p>
        </w:tc>
        <w:tc>
          <w:tcPr>
            <w:tcW w:w="1780" w:type="dxa"/>
            <w:vAlign w:val="bottom"/>
          </w:tcPr>
          <w:p>
            <w:pPr>
              <w:jc w:val="center"/>
              <w:ind w:right="194"/>
              <w:spacing w:after="0" w:line="168" w:lineRule="exact"/>
              <w:rPr>
                <w:sz w:val="20"/>
                <w:szCs w:val="20"/>
                <w:color w:val="auto"/>
              </w:rPr>
            </w:pPr>
            <w:r>
              <w:rPr>
                <w:rFonts w:ascii="Times New Roman" w:cs="Times New Roman" w:eastAsia="Times New Roman" w:hAnsi="Times New Roman"/>
                <w:sz w:val="13"/>
                <w:szCs w:val="13"/>
                <w:b w:val="1"/>
                <w:bCs w:val="1"/>
                <w:color w:val="auto"/>
                <w:w w:val="93"/>
              </w:rPr>
              <w:t xml:space="preserve">Spread </w:t>
            </w:r>
            <w:r>
              <w:rPr>
                <w:rFonts w:ascii="Times New Roman" w:cs="Times New Roman" w:eastAsia="Times New Roman" w:hAnsi="Times New Roman"/>
                <w:sz w:val="16"/>
                <w:szCs w:val="16"/>
                <w:b w:val="1"/>
                <w:bCs w:val="1"/>
                <w:color w:val="auto"/>
                <w:w w:val="93"/>
                <w:vertAlign w:val="superscript"/>
              </w:rPr>
              <w:t>(4)</w:t>
            </w:r>
          </w:p>
        </w:tc>
        <w:tc>
          <w:tcPr>
            <w:tcW w:w="1260" w:type="dxa"/>
            <w:vAlign w:val="bottom"/>
          </w:tcPr>
          <w:p>
            <w:pPr>
              <w:jc w:val="center"/>
              <w:ind w:right="74"/>
              <w:spacing w:after="0" w:line="168" w:lineRule="exact"/>
              <w:rPr>
                <w:sz w:val="20"/>
                <w:szCs w:val="20"/>
                <w:color w:val="auto"/>
              </w:rPr>
            </w:pPr>
            <w:r>
              <w:rPr>
                <w:rFonts w:ascii="Times New Roman" w:cs="Times New Roman" w:eastAsia="Times New Roman" w:hAnsi="Times New Roman"/>
                <w:sz w:val="13"/>
                <w:szCs w:val="13"/>
                <w:b w:val="1"/>
                <w:bCs w:val="1"/>
                <w:color w:val="auto"/>
                <w:w w:val="95"/>
              </w:rPr>
              <w:t>Rating</w:t>
            </w:r>
            <w:r>
              <w:rPr>
                <w:rFonts w:ascii="Times New Roman" w:cs="Times New Roman" w:eastAsia="Times New Roman" w:hAnsi="Times New Roman"/>
                <w:sz w:val="16"/>
                <w:szCs w:val="16"/>
                <w:color w:val="auto"/>
                <w:w w:val="95"/>
                <w:vertAlign w:val="superscript"/>
              </w:rPr>
              <w:t>(1)</w:t>
            </w:r>
          </w:p>
        </w:tc>
        <w:tc>
          <w:tcPr>
            <w:tcW w:w="1440" w:type="dxa"/>
            <w:vAlign w:val="bottom"/>
          </w:tcPr>
          <w:p>
            <w:pPr>
              <w:ind w:left="460"/>
              <w:spacing w:after="0" w:line="168" w:lineRule="exact"/>
              <w:rPr>
                <w:sz w:val="20"/>
                <w:szCs w:val="20"/>
                <w:color w:val="auto"/>
              </w:rPr>
            </w:pPr>
            <w:r>
              <w:rPr>
                <w:rFonts w:ascii="Times New Roman" w:cs="Times New Roman" w:eastAsia="Times New Roman" w:hAnsi="Times New Roman"/>
                <w:sz w:val="13"/>
                <w:szCs w:val="13"/>
                <w:b w:val="1"/>
                <w:bCs w:val="1"/>
                <w:color w:val="auto"/>
              </w:rPr>
              <w:t>Maturity</w:t>
            </w:r>
            <w:r>
              <w:rPr>
                <w:rFonts w:ascii="Times New Roman" w:cs="Times New Roman" w:eastAsia="Times New Roman" w:hAnsi="Times New Roman"/>
                <w:sz w:val="16"/>
                <w:szCs w:val="16"/>
                <w:b w:val="1"/>
                <w:bCs w:val="1"/>
                <w:color w:val="auto"/>
                <w:vertAlign w:val="superscript"/>
              </w:rPr>
              <w:t>(2)</w:t>
            </w:r>
          </w:p>
        </w:tc>
        <w:tc>
          <w:tcPr>
            <w:tcW w:w="0" w:type="dxa"/>
            <w:vAlign w:val="bottom"/>
          </w:tcPr>
          <w:p>
            <w:pPr>
              <w:spacing w:after="0"/>
              <w:rPr>
                <w:sz w:val="1"/>
                <w:szCs w:val="1"/>
                <w:color w:val="auto"/>
              </w:rPr>
            </w:pPr>
          </w:p>
        </w:tc>
      </w:tr>
      <w:tr>
        <w:trPr>
          <w:trHeight w:val="158"/>
        </w:trPr>
        <w:tc>
          <w:tcPr>
            <w:tcW w:w="1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2018-2 Secured Notes:</w:t>
            </w:r>
          </w:p>
        </w:tc>
        <w:tc>
          <w:tcPr>
            <w:tcW w:w="6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780" w:type="dxa"/>
            <w:vAlign w:val="bottom"/>
            <w:vMerge w:val="restart"/>
          </w:tcPr>
          <w:p>
            <w:pPr>
              <w:jc w:val="center"/>
              <w:ind w:right="174"/>
              <w:spacing w:after="0"/>
              <w:rPr>
                <w:sz w:val="20"/>
                <w:szCs w:val="20"/>
                <w:color w:val="auto"/>
              </w:rPr>
            </w:pPr>
            <w:r>
              <w:rPr>
                <w:rFonts w:ascii="Times New Roman" w:cs="Times New Roman" w:eastAsia="Times New Roman" w:hAnsi="Times New Roman"/>
                <w:sz w:val="13"/>
                <w:szCs w:val="13"/>
                <w:color w:val="auto"/>
                <w:w w:val="98"/>
              </w:rPr>
              <w:t>Reference Rate + 1.58%</w:t>
            </w:r>
            <w:r>
              <w:rPr>
                <w:rFonts w:ascii="Times New Roman" w:cs="Times New Roman" w:eastAsia="Times New Roman" w:hAnsi="Times New Roman"/>
                <w:sz w:val="16"/>
                <w:szCs w:val="16"/>
                <w:color w:val="auto"/>
                <w:w w:val="98"/>
                <w:vertAlign w:val="superscript"/>
              </w:rPr>
              <w:t>(3)</w:t>
            </w:r>
          </w:p>
        </w:tc>
        <w:tc>
          <w:tcPr>
            <w:tcW w:w="1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8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Class A-1R-R Notes</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12,818</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7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12,922</w:t>
            </w:r>
          </w:p>
        </w:tc>
        <w:tc>
          <w:tcPr>
            <w:tcW w:w="1780" w:type="dxa"/>
            <w:vAlign w:val="bottom"/>
            <w:vMerge w:val="continue"/>
          </w:tcPr>
          <w:p>
            <w:pPr>
              <w:spacing w:after="0"/>
              <w:rPr>
                <w:sz w:val="14"/>
                <w:szCs w:val="14"/>
                <w:color w:val="auto"/>
              </w:rPr>
            </w:pPr>
          </w:p>
        </w:tc>
        <w:tc>
          <w:tcPr>
            <w:tcW w:w="1260" w:type="dxa"/>
            <w:vAlign w:val="bottom"/>
          </w:tcPr>
          <w:p>
            <w:pPr>
              <w:jc w:val="center"/>
              <w:ind w:right="94"/>
              <w:spacing w:after="0"/>
              <w:rPr>
                <w:sz w:val="20"/>
                <w:szCs w:val="20"/>
                <w:color w:val="auto"/>
              </w:rPr>
            </w:pPr>
            <w:r>
              <w:rPr>
                <w:rFonts w:ascii="Times New Roman" w:cs="Times New Roman" w:eastAsia="Times New Roman" w:hAnsi="Times New Roman"/>
                <w:sz w:val="13"/>
                <w:szCs w:val="13"/>
                <w:color w:val="auto"/>
                <w:w w:val="99"/>
              </w:rPr>
              <w:t>AAA(sf)</w:t>
            </w:r>
          </w:p>
        </w:tc>
        <w:tc>
          <w:tcPr>
            <w:tcW w:w="144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11/20/2029</w:t>
            </w:r>
          </w:p>
        </w:tc>
        <w:tc>
          <w:tcPr>
            <w:tcW w:w="0" w:type="dxa"/>
            <w:vAlign w:val="bottom"/>
          </w:tcPr>
          <w:p>
            <w:pPr>
              <w:spacing w:after="0"/>
              <w:rPr>
                <w:sz w:val="1"/>
                <w:szCs w:val="1"/>
                <w:color w:val="auto"/>
              </w:rPr>
            </w:pPr>
          </w:p>
        </w:tc>
      </w:tr>
      <w:tr>
        <w:trPr>
          <w:trHeight w:val="156"/>
        </w:trPr>
        <w:tc>
          <w:tcPr>
            <w:tcW w:w="1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Class A-1T-R Notes</w:t>
            </w:r>
          </w:p>
        </w:tc>
        <w:tc>
          <w:tcPr>
            <w:tcW w:w="640" w:type="dxa"/>
            <w:vAlign w:val="bottom"/>
            <w:shd w:val="clear" w:color="auto" w:fill="CFF0FC"/>
          </w:tcPr>
          <w:p>
            <w:pPr>
              <w:spacing w:after="0"/>
              <w:rPr>
                <w:sz w:val="13"/>
                <w:szCs w:val="13"/>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39,369</w:t>
            </w:r>
          </w:p>
        </w:tc>
        <w:tc>
          <w:tcPr>
            <w:tcW w:w="120" w:type="dxa"/>
            <w:vAlign w:val="bottom"/>
            <w:shd w:val="clear" w:color="auto" w:fill="CFF0FC"/>
          </w:tcPr>
          <w:p>
            <w:pPr>
              <w:spacing w:after="0"/>
              <w:rPr>
                <w:sz w:val="13"/>
                <w:szCs w:val="13"/>
                <w:color w:val="auto"/>
              </w:rPr>
            </w:pPr>
          </w:p>
        </w:tc>
        <w:tc>
          <w:tcPr>
            <w:tcW w:w="17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39,411</w:t>
            </w:r>
          </w:p>
        </w:tc>
        <w:tc>
          <w:tcPr>
            <w:tcW w:w="1780" w:type="dxa"/>
            <w:vAlign w:val="bottom"/>
            <w:shd w:val="clear" w:color="auto" w:fill="CFF0FC"/>
          </w:tcPr>
          <w:p>
            <w:pPr>
              <w:jc w:val="center"/>
              <w:ind w:right="194"/>
              <w:spacing w:after="0"/>
              <w:rPr>
                <w:sz w:val="20"/>
                <w:szCs w:val="20"/>
                <w:color w:val="auto"/>
              </w:rPr>
            </w:pPr>
            <w:r>
              <w:rPr>
                <w:rFonts w:ascii="Times New Roman" w:cs="Times New Roman" w:eastAsia="Times New Roman" w:hAnsi="Times New Roman"/>
                <w:sz w:val="13"/>
                <w:szCs w:val="13"/>
                <w:color w:val="auto"/>
              </w:rPr>
              <w:t>Reference Rate + 1.58%</w:t>
            </w:r>
          </w:p>
        </w:tc>
        <w:tc>
          <w:tcPr>
            <w:tcW w:w="1260" w:type="dxa"/>
            <w:vAlign w:val="bottom"/>
            <w:shd w:val="clear" w:color="auto" w:fill="CFF0FC"/>
          </w:tcPr>
          <w:p>
            <w:pPr>
              <w:jc w:val="center"/>
              <w:ind w:right="94"/>
              <w:spacing w:after="0"/>
              <w:rPr>
                <w:sz w:val="20"/>
                <w:szCs w:val="20"/>
                <w:color w:val="auto"/>
              </w:rPr>
            </w:pPr>
            <w:r>
              <w:rPr>
                <w:rFonts w:ascii="Times New Roman" w:cs="Times New Roman" w:eastAsia="Times New Roman" w:hAnsi="Times New Roman"/>
                <w:sz w:val="13"/>
                <w:szCs w:val="13"/>
                <w:color w:val="auto"/>
                <w:w w:val="99"/>
              </w:rPr>
              <w:t>AAA(sf)</w:t>
            </w:r>
          </w:p>
        </w:tc>
        <w:tc>
          <w:tcPr>
            <w:tcW w:w="14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3"/>
                <w:szCs w:val="13"/>
                <w:color w:val="auto"/>
              </w:rPr>
              <w:t>11/20/2029</w:t>
            </w:r>
          </w:p>
        </w:tc>
        <w:tc>
          <w:tcPr>
            <w:tcW w:w="0" w:type="dxa"/>
            <w:vAlign w:val="bottom"/>
          </w:tcPr>
          <w:p>
            <w:pPr>
              <w:spacing w:after="0"/>
              <w:rPr>
                <w:sz w:val="1"/>
                <w:szCs w:val="1"/>
                <w:color w:val="auto"/>
              </w:rPr>
            </w:pPr>
          </w:p>
        </w:tc>
      </w:tr>
      <w:tr>
        <w:trPr>
          <w:trHeight w:val="156"/>
        </w:trPr>
        <w:tc>
          <w:tcPr>
            <w:tcW w:w="18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Class A-2-R Notes</w:t>
            </w:r>
          </w:p>
        </w:tc>
        <w:tc>
          <w:tcPr>
            <w:tcW w:w="64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54,681</w:t>
            </w:r>
          </w:p>
        </w:tc>
        <w:tc>
          <w:tcPr>
            <w:tcW w:w="120" w:type="dxa"/>
            <w:vAlign w:val="bottom"/>
          </w:tcPr>
          <w:p>
            <w:pPr>
              <w:spacing w:after="0"/>
              <w:rPr>
                <w:sz w:val="13"/>
                <w:szCs w:val="13"/>
                <w:color w:val="auto"/>
              </w:rPr>
            </w:pPr>
          </w:p>
        </w:tc>
        <w:tc>
          <w:tcPr>
            <w:tcW w:w="17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55,100</w:t>
            </w:r>
          </w:p>
        </w:tc>
        <w:tc>
          <w:tcPr>
            <w:tcW w:w="1780" w:type="dxa"/>
            <w:vAlign w:val="bottom"/>
          </w:tcPr>
          <w:p>
            <w:pPr>
              <w:jc w:val="center"/>
              <w:ind w:right="194"/>
              <w:spacing w:after="0"/>
              <w:rPr>
                <w:sz w:val="20"/>
                <w:szCs w:val="20"/>
                <w:color w:val="auto"/>
              </w:rPr>
            </w:pPr>
            <w:r>
              <w:rPr>
                <w:rFonts w:ascii="Times New Roman" w:cs="Times New Roman" w:eastAsia="Times New Roman" w:hAnsi="Times New Roman"/>
                <w:sz w:val="13"/>
                <w:szCs w:val="13"/>
                <w:color w:val="auto"/>
              </w:rPr>
              <w:t>Reference Rate + 2.45%</w:t>
            </w:r>
          </w:p>
        </w:tc>
        <w:tc>
          <w:tcPr>
            <w:tcW w:w="1260" w:type="dxa"/>
            <w:vAlign w:val="bottom"/>
          </w:tcPr>
          <w:p>
            <w:pPr>
              <w:jc w:val="center"/>
              <w:ind w:right="74"/>
              <w:spacing w:after="0"/>
              <w:rPr>
                <w:sz w:val="20"/>
                <w:szCs w:val="20"/>
                <w:color w:val="auto"/>
              </w:rPr>
            </w:pPr>
            <w:r>
              <w:rPr>
                <w:rFonts w:ascii="Times New Roman" w:cs="Times New Roman" w:eastAsia="Times New Roman" w:hAnsi="Times New Roman"/>
                <w:sz w:val="13"/>
                <w:szCs w:val="13"/>
                <w:color w:val="auto"/>
                <w:w w:val="99"/>
              </w:rPr>
              <w:t>AA (sf)</w:t>
            </w:r>
          </w:p>
        </w:tc>
        <w:tc>
          <w:tcPr>
            <w:tcW w:w="144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11/20/2029</w:t>
            </w:r>
          </w:p>
        </w:tc>
        <w:tc>
          <w:tcPr>
            <w:tcW w:w="0" w:type="dxa"/>
            <w:vAlign w:val="bottom"/>
          </w:tcPr>
          <w:p>
            <w:pPr>
              <w:spacing w:after="0"/>
              <w:rPr>
                <w:sz w:val="1"/>
                <w:szCs w:val="1"/>
                <w:color w:val="auto"/>
              </w:rPr>
            </w:pPr>
          </w:p>
        </w:tc>
      </w:tr>
      <w:tr>
        <w:trPr>
          <w:trHeight w:val="156"/>
        </w:trPr>
        <w:tc>
          <w:tcPr>
            <w:tcW w:w="1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Class B-R Notes</w:t>
            </w:r>
          </w:p>
        </w:tc>
        <w:tc>
          <w:tcPr>
            <w:tcW w:w="640" w:type="dxa"/>
            <w:vAlign w:val="bottom"/>
            <w:shd w:val="clear" w:color="auto" w:fill="CFF0FC"/>
          </w:tcPr>
          <w:p>
            <w:pPr>
              <w:spacing w:after="0"/>
              <w:rPr>
                <w:sz w:val="13"/>
                <w:szCs w:val="13"/>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18,103</w:t>
            </w:r>
          </w:p>
        </w:tc>
        <w:tc>
          <w:tcPr>
            <w:tcW w:w="120" w:type="dxa"/>
            <w:vAlign w:val="bottom"/>
            <w:shd w:val="clear" w:color="auto" w:fill="CFF0FC"/>
          </w:tcPr>
          <w:p>
            <w:pPr>
              <w:spacing w:after="0"/>
              <w:rPr>
                <w:sz w:val="13"/>
                <w:szCs w:val="13"/>
                <w:color w:val="auto"/>
              </w:rPr>
            </w:pPr>
          </w:p>
        </w:tc>
        <w:tc>
          <w:tcPr>
            <w:tcW w:w="17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18,250</w:t>
            </w:r>
          </w:p>
        </w:tc>
        <w:tc>
          <w:tcPr>
            <w:tcW w:w="1780" w:type="dxa"/>
            <w:vAlign w:val="bottom"/>
            <w:shd w:val="clear" w:color="auto" w:fill="CFF0FC"/>
          </w:tcPr>
          <w:p>
            <w:pPr>
              <w:jc w:val="center"/>
              <w:ind w:right="194"/>
              <w:spacing w:after="0"/>
              <w:rPr>
                <w:sz w:val="20"/>
                <w:szCs w:val="20"/>
                <w:color w:val="auto"/>
              </w:rPr>
            </w:pPr>
            <w:r>
              <w:rPr>
                <w:rFonts w:ascii="Times New Roman" w:cs="Times New Roman" w:eastAsia="Times New Roman" w:hAnsi="Times New Roman"/>
                <w:sz w:val="13"/>
                <w:szCs w:val="13"/>
                <w:color w:val="auto"/>
              </w:rPr>
              <w:t>Reference Rate + 3.17%</w:t>
            </w:r>
          </w:p>
        </w:tc>
        <w:tc>
          <w:tcPr>
            <w:tcW w:w="1260" w:type="dxa"/>
            <w:vAlign w:val="bottom"/>
            <w:shd w:val="clear" w:color="auto" w:fill="CFF0FC"/>
          </w:tcPr>
          <w:p>
            <w:pPr>
              <w:jc w:val="center"/>
              <w:ind w:right="94"/>
              <w:spacing w:after="0"/>
              <w:rPr>
                <w:sz w:val="20"/>
                <w:szCs w:val="20"/>
                <w:color w:val="auto"/>
              </w:rPr>
            </w:pPr>
            <w:r>
              <w:rPr>
                <w:rFonts w:ascii="Times New Roman" w:cs="Times New Roman" w:eastAsia="Times New Roman" w:hAnsi="Times New Roman"/>
                <w:sz w:val="13"/>
                <w:szCs w:val="13"/>
                <w:color w:val="auto"/>
                <w:w w:val="97"/>
              </w:rPr>
              <w:t>A (sf)</w:t>
            </w:r>
          </w:p>
        </w:tc>
        <w:tc>
          <w:tcPr>
            <w:tcW w:w="14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3"/>
                <w:szCs w:val="13"/>
                <w:color w:val="auto"/>
              </w:rPr>
              <w:t>11/20/2029</w:t>
            </w:r>
          </w:p>
        </w:tc>
        <w:tc>
          <w:tcPr>
            <w:tcW w:w="0" w:type="dxa"/>
            <w:vAlign w:val="bottom"/>
          </w:tcPr>
          <w:p>
            <w:pPr>
              <w:spacing w:after="0"/>
              <w:rPr>
                <w:sz w:val="1"/>
                <w:szCs w:val="1"/>
                <w:color w:val="auto"/>
              </w:rPr>
            </w:pPr>
          </w:p>
        </w:tc>
      </w:tr>
      <w:tr>
        <w:trPr>
          <w:trHeight w:val="184"/>
        </w:trPr>
        <w:tc>
          <w:tcPr>
            <w:tcW w:w="18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7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124,971</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7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125,683</w:t>
            </w:r>
          </w:p>
        </w:tc>
        <w:tc>
          <w:tcPr>
            <w:tcW w:w="17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(1)Represents ratings from each of S&amp;P and DBRS for the Class A-1 R-R Notes and the Class A-1 T-R Notes and from S&amp;P for the Class A-2-R Notes and Class B-R Notes as of the closing of the CLO on October 18, 2018.</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(2)The indenture governing our CLO permits the repricing or refinancing of the secured notes after November 20, 2020, which may result in the redemption of the outstanding notes occurring prior to their stated maturity.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(3)Interest may be indexed to either the CP Rate (as defined in the governing indenture) or Reference Rate.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(4)Reference rate is defined as the sum of the Term SOFR Rate plus 0.26161%, or 5.63% as of December 31, 2023.</w:t>
      </w:r>
    </w:p>
    <w:p>
      <w:pPr>
        <w:spacing w:after="0" w:line="246" w:lineRule="exact"/>
        <w:rPr>
          <w:sz w:val="20"/>
          <w:szCs w:val="20"/>
          <w:color w:val="auto"/>
        </w:rPr>
      </w:pPr>
    </w:p>
    <w:p>
      <w:pPr>
        <w:ind w:right="180" w:firstLine="348"/>
        <w:spacing w:after="0" w:line="286" w:lineRule="auto"/>
        <w:rPr>
          <w:sz w:val="20"/>
          <w:szCs w:val="20"/>
          <w:color w:val="auto"/>
        </w:rPr>
      </w:pPr>
      <w:r>
        <w:rPr>
          <w:rFonts w:ascii="Times New Roman" w:cs="Times New Roman" w:eastAsia="Times New Roman" w:hAnsi="Times New Roman"/>
          <w:sz w:val="13"/>
          <w:szCs w:val="13"/>
          <w:color w:val="auto"/>
        </w:rPr>
        <w:t>The following table summarizes the interest expense, amortization of original issue discount, average outstanding balance, and average stated interest rate on the 2018-2 secured notes for the years ended December 31, 2024, 2023 and 2022:</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gridSpan w:val="5"/>
          </w:tcPr>
          <w:p>
            <w:pPr>
              <w:jc w:val="right"/>
              <w:ind w:right="214"/>
              <w:spacing w:after="0"/>
              <w:rPr>
                <w:sz w:val="20"/>
                <w:szCs w:val="20"/>
                <w:color w:val="auto"/>
              </w:rPr>
            </w:pPr>
            <w:r>
              <w:rPr>
                <w:rFonts w:ascii="Times New Roman" w:cs="Times New Roman" w:eastAsia="Times New Roman" w:hAnsi="Times New Roman"/>
                <w:sz w:val="13"/>
                <w:szCs w:val="13"/>
                <w:color w:val="auto"/>
              </w:rPr>
              <w:t>For the Year Ended December 31,</w:t>
            </w: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4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in thousands)</w:t>
            </w:r>
          </w:p>
        </w:tc>
        <w:tc>
          <w:tcPr>
            <w:tcW w:w="340" w:type="dxa"/>
            <w:vAlign w:val="bottom"/>
          </w:tcPr>
          <w:p>
            <w:pPr>
              <w:spacing w:after="0"/>
              <w:rPr>
                <w:sz w:val="14"/>
                <w:szCs w:val="14"/>
                <w:color w:val="auto"/>
              </w:rPr>
            </w:pPr>
          </w:p>
        </w:tc>
        <w:tc>
          <w:tcPr>
            <w:tcW w:w="1120" w:type="dxa"/>
            <w:vAlign w:val="bottom"/>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tcPr>
          <w:p>
            <w:pPr>
              <w:jc w:val="right"/>
              <w:ind w:right="694"/>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Interest expense</w:t>
            </w:r>
          </w:p>
        </w:tc>
        <w:tc>
          <w:tcPr>
            <w:tcW w:w="340" w:type="dxa"/>
            <w:vAlign w:val="bottom"/>
            <w:shd w:val="clear" w:color="auto" w:fill="CFF0FC"/>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4,952</w:t>
            </w:r>
          </w:p>
        </w:tc>
        <w:tc>
          <w:tcPr>
            <w:tcW w:w="12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11,357</w:t>
            </w:r>
          </w:p>
        </w:tc>
        <w:tc>
          <w:tcPr>
            <w:tcW w:w="120" w:type="dxa"/>
            <w:vAlign w:val="bottom"/>
            <w:shd w:val="clear" w:color="auto" w:fill="CFF0FC"/>
          </w:tcPr>
          <w:p>
            <w:pPr>
              <w:spacing w:after="0"/>
              <w:rPr>
                <w:sz w:val="13"/>
                <w:szCs w:val="13"/>
                <w:color w:val="auto"/>
              </w:rPr>
            </w:pPr>
          </w:p>
        </w:tc>
        <w:tc>
          <w:tcPr>
            <w:tcW w:w="480" w:type="dxa"/>
            <w:vAlign w:val="bottom"/>
            <w:shd w:val="clear" w:color="auto" w:fill="CFF0FC"/>
          </w:tcPr>
          <w:p>
            <w:pPr>
              <w:jc w:val="right"/>
              <w:ind w:right="334"/>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6,736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Amortization of original issue discount</w:t>
            </w: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5440" w:type="dxa"/>
            <w:vAlign w:val="bottom"/>
            <w:vMerge w:val="restart"/>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Total interest and financing expenses</w:t>
            </w:r>
          </w:p>
        </w:tc>
        <w:tc>
          <w:tcPr>
            <w:tcW w:w="340" w:type="dxa"/>
            <w:vAlign w:val="bottom"/>
            <w:vMerge w:val="restart"/>
            <w:shd w:val="clear" w:color="auto" w:fill="CFF0FC"/>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5,009</w:t>
            </w:r>
          </w:p>
        </w:tc>
        <w:tc>
          <w:tcPr>
            <w:tcW w:w="120" w:type="dxa"/>
            <w:vAlign w:val="bottom"/>
            <w:shd w:val="clear" w:color="auto" w:fill="CFF0FC"/>
          </w:tcPr>
          <w:p>
            <w:pPr>
              <w:spacing w:after="0"/>
              <w:rPr>
                <w:sz w:val="14"/>
                <w:szCs w:val="14"/>
                <w:color w:val="auto"/>
              </w:rPr>
            </w:pPr>
          </w:p>
        </w:tc>
        <w:tc>
          <w:tcPr>
            <w:tcW w:w="20" w:type="dxa"/>
            <w:vAlign w:val="bottom"/>
            <w:vMerge w:val="restart"/>
            <w:shd w:val="clear" w:color="auto" w:fill="CFF0FC"/>
          </w:tcPr>
          <w:p>
            <w:pPr>
              <w:spacing w:after="0"/>
              <w:rPr>
                <w:sz w:val="14"/>
                <w:szCs w:val="14"/>
                <w:color w:val="auto"/>
              </w:rPr>
            </w:pPr>
          </w:p>
        </w:tc>
        <w:tc>
          <w:tcPr>
            <w:tcW w:w="340" w:type="dxa"/>
            <w:vAlign w:val="bottom"/>
            <w:vMerge w:val="restart"/>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11,508</w:t>
            </w:r>
          </w:p>
        </w:tc>
        <w:tc>
          <w:tcPr>
            <w:tcW w:w="120" w:type="dxa"/>
            <w:vAlign w:val="bottom"/>
            <w:shd w:val="clear" w:color="auto" w:fill="CFF0FC"/>
          </w:tcPr>
          <w:p>
            <w:pPr>
              <w:spacing w:after="0"/>
              <w:rPr>
                <w:sz w:val="14"/>
                <w:szCs w:val="14"/>
                <w:color w:val="auto"/>
              </w:rPr>
            </w:pPr>
          </w:p>
        </w:tc>
        <w:tc>
          <w:tcPr>
            <w:tcW w:w="480" w:type="dxa"/>
            <w:vAlign w:val="bottom"/>
            <w:vMerge w:val="restart"/>
            <w:shd w:val="clear" w:color="auto" w:fill="CFF0FC"/>
          </w:tcPr>
          <w:p>
            <w:pPr>
              <w:jc w:val="right"/>
              <w:ind w:right="334"/>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6,913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5440" w:type="dxa"/>
            <w:vAlign w:val="bottom"/>
            <w:tcBorders>
              <w:bottom w:val="single" w:sz="8" w:color="CFF0FC"/>
            </w:tcBorders>
            <w:vMerge w:val="continue"/>
            <w:shd w:val="clear" w:color="auto" w:fill="CFF0FC"/>
          </w:tcPr>
          <w:p>
            <w:pPr>
              <w:spacing w:after="0"/>
              <w:rPr>
                <w:sz w:val="11"/>
                <w:szCs w:val="11"/>
                <w:color w:val="auto"/>
              </w:rPr>
            </w:pPr>
          </w:p>
        </w:tc>
        <w:tc>
          <w:tcPr>
            <w:tcW w:w="340" w:type="dxa"/>
            <w:vAlign w:val="bottom"/>
            <w:tcBorders>
              <w:bottom w:val="single" w:sz="8" w:color="auto"/>
            </w:tcBorders>
            <w:vMerge w:val="continue"/>
            <w:shd w:val="clear" w:color="auto" w:fill="CFF0FC"/>
          </w:tcPr>
          <w:p>
            <w:pPr>
              <w:spacing w:after="0"/>
              <w:rPr>
                <w:sz w:val="11"/>
                <w:szCs w:val="11"/>
                <w:color w:val="auto"/>
              </w:rPr>
            </w:pPr>
          </w:p>
        </w:tc>
        <w:tc>
          <w:tcPr>
            <w:tcW w:w="112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vMerge w:val="continue"/>
            <w:shd w:val="clear" w:color="auto" w:fill="CFF0FC"/>
          </w:tcPr>
          <w:p>
            <w:pPr>
              <w:spacing w:after="0"/>
              <w:rPr>
                <w:sz w:val="11"/>
                <w:szCs w:val="11"/>
                <w:color w:val="auto"/>
              </w:rPr>
            </w:pPr>
          </w:p>
        </w:tc>
        <w:tc>
          <w:tcPr>
            <w:tcW w:w="340" w:type="dxa"/>
            <w:vAlign w:val="bottom"/>
            <w:tcBorders>
              <w:bottom w:val="single" w:sz="8" w:color="auto"/>
            </w:tcBorders>
            <w:vMerge w:val="continue"/>
            <w:shd w:val="clear" w:color="auto" w:fill="CFF0FC"/>
          </w:tcPr>
          <w:p>
            <w:pPr>
              <w:spacing w:after="0"/>
              <w:rPr>
                <w:sz w:val="11"/>
                <w:szCs w:val="11"/>
                <w:color w:val="auto"/>
              </w:rPr>
            </w:pPr>
          </w:p>
        </w:tc>
        <w:tc>
          <w:tcPr>
            <w:tcW w:w="1140" w:type="dxa"/>
            <w:vAlign w:val="bottom"/>
            <w:tcBorders>
              <w:bottom w:val="single" w:sz="8" w:color="auto"/>
            </w:tcBorders>
            <w:vMerge w:val="continue"/>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480" w:type="dxa"/>
            <w:vAlign w:val="bottom"/>
            <w:tcBorders>
              <w:bottom w:val="single" w:sz="8" w:color="auto"/>
            </w:tcBorders>
            <w:vMerge w:val="continue"/>
            <w:shd w:val="clear" w:color="auto" w:fill="CFF0FC"/>
          </w:tcPr>
          <w:p>
            <w:pPr>
              <w:spacing w:after="0"/>
              <w:rPr>
                <w:sz w:val="11"/>
                <w:szCs w:val="11"/>
                <w:color w:val="auto"/>
              </w:rPr>
            </w:pPr>
          </w:p>
        </w:tc>
        <w:tc>
          <w:tcPr>
            <w:tcW w:w="132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440" w:type="dxa"/>
            <w:vAlign w:val="bottom"/>
          </w:tcPr>
          <w:p>
            <w:pPr>
              <w:ind w:left="180"/>
              <w:spacing w:after="0" w:line="133" w:lineRule="exact"/>
              <w:rPr>
                <w:sz w:val="20"/>
                <w:szCs w:val="20"/>
                <w:color w:val="auto"/>
              </w:rPr>
            </w:pPr>
            <w:r>
              <w:rPr>
                <w:rFonts w:ascii="Times New Roman" w:cs="Times New Roman" w:eastAsia="Times New Roman" w:hAnsi="Times New Roman"/>
                <w:sz w:val="13"/>
                <w:szCs w:val="13"/>
                <w:color w:val="auto"/>
              </w:rPr>
              <w:t>Average outstanding balance</w:t>
            </w:r>
          </w:p>
        </w:tc>
        <w:tc>
          <w:tcPr>
            <w:tcW w:w="34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96,356</w:t>
            </w:r>
          </w:p>
        </w:tc>
        <w:tc>
          <w:tcPr>
            <w:tcW w:w="120" w:type="dxa"/>
            <w:vAlign w:val="bottom"/>
          </w:tcPr>
          <w:p>
            <w:pPr>
              <w:spacing w:after="0"/>
              <w:rPr>
                <w:sz w:val="11"/>
                <w:szCs w:val="11"/>
                <w:color w:val="auto"/>
              </w:rPr>
            </w:pPr>
          </w:p>
        </w:tc>
        <w:tc>
          <w:tcPr>
            <w:tcW w:w="360" w:type="dxa"/>
            <w:vAlign w:val="bottom"/>
            <w:gridSpan w:val="2"/>
          </w:tcPr>
          <w:p>
            <w:pPr>
              <w:jc w:val="right"/>
              <w:ind w:right="194"/>
              <w:spacing w:after="0" w:line="133"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153,330</w:t>
            </w:r>
          </w:p>
        </w:tc>
        <w:tc>
          <w:tcPr>
            <w:tcW w:w="120" w:type="dxa"/>
            <w:vAlign w:val="bottom"/>
          </w:tcPr>
          <w:p>
            <w:pPr>
              <w:spacing w:after="0"/>
              <w:rPr>
                <w:sz w:val="11"/>
                <w:szCs w:val="11"/>
                <w:color w:val="auto"/>
              </w:rPr>
            </w:pPr>
          </w:p>
        </w:tc>
        <w:tc>
          <w:tcPr>
            <w:tcW w:w="480" w:type="dxa"/>
            <w:vAlign w:val="bottom"/>
          </w:tcPr>
          <w:p>
            <w:pPr>
              <w:jc w:val="right"/>
              <w:ind w:right="33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187,661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5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Average stated interest rate</w:t>
            </w:r>
          </w:p>
        </w:tc>
        <w:tc>
          <w:tcPr>
            <w:tcW w:w="34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7.99 %</w:t>
            </w:r>
          </w:p>
        </w:tc>
        <w:tc>
          <w:tcPr>
            <w:tcW w:w="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7.35 %</w:t>
            </w:r>
          </w:p>
        </w:tc>
        <w:tc>
          <w:tcPr>
            <w:tcW w:w="48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3.51 %</w:t>
            </w:r>
          </w:p>
        </w:tc>
        <w:tc>
          <w:tcPr>
            <w:tcW w:w="0" w:type="dxa"/>
            <w:vAlign w:val="bottom"/>
          </w:tcPr>
          <w:p>
            <w:pPr>
              <w:spacing w:after="0"/>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Senior Securities</w:t>
      </w:r>
    </w:p>
    <w:p>
      <w:pPr>
        <w:spacing w:after="0" w:line="1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Information about the Company’s senior securities is shown as of the dates indicated in the below table (dollars in thousands, except per unit amounts).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3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580" w:type="dxa"/>
            <w:vAlign w:val="bottom"/>
          </w:tcPr>
          <w:p>
            <w:pPr>
              <w:jc w:val="center"/>
              <w:ind w:right="354"/>
              <w:spacing w:after="0"/>
              <w:rPr>
                <w:sz w:val="20"/>
                <w:szCs w:val="20"/>
                <w:color w:val="auto"/>
              </w:rPr>
            </w:pPr>
            <w:r>
              <w:rPr>
                <w:rFonts w:ascii="Times New Roman" w:cs="Times New Roman" w:eastAsia="Times New Roman" w:hAnsi="Times New Roman"/>
                <w:sz w:val="13"/>
                <w:szCs w:val="13"/>
                <w:b w:val="1"/>
                <w:bCs w:val="1"/>
                <w:color w:val="auto"/>
              </w:rPr>
              <w:t>Total Amount</w:t>
            </w: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580" w:type="dxa"/>
            <w:vAlign w:val="bottom"/>
          </w:tcPr>
          <w:p>
            <w:pPr>
              <w:jc w:val="center"/>
              <w:ind w:right="354"/>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tcPr>
          <w:p>
            <w:pPr>
              <w:jc w:val="center"/>
              <w:ind w:right="394"/>
              <w:spacing w:after="0"/>
              <w:rPr>
                <w:sz w:val="20"/>
                <w:szCs w:val="20"/>
                <w:color w:val="auto"/>
              </w:rPr>
            </w:pPr>
            <w:r>
              <w:rPr>
                <w:rFonts w:ascii="Times New Roman" w:cs="Times New Roman" w:eastAsia="Times New Roman" w:hAnsi="Times New Roman"/>
                <w:sz w:val="13"/>
                <w:szCs w:val="13"/>
                <w:b w:val="1"/>
                <w:bCs w:val="1"/>
                <w:color w:val="auto"/>
              </w:rPr>
              <w:t>Involuntary</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580" w:type="dxa"/>
            <w:vAlign w:val="bottom"/>
          </w:tcPr>
          <w:p>
            <w:pPr>
              <w:jc w:val="center"/>
              <w:ind w:right="354"/>
              <w:spacing w:after="0"/>
              <w:rPr>
                <w:sz w:val="20"/>
                <w:szCs w:val="20"/>
                <w:color w:val="auto"/>
              </w:rPr>
            </w:pPr>
            <w:r>
              <w:rPr>
                <w:rFonts w:ascii="Times New Roman" w:cs="Times New Roman" w:eastAsia="Times New Roman" w:hAnsi="Times New Roman"/>
                <w:sz w:val="13"/>
                <w:szCs w:val="13"/>
                <w:b w:val="1"/>
                <w:bCs w:val="1"/>
                <w:color w:val="auto"/>
              </w:rPr>
              <w:t>Exclusive of</w:t>
            </w: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tcPr>
          <w:p>
            <w:pPr>
              <w:jc w:val="center"/>
              <w:ind w:right="394"/>
              <w:spacing w:after="0"/>
              <w:rPr>
                <w:sz w:val="20"/>
                <w:szCs w:val="20"/>
                <w:color w:val="auto"/>
              </w:rPr>
            </w:pPr>
            <w:r>
              <w:rPr>
                <w:rFonts w:ascii="Times New Roman" w:cs="Times New Roman" w:eastAsia="Times New Roman" w:hAnsi="Times New Roman"/>
                <w:sz w:val="13"/>
                <w:szCs w:val="13"/>
                <w:b w:val="1"/>
                <w:bCs w:val="1"/>
                <w:color w:val="auto"/>
              </w:rPr>
              <w:t>Liquidating</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3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580" w:type="dxa"/>
            <w:vAlign w:val="bottom"/>
          </w:tcPr>
          <w:p>
            <w:pPr>
              <w:jc w:val="center"/>
              <w:ind w:right="354"/>
              <w:spacing w:after="0" w:line="145" w:lineRule="exact"/>
              <w:rPr>
                <w:sz w:val="20"/>
                <w:szCs w:val="20"/>
                <w:color w:val="auto"/>
              </w:rPr>
            </w:pPr>
            <w:r>
              <w:rPr>
                <w:rFonts w:ascii="Times New Roman" w:cs="Times New Roman" w:eastAsia="Times New Roman" w:hAnsi="Times New Roman"/>
                <w:sz w:val="13"/>
                <w:szCs w:val="13"/>
                <w:b w:val="1"/>
                <w:bCs w:val="1"/>
                <w:color w:val="auto"/>
              </w:rPr>
              <w:t>Treasury</w:t>
            </w:r>
          </w:p>
        </w:tc>
        <w:tc>
          <w:tcPr>
            <w:tcW w:w="280" w:type="dxa"/>
            <w:vAlign w:val="bottom"/>
          </w:tcPr>
          <w:p>
            <w:pPr>
              <w:spacing w:after="0"/>
              <w:rPr>
                <w:sz w:val="12"/>
                <w:szCs w:val="12"/>
                <w:color w:val="auto"/>
              </w:rPr>
            </w:pPr>
          </w:p>
        </w:tc>
        <w:tc>
          <w:tcPr>
            <w:tcW w:w="1460" w:type="dxa"/>
            <w:vAlign w:val="bottom"/>
          </w:tcPr>
          <w:p>
            <w:pPr>
              <w:jc w:val="right"/>
              <w:ind w:right="254"/>
              <w:spacing w:after="0" w:line="145" w:lineRule="exact"/>
              <w:rPr>
                <w:sz w:val="20"/>
                <w:szCs w:val="20"/>
                <w:color w:val="auto"/>
              </w:rPr>
            </w:pPr>
            <w:r>
              <w:rPr>
                <w:rFonts w:ascii="Times New Roman" w:cs="Times New Roman" w:eastAsia="Times New Roman" w:hAnsi="Times New Roman"/>
                <w:sz w:val="13"/>
                <w:szCs w:val="13"/>
                <w:b w:val="1"/>
                <w:bCs w:val="1"/>
                <w:color w:val="auto"/>
              </w:rPr>
              <w:t>Asset Coverage per</w:t>
            </w:r>
          </w:p>
        </w:tc>
        <w:tc>
          <w:tcPr>
            <w:tcW w:w="320" w:type="dxa"/>
            <w:vAlign w:val="bottom"/>
          </w:tcPr>
          <w:p>
            <w:pPr>
              <w:spacing w:after="0"/>
              <w:rPr>
                <w:sz w:val="12"/>
                <w:szCs w:val="12"/>
                <w:color w:val="auto"/>
              </w:rPr>
            </w:pPr>
          </w:p>
        </w:tc>
        <w:tc>
          <w:tcPr>
            <w:tcW w:w="1500" w:type="dxa"/>
            <w:vAlign w:val="bottom"/>
          </w:tcPr>
          <w:p>
            <w:pPr>
              <w:jc w:val="center"/>
              <w:ind w:right="374"/>
              <w:spacing w:after="0" w:line="145" w:lineRule="exact"/>
              <w:rPr>
                <w:sz w:val="20"/>
                <w:szCs w:val="20"/>
                <w:color w:val="auto"/>
              </w:rPr>
            </w:pPr>
            <w:r>
              <w:rPr>
                <w:rFonts w:ascii="Times New Roman" w:cs="Times New Roman" w:eastAsia="Times New Roman" w:hAnsi="Times New Roman"/>
                <w:sz w:val="13"/>
                <w:szCs w:val="13"/>
                <w:b w:val="1"/>
                <w:bCs w:val="1"/>
                <w:color w:val="auto"/>
              </w:rPr>
              <w:t>Preference per</w:t>
            </w:r>
          </w:p>
        </w:tc>
        <w:tc>
          <w:tcPr>
            <w:tcW w:w="150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Average Market</w:t>
            </w:r>
          </w:p>
        </w:tc>
        <w:tc>
          <w:tcPr>
            <w:tcW w:w="0" w:type="dxa"/>
            <w:vAlign w:val="bottom"/>
          </w:tcPr>
          <w:p>
            <w:pPr>
              <w:spacing w:after="0"/>
              <w:rPr>
                <w:sz w:val="1"/>
                <w:szCs w:val="1"/>
                <w:color w:val="auto"/>
              </w:rPr>
            </w:pPr>
          </w:p>
        </w:tc>
      </w:tr>
      <w:tr>
        <w:trPr>
          <w:trHeight w:val="181"/>
        </w:trPr>
        <w:tc>
          <w:tcPr>
            <w:tcW w:w="2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Class and Period</w:t>
            </w:r>
          </w:p>
        </w:tc>
        <w:tc>
          <w:tcPr>
            <w:tcW w:w="1600" w:type="dxa"/>
            <w:vAlign w:val="bottom"/>
          </w:tcPr>
          <w:p>
            <w:pPr>
              <w:spacing w:after="0"/>
              <w:rPr>
                <w:sz w:val="15"/>
                <w:szCs w:val="15"/>
                <w:color w:val="auto"/>
              </w:rPr>
            </w:pPr>
          </w:p>
        </w:tc>
        <w:tc>
          <w:tcPr>
            <w:tcW w:w="1580" w:type="dxa"/>
            <w:vAlign w:val="bottom"/>
          </w:tcPr>
          <w:p>
            <w:pPr>
              <w:jc w:val="center"/>
              <w:ind w:right="354"/>
              <w:spacing w:after="0" w:line="181" w:lineRule="exact"/>
              <w:rPr>
                <w:sz w:val="20"/>
                <w:szCs w:val="20"/>
                <w:color w:val="auto"/>
              </w:rPr>
            </w:pPr>
            <w:r>
              <w:rPr>
                <w:rFonts w:ascii="Times New Roman" w:cs="Times New Roman" w:eastAsia="Times New Roman" w:hAnsi="Times New Roman"/>
                <w:sz w:val="13"/>
                <w:szCs w:val="13"/>
                <w:b w:val="1"/>
                <w:bCs w:val="1"/>
                <w:color w:val="auto"/>
                <w:w w:val="96"/>
              </w:rPr>
              <w:t>Securities</w:t>
            </w:r>
            <w:r>
              <w:rPr>
                <w:rFonts w:ascii="Times New Roman" w:cs="Times New Roman" w:eastAsia="Times New Roman" w:hAnsi="Times New Roman"/>
                <w:sz w:val="16"/>
                <w:szCs w:val="16"/>
                <w:b w:val="1"/>
                <w:bCs w:val="1"/>
                <w:color w:val="auto"/>
                <w:w w:val="96"/>
                <w:vertAlign w:val="superscript"/>
              </w:rPr>
              <w:t>(1)</w:t>
            </w:r>
          </w:p>
        </w:tc>
        <w:tc>
          <w:tcPr>
            <w:tcW w:w="280" w:type="dxa"/>
            <w:vAlign w:val="bottom"/>
          </w:tcPr>
          <w:p>
            <w:pPr>
              <w:spacing w:after="0"/>
              <w:rPr>
                <w:sz w:val="15"/>
                <w:szCs w:val="15"/>
                <w:color w:val="auto"/>
              </w:rPr>
            </w:pPr>
          </w:p>
        </w:tc>
        <w:tc>
          <w:tcPr>
            <w:tcW w:w="1460" w:type="dxa"/>
            <w:vAlign w:val="bottom"/>
          </w:tcPr>
          <w:p>
            <w:pPr>
              <w:jc w:val="right"/>
              <w:ind w:right="634"/>
              <w:spacing w:after="0" w:line="181" w:lineRule="exact"/>
              <w:rPr>
                <w:sz w:val="20"/>
                <w:szCs w:val="20"/>
                <w:color w:val="auto"/>
              </w:rPr>
            </w:pPr>
            <w:r>
              <w:rPr>
                <w:rFonts w:ascii="Times New Roman" w:cs="Times New Roman" w:eastAsia="Times New Roman" w:hAnsi="Times New Roman"/>
                <w:sz w:val="13"/>
                <w:szCs w:val="13"/>
                <w:b w:val="1"/>
                <w:bCs w:val="1"/>
                <w:color w:val="auto"/>
              </w:rPr>
              <w:t>Unit</w:t>
            </w:r>
            <w:r>
              <w:rPr>
                <w:rFonts w:ascii="Times New Roman" w:cs="Times New Roman" w:eastAsia="Times New Roman" w:hAnsi="Times New Roman"/>
                <w:sz w:val="16"/>
                <w:szCs w:val="16"/>
                <w:b w:val="1"/>
                <w:bCs w:val="1"/>
                <w:color w:val="auto"/>
                <w:vertAlign w:val="superscript"/>
              </w:rPr>
              <w:t>(2)</w:t>
            </w:r>
          </w:p>
        </w:tc>
        <w:tc>
          <w:tcPr>
            <w:tcW w:w="320" w:type="dxa"/>
            <w:vAlign w:val="bottom"/>
          </w:tcPr>
          <w:p>
            <w:pPr>
              <w:spacing w:after="0"/>
              <w:rPr>
                <w:sz w:val="15"/>
                <w:szCs w:val="15"/>
                <w:color w:val="auto"/>
              </w:rPr>
            </w:pPr>
          </w:p>
        </w:tc>
        <w:tc>
          <w:tcPr>
            <w:tcW w:w="1500" w:type="dxa"/>
            <w:vAlign w:val="bottom"/>
          </w:tcPr>
          <w:p>
            <w:pPr>
              <w:jc w:val="center"/>
              <w:ind w:right="374"/>
              <w:spacing w:after="0" w:line="181" w:lineRule="exact"/>
              <w:rPr>
                <w:sz w:val="20"/>
                <w:szCs w:val="20"/>
                <w:color w:val="auto"/>
              </w:rPr>
            </w:pPr>
            <w:r>
              <w:rPr>
                <w:rFonts w:ascii="Times New Roman" w:cs="Times New Roman" w:eastAsia="Times New Roman" w:hAnsi="Times New Roman"/>
                <w:sz w:val="13"/>
                <w:szCs w:val="13"/>
                <w:b w:val="1"/>
                <w:bCs w:val="1"/>
                <w:color w:val="auto"/>
                <w:w w:val="91"/>
              </w:rPr>
              <w:t>Unit</w:t>
            </w:r>
            <w:r>
              <w:rPr>
                <w:rFonts w:ascii="Times New Roman" w:cs="Times New Roman" w:eastAsia="Times New Roman" w:hAnsi="Times New Roman"/>
                <w:sz w:val="16"/>
                <w:szCs w:val="16"/>
                <w:b w:val="1"/>
                <w:bCs w:val="1"/>
                <w:color w:val="auto"/>
                <w:w w:val="91"/>
                <w:vertAlign w:val="superscript"/>
              </w:rPr>
              <w:t>(3)</w:t>
            </w:r>
          </w:p>
        </w:tc>
        <w:tc>
          <w:tcPr>
            <w:tcW w:w="1500" w:type="dxa"/>
            <w:vAlign w:val="bottom"/>
          </w:tcPr>
          <w:p>
            <w:pPr>
              <w:jc w:val="center"/>
              <w:spacing w:after="0" w:line="181" w:lineRule="exact"/>
              <w:rPr>
                <w:sz w:val="20"/>
                <w:szCs w:val="20"/>
                <w:color w:val="auto"/>
              </w:rPr>
            </w:pPr>
            <w:r>
              <w:rPr>
                <w:rFonts w:ascii="Times New Roman" w:cs="Times New Roman" w:eastAsia="Times New Roman" w:hAnsi="Times New Roman"/>
                <w:sz w:val="13"/>
                <w:szCs w:val="13"/>
                <w:b w:val="1"/>
                <w:bCs w:val="1"/>
                <w:color w:val="auto"/>
                <w:w w:val="99"/>
              </w:rPr>
              <w:t>Value per Unit</w:t>
            </w:r>
            <w:r>
              <w:rPr>
                <w:rFonts w:ascii="Times New Roman" w:cs="Times New Roman" w:eastAsia="Times New Roman" w:hAnsi="Times New Roman"/>
                <w:sz w:val="16"/>
                <w:szCs w:val="16"/>
                <w:b w:val="1"/>
                <w:bCs w:val="1"/>
                <w:color w:val="auto"/>
                <w:w w:val="99"/>
                <w:vertAlign w:val="superscript"/>
              </w:rPr>
              <w:t>(4)</w:t>
            </w:r>
          </w:p>
        </w:tc>
        <w:tc>
          <w:tcPr>
            <w:tcW w:w="0" w:type="dxa"/>
            <w:vAlign w:val="bottom"/>
          </w:tcPr>
          <w:p>
            <w:pPr>
              <w:spacing w:after="0"/>
              <w:rPr>
                <w:sz w:val="1"/>
                <w:szCs w:val="1"/>
                <w:color w:val="auto"/>
              </w:rPr>
            </w:pPr>
          </w:p>
        </w:tc>
      </w:tr>
      <w:tr>
        <w:trPr>
          <w:trHeight w:val="156"/>
        </w:trPr>
        <w:tc>
          <w:tcPr>
            <w:tcW w:w="23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0"/>
                <w:szCs w:val="10"/>
                <w:b w:val="1"/>
                <w:bCs w:val="1"/>
                <w:color w:val="auto"/>
              </w:rPr>
              <w:t>($ in thousands)</w:t>
            </w:r>
          </w:p>
        </w:tc>
        <w:tc>
          <w:tcPr>
            <w:tcW w:w="1600" w:type="dxa"/>
            <w:vAlign w:val="bottom"/>
            <w:shd w:val="clear" w:color="auto" w:fill="CFF0FC"/>
          </w:tcPr>
          <w:p>
            <w:pPr>
              <w:spacing w:after="0"/>
              <w:rPr>
                <w:sz w:val="13"/>
                <w:szCs w:val="13"/>
                <w:color w:val="auto"/>
              </w:rPr>
            </w:pPr>
          </w:p>
        </w:tc>
        <w:tc>
          <w:tcPr>
            <w:tcW w:w="15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Fiscal 2015</w:t>
            </w:r>
          </w:p>
        </w:tc>
        <w:tc>
          <w:tcPr>
            <w:tcW w:w="160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208,049</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2,025</w:t>
            </w:r>
          </w:p>
        </w:tc>
        <w:tc>
          <w:tcPr>
            <w:tcW w:w="3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Pr>
          <w:p>
            <w:pPr>
              <w:ind w:left="1080"/>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0" w:type="dxa"/>
            <w:vAlign w:val="bottom"/>
          </w:tcPr>
          <w:p>
            <w:pPr>
              <w:spacing w:after="0"/>
              <w:rPr>
                <w:sz w:val="1"/>
                <w:szCs w:val="1"/>
                <w:color w:val="auto"/>
              </w:rPr>
            </w:pPr>
          </w:p>
        </w:tc>
      </w:tr>
      <w:tr>
        <w:trPr>
          <w:trHeight w:val="172"/>
        </w:trPr>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Fiscal 2016</w:t>
            </w:r>
          </w:p>
        </w:tc>
        <w:tc>
          <w:tcPr>
            <w:tcW w:w="1600" w:type="dxa"/>
            <w:vAlign w:val="bottom"/>
            <w:shd w:val="clear" w:color="auto" w:fill="CFF0FC"/>
          </w:tcPr>
          <w:p>
            <w:pPr>
              <w:spacing w:after="0"/>
              <w:rPr>
                <w:sz w:val="14"/>
                <w:szCs w:val="14"/>
                <w:color w:val="auto"/>
              </w:rPr>
            </w:pPr>
          </w:p>
        </w:tc>
        <w:tc>
          <w:tcPr>
            <w:tcW w:w="1580" w:type="dxa"/>
            <w:vAlign w:val="bottom"/>
            <w:vMerge w:val="restart"/>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180,881</w:t>
            </w:r>
          </w:p>
        </w:tc>
        <w:tc>
          <w:tcPr>
            <w:tcW w:w="280" w:type="dxa"/>
            <w:vAlign w:val="bottom"/>
            <w:shd w:val="clear" w:color="auto" w:fill="CFF0FC"/>
          </w:tcPr>
          <w:p>
            <w:pPr>
              <w:spacing w:after="0"/>
              <w:rPr>
                <w:sz w:val="14"/>
                <w:szCs w:val="14"/>
                <w:color w:val="auto"/>
              </w:rPr>
            </w:pPr>
          </w:p>
        </w:tc>
        <w:tc>
          <w:tcPr>
            <w:tcW w:w="1460" w:type="dxa"/>
            <w:vAlign w:val="bottom"/>
            <w:vMerge w:val="restart"/>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2,048</w:t>
            </w:r>
          </w:p>
        </w:tc>
        <w:tc>
          <w:tcPr>
            <w:tcW w:w="320" w:type="dxa"/>
            <w:vAlign w:val="bottom"/>
            <w:shd w:val="clear" w:color="auto" w:fill="CFF0FC"/>
          </w:tcPr>
          <w:p>
            <w:pPr>
              <w:spacing w:after="0"/>
              <w:rPr>
                <w:sz w:val="14"/>
                <w:szCs w:val="14"/>
                <w:color w:val="auto"/>
              </w:rPr>
            </w:pPr>
          </w:p>
        </w:tc>
        <w:tc>
          <w:tcPr>
            <w:tcW w:w="1500" w:type="dxa"/>
            <w:vAlign w:val="bottom"/>
            <w:vMerge w:val="restart"/>
            <w:shd w:val="clear" w:color="auto" w:fill="CFF0FC"/>
          </w:tcPr>
          <w:p>
            <w:pPr>
              <w:ind w:left="1080"/>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0" w:type="dxa"/>
            <w:vAlign w:val="bottom"/>
          </w:tcPr>
          <w:p>
            <w:pPr>
              <w:spacing w:after="0"/>
              <w:rPr>
                <w:sz w:val="1"/>
                <w:szCs w:val="1"/>
                <w:color w:val="auto"/>
              </w:rPr>
            </w:pPr>
          </w:p>
        </w:tc>
      </w:tr>
      <w:tr>
        <w:trPr>
          <w:trHeight w:val="92"/>
        </w:trPr>
        <w:tc>
          <w:tcPr>
            <w:tcW w:w="2320" w:type="dxa"/>
            <w:vAlign w:val="bottom"/>
            <w:shd w:val="clear" w:color="auto" w:fill="CFF0FC"/>
          </w:tcPr>
          <w:p>
            <w:pPr>
              <w:spacing w:after="0"/>
              <w:rPr>
                <w:sz w:val="8"/>
                <w:szCs w:val="8"/>
                <w:color w:val="auto"/>
              </w:rPr>
            </w:pPr>
          </w:p>
        </w:tc>
        <w:tc>
          <w:tcPr>
            <w:tcW w:w="1600" w:type="dxa"/>
            <w:vAlign w:val="bottom"/>
            <w:shd w:val="clear" w:color="auto" w:fill="CFF0FC"/>
          </w:tcPr>
          <w:p>
            <w:pPr>
              <w:spacing w:after="0"/>
              <w:rPr>
                <w:sz w:val="8"/>
                <w:szCs w:val="8"/>
                <w:color w:val="auto"/>
              </w:rPr>
            </w:pPr>
          </w:p>
        </w:tc>
        <w:tc>
          <w:tcPr>
            <w:tcW w:w="1580" w:type="dxa"/>
            <w:vAlign w:val="bottom"/>
            <w:vMerge w:val="continue"/>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1460" w:type="dxa"/>
            <w:vAlign w:val="bottom"/>
            <w:vMerge w:val="continue"/>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1500" w:type="dxa"/>
            <w:vAlign w:val="bottom"/>
            <w:vMerge w:val="continue"/>
            <w:shd w:val="clear" w:color="auto" w:fill="CFF0FC"/>
          </w:tcPr>
          <w:p>
            <w:pPr>
              <w:spacing w:after="0"/>
              <w:rPr>
                <w:sz w:val="8"/>
                <w:szCs w:val="8"/>
                <w:color w:val="auto"/>
              </w:rPr>
            </w:pPr>
          </w:p>
        </w:tc>
        <w:tc>
          <w:tcPr>
            <w:tcW w:w="15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Fiscal 2017</w:t>
            </w:r>
          </w:p>
        </w:tc>
        <w:tc>
          <w:tcPr>
            <w:tcW w:w="1600" w:type="dxa"/>
            <w:vAlign w:val="bottom"/>
          </w:tcPr>
          <w:p>
            <w:pPr>
              <w:spacing w:after="0"/>
              <w:rPr>
                <w:sz w:val="13"/>
                <w:szCs w:val="13"/>
                <w:color w:val="auto"/>
              </w:rPr>
            </w:pPr>
          </w:p>
        </w:tc>
        <w:tc>
          <w:tcPr>
            <w:tcW w:w="158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104,407</w:t>
            </w:r>
          </w:p>
        </w:tc>
        <w:tc>
          <w:tcPr>
            <w:tcW w:w="280" w:type="dxa"/>
            <w:vAlign w:val="bottom"/>
          </w:tcPr>
          <w:p>
            <w:pPr>
              <w:spacing w:after="0"/>
              <w:rPr>
                <w:sz w:val="13"/>
                <w:szCs w:val="13"/>
                <w:color w:val="auto"/>
              </w:rPr>
            </w:pPr>
          </w:p>
        </w:tc>
        <w:tc>
          <w:tcPr>
            <w:tcW w:w="14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2,713</w:t>
            </w:r>
          </w:p>
        </w:tc>
        <w:tc>
          <w:tcPr>
            <w:tcW w:w="320" w:type="dxa"/>
            <w:vAlign w:val="bottom"/>
          </w:tcPr>
          <w:p>
            <w:pPr>
              <w:spacing w:after="0"/>
              <w:rPr>
                <w:sz w:val="13"/>
                <w:szCs w:val="13"/>
                <w:color w:val="auto"/>
              </w:rPr>
            </w:pPr>
          </w:p>
        </w:tc>
        <w:tc>
          <w:tcPr>
            <w:tcW w:w="1500" w:type="dxa"/>
            <w:vAlign w:val="bottom"/>
          </w:tcPr>
          <w:p>
            <w:pPr>
              <w:ind w:left="1080"/>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0" w:type="dxa"/>
            <w:vAlign w:val="bottom"/>
          </w:tcPr>
          <w:p>
            <w:pPr>
              <w:spacing w:after="0"/>
              <w:rPr>
                <w:sz w:val="1"/>
                <w:szCs w:val="1"/>
                <w:color w:val="auto"/>
              </w:rPr>
            </w:pPr>
          </w:p>
        </w:tc>
      </w:tr>
      <w:tr>
        <w:trPr>
          <w:trHeight w:val="156"/>
        </w:trPr>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Fiscal 2018</w:t>
            </w:r>
          </w:p>
        </w:tc>
        <w:tc>
          <w:tcPr>
            <w:tcW w:w="1600" w:type="dxa"/>
            <w:vAlign w:val="bottom"/>
            <w:shd w:val="clear" w:color="auto" w:fill="CFF0FC"/>
          </w:tcPr>
          <w:p>
            <w:pPr>
              <w:spacing w:after="0"/>
              <w:rPr>
                <w:sz w:val="13"/>
                <w:szCs w:val="13"/>
                <w:color w:val="auto"/>
              </w:rPr>
            </w:pPr>
          </w:p>
        </w:tc>
        <w:tc>
          <w:tcPr>
            <w:tcW w:w="158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103,763</w:t>
            </w:r>
          </w:p>
        </w:tc>
        <w:tc>
          <w:tcPr>
            <w:tcW w:w="280" w:type="dxa"/>
            <w:vAlign w:val="bottom"/>
            <w:shd w:val="clear" w:color="auto" w:fill="CFF0FC"/>
          </w:tcPr>
          <w:p>
            <w:pPr>
              <w:spacing w:after="0"/>
              <w:rPr>
                <w:sz w:val="13"/>
                <w:szCs w:val="13"/>
                <w:color w:val="auto"/>
              </w:rPr>
            </w:pPr>
          </w:p>
        </w:tc>
        <w:tc>
          <w:tcPr>
            <w:tcW w:w="14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2,490</w:t>
            </w:r>
          </w:p>
        </w:tc>
        <w:tc>
          <w:tcPr>
            <w:tcW w:w="320" w:type="dxa"/>
            <w:vAlign w:val="bottom"/>
            <w:shd w:val="clear" w:color="auto" w:fill="CFF0FC"/>
          </w:tcPr>
          <w:p>
            <w:pPr>
              <w:spacing w:after="0"/>
              <w:rPr>
                <w:sz w:val="13"/>
                <w:szCs w:val="13"/>
                <w:color w:val="auto"/>
              </w:rPr>
            </w:pPr>
          </w:p>
        </w:tc>
        <w:tc>
          <w:tcPr>
            <w:tcW w:w="150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0" w:type="dxa"/>
            <w:vAlign w:val="bottom"/>
          </w:tcPr>
          <w:p>
            <w:pPr>
              <w:spacing w:after="0"/>
              <w:rPr>
                <w:sz w:val="1"/>
                <w:szCs w:val="1"/>
                <w:color w:val="auto"/>
              </w:rPr>
            </w:pPr>
          </w:p>
        </w:tc>
      </w:tr>
      <w:tr>
        <w:trPr>
          <w:trHeight w:val="156"/>
        </w:trPr>
        <w:tc>
          <w:tcPr>
            <w:tcW w:w="232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Fiscal 2019</w:t>
            </w:r>
            <w:r>
              <w:rPr>
                <w:rFonts w:ascii="Times New Roman" w:cs="Times New Roman" w:eastAsia="Times New Roman" w:hAnsi="Times New Roman"/>
                <w:sz w:val="16"/>
                <w:szCs w:val="16"/>
                <w:color w:val="auto"/>
                <w:vertAlign w:val="superscript"/>
              </w:rPr>
              <w:t>(5)</w:t>
            </w:r>
          </w:p>
        </w:tc>
        <w:tc>
          <w:tcPr>
            <w:tcW w:w="1600" w:type="dxa"/>
            <w:vAlign w:val="bottom"/>
          </w:tcPr>
          <w:p>
            <w:pPr>
              <w:spacing w:after="0"/>
              <w:rPr>
                <w:sz w:val="13"/>
                <w:szCs w:val="13"/>
                <w:color w:val="auto"/>
              </w:rPr>
            </w:pPr>
          </w:p>
        </w:tc>
        <w:tc>
          <w:tcPr>
            <w:tcW w:w="158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156,978</w:t>
            </w:r>
          </w:p>
        </w:tc>
        <w:tc>
          <w:tcPr>
            <w:tcW w:w="280" w:type="dxa"/>
            <w:vAlign w:val="bottom"/>
          </w:tcPr>
          <w:p>
            <w:pPr>
              <w:spacing w:after="0"/>
              <w:rPr>
                <w:sz w:val="13"/>
                <w:szCs w:val="13"/>
                <w:color w:val="auto"/>
              </w:rPr>
            </w:pPr>
          </w:p>
        </w:tc>
        <w:tc>
          <w:tcPr>
            <w:tcW w:w="14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1,950</w:t>
            </w:r>
          </w:p>
        </w:tc>
        <w:tc>
          <w:tcPr>
            <w:tcW w:w="320" w:type="dxa"/>
            <w:vAlign w:val="bottom"/>
          </w:tcPr>
          <w:p>
            <w:pPr>
              <w:spacing w:after="0"/>
              <w:rPr>
                <w:sz w:val="13"/>
                <w:szCs w:val="13"/>
                <w:color w:val="auto"/>
              </w:rPr>
            </w:pPr>
          </w:p>
        </w:tc>
        <w:tc>
          <w:tcPr>
            <w:tcW w:w="1500" w:type="dxa"/>
            <w:vAlign w:val="bottom"/>
          </w:tcPr>
          <w:p>
            <w:pPr>
              <w:ind w:left="1080"/>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0" w:type="dxa"/>
            <w:vAlign w:val="bottom"/>
          </w:tcPr>
          <w:p>
            <w:pPr>
              <w:spacing w:after="0"/>
              <w:rPr>
                <w:sz w:val="1"/>
                <w:szCs w:val="1"/>
                <w:color w:val="auto"/>
              </w:rPr>
            </w:pPr>
          </w:p>
        </w:tc>
      </w:tr>
      <w:tr>
        <w:trPr>
          <w:trHeight w:val="156"/>
        </w:trPr>
        <w:tc>
          <w:tcPr>
            <w:tcW w:w="23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Fiscal 2020</w:t>
            </w:r>
            <w:r>
              <w:rPr>
                <w:rFonts w:ascii="Times New Roman" w:cs="Times New Roman" w:eastAsia="Times New Roman" w:hAnsi="Times New Roman"/>
                <w:sz w:val="16"/>
                <w:szCs w:val="16"/>
                <w:color w:val="auto"/>
                <w:vertAlign w:val="superscript"/>
              </w:rPr>
              <w:t>(6)</w:t>
            </w:r>
          </w:p>
        </w:tc>
        <w:tc>
          <w:tcPr>
            <w:tcW w:w="1600" w:type="dxa"/>
            <w:vAlign w:val="bottom"/>
            <w:shd w:val="clear" w:color="auto" w:fill="CFF0FC"/>
          </w:tcPr>
          <w:p>
            <w:pPr>
              <w:spacing w:after="0"/>
              <w:rPr>
                <w:sz w:val="13"/>
                <w:szCs w:val="13"/>
                <w:color w:val="auto"/>
              </w:rPr>
            </w:pPr>
          </w:p>
        </w:tc>
        <w:tc>
          <w:tcPr>
            <w:tcW w:w="158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377,910</w:t>
            </w:r>
          </w:p>
        </w:tc>
        <w:tc>
          <w:tcPr>
            <w:tcW w:w="280" w:type="dxa"/>
            <w:vAlign w:val="bottom"/>
            <w:shd w:val="clear" w:color="auto" w:fill="CFF0FC"/>
          </w:tcPr>
          <w:p>
            <w:pPr>
              <w:spacing w:after="0"/>
              <w:rPr>
                <w:sz w:val="13"/>
                <w:szCs w:val="13"/>
                <w:color w:val="auto"/>
              </w:rPr>
            </w:pPr>
          </w:p>
        </w:tc>
        <w:tc>
          <w:tcPr>
            <w:tcW w:w="14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1,560</w:t>
            </w:r>
          </w:p>
        </w:tc>
        <w:tc>
          <w:tcPr>
            <w:tcW w:w="320" w:type="dxa"/>
            <w:vAlign w:val="bottom"/>
            <w:shd w:val="clear" w:color="auto" w:fill="CFF0FC"/>
          </w:tcPr>
          <w:p>
            <w:pPr>
              <w:spacing w:after="0"/>
              <w:rPr>
                <w:sz w:val="13"/>
                <w:szCs w:val="13"/>
                <w:color w:val="auto"/>
              </w:rPr>
            </w:pPr>
          </w:p>
        </w:tc>
        <w:tc>
          <w:tcPr>
            <w:tcW w:w="150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0" w:type="dxa"/>
            <w:vAlign w:val="bottom"/>
          </w:tcPr>
          <w:p>
            <w:pPr>
              <w:spacing w:after="0"/>
              <w:rPr>
                <w:sz w:val="1"/>
                <w:szCs w:val="1"/>
                <w:color w:val="auto"/>
              </w:rPr>
            </w:pPr>
          </w:p>
        </w:tc>
      </w:tr>
      <w:tr>
        <w:trPr>
          <w:trHeight w:val="156"/>
        </w:trPr>
        <w:tc>
          <w:tcPr>
            <w:tcW w:w="232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Fiscal 2021</w:t>
            </w:r>
            <w:r>
              <w:rPr>
                <w:rFonts w:ascii="Times New Roman" w:cs="Times New Roman" w:eastAsia="Times New Roman" w:hAnsi="Times New Roman"/>
                <w:sz w:val="16"/>
                <w:szCs w:val="16"/>
                <w:color w:val="auto"/>
                <w:vertAlign w:val="superscript"/>
              </w:rPr>
              <w:t>(7)</w:t>
            </w:r>
          </w:p>
        </w:tc>
        <w:tc>
          <w:tcPr>
            <w:tcW w:w="1600" w:type="dxa"/>
            <w:vAlign w:val="bottom"/>
          </w:tcPr>
          <w:p>
            <w:pPr>
              <w:spacing w:after="0"/>
              <w:rPr>
                <w:sz w:val="13"/>
                <w:szCs w:val="13"/>
                <w:color w:val="auto"/>
              </w:rPr>
            </w:pPr>
          </w:p>
        </w:tc>
        <w:tc>
          <w:tcPr>
            <w:tcW w:w="158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352,434</w:t>
            </w:r>
          </w:p>
        </w:tc>
        <w:tc>
          <w:tcPr>
            <w:tcW w:w="280" w:type="dxa"/>
            <w:vAlign w:val="bottom"/>
          </w:tcPr>
          <w:p>
            <w:pPr>
              <w:spacing w:after="0"/>
              <w:rPr>
                <w:sz w:val="13"/>
                <w:szCs w:val="13"/>
                <w:color w:val="auto"/>
              </w:rPr>
            </w:pPr>
          </w:p>
        </w:tc>
        <w:tc>
          <w:tcPr>
            <w:tcW w:w="14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1,780</w:t>
            </w:r>
          </w:p>
        </w:tc>
        <w:tc>
          <w:tcPr>
            <w:tcW w:w="320" w:type="dxa"/>
            <w:vAlign w:val="bottom"/>
          </w:tcPr>
          <w:p>
            <w:pPr>
              <w:spacing w:after="0"/>
              <w:rPr>
                <w:sz w:val="13"/>
                <w:szCs w:val="13"/>
                <w:color w:val="auto"/>
              </w:rPr>
            </w:pPr>
          </w:p>
        </w:tc>
        <w:tc>
          <w:tcPr>
            <w:tcW w:w="1500" w:type="dxa"/>
            <w:vAlign w:val="bottom"/>
          </w:tcPr>
          <w:p>
            <w:pPr>
              <w:ind w:left="1080"/>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0" w:type="dxa"/>
            <w:vAlign w:val="bottom"/>
          </w:tcPr>
          <w:p>
            <w:pPr>
              <w:spacing w:after="0"/>
              <w:rPr>
                <w:sz w:val="1"/>
                <w:szCs w:val="1"/>
                <w:color w:val="auto"/>
              </w:rPr>
            </w:pPr>
          </w:p>
        </w:tc>
      </w:tr>
      <w:tr>
        <w:trPr>
          <w:trHeight w:val="156"/>
        </w:trPr>
        <w:tc>
          <w:tcPr>
            <w:tcW w:w="23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Fiscal 2022</w:t>
            </w:r>
            <w:r>
              <w:rPr>
                <w:rFonts w:ascii="Times New Roman" w:cs="Times New Roman" w:eastAsia="Times New Roman" w:hAnsi="Times New Roman"/>
                <w:sz w:val="16"/>
                <w:szCs w:val="16"/>
                <w:color w:val="auto"/>
                <w:vertAlign w:val="superscript"/>
              </w:rPr>
              <w:t>(8)</w:t>
            </w:r>
          </w:p>
        </w:tc>
        <w:tc>
          <w:tcPr>
            <w:tcW w:w="1600" w:type="dxa"/>
            <w:vAlign w:val="bottom"/>
            <w:shd w:val="clear" w:color="auto" w:fill="CFF0FC"/>
          </w:tcPr>
          <w:p>
            <w:pPr>
              <w:spacing w:after="0"/>
              <w:rPr>
                <w:sz w:val="13"/>
                <w:szCs w:val="13"/>
                <w:color w:val="auto"/>
              </w:rPr>
            </w:pPr>
          </w:p>
        </w:tc>
        <w:tc>
          <w:tcPr>
            <w:tcW w:w="158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378,163</w:t>
            </w:r>
          </w:p>
        </w:tc>
        <w:tc>
          <w:tcPr>
            <w:tcW w:w="280" w:type="dxa"/>
            <w:vAlign w:val="bottom"/>
            <w:shd w:val="clear" w:color="auto" w:fill="CFF0FC"/>
          </w:tcPr>
          <w:p>
            <w:pPr>
              <w:spacing w:after="0"/>
              <w:rPr>
                <w:sz w:val="13"/>
                <w:szCs w:val="13"/>
                <w:color w:val="auto"/>
              </w:rPr>
            </w:pPr>
          </w:p>
        </w:tc>
        <w:tc>
          <w:tcPr>
            <w:tcW w:w="14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1,601</w:t>
            </w:r>
          </w:p>
        </w:tc>
        <w:tc>
          <w:tcPr>
            <w:tcW w:w="320" w:type="dxa"/>
            <w:vAlign w:val="bottom"/>
            <w:shd w:val="clear" w:color="auto" w:fill="CFF0FC"/>
          </w:tcPr>
          <w:p>
            <w:pPr>
              <w:spacing w:after="0"/>
              <w:rPr>
                <w:sz w:val="13"/>
                <w:szCs w:val="13"/>
                <w:color w:val="auto"/>
              </w:rPr>
            </w:pPr>
          </w:p>
        </w:tc>
        <w:tc>
          <w:tcPr>
            <w:tcW w:w="150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0" w:type="dxa"/>
            <w:vAlign w:val="bottom"/>
          </w:tcPr>
          <w:p>
            <w:pPr>
              <w:spacing w:after="0"/>
              <w:rPr>
                <w:sz w:val="1"/>
                <w:szCs w:val="1"/>
                <w:color w:val="auto"/>
              </w:rPr>
            </w:pPr>
          </w:p>
        </w:tc>
      </w:tr>
      <w:tr>
        <w:trPr>
          <w:trHeight w:val="156"/>
        </w:trPr>
        <w:tc>
          <w:tcPr>
            <w:tcW w:w="232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Fiscal 2023</w:t>
            </w:r>
            <w:r>
              <w:rPr>
                <w:rFonts w:ascii="Times New Roman" w:cs="Times New Roman" w:eastAsia="Times New Roman" w:hAnsi="Times New Roman"/>
                <w:sz w:val="16"/>
                <w:szCs w:val="16"/>
                <w:color w:val="auto"/>
                <w:vertAlign w:val="superscript"/>
              </w:rPr>
              <w:t>(9)</w:t>
            </w:r>
          </w:p>
        </w:tc>
        <w:tc>
          <w:tcPr>
            <w:tcW w:w="1600" w:type="dxa"/>
            <w:vAlign w:val="bottom"/>
          </w:tcPr>
          <w:p>
            <w:pPr>
              <w:spacing w:after="0"/>
              <w:rPr>
                <w:sz w:val="13"/>
                <w:szCs w:val="13"/>
                <w:color w:val="auto"/>
              </w:rPr>
            </w:pPr>
          </w:p>
        </w:tc>
        <w:tc>
          <w:tcPr>
            <w:tcW w:w="158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325,683</w:t>
            </w:r>
          </w:p>
        </w:tc>
        <w:tc>
          <w:tcPr>
            <w:tcW w:w="280" w:type="dxa"/>
            <w:vAlign w:val="bottom"/>
          </w:tcPr>
          <w:p>
            <w:pPr>
              <w:spacing w:after="0"/>
              <w:rPr>
                <w:sz w:val="13"/>
                <w:szCs w:val="13"/>
                <w:color w:val="auto"/>
              </w:rPr>
            </w:pPr>
          </w:p>
        </w:tc>
        <w:tc>
          <w:tcPr>
            <w:tcW w:w="14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1,646</w:t>
            </w:r>
          </w:p>
        </w:tc>
        <w:tc>
          <w:tcPr>
            <w:tcW w:w="320" w:type="dxa"/>
            <w:vAlign w:val="bottom"/>
          </w:tcPr>
          <w:p>
            <w:pPr>
              <w:spacing w:after="0"/>
              <w:rPr>
                <w:sz w:val="13"/>
                <w:szCs w:val="13"/>
                <w:color w:val="auto"/>
              </w:rPr>
            </w:pPr>
          </w:p>
        </w:tc>
        <w:tc>
          <w:tcPr>
            <w:tcW w:w="1500" w:type="dxa"/>
            <w:vAlign w:val="bottom"/>
          </w:tcPr>
          <w:p>
            <w:pPr>
              <w:ind w:left="1080"/>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0" w:type="dxa"/>
            <w:vAlign w:val="bottom"/>
          </w:tcPr>
          <w:p>
            <w:pPr>
              <w:spacing w:after="0"/>
              <w:rPr>
                <w:sz w:val="1"/>
                <w:szCs w:val="1"/>
                <w:color w:val="auto"/>
              </w:rPr>
            </w:pPr>
          </w:p>
        </w:tc>
      </w:tr>
      <w:tr>
        <w:trPr>
          <w:trHeight w:val="156"/>
        </w:trPr>
        <w:tc>
          <w:tcPr>
            <w:tcW w:w="23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Fiscal 2024</w:t>
            </w:r>
            <w:r>
              <w:rPr>
                <w:rFonts w:ascii="Times New Roman" w:cs="Times New Roman" w:eastAsia="Times New Roman" w:hAnsi="Times New Roman"/>
                <w:sz w:val="16"/>
                <w:szCs w:val="16"/>
                <w:color w:val="auto"/>
                <w:vertAlign w:val="superscript"/>
              </w:rPr>
              <w:t>(10)</w:t>
            </w:r>
          </w:p>
        </w:tc>
        <w:tc>
          <w:tcPr>
            <w:tcW w:w="1600" w:type="dxa"/>
            <w:vAlign w:val="bottom"/>
            <w:shd w:val="clear" w:color="auto" w:fill="CFF0FC"/>
          </w:tcPr>
          <w:p>
            <w:pPr>
              <w:spacing w:after="0"/>
              <w:rPr>
                <w:sz w:val="13"/>
                <w:szCs w:val="13"/>
                <w:color w:val="auto"/>
              </w:rPr>
            </w:pPr>
          </w:p>
        </w:tc>
        <w:tc>
          <w:tcPr>
            <w:tcW w:w="158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267,479</w:t>
            </w:r>
          </w:p>
        </w:tc>
        <w:tc>
          <w:tcPr>
            <w:tcW w:w="280" w:type="dxa"/>
            <w:vAlign w:val="bottom"/>
            <w:shd w:val="clear" w:color="auto" w:fill="CFF0FC"/>
          </w:tcPr>
          <w:p>
            <w:pPr>
              <w:spacing w:after="0"/>
              <w:rPr>
                <w:sz w:val="13"/>
                <w:szCs w:val="13"/>
                <w:color w:val="auto"/>
              </w:rPr>
            </w:pPr>
          </w:p>
        </w:tc>
        <w:tc>
          <w:tcPr>
            <w:tcW w:w="14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1,667</w:t>
            </w:r>
          </w:p>
        </w:tc>
        <w:tc>
          <w:tcPr>
            <w:tcW w:w="320" w:type="dxa"/>
            <w:vAlign w:val="bottom"/>
            <w:shd w:val="clear" w:color="auto" w:fill="CFF0FC"/>
          </w:tcPr>
          <w:p>
            <w:pPr>
              <w:spacing w:after="0"/>
              <w:rPr>
                <w:sz w:val="13"/>
                <w:szCs w:val="13"/>
                <w:color w:val="auto"/>
              </w:rPr>
            </w:pPr>
          </w:p>
        </w:tc>
        <w:tc>
          <w:tcPr>
            <w:tcW w:w="150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(1)Total amount of each class of senior securities outstanding at the end of the period presented.</w:t>
      </w:r>
    </w:p>
    <w:p>
      <w:pPr>
        <w:spacing w:after="0" w:line="10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1"/>
          <w:szCs w:val="11"/>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3"/>
          <w:szCs w:val="13"/>
          <w:b w:val="1"/>
          <w:bCs w:val="1"/>
          <w:color w:val="auto"/>
        </w:rPr>
        <w:t>PORTMAN RIDGE FINANCE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(2)Asset coverage per unit is the ratio of the carrying value of PTMN’s total consolidated assets, less all liabilities and indebtedness not represented by senior securities, to the aggregate amount of senior securities representing indebtedness.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Asset coverage per unit is expressed in terms of dollar amounts per $1,000 of indebtedness.</w:t>
      </w:r>
    </w:p>
    <w:p>
      <w:pPr>
        <w:spacing w:after="0" w:line="93" w:lineRule="exact"/>
        <w:rPr>
          <w:sz w:val="20"/>
          <w:szCs w:val="20"/>
          <w:color w:val="auto"/>
        </w:rPr>
      </w:pPr>
    </w:p>
    <w:p>
      <w:pPr>
        <w:ind w:right="320"/>
        <w:spacing w:after="0" w:line="276" w:lineRule="auto"/>
        <w:rPr>
          <w:sz w:val="20"/>
          <w:szCs w:val="20"/>
          <w:color w:val="auto"/>
        </w:rPr>
      </w:pPr>
      <w:r>
        <w:rPr>
          <w:rFonts w:ascii="Times New Roman" w:cs="Times New Roman" w:eastAsia="Times New Roman" w:hAnsi="Times New Roman"/>
          <w:sz w:val="11"/>
          <w:szCs w:val="11"/>
          <w:color w:val="auto"/>
        </w:rPr>
        <w:t>(3)The amount to which such class of senior security would be entitled upon the involuntary liquidation of the issuer in preference to any security junior to it. The “—” indicates information which the SEC expressly does not require to be disclosed for certain types of senior securities.</w:t>
      </w:r>
    </w:p>
    <w:p>
      <w:pPr>
        <w:spacing w:after="0" w:line="6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1"/>
          <w:szCs w:val="11"/>
          <w:color w:val="auto"/>
        </w:rPr>
        <w:t>(4)Not applicable, except with respect to the 7.375% Notes Due 2019 and the 6.125% Notes Due 2022, as other debt securities are not registered for public trading. For the years ended December 31, 2017, 2016, and 2015, the average market value per $1,000 of par value of the 7.375% Notes Due 2019 was $1,016.04, $1,000.00, and $1,011.96, respectively. For the years-ended December 31, 2020, 2019 and 2018 and for the period from August 14, 2017 (date of issuance) to December 31, 2017, the average market value per $1,000 of par value of the 6.125% Notes Due 2022 was $953.20, $1,009.93, $1,009.20 and $1,006.00, respectively. Average market value is computed by taking the daily average of the closing prices for the period.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(5)As of December 31, 2019, the Total Amount Outstanding Exclusive of Treasury Securities consisted of 6.125% Notes Due 2022 of $77,407 and Revolving Credit Facilities of $79,571.</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(6)As of December 31, 2020, the Total Amount Outstanding Exclusive of Treasury Securities consisted of 6.125% Notes Due 2022 of $76,726, Revolving Credit Facilities of $49,321 and 2018-2 Secured Notes of $251,863.</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(7)As of December 31, 2021, the Total Amount Outstanding Exclusive of Treasury Securities consisted of 4.875% Notes due 2026 of $108,000, Revolving Credit Facilities of $80,571 and 2018-2 Secured Notes of $163,863.</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(8)As of December 31, 2022, the Total Amount Outstanding Exclusive of Treasury Securities consisted of 4.875% Notes due 2026 of $108,000, Revolving Credit Facilities of $92,000 and 2018-2 Secured Notes of $178,163.</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(9)As of December 31, 2023, the Total Amount Outstanding Exclusive of Treasury Securities consisted of 4.875% Notes due 2026 of $108,000, Revolving Credit Facilities of $92,000 and 2018-2 Secured Notes of $125,683.</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(10)As of December 31, 2024, the Total Amount Outstanding Exclusive of Treasury Securities consisted of 4.875% Notes due 2026 of $108,000 and Revolving Credit Facilities of $159,479.</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7. TAXABLE INCOME</w:t>
      </w:r>
    </w:p>
    <w:p>
      <w:pPr>
        <w:spacing w:after="0" w:line="105" w:lineRule="exact"/>
        <w:rPr>
          <w:sz w:val="20"/>
          <w:szCs w:val="20"/>
          <w:color w:val="auto"/>
        </w:rPr>
      </w:pPr>
    </w:p>
    <w:p>
      <w:pPr>
        <w:ind w:right="20" w:firstLine="348"/>
        <w:spacing w:after="0" w:line="257" w:lineRule="auto"/>
        <w:rPr>
          <w:sz w:val="20"/>
          <w:szCs w:val="20"/>
          <w:color w:val="auto"/>
        </w:rPr>
      </w:pPr>
      <w:r>
        <w:rPr>
          <w:rFonts w:ascii="Times New Roman" w:cs="Times New Roman" w:eastAsia="Times New Roman" w:hAnsi="Times New Roman"/>
          <w:sz w:val="13"/>
          <w:szCs w:val="13"/>
          <w:color w:val="auto"/>
        </w:rPr>
        <w:t>Effective December 11, 2006, the Company elected to be treated as a RIC under the Code and adopted a December 31 tax -calendar year end. As a RIC, the Company is not subject to federal income tax on the portion of its taxable income and gains distributed currently to its stockholders as a dividend. The Company’s quarterly distributions, if any, are determined by the Board. The Company anticipates distributing substantially all of its taxable income and gains, within the Subchapter M rules, and thus the Company anticipates that it will not incur any federal or state income tax at the RIC level. As a RIC, the Company is also subject to a federal excise tax based on distributive requirements of its taxable income on a calendar year basis (e.g., calendar year 2021). Depending on the level of taxable income earned in a tax year, the Company may choose to carry forward taxable income in excess of current year distributions into the next tax year and pay a 4% excise tax on such income, to the extent required.</w:t>
      </w:r>
    </w:p>
    <w:p>
      <w:pPr>
        <w:spacing w:after="0" w:line="72"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3"/>
          <w:szCs w:val="13"/>
          <w:color w:val="auto"/>
        </w:rPr>
        <w:t>The Company may distribute taxable dividends that are payable in cash or shares of its common stock at the election of each stockholder. Under certain applicable provisions of the Code and the Treasury regulations, distributions payable in cash or in shares of stock at the election of stockholders are treated as taxable dividends. The Internal Revenue Service has published guidance with respect to publicly offered RICs indicating that this rule will apply even where the total amount of cash that may be distributed is limited to no more than 20% of the total distribution. Under this guidance, if too many stockholders elect to receive their distributions in cash, the cash available for distribution must be allocated among the stockholders electing to receive cash (with the balance of the distribution paid in stock). If the Company decides to make any distributions consistent with this guidance that are payable in part in its stock, taxable stockholders receiving such dividends will be required to include the full amount of the dividend (whether received in cash, shares of the Company’s stock, or a combination thereof) as ordinary income (or as long-term capital gain to the extent such distribution is properly reported as a capital gain dividend) to the extent of the Company’s current and accumulated earnings and profits for U.S. federal income tax purposes. As a result, a U.S. stockholder may be required to pay tax with respect to such dividends in excess of any cash received. If a U.S. stockholder sells the stock it receives in order to pay this tax, the sales proceeds may be less than the amount included in income with respect to the dividend, depending on the market price of the Company’s stock at the time of the sale. Furthermore, with respect to non-U.S. stockholders, the Company may be required to withhold U.S. tax with respect to such dividends, including in respect of all or a portion of such dividend that is payable in stock. In addition, if a significant number of the Company’s stockholders determine to sell shares of its stock in order to pay taxes owed on dividends, it may put downward pressure on the trading price of the Company’s stock.</w:t>
      </w:r>
    </w:p>
    <w:p>
      <w:pPr>
        <w:spacing w:after="0" w:line="72" w:lineRule="exact"/>
        <w:rPr>
          <w:sz w:val="20"/>
          <w:szCs w:val="20"/>
          <w:color w:val="auto"/>
        </w:rPr>
      </w:pPr>
    </w:p>
    <w:p>
      <w:pPr>
        <w:ind w:right="160" w:firstLine="348"/>
        <w:spacing w:after="0" w:line="259" w:lineRule="auto"/>
        <w:rPr>
          <w:sz w:val="20"/>
          <w:szCs w:val="20"/>
          <w:color w:val="auto"/>
        </w:rPr>
      </w:pPr>
      <w:r>
        <w:rPr>
          <w:rFonts w:ascii="Times New Roman" w:cs="Times New Roman" w:eastAsia="Times New Roman" w:hAnsi="Times New Roman"/>
          <w:sz w:val="13"/>
          <w:szCs w:val="13"/>
          <w:color w:val="auto"/>
        </w:rPr>
        <w:t>Book and tax basis differences relating to stockholder dividends and distributions and other permanent book and tax differences are typically reclassified among the Company’s capital accounts. In addition, the character of income and gains to be distributed is determined in accordance with income tax regulations that may differ from U.S. GAAP; accordingly at calendar years ended December 31, 2024, 2023 and 2022, the Company reclassified for book purposes amounts arising from permanent book/tax differences related to the tax treatment of return of capital distributions, non-deductible expenses, investments on non-accrual status, and capital loss carryforwards acquired as the result of the merger, as follows (amounts in thousands, except share and per share amounts):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1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880" w:type="dxa"/>
            <w:vAlign w:val="bottom"/>
            <w:gridSpan w:val="3"/>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70"/>
        </w:trPr>
        <w:tc>
          <w:tcPr>
            <w:tcW w:w="41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 in thousands)</w:t>
            </w:r>
          </w:p>
        </w:tc>
        <w:tc>
          <w:tcPr>
            <w:tcW w:w="330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2023</w:t>
            </w:r>
          </w:p>
        </w:tc>
        <w:tc>
          <w:tcPr>
            <w:tcW w:w="300" w:type="dxa"/>
            <w:vAlign w:val="bottom"/>
          </w:tcPr>
          <w:p>
            <w:pPr>
              <w:spacing w:after="0"/>
              <w:rPr>
                <w:sz w:val="14"/>
                <w:szCs w:val="14"/>
                <w:color w:val="auto"/>
              </w:rPr>
            </w:pPr>
          </w:p>
        </w:tc>
        <w:tc>
          <w:tcPr>
            <w:tcW w:w="960" w:type="dxa"/>
            <w:vAlign w:val="bottom"/>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56"/>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Capital in excess of par value</w:t>
            </w:r>
          </w:p>
        </w:tc>
        <w:tc>
          <w:tcPr>
            <w:tcW w:w="3300" w:type="dxa"/>
            <w:vAlign w:val="bottom"/>
            <w:shd w:val="clear" w:color="auto" w:fill="CFF0FC"/>
          </w:tcPr>
          <w:p>
            <w:pPr>
              <w:jc w:val="right"/>
              <w:ind w:right="834"/>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2</w:t>
            </w:r>
          </w:p>
        </w:tc>
        <w:tc>
          <w:tcPr>
            <w:tcW w:w="36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3,314</w:t>
            </w:r>
          </w:p>
        </w:tc>
        <w:tc>
          <w:tcPr>
            <w:tcW w:w="30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5,768</w:t>
            </w:r>
          </w:p>
        </w:tc>
      </w:tr>
      <w:tr>
        <w:trPr>
          <w:trHeight w:val="172"/>
        </w:trPr>
        <w:tc>
          <w:tcPr>
            <w:tcW w:w="4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distributable (loss) earnings</w:t>
            </w:r>
          </w:p>
        </w:tc>
        <w:tc>
          <w:tcPr>
            <w:tcW w:w="3300" w:type="dxa"/>
            <w:vAlign w:val="bottom"/>
          </w:tcPr>
          <w:p>
            <w:pPr>
              <w:jc w:val="right"/>
              <w:ind w:right="834"/>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(3,314 )</w:t>
            </w: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(5,768 )</w:t>
            </w:r>
          </w:p>
        </w:tc>
      </w:tr>
    </w:tbl>
    <w:p>
      <w:pPr>
        <w:spacing w:after="0" w:line="69" w:lineRule="exact"/>
        <w:rPr>
          <w:sz w:val="20"/>
          <w:szCs w:val="20"/>
          <w:color w:val="auto"/>
        </w:rPr>
      </w:pPr>
    </w:p>
    <w:p>
      <w:pPr>
        <w:jc w:val="both"/>
        <w:ind w:firstLine="348"/>
        <w:spacing w:after="0" w:line="286" w:lineRule="auto"/>
        <w:rPr>
          <w:sz w:val="20"/>
          <w:szCs w:val="20"/>
          <w:color w:val="auto"/>
        </w:rPr>
      </w:pPr>
      <w:r>
        <w:rPr>
          <w:rFonts w:ascii="Times New Roman" w:cs="Times New Roman" w:eastAsia="Times New Roman" w:hAnsi="Times New Roman"/>
          <w:sz w:val="13"/>
          <w:szCs w:val="13"/>
          <w:color w:val="auto"/>
        </w:rPr>
        <w:t>The following reconciles net increase (decrease) in net assets resulting from operations to taxable income for the years ended December 31, 2024 and December 31, 2023 (amounts in thousands, except share and per share amounts):</w:t>
      </w:r>
    </w:p>
    <w:p>
      <w:pPr>
        <w:spacing w:after="0" w:line="24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1"/>
          <w:szCs w:val="11"/>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95" w:name="page96"/>
    <w:bookmarkEnd w:id="95"/>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PORTMAN RIDGE FINANCE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8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8"/>
              </w:rPr>
              <w:t>Year Ended December 31,</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63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 in thousands)</w:t>
            </w:r>
          </w:p>
        </w:tc>
        <w:tc>
          <w:tcPr>
            <w:tcW w:w="300" w:type="dxa"/>
            <w:vAlign w:val="bottom"/>
          </w:tcPr>
          <w:p>
            <w:pPr>
              <w:spacing w:after="0"/>
              <w:rPr>
                <w:sz w:val="15"/>
                <w:szCs w:val="15"/>
                <w:color w:val="auto"/>
              </w:rPr>
            </w:pPr>
          </w:p>
        </w:tc>
        <w:tc>
          <w:tcPr>
            <w:tcW w:w="98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(decrease) increase in net assets resulting from operations</w:t>
            </w:r>
          </w:p>
        </w:tc>
        <w:tc>
          <w:tcPr>
            <w:tcW w:w="3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(5,935 )</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11,381</w:t>
            </w: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(20,996 )</w:t>
            </w:r>
          </w:p>
        </w:tc>
        <w:tc>
          <w:tcPr>
            <w:tcW w:w="0" w:type="dxa"/>
            <w:vAlign w:val="bottom"/>
          </w:tcPr>
          <w:p>
            <w:pPr>
              <w:spacing w:after="0"/>
              <w:rPr>
                <w:sz w:val="1"/>
                <w:szCs w:val="1"/>
                <w:color w:val="auto"/>
              </w:rPr>
            </w:pPr>
          </w:p>
        </w:tc>
      </w:tr>
      <w:tr>
        <w:trPr>
          <w:trHeight w:val="172"/>
        </w:trPr>
        <w:tc>
          <w:tcPr>
            <w:tcW w:w="6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 provision (benefit) on realized and unrealized (gains) losses on investments</w:t>
            </w:r>
          </w:p>
        </w:tc>
        <w:tc>
          <w:tcPr>
            <w:tcW w:w="300" w:type="dxa"/>
            <w:vAlign w:val="bottom"/>
          </w:tcPr>
          <w:p>
            <w:pPr>
              <w:spacing w:after="0"/>
              <w:rPr>
                <w:sz w:val="14"/>
                <w:szCs w:val="14"/>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 xml:space="preserve">(853 </w:t>
            </w:r>
            <w:r>
              <w:rPr>
                <w:rFonts w:ascii="Times New Roman" w:cs="Times New Roman" w:eastAsia="Times New Roman" w:hAnsi="Times New Roman"/>
                <w:sz w:val="26"/>
                <w:szCs w:val="26"/>
                <w:color w:val="auto"/>
                <w:vertAlign w:val="superscript"/>
              </w:rPr>
              <w:t>)</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 xml:space="preserve">(414 </w:t>
            </w:r>
            <w:r>
              <w:rPr>
                <w:rFonts w:ascii="Times New Roman" w:cs="Times New Roman" w:eastAsia="Times New Roman" w:hAnsi="Times New Roman"/>
                <w:sz w:val="26"/>
                <w:szCs w:val="26"/>
                <w:color w:val="auto"/>
                <w:vertAlign w:val="superscript"/>
              </w:rPr>
              <w:t>)</w:t>
            </w:r>
          </w:p>
        </w:tc>
        <w:tc>
          <w:tcPr>
            <w:tcW w:w="2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786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6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change in unrealized depreciation (appreciation) from investments</w:t>
            </w:r>
          </w:p>
        </w:tc>
        <w:tc>
          <w:tcPr>
            <w:tcW w:w="3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(1,006 )</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(3,322 )</w:t>
            </w: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17,915</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Excess capital losses over capital gains</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31,839</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27,128</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31,185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Book/tax differences on CLO equity investments</w:t>
            </w:r>
          </w:p>
        </w:tc>
        <w:tc>
          <w:tcPr>
            <w:tcW w:w="3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(45 )</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(1,642 )</w:t>
            </w: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Book/tax differences related to mergers and partnership investments</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2,036</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(4,631 )</w:t>
            </w:r>
          </w:p>
        </w:tc>
        <w:tc>
          <w:tcPr>
            <w:tcW w:w="28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(586 )</w:t>
            </w:r>
          </w:p>
        </w:tc>
        <w:tc>
          <w:tcPr>
            <w:tcW w:w="0" w:type="dxa"/>
            <w:vAlign w:val="bottom"/>
          </w:tcPr>
          <w:p>
            <w:pPr>
              <w:spacing w:after="0"/>
              <w:rPr>
                <w:sz w:val="1"/>
                <w:szCs w:val="1"/>
                <w:color w:val="auto"/>
              </w:rPr>
            </w:pPr>
          </w:p>
        </w:tc>
      </w:tr>
      <w:tr>
        <w:trPr>
          <w:trHeight w:val="180"/>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book/tax differences</w:t>
            </w:r>
          </w:p>
        </w:tc>
        <w:tc>
          <w:tcPr>
            <w:tcW w:w="3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448</w:t>
            </w: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859</w:t>
            </w: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1,203</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Taxable income before deductions for distributions</w:t>
            </w: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26,484</w:t>
            </w:r>
          </w:p>
        </w:tc>
        <w:tc>
          <w:tcPr>
            <w:tcW w:w="60" w:type="dxa"/>
            <w:vAlign w:val="bottom"/>
          </w:tcPr>
          <w:p>
            <w:pPr>
              <w:spacing w:after="0"/>
              <w:rPr>
                <w:sz w:val="13"/>
                <w:szCs w:val="13"/>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29,359</w:t>
            </w:r>
          </w:p>
        </w:tc>
        <w:tc>
          <w:tcPr>
            <w:tcW w:w="200" w:type="dxa"/>
            <w:vAlign w:val="bottom"/>
          </w:tcPr>
          <w:p>
            <w:pPr>
              <w:spacing w:after="0"/>
              <w:rPr>
                <w:sz w:val="13"/>
                <w:szCs w:val="13"/>
                <w:color w:val="auto"/>
              </w:rPr>
            </w:pP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29,579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6340" w:type="dxa"/>
            <w:vAlign w:val="bottom"/>
            <w:shd w:val="clear" w:color="auto" w:fill="CFF0FC"/>
          </w:tcPr>
          <w:p>
            <w:pPr>
              <w:ind w:left="20"/>
              <w:spacing w:after="0" w:line="121" w:lineRule="exact"/>
              <w:rPr>
                <w:sz w:val="20"/>
                <w:szCs w:val="20"/>
                <w:color w:val="auto"/>
              </w:rPr>
            </w:pPr>
            <w:r>
              <w:rPr>
                <w:rFonts w:ascii="Times New Roman" w:cs="Times New Roman" w:eastAsia="Times New Roman" w:hAnsi="Times New Roman"/>
                <w:sz w:val="13"/>
                <w:szCs w:val="13"/>
                <w:color w:val="auto"/>
              </w:rPr>
              <w:t>Taxable income before deductions for distributions per weighted</w:t>
            </w:r>
          </w:p>
        </w:tc>
        <w:tc>
          <w:tcPr>
            <w:tcW w:w="3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63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average basic and diluted shares for the period</w:t>
            </w:r>
          </w:p>
        </w:tc>
        <w:tc>
          <w:tcPr>
            <w:tcW w:w="3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6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3.09</w:t>
            </w: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3.07</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right="20" w:firstLine="348"/>
        <w:spacing w:after="0" w:line="262" w:lineRule="auto"/>
        <w:rPr>
          <w:sz w:val="20"/>
          <w:szCs w:val="20"/>
          <w:color w:val="auto"/>
        </w:rPr>
      </w:pPr>
      <w:r>
        <w:rPr>
          <w:rFonts w:ascii="Times New Roman" w:cs="Times New Roman" w:eastAsia="Times New Roman" w:hAnsi="Times New Roman"/>
          <w:sz w:val="13"/>
          <w:szCs w:val="13"/>
          <w:color w:val="auto"/>
        </w:rPr>
        <w:t>Dividends from Asset Manager Affiliates are recorded based upon a quarterly estimate of tax-basis earnings and profits of each Asset Manager Affiliate. Distributions in excess of the estimated tax-basis quarterly earnings and profits of each distributing Asset Manager Affiliate are recognized as tax-basis return of capital. The actual tax-basis earnings and profits and resulting dividend and/or return of capital for the year will be determined at the end of the tax year for each distributing Asset Manager Affiliate. For the years ended December 31, 2024 and December 31, 2023, the Asset Manager Affiliates did not make any cash distributions to the Company.</w:t>
      </w:r>
    </w:p>
    <w:p>
      <w:pPr>
        <w:spacing w:after="0" w:line="67" w:lineRule="exact"/>
        <w:rPr>
          <w:sz w:val="20"/>
          <w:szCs w:val="20"/>
          <w:color w:val="auto"/>
        </w:rPr>
      </w:pPr>
    </w:p>
    <w:p>
      <w:pPr>
        <w:ind w:right="100" w:firstLine="348"/>
        <w:spacing w:after="0" w:line="262" w:lineRule="auto"/>
        <w:rPr>
          <w:sz w:val="20"/>
          <w:szCs w:val="20"/>
          <w:color w:val="auto"/>
        </w:rPr>
      </w:pPr>
      <w:r>
        <w:rPr>
          <w:rFonts w:ascii="Times New Roman" w:cs="Times New Roman" w:eastAsia="Times New Roman" w:hAnsi="Times New Roman"/>
          <w:sz w:val="13"/>
          <w:szCs w:val="13"/>
          <w:color w:val="auto"/>
        </w:rPr>
        <w:t>Distributions to shareholders that exceed tax-basis distributable income (tax-basis net investment income and realized gains, if any) are reported as distributions of paid-in capital (i.e. return of capital) . The tax character of distributions is made on an annual (full calendar year) basis. The determination of the tax attributes of our distributions is made at the end of the year based upon our taxable income for the full year and the distributions paid during the full year. Therefore, a determination of tax attributes made on a quarterly basis may not be representative of the actual tax attributes of distributions for a full year.</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4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 in thousands)</w:t>
            </w:r>
          </w:p>
        </w:tc>
        <w:tc>
          <w:tcPr>
            <w:tcW w:w="280" w:type="dxa"/>
            <w:vAlign w:val="bottom"/>
          </w:tcPr>
          <w:p>
            <w:pPr>
              <w:spacing w:after="0"/>
              <w:rPr>
                <w:sz w:val="13"/>
                <w:szCs w:val="13"/>
                <w:color w:val="auto"/>
              </w:rPr>
            </w:pPr>
          </w:p>
        </w:tc>
        <w:tc>
          <w:tcPr>
            <w:tcW w:w="2620" w:type="dxa"/>
            <w:vAlign w:val="bottom"/>
            <w:gridSpan w:val="5"/>
          </w:tcPr>
          <w:p>
            <w:pPr>
              <w:ind w:left="9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8"/>
        </w:trPr>
        <w:tc>
          <w:tcPr>
            <w:tcW w:w="64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Distributions paid from:</w:t>
            </w:r>
          </w:p>
        </w:tc>
        <w:tc>
          <w:tcPr>
            <w:tcW w:w="280" w:type="dxa"/>
            <w:vAlign w:val="bottom"/>
          </w:tcPr>
          <w:p>
            <w:pPr>
              <w:spacing w:after="0"/>
              <w:rPr>
                <w:sz w:val="13"/>
                <w:szCs w:val="13"/>
                <w:color w:val="auto"/>
              </w:rPr>
            </w:pPr>
          </w:p>
        </w:tc>
        <w:tc>
          <w:tcPr>
            <w:tcW w:w="1000" w:type="dxa"/>
            <w:vAlign w:val="bottom"/>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3"/>
                <w:szCs w:val="13"/>
                <w:color w:val="auto"/>
              </w:rPr>
            </w:pPr>
          </w:p>
        </w:tc>
      </w:tr>
      <w:tr>
        <w:trPr>
          <w:trHeight w:val="168"/>
        </w:trPr>
        <w:tc>
          <w:tcPr>
            <w:tcW w:w="6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Ordinary Income</w:t>
            </w:r>
          </w:p>
        </w:tc>
        <w:tc>
          <w:tcPr>
            <w:tcW w:w="280" w:type="dxa"/>
            <w:vAlign w:val="bottom"/>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25,582</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26,147</w:t>
            </w:r>
          </w:p>
        </w:tc>
        <w:tc>
          <w:tcPr>
            <w:tcW w:w="200" w:type="dxa"/>
            <w:vAlign w:val="bottom"/>
          </w:tcPr>
          <w:p>
            <w:pPr>
              <w:spacing w:after="0"/>
              <w:rPr>
                <w:sz w:val="14"/>
                <w:szCs w:val="14"/>
                <w:color w:val="auto"/>
              </w:rPr>
            </w:pPr>
          </w:p>
        </w:tc>
        <w:tc>
          <w:tcPr>
            <w:tcW w:w="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24,661</w:t>
            </w:r>
          </w:p>
        </w:tc>
        <w:tc>
          <w:tcPr>
            <w:tcW w:w="100" w:type="dxa"/>
            <w:vAlign w:val="bottom"/>
          </w:tcPr>
          <w:p>
            <w:pPr>
              <w:spacing w:after="0"/>
              <w:rPr>
                <w:sz w:val="14"/>
                <w:szCs w:val="14"/>
                <w:color w:val="auto"/>
              </w:rPr>
            </w:pPr>
          </w:p>
        </w:tc>
      </w:tr>
      <w:tr>
        <w:trPr>
          <w:trHeight w:val="156"/>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Return of Capital</w:t>
            </w:r>
          </w:p>
        </w:tc>
        <w:tc>
          <w:tcPr>
            <w:tcW w:w="2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6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80" w:type="dxa"/>
            <w:vAlign w:val="bottom"/>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25,582</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26,147</w:t>
            </w:r>
          </w:p>
        </w:tc>
        <w:tc>
          <w:tcPr>
            <w:tcW w:w="200" w:type="dxa"/>
            <w:vAlign w:val="bottom"/>
          </w:tcPr>
          <w:p>
            <w:pPr>
              <w:spacing w:after="0"/>
              <w:rPr>
                <w:sz w:val="13"/>
                <w:szCs w:val="13"/>
                <w:color w:val="auto"/>
              </w:rPr>
            </w:pPr>
          </w:p>
        </w:tc>
        <w:tc>
          <w:tcPr>
            <w:tcW w:w="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24,661</w:t>
            </w:r>
          </w:p>
        </w:tc>
        <w:tc>
          <w:tcPr>
            <w:tcW w:w="100" w:type="dxa"/>
            <w:vAlign w:val="bottom"/>
          </w:tcPr>
          <w:p>
            <w:pPr>
              <w:spacing w:after="0"/>
              <w:rPr>
                <w:sz w:val="13"/>
                <w:szCs w:val="13"/>
                <w:color w:val="auto"/>
              </w:rPr>
            </w:pPr>
          </w:p>
        </w:tc>
      </w:tr>
      <w:tr>
        <w:trPr>
          <w:trHeight w:val="20"/>
        </w:trPr>
        <w:tc>
          <w:tcPr>
            <w:tcW w:w="6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As of December 31, 2024 and December 31, 2023, the components of accumulated earnings on tax basis (in thousands) were as follows:</w:t>
      </w:r>
    </w:p>
    <w:p>
      <w:pPr>
        <w:sectPr>
          <w:pgSz w:w="11900" w:h="16840" w:orient="portrait"/>
          <w:cols w:equalWidth="0" w:num="1">
            <w:col w:w="10560"/>
          </w:cols>
          <w:pgMar w:left="660" w:top="1132" w:right="680" w:bottom="1440" w:gutter="0" w:footer="0" w:header="0"/>
        </w:sect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b w:val="1"/>
          <w:bCs w:val="1"/>
          <w:color w:val="auto"/>
        </w:rPr>
        <w:t>($ in thousands)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Undistributed ordinary income</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Capital loss carryforward</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Other temporary differences</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Net unrealized depreciation</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Total</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6"/>
        </w:trPr>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2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300" w:type="dxa"/>
            <w:vAlign w:val="bottom"/>
          </w:tcPr>
          <w:p>
            <w:pPr>
              <w:spacing w:after="0"/>
              <w:rPr>
                <w:sz w:val="13"/>
                <w:szCs w:val="13"/>
                <w:color w:val="auto"/>
              </w:rPr>
            </w:pPr>
          </w:p>
        </w:tc>
        <w:tc>
          <w:tcPr>
            <w:tcW w:w="980" w:type="dxa"/>
            <w:vAlign w:val="bottom"/>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2022</w:t>
            </w:r>
          </w:p>
        </w:tc>
        <w:tc>
          <w:tcPr>
            <w:tcW w:w="40" w:type="dxa"/>
            <w:vAlign w:val="bottom"/>
          </w:tcPr>
          <w:p>
            <w:pPr>
              <w:spacing w:after="0"/>
              <w:rPr>
                <w:sz w:val="13"/>
                <w:szCs w:val="13"/>
                <w:color w:val="auto"/>
              </w:rPr>
            </w:pPr>
          </w:p>
        </w:tc>
      </w:tr>
      <w:tr>
        <w:trPr>
          <w:trHeight w:val="156"/>
        </w:trPr>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4,586</w:t>
            </w:r>
          </w:p>
        </w:tc>
        <w:tc>
          <w:tcPr>
            <w:tcW w:w="60" w:type="dxa"/>
            <w:vAlign w:val="bottom"/>
          </w:tcPr>
          <w:p>
            <w:pPr>
              <w:spacing w:after="0"/>
              <w:rPr>
                <w:sz w:val="13"/>
                <w:szCs w:val="13"/>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7,064</w:t>
            </w:r>
          </w:p>
        </w:tc>
        <w:tc>
          <w:tcPr>
            <w:tcW w:w="200" w:type="dxa"/>
            <w:vAlign w:val="bottom"/>
          </w:tcPr>
          <w:p>
            <w:pPr>
              <w:spacing w:after="0"/>
              <w:rPr>
                <w:sz w:val="13"/>
                <w:szCs w:val="13"/>
                <w:color w:val="auto"/>
              </w:rPr>
            </w:pP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4,917</w:t>
            </w:r>
          </w:p>
        </w:tc>
        <w:tc>
          <w:tcPr>
            <w:tcW w:w="40" w:type="dxa"/>
            <w:vAlign w:val="bottom"/>
          </w:tcPr>
          <w:p>
            <w:pPr>
              <w:spacing w:after="0"/>
              <w:rPr>
                <w:sz w:val="13"/>
                <w:szCs w:val="13"/>
                <w:color w:val="auto"/>
              </w:rPr>
            </w:pPr>
          </w:p>
        </w:tc>
      </w:tr>
      <w:tr>
        <w:trPr>
          <w:trHeight w:val="156"/>
        </w:trPr>
        <w:tc>
          <w:tcPr>
            <w:tcW w:w="300" w:type="dxa"/>
            <w:vAlign w:val="bottom"/>
          </w:tcPr>
          <w:p>
            <w:pPr>
              <w:spacing w:after="0"/>
              <w:rPr>
                <w:sz w:val="13"/>
                <w:szCs w:val="1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(487,186 )</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(445,684 )</w:t>
            </w:r>
          </w:p>
        </w:tc>
        <w:tc>
          <w:tcPr>
            <w:tcW w:w="26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(418,937 )</w:t>
            </w:r>
          </w:p>
        </w:tc>
      </w:tr>
      <w:tr>
        <w:trPr>
          <w:trHeight w:val="172"/>
        </w:trPr>
        <w:tc>
          <w:tcPr>
            <w:tcW w:w="30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r>
      <w:tr>
        <w:trPr>
          <w:trHeight w:val="200"/>
        </w:trPr>
        <w:tc>
          <w:tcPr>
            <w:tcW w:w="3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(53,330 )</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72,584</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77,496</w:t>
            </w:r>
          </w:p>
        </w:tc>
        <w:tc>
          <w:tcPr>
            <w:tcW w:w="40" w:type="dxa"/>
            <w:vAlign w:val="bottom"/>
          </w:tcPr>
          <w:p>
            <w:pPr>
              <w:spacing w:after="0"/>
              <w:rPr>
                <w:sz w:val="17"/>
                <w:szCs w:val="17"/>
                <w:color w:val="auto"/>
              </w:rPr>
            </w:pPr>
          </w:p>
        </w:tc>
      </w:tr>
      <w:tr>
        <w:trPr>
          <w:trHeight w:val="168"/>
        </w:trPr>
        <w:tc>
          <w:tcPr>
            <w:tcW w:w="300" w:type="dxa"/>
            <w:vAlign w:val="bottom"/>
          </w:tcPr>
          <w:p>
            <w:pPr>
              <w:jc w:val="right"/>
              <w:ind w:right="154"/>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0"/>
                <w:szCs w:val="10"/>
                <w:color w:val="auto"/>
              </w:rPr>
              <w:t xml:space="preserve">(535,930 </w:t>
            </w:r>
            <w:r>
              <w:rPr>
                <w:rFonts w:ascii="Times New Roman" w:cs="Times New Roman" w:eastAsia="Times New Roman" w:hAnsi="Times New Roman"/>
                <w:sz w:val="17"/>
                <w:szCs w:val="17"/>
                <w:color w:val="auto"/>
                <w:vertAlign w:val="subscript"/>
              </w:rPr>
              <w:t>)</w:t>
            </w:r>
          </w:p>
        </w:tc>
        <w:tc>
          <w:tcPr>
            <w:tcW w:w="440" w:type="dxa"/>
            <w:vAlign w:val="bottom"/>
            <w:gridSpan w:val="2"/>
          </w:tcPr>
          <w:p>
            <w:pPr>
              <w:jc w:val="right"/>
              <w:ind w:right="200"/>
              <w:spacing w:after="0" w:line="148"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0"/>
                <w:szCs w:val="10"/>
                <w:color w:val="auto"/>
              </w:rPr>
              <w:t xml:space="preserve">(366,036 </w:t>
            </w:r>
            <w:r>
              <w:rPr>
                <w:rFonts w:ascii="Times New Roman" w:cs="Times New Roman" w:eastAsia="Times New Roman" w:hAnsi="Times New Roman"/>
                <w:sz w:val="17"/>
                <w:szCs w:val="17"/>
                <w:color w:val="auto"/>
                <w:vertAlign w:val="subscript"/>
              </w:rPr>
              <w:t>)</w:t>
            </w:r>
          </w:p>
        </w:tc>
        <w:tc>
          <w:tcPr>
            <w:tcW w:w="260" w:type="dxa"/>
            <w:vAlign w:val="bottom"/>
          </w:tcPr>
          <w:p>
            <w:pPr>
              <w:jc w:val="right"/>
              <w:ind w:right="114"/>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0"/>
                <w:szCs w:val="10"/>
                <w:color w:val="auto"/>
              </w:rPr>
              <w:t xml:space="preserve">(336,524 </w:t>
            </w:r>
            <w:r>
              <w:rPr>
                <w:rFonts w:ascii="Times New Roman" w:cs="Times New Roman" w:eastAsia="Times New Roman" w:hAnsi="Times New Roman"/>
                <w:sz w:val="17"/>
                <w:szCs w:val="17"/>
                <w:color w:val="auto"/>
                <w:vertAlign w:val="subscript"/>
              </w:rPr>
              <w:t>)</w:t>
            </w:r>
          </w:p>
        </w:tc>
      </w:tr>
      <w:tr>
        <w:trPr>
          <w:trHeight w:val="20"/>
        </w:trPr>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-456565</wp:posOffset>
            </wp:positionV>
            <wp:extent cx="6707505" cy="990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-258445</wp:posOffset>
            </wp:positionV>
            <wp:extent cx="6707505"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07505" cy="137160"/>
                    </a:xfrm>
                    <a:prstGeom prst="rect">
                      <a:avLst/>
                    </a:prstGeom>
                    <a:noFill/>
                  </pic:spPr>
                </pic:pic>
              </a:graphicData>
            </a:graphic>
          </wp:anchor>
        </w:drawing>
      </w:r>
    </w:p>
    <w:p>
      <w:pPr>
        <w:spacing w:after="0" w:line="200" w:lineRule="exact"/>
        <w:rPr>
          <w:sz w:val="20"/>
          <w:szCs w:val="20"/>
          <w:color w:val="auto"/>
        </w:rPr>
      </w:pPr>
    </w:p>
    <w:p>
      <w:pPr>
        <w:sectPr>
          <w:pgSz w:w="11900" w:h="16840" w:orient="portrait"/>
          <w:cols w:equalWidth="0" w:num="2">
            <w:col w:w="5600" w:space="720"/>
            <w:col w:w="4240"/>
          </w:cols>
          <w:pgMar w:left="660" w:top="1132" w:right="680" w:bottom="1440" w:gutter="0" w:footer="0" w:header="0"/>
          <w:type w:val="continuous"/>
        </w:sectPr>
      </w:pPr>
    </w:p>
    <w:p>
      <w:pPr>
        <w:spacing w:after="0" w:line="40" w:lineRule="exact"/>
        <w:rPr>
          <w:sz w:val="20"/>
          <w:szCs w:val="20"/>
          <w:color w:val="auto"/>
        </w:rPr>
      </w:pPr>
    </w:p>
    <w:p>
      <w:pPr>
        <w:ind w:right="40" w:firstLine="348"/>
        <w:spacing w:after="0" w:line="286" w:lineRule="auto"/>
        <w:rPr>
          <w:sz w:val="20"/>
          <w:szCs w:val="20"/>
          <w:color w:val="auto"/>
        </w:rPr>
      </w:pPr>
      <w:r>
        <w:rPr>
          <w:rFonts w:ascii="Times New Roman" w:cs="Times New Roman" w:eastAsia="Times New Roman" w:hAnsi="Times New Roman"/>
          <w:sz w:val="13"/>
          <w:szCs w:val="13"/>
          <w:color w:val="auto"/>
        </w:rPr>
        <w:t>At December 31, 2024, the Company had a net capital loss carryforward of $487.2 million to offset net capital gains. This net capital loss carryforward is not subject to expiration. A portion of the Company’s capital loss carryovers are subject to an annual use limitation under the Code and related regulations.</w:t>
      </w:r>
    </w:p>
    <w:p>
      <w:pPr>
        <w:spacing w:after="0" w:line="52" w:lineRule="exact"/>
        <w:rPr>
          <w:sz w:val="20"/>
          <w:szCs w:val="20"/>
          <w:color w:val="auto"/>
        </w:rPr>
      </w:pPr>
    </w:p>
    <w:p>
      <w:pPr>
        <w:ind w:firstLine="348"/>
        <w:spacing w:after="0" w:line="260" w:lineRule="auto"/>
        <w:rPr>
          <w:sz w:val="20"/>
          <w:szCs w:val="20"/>
          <w:color w:val="auto"/>
        </w:rPr>
      </w:pPr>
      <w:r>
        <w:rPr>
          <w:rFonts w:ascii="Times New Roman" w:cs="Times New Roman" w:eastAsia="Times New Roman" w:hAnsi="Times New Roman"/>
          <w:sz w:val="13"/>
          <w:szCs w:val="13"/>
          <w:color w:val="auto"/>
        </w:rPr>
        <w:t>The Company has certain taxable subsidiaries which have elected to be taxed as corporations for U.S. tax purposes. For the Company's tax year ended December 31, 2024, the taxable subsidiaries’ activity resulted in a provision (benefit) for income taxes of ($0.9) million. The taxable subsidiaries have, in aggregate, $0.5 million of net deferred tax liabilities. A portion of the taxable subsidiaries’ net operating loss and capital loss carryovers are subject to an annual use limitation under the Code and related regulations. For the Company's tax year ended December 31, 2023, the taxable subsidiaries’ activity resulted in a provision (benefit) for income taxes of ($0.4) million. The taxable subsidiaries have, in aggregate, no deferred tax assets and $1.3 million of deferred tax liabilities.</w:t>
      </w:r>
    </w:p>
    <w:p>
      <w:pPr>
        <w:spacing w:after="0" w:line="226" w:lineRule="exact"/>
        <w:rPr>
          <w:sz w:val="20"/>
          <w:szCs w:val="20"/>
          <w:color w:val="auto"/>
        </w:rPr>
      </w:pPr>
    </w:p>
    <w:p>
      <w:pPr>
        <w:ind w:right="40" w:firstLine="348"/>
        <w:spacing w:after="0" w:line="256" w:lineRule="auto"/>
        <w:rPr>
          <w:sz w:val="20"/>
          <w:szCs w:val="20"/>
          <w:color w:val="auto"/>
        </w:rPr>
      </w:pPr>
      <w:r>
        <w:rPr>
          <w:rFonts w:ascii="Times New Roman" w:cs="Times New Roman" w:eastAsia="Times New Roman" w:hAnsi="Times New Roman"/>
          <w:sz w:val="13"/>
          <w:szCs w:val="13"/>
          <w:color w:val="auto"/>
        </w:rPr>
        <w:t xml:space="preserve">ASC Topic 740 </w:t>
      </w:r>
      <w:r>
        <w:rPr>
          <w:rFonts w:ascii="Times New Roman" w:cs="Times New Roman" w:eastAsia="Times New Roman" w:hAnsi="Times New Roman"/>
          <w:sz w:val="13"/>
          <w:szCs w:val="13"/>
          <w:i w:val="1"/>
          <w:iCs w:val="1"/>
          <w:color w:val="auto"/>
        </w:rPr>
        <w:t>Accounting for Uncertainty in Income Taxes</w:t>
      </w:r>
      <w:r>
        <w:rPr>
          <w:rFonts w:ascii="Times New Roman" w:cs="Times New Roman" w:eastAsia="Times New Roman" w:hAnsi="Times New Roman"/>
          <w:sz w:val="13"/>
          <w:szCs w:val="13"/>
          <w:color w:val="auto"/>
        </w:rPr>
        <w:t xml:space="preserve">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 likely-than-not” of being sustained by the applicable tax authority. The Company recognizes the tax benefits of uncertain tax positions only where the position is “more likely than not” to be sustained assuming examination by tax authorities. Management has analyzed the Company’s tax positions and has concluded that no liability for unrecognized tax benefits should be recorded related to uncertain tax positions taken on returns filed for open tax years (the last three fiscal years) or expected to be taken in the Company’s current year tax return. The Company identifies its major tax jurisdictions as U.S. Federal and New York State, and the Company is not aware of any tax positions for which it is reasonably possible that the total amounts of unrecognized tax benefits will change materially in the next 12 months. Management’s determinations regarding ASC 740 may be subject to review and adjustment at a later date based upon factors including, but not limited to, an ongoing analysis of tax laws, regulations and interpretations thereof.</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8. COMMITMENTS AND CONTINGENCIES</w:t>
      </w:r>
    </w:p>
    <w:p>
      <w:pPr>
        <w:spacing w:after="0" w:line="105"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3"/>
          <w:szCs w:val="13"/>
          <w:color w:val="auto"/>
        </w:rPr>
        <w:t>From time-to-time the Company is a party to financial instruments with off -balance sheet risk in the normal course of business in order to meet the needs of the Company’s investment in portfolio companies. Such instruments include commitments to extend credit and may involve, in varying degrees, elements of credit risk in excess of amounts recognized on the Company’s consolidated statements of assets and liabilities. Prior to extending such credit, the Company attempts to limit its credit risk by conducting extensive due diligence, obtaining collateral where necessary and negotiating appropriate financial covenants. As of December 31, 2024 and December 31, 2023, the Company had $27.2 million and $28.6 million unfunded commitments, respectively.</w:t>
      </w:r>
    </w:p>
    <w:p>
      <w:pPr>
        <w:spacing w:after="0" w:line="7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1"/>
          <w:szCs w:val="11"/>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type w:val="continuous"/>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PORTMAN RIDGE FINANCE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173" w:lineRule="exact"/>
        <w:rPr>
          <w:sz w:val="20"/>
          <w:szCs w:val="20"/>
          <w:color w:val="auto"/>
        </w:rPr>
      </w:pPr>
    </w:p>
    <w:p>
      <w:pPr>
        <w:ind w:right="40" w:firstLine="348"/>
        <w:spacing w:after="0" w:line="286" w:lineRule="auto"/>
        <w:rPr>
          <w:sz w:val="20"/>
          <w:szCs w:val="20"/>
          <w:color w:val="auto"/>
        </w:rPr>
      </w:pPr>
      <w:r>
        <w:rPr>
          <w:rFonts w:ascii="Times New Roman" w:cs="Times New Roman" w:eastAsia="Times New Roman" w:hAnsi="Times New Roman"/>
          <w:sz w:val="13"/>
          <w:szCs w:val="13"/>
          <w:color w:val="auto"/>
        </w:rPr>
        <w:t>The Company may, from time to time, enter into commitments to fund investments. These unfunded commitments are assessed for fair value in accordance with ASC 820. As of December 31, 2024 and December 31, 2023, the Company had the following outstanding commitments to fund investments in current portfolio companies: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4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 in thousands)</w:t>
            </w:r>
          </w:p>
        </w:tc>
        <w:tc>
          <w:tcPr>
            <w:tcW w:w="2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320" w:type="dxa"/>
            <w:vAlign w:val="bottom"/>
          </w:tcPr>
          <w:p>
            <w:pPr>
              <w:spacing w:after="0"/>
              <w:rPr>
                <w:sz w:val="13"/>
                <w:szCs w:val="13"/>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0" w:type="dxa"/>
            <w:vAlign w:val="bottom"/>
          </w:tcPr>
          <w:p>
            <w:pPr>
              <w:spacing w:after="0"/>
              <w:rPr>
                <w:sz w:val="1"/>
                <w:szCs w:val="1"/>
                <w:color w:val="auto"/>
              </w:rPr>
            </w:pPr>
          </w:p>
        </w:tc>
      </w:tr>
      <w:tr>
        <w:trPr>
          <w:trHeight w:val="170"/>
        </w:trPr>
        <w:tc>
          <w:tcPr>
            <w:tcW w:w="4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2180" w:type="dxa"/>
            <w:vAlign w:val="bottom"/>
          </w:tcPr>
          <w:p>
            <w:pPr>
              <w:ind w:left="124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560" w:type="dxa"/>
            <w:vAlign w:val="bottom"/>
          </w:tcPr>
          <w:p>
            <w:pPr>
              <w:spacing w:after="0"/>
              <w:rPr>
                <w:sz w:val="14"/>
                <w:szCs w:val="14"/>
                <w:color w:val="auto"/>
              </w:rPr>
            </w:pP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320" w:type="dxa"/>
            <w:vAlign w:val="bottom"/>
          </w:tcPr>
          <w:p>
            <w:pPr>
              <w:spacing w:after="0"/>
              <w:rPr>
                <w:sz w:val="14"/>
                <w:szCs w:val="14"/>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0" w:type="dxa"/>
            <w:vAlign w:val="bottom"/>
          </w:tcPr>
          <w:p>
            <w:pPr>
              <w:spacing w:after="0"/>
              <w:rPr>
                <w:sz w:val="1"/>
                <w:szCs w:val="1"/>
                <w:color w:val="auto"/>
              </w:rPr>
            </w:pPr>
          </w:p>
        </w:tc>
      </w:tr>
      <w:tr>
        <w:trPr>
          <w:trHeight w:val="156"/>
        </w:trPr>
        <w:tc>
          <w:tcPr>
            <w:tcW w:w="44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Accordion Partners LLC</w:t>
            </w:r>
            <w:r>
              <w:rPr>
                <w:rFonts w:ascii="Times New Roman" w:cs="Times New Roman" w:eastAsia="Times New Roman" w:hAnsi="Times New Roman"/>
                <w:sz w:val="16"/>
                <w:szCs w:val="16"/>
                <w:color w:val="auto"/>
                <w:vertAlign w:val="superscript"/>
              </w:rPr>
              <w:t>(1)</w:t>
            </w:r>
          </w:p>
        </w:tc>
        <w:tc>
          <w:tcPr>
            <w:tcW w:w="218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3"/>
                <w:szCs w:val="13"/>
                <w:color w:val="auto"/>
              </w:rPr>
              <w:t>First Lien Debt</w:t>
            </w:r>
          </w:p>
        </w:tc>
        <w:tc>
          <w:tcPr>
            <w:tcW w:w="56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913</w:t>
            </w:r>
          </w:p>
        </w:tc>
        <w:tc>
          <w:tcPr>
            <w:tcW w:w="34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4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Accordion Partners LLC (Revolver)</w:t>
            </w:r>
          </w:p>
        </w:tc>
        <w:tc>
          <w:tcPr>
            <w:tcW w:w="218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First Lien Debt</w:t>
            </w:r>
          </w:p>
        </w:tc>
        <w:tc>
          <w:tcPr>
            <w:tcW w:w="5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1,623</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AMCP Pet Holdings, Inc. (Revolver)</w:t>
            </w:r>
          </w:p>
        </w:tc>
        <w:tc>
          <w:tcPr>
            <w:tcW w:w="218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3"/>
                <w:szCs w:val="13"/>
                <w:color w:val="auto"/>
              </w:rPr>
              <w:t>First Lien Debt</w:t>
            </w:r>
          </w:p>
        </w:tc>
        <w:tc>
          <w:tcPr>
            <w:tcW w:w="560" w:type="dxa"/>
            <w:vAlign w:val="bottom"/>
            <w:shd w:val="clear" w:color="auto" w:fill="CFF0FC"/>
          </w:tcPr>
          <w:p>
            <w:pPr>
              <w:spacing w:after="0"/>
              <w:rPr>
                <w:sz w:val="13"/>
                <w:szCs w:val="13"/>
                <w:color w:val="auto"/>
              </w:rPr>
            </w:pPr>
          </w:p>
        </w:tc>
        <w:tc>
          <w:tcPr>
            <w:tcW w:w="16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8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Anthem Sports &amp; Entertainment Inc.</w:t>
            </w:r>
            <w:r>
              <w:rPr>
                <w:rFonts w:ascii="Times New Roman" w:cs="Times New Roman" w:eastAsia="Times New Roman" w:hAnsi="Times New Roman"/>
                <w:sz w:val="16"/>
                <w:szCs w:val="16"/>
                <w:color w:val="auto"/>
                <w:vertAlign w:val="superscript"/>
              </w:rPr>
              <w:t>(1)</w:t>
            </w:r>
          </w:p>
        </w:tc>
        <w:tc>
          <w:tcPr>
            <w:tcW w:w="218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First Lien Debt</w:t>
            </w:r>
          </w:p>
        </w:tc>
        <w:tc>
          <w:tcPr>
            <w:tcW w:w="5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Anthem Sports &amp; Entertainment Inc. (Revolver)</w:t>
            </w:r>
          </w:p>
        </w:tc>
        <w:tc>
          <w:tcPr>
            <w:tcW w:w="218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3"/>
                <w:szCs w:val="13"/>
                <w:color w:val="auto"/>
              </w:rPr>
              <w:t>First Lien Debt</w:t>
            </w:r>
          </w:p>
        </w:tc>
        <w:tc>
          <w:tcPr>
            <w:tcW w:w="5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3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BetaNXT, Inc. (Revolver)</w:t>
            </w:r>
          </w:p>
        </w:tc>
        <w:tc>
          <w:tcPr>
            <w:tcW w:w="218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First Lien Debt</w:t>
            </w:r>
          </w:p>
        </w:tc>
        <w:tc>
          <w:tcPr>
            <w:tcW w:w="5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1,401</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Bradshaw International Parent Corp. (Revolver)</w:t>
            </w:r>
          </w:p>
        </w:tc>
        <w:tc>
          <w:tcPr>
            <w:tcW w:w="218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3"/>
                <w:szCs w:val="13"/>
                <w:color w:val="auto"/>
              </w:rPr>
              <w:t>First Lien Debt</w:t>
            </w:r>
          </w:p>
        </w:tc>
        <w:tc>
          <w:tcPr>
            <w:tcW w:w="5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922</w:t>
            </w:r>
          </w:p>
        </w:tc>
        <w:tc>
          <w:tcPr>
            <w:tcW w:w="3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922</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CCMG Buyer, LLC (Care Connectors Medical Group) (Revolver)</w:t>
            </w:r>
          </w:p>
        </w:tc>
        <w:tc>
          <w:tcPr>
            <w:tcW w:w="2180" w:type="dxa"/>
            <w:vAlign w:val="bottom"/>
            <w:vMerge w:val="restart"/>
          </w:tcPr>
          <w:p>
            <w:pPr>
              <w:ind w:left="960"/>
              <w:spacing w:after="0"/>
              <w:rPr>
                <w:sz w:val="20"/>
                <w:szCs w:val="20"/>
                <w:color w:val="auto"/>
              </w:rPr>
            </w:pPr>
            <w:r>
              <w:rPr>
                <w:rFonts w:ascii="Times New Roman" w:cs="Times New Roman" w:eastAsia="Times New Roman" w:hAnsi="Times New Roman"/>
                <w:sz w:val="13"/>
                <w:szCs w:val="13"/>
                <w:color w:val="auto"/>
              </w:rPr>
              <w:t>First Lien Debt</w:t>
            </w:r>
          </w:p>
        </w:tc>
        <w:tc>
          <w:tcPr>
            <w:tcW w:w="5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4"/>
        </w:trPr>
        <w:tc>
          <w:tcPr>
            <w:tcW w:w="4480" w:type="dxa"/>
            <w:vAlign w:val="bottom"/>
          </w:tcPr>
          <w:p>
            <w:pPr>
              <w:spacing w:after="0"/>
              <w:rPr>
                <w:sz w:val="3"/>
                <w:szCs w:val="3"/>
                <w:color w:val="auto"/>
              </w:rPr>
            </w:pPr>
          </w:p>
        </w:tc>
        <w:tc>
          <w:tcPr>
            <w:tcW w:w="21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Centric Brands Inc. (Revolver)</w:t>
            </w:r>
          </w:p>
        </w:tc>
        <w:tc>
          <w:tcPr>
            <w:tcW w:w="218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3"/>
                <w:szCs w:val="13"/>
                <w:color w:val="auto"/>
              </w:rPr>
              <w:t>First Lien Debt</w:t>
            </w:r>
          </w:p>
        </w:tc>
        <w:tc>
          <w:tcPr>
            <w:tcW w:w="560" w:type="dxa"/>
            <w:vAlign w:val="bottom"/>
            <w:shd w:val="clear" w:color="auto" w:fill="CFF0FC"/>
          </w:tcPr>
          <w:p>
            <w:pPr>
              <w:spacing w:after="0"/>
              <w:rPr>
                <w:sz w:val="13"/>
                <w:szCs w:val="13"/>
                <w:color w:val="auto"/>
              </w:rPr>
            </w:pPr>
          </w:p>
        </w:tc>
        <w:tc>
          <w:tcPr>
            <w:tcW w:w="16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3"/>
                <w:szCs w:val="13"/>
                <w:color w:val="auto"/>
              </w:rPr>
              <w:t>N/A</w:t>
            </w:r>
          </w:p>
        </w:tc>
        <w:tc>
          <w:tcPr>
            <w:tcW w:w="3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Colonnade Intermediate, LLC (Revolver)</w:t>
            </w:r>
          </w:p>
        </w:tc>
        <w:tc>
          <w:tcPr>
            <w:tcW w:w="218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First Lien Debt</w:t>
            </w:r>
          </w:p>
        </w:tc>
        <w:tc>
          <w:tcPr>
            <w:tcW w:w="560" w:type="dxa"/>
            <w:vAlign w:val="bottom"/>
          </w:tcPr>
          <w:p>
            <w:pPr>
              <w:spacing w:after="0"/>
              <w:rPr>
                <w:sz w:val="13"/>
                <w:szCs w:val="13"/>
                <w:color w:val="auto"/>
              </w:rPr>
            </w:pP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Critical Nurse Staffing, LLC (Revolver)</w:t>
            </w:r>
          </w:p>
        </w:tc>
        <w:tc>
          <w:tcPr>
            <w:tcW w:w="218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3"/>
                <w:szCs w:val="13"/>
                <w:color w:val="auto"/>
              </w:rPr>
              <w:t>First Lien Debt</w:t>
            </w:r>
          </w:p>
        </w:tc>
        <w:tc>
          <w:tcPr>
            <w:tcW w:w="560" w:type="dxa"/>
            <w:vAlign w:val="bottom"/>
            <w:shd w:val="clear" w:color="auto" w:fill="CFF0FC"/>
          </w:tcPr>
          <w:p>
            <w:pPr>
              <w:spacing w:after="0"/>
              <w:rPr>
                <w:sz w:val="13"/>
                <w:szCs w:val="13"/>
                <w:color w:val="auto"/>
              </w:rPr>
            </w:pPr>
          </w:p>
        </w:tc>
        <w:tc>
          <w:tcPr>
            <w:tcW w:w="16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8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Dentive, LLC</w:t>
            </w:r>
            <w:r>
              <w:rPr>
                <w:rFonts w:ascii="Times New Roman" w:cs="Times New Roman" w:eastAsia="Times New Roman" w:hAnsi="Times New Roman"/>
                <w:sz w:val="16"/>
                <w:szCs w:val="16"/>
                <w:color w:val="auto"/>
                <w:vertAlign w:val="superscript"/>
              </w:rPr>
              <w:t>(1)</w:t>
            </w:r>
          </w:p>
        </w:tc>
        <w:tc>
          <w:tcPr>
            <w:tcW w:w="218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First Lien Debt</w:t>
            </w:r>
          </w:p>
        </w:tc>
        <w:tc>
          <w:tcPr>
            <w:tcW w:w="5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427</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Dentive, LLC (Revolver)</w:t>
            </w:r>
          </w:p>
        </w:tc>
        <w:tc>
          <w:tcPr>
            <w:tcW w:w="218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3"/>
                <w:szCs w:val="13"/>
                <w:color w:val="auto"/>
              </w:rPr>
              <w:t>First Lien Debt</w:t>
            </w:r>
          </w:p>
        </w:tc>
        <w:tc>
          <w:tcPr>
            <w:tcW w:w="5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3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Epilog Partners SPV III, LLC (Care Connectors Medical Group)</w:t>
            </w:r>
          </w:p>
        </w:tc>
        <w:tc>
          <w:tcPr>
            <w:tcW w:w="218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Equity</w:t>
            </w:r>
          </w:p>
        </w:tc>
        <w:tc>
          <w:tcPr>
            <w:tcW w:w="5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44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Fortis Payment Systems, LLC</w:t>
            </w:r>
            <w:r>
              <w:rPr>
                <w:rFonts w:ascii="Times New Roman" w:cs="Times New Roman" w:eastAsia="Times New Roman" w:hAnsi="Times New Roman"/>
                <w:sz w:val="16"/>
                <w:szCs w:val="16"/>
                <w:color w:val="auto"/>
                <w:vertAlign w:val="superscript"/>
              </w:rPr>
              <w:t>(1)</w:t>
            </w:r>
          </w:p>
        </w:tc>
        <w:tc>
          <w:tcPr>
            <w:tcW w:w="218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3"/>
                <w:szCs w:val="13"/>
                <w:color w:val="auto"/>
              </w:rPr>
              <w:t>First Lien Debt</w:t>
            </w:r>
          </w:p>
        </w:tc>
        <w:tc>
          <w:tcPr>
            <w:tcW w:w="5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387</w:t>
            </w:r>
          </w:p>
        </w:tc>
        <w:tc>
          <w:tcPr>
            <w:tcW w:w="3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4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Franchise Group, Inc. (DIP)</w:t>
            </w:r>
          </w:p>
        </w:tc>
        <w:tc>
          <w:tcPr>
            <w:tcW w:w="218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First Lien Debt</w:t>
            </w:r>
          </w:p>
        </w:tc>
        <w:tc>
          <w:tcPr>
            <w:tcW w:w="5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56"/>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GreenPark Infrastructure, LLC - Series M-1</w:t>
            </w:r>
          </w:p>
        </w:tc>
        <w:tc>
          <w:tcPr>
            <w:tcW w:w="218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3"/>
                <w:szCs w:val="13"/>
                <w:color w:val="auto"/>
              </w:rPr>
              <w:t>Equity</w:t>
            </w:r>
          </w:p>
        </w:tc>
        <w:tc>
          <w:tcPr>
            <w:tcW w:w="560" w:type="dxa"/>
            <w:vAlign w:val="bottom"/>
            <w:shd w:val="clear" w:color="auto" w:fill="CFF0FC"/>
          </w:tcPr>
          <w:p>
            <w:pPr>
              <w:spacing w:after="0"/>
              <w:rPr>
                <w:sz w:val="13"/>
                <w:szCs w:val="13"/>
                <w:color w:val="auto"/>
              </w:rPr>
            </w:pPr>
          </w:p>
        </w:tc>
        <w:tc>
          <w:tcPr>
            <w:tcW w:w="16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1,829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H.W. Lochner, Inc. (Revolver)</w:t>
            </w:r>
          </w:p>
        </w:tc>
        <w:tc>
          <w:tcPr>
            <w:tcW w:w="218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First Lien Debt</w:t>
            </w:r>
          </w:p>
        </w:tc>
        <w:tc>
          <w:tcPr>
            <w:tcW w:w="560" w:type="dxa"/>
            <w:vAlign w:val="bottom"/>
          </w:tcPr>
          <w:p>
            <w:pPr>
              <w:spacing w:after="0"/>
              <w:rPr>
                <w:sz w:val="13"/>
                <w:szCs w:val="13"/>
                <w:color w:val="auto"/>
              </w:rPr>
            </w:pP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IDC Infusion Services LLC</w:t>
            </w:r>
            <w:r>
              <w:rPr>
                <w:rFonts w:ascii="Times New Roman" w:cs="Times New Roman" w:eastAsia="Times New Roman" w:hAnsi="Times New Roman"/>
                <w:sz w:val="16"/>
                <w:szCs w:val="16"/>
                <w:color w:val="auto"/>
                <w:vertAlign w:val="superscript"/>
              </w:rPr>
              <w:t>(1)</w:t>
            </w:r>
          </w:p>
        </w:tc>
        <w:tc>
          <w:tcPr>
            <w:tcW w:w="218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3"/>
                <w:szCs w:val="13"/>
                <w:color w:val="auto"/>
              </w:rPr>
              <w:t>First Lien Debt</w:t>
            </w:r>
          </w:p>
        </w:tc>
        <w:tc>
          <w:tcPr>
            <w:tcW w:w="5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3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1,065</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Luminii LLC (Revolver)</w:t>
            </w:r>
          </w:p>
        </w:tc>
        <w:tc>
          <w:tcPr>
            <w:tcW w:w="218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First Lien Debt</w:t>
            </w:r>
          </w:p>
        </w:tc>
        <w:tc>
          <w:tcPr>
            <w:tcW w:w="5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Morae Global Corporation (Revolver)</w:t>
            </w:r>
          </w:p>
        </w:tc>
        <w:tc>
          <w:tcPr>
            <w:tcW w:w="218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3"/>
                <w:szCs w:val="13"/>
                <w:color w:val="auto"/>
              </w:rPr>
              <w:t>First Lien Debt</w:t>
            </w:r>
          </w:p>
        </w:tc>
        <w:tc>
          <w:tcPr>
            <w:tcW w:w="5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3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Netwrix Corporation (Revolver)</w:t>
            </w:r>
          </w:p>
        </w:tc>
        <w:tc>
          <w:tcPr>
            <w:tcW w:w="218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First Lien Debt</w:t>
            </w:r>
          </w:p>
        </w:tc>
        <w:tc>
          <w:tcPr>
            <w:tcW w:w="5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1,148</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Netwrix Corporation</w:t>
            </w:r>
            <w:r>
              <w:rPr>
                <w:rFonts w:ascii="Times New Roman" w:cs="Times New Roman" w:eastAsia="Times New Roman" w:hAnsi="Times New Roman"/>
                <w:sz w:val="16"/>
                <w:szCs w:val="16"/>
                <w:color w:val="auto"/>
                <w:vertAlign w:val="superscript"/>
              </w:rPr>
              <w:t>(1)</w:t>
            </w:r>
          </w:p>
        </w:tc>
        <w:tc>
          <w:tcPr>
            <w:tcW w:w="218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3"/>
                <w:szCs w:val="13"/>
                <w:color w:val="auto"/>
              </w:rPr>
              <w:t>First Lien Debt</w:t>
            </w:r>
          </w:p>
        </w:tc>
        <w:tc>
          <w:tcPr>
            <w:tcW w:w="560" w:type="dxa"/>
            <w:vAlign w:val="bottom"/>
            <w:shd w:val="clear" w:color="auto" w:fill="CFF0FC"/>
          </w:tcPr>
          <w:p>
            <w:pPr>
              <w:spacing w:after="0"/>
              <w:rPr>
                <w:sz w:val="13"/>
                <w:szCs w:val="13"/>
                <w:color w:val="auto"/>
              </w:rPr>
            </w:pPr>
          </w:p>
        </w:tc>
        <w:tc>
          <w:tcPr>
            <w:tcW w:w="16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3"/>
                <w:szCs w:val="13"/>
                <w:color w:val="auto"/>
              </w:rPr>
              <w:t>N/A</w:t>
            </w:r>
          </w:p>
        </w:tc>
        <w:tc>
          <w:tcPr>
            <w:tcW w:w="3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941</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8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Newbury Franklin Industrials, LLC</w:t>
            </w:r>
            <w:r>
              <w:rPr>
                <w:rFonts w:ascii="Times New Roman" w:cs="Times New Roman" w:eastAsia="Times New Roman" w:hAnsi="Times New Roman"/>
                <w:sz w:val="16"/>
                <w:szCs w:val="16"/>
                <w:color w:val="auto"/>
                <w:vertAlign w:val="superscript"/>
              </w:rPr>
              <w:t>(1)</w:t>
            </w:r>
          </w:p>
        </w:tc>
        <w:tc>
          <w:tcPr>
            <w:tcW w:w="218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First Lien Debt</w:t>
            </w:r>
          </w:p>
        </w:tc>
        <w:tc>
          <w:tcPr>
            <w:tcW w:w="5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987</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56"/>
        </w:trPr>
        <w:tc>
          <w:tcPr>
            <w:tcW w:w="44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PhyNet Dermatology LLC</w:t>
            </w:r>
            <w:r>
              <w:rPr>
                <w:rFonts w:ascii="Times New Roman" w:cs="Times New Roman" w:eastAsia="Times New Roman" w:hAnsi="Times New Roman"/>
                <w:sz w:val="16"/>
                <w:szCs w:val="16"/>
                <w:color w:val="auto"/>
                <w:vertAlign w:val="superscript"/>
              </w:rPr>
              <w:t>(1)</w:t>
            </w:r>
          </w:p>
        </w:tc>
        <w:tc>
          <w:tcPr>
            <w:tcW w:w="218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3"/>
                <w:szCs w:val="13"/>
                <w:color w:val="auto"/>
              </w:rPr>
              <w:t>First Lien Debt</w:t>
            </w:r>
          </w:p>
        </w:tc>
        <w:tc>
          <w:tcPr>
            <w:tcW w:w="5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690</w:t>
            </w:r>
          </w:p>
        </w:tc>
        <w:tc>
          <w:tcPr>
            <w:tcW w:w="3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PMA Parent Holdings LLC (Revolver)</w:t>
            </w:r>
          </w:p>
        </w:tc>
        <w:tc>
          <w:tcPr>
            <w:tcW w:w="218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First Lien Debt</w:t>
            </w:r>
          </w:p>
        </w:tc>
        <w:tc>
          <w:tcPr>
            <w:tcW w:w="5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56"/>
        </w:trPr>
        <w:tc>
          <w:tcPr>
            <w:tcW w:w="44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PMP OPCO, LLC (Princeton Medspa Partners, LLC)</w:t>
            </w:r>
            <w:r>
              <w:rPr>
                <w:rFonts w:ascii="Times New Roman" w:cs="Times New Roman" w:eastAsia="Times New Roman" w:hAnsi="Times New Roman"/>
                <w:sz w:val="16"/>
                <w:szCs w:val="16"/>
                <w:color w:val="auto"/>
                <w:vertAlign w:val="superscript"/>
              </w:rPr>
              <w:t>(1)</w:t>
            </w:r>
          </w:p>
        </w:tc>
        <w:tc>
          <w:tcPr>
            <w:tcW w:w="218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3"/>
                <w:szCs w:val="13"/>
                <w:color w:val="auto"/>
              </w:rPr>
              <w:t>First Lien Debt</w:t>
            </w:r>
          </w:p>
        </w:tc>
        <w:tc>
          <w:tcPr>
            <w:tcW w:w="5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1,125</w:t>
            </w:r>
          </w:p>
        </w:tc>
        <w:tc>
          <w:tcPr>
            <w:tcW w:w="3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4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PMP OPCO, LLC (Princeton Medspa Partners, LLC) (Revolver)</w:t>
            </w:r>
          </w:p>
        </w:tc>
        <w:tc>
          <w:tcPr>
            <w:tcW w:w="218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First Lien Debt</w:t>
            </w:r>
          </w:p>
        </w:tc>
        <w:tc>
          <w:tcPr>
            <w:tcW w:w="5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44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Riddell, Inc.</w:t>
            </w:r>
            <w:r>
              <w:rPr>
                <w:rFonts w:ascii="Times New Roman" w:cs="Times New Roman" w:eastAsia="Times New Roman" w:hAnsi="Times New Roman"/>
                <w:sz w:val="16"/>
                <w:szCs w:val="16"/>
                <w:color w:val="auto"/>
                <w:vertAlign w:val="superscript"/>
              </w:rPr>
              <w:t>(1)</w:t>
            </w:r>
          </w:p>
        </w:tc>
        <w:tc>
          <w:tcPr>
            <w:tcW w:w="218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3"/>
                <w:szCs w:val="13"/>
                <w:color w:val="auto"/>
              </w:rPr>
              <w:t>First Lien Debt</w:t>
            </w:r>
          </w:p>
        </w:tc>
        <w:tc>
          <w:tcPr>
            <w:tcW w:w="5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636</w:t>
            </w:r>
          </w:p>
        </w:tc>
        <w:tc>
          <w:tcPr>
            <w:tcW w:w="3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448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Riskonnect Parent LLC</w:t>
            </w:r>
            <w:r>
              <w:rPr>
                <w:rFonts w:ascii="Times New Roman" w:cs="Times New Roman" w:eastAsia="Times New Roman" w:hAnsi="Times New Roman"/>
                <w:sz w:val="16"/>
                <w:szCs w:val="16"/>
                <w:color w:val="auto"/>
                <w:vertAlign w:val="superscript"/>
              </w:rPr>
              <w:t>(1)</w:t>
            </w:r>
          </w:p>
        </w:tc>
        <w:tc>
          <w:tcPr>
            <w:tcW w:w="218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First Lien Debt</w:t>
            </w:r>
          </w:p>
        </w:tc>
        <w:tc>
          <w:tcPr>
            <w:tcW w:w="5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Series A-Great Lakes Funding II LLC</w:t>
            </w:r>
          </w:p>
        </w:tc>
        <w:tc>
          <w:tcPr>
            <w:tcW w:w="218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3"/>
                <w:szCs w:val="13"/>
                <w:color w:val="auto"/>
              </w:rPr>
              <w:t>Joint Ventures</w:t>
            </w:r>
          </w:p>
        </w:tc>
        <w:tc>
          <w:tcPr>
            <w:tcW w:w="5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8,165</w:t>
            </w:r>
          </w:p>
        </w:tc>
        <w:tc>
          <w:tcPr>
            <w:tcW w:w="3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5,473</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8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TA/WEG Holdings, LLC</w:t>
            </w:r>
            <w:r>
              <w:rPr>
                <w:rFonts w:ascii="Times New Roman" w:cs="Times New Roman" w:eastAsia="Times New Roman" w:hAnsi="Times New Roman"/>
                <w:sz w:val="16"/>
                <w:szCs w:val="16"/>
                <w:color w:val="auto"/>
                <w:vertAlign w:val="superscript"/>
              </w:rPr>
              <w:t>(1)</w:t>
            </w:r>
          </w:p>
        </w:tc>
        <w:tc>
          <w:tcPr>
            <w:tcW w:w="218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First Lien Debt</w:t>
            </w:r>
          </w:p>
        </w:tc>
        <w:tc>
          <w:tcPr>
            <w:tcW w:w="560" w:type="dxa"/>
            <w:vAlign w:val="bottom"/>
          </w:tcPr>
          <w:p>
            <w:pPr>
              <w:spacing w:after="0"/>
              <w:rPr>
                <w:sz w:val="13"/>
                <w:szCs w:val="13"/>
                <w:color w:val="auto"/>
              </w:rPr>
            </w:pP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N/A</w:t>
            </w:r>
          </w:p>
        </w:tc>
        <w:tc>
          <w:tcPr>
            <w:tcW w:w="3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TA/WEG Holdings, LLC (Revolver)</w:t>
            </w:r>
          </w:p>
        </w:tc>
        <w:tc>
          <w:tcPr>
            <w:tcW w:w="218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3"/>
                <w:szCs w:val="13"/>
                <w:color w:val="auto"/>
              </w:rPr>
              <w:t>First Lien Debt</w:t>
            </w:r>
          </w:p>
        </w:tc>
        <w:tc>
          <w:tcPr>
            <w:tcW w:w="5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784</w:t>
            </w:r>
          </w:p>
        </w:tc>
        <w:tc>
          <w:tcPr>
            <w:tcW w:w="3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784</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8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Tactical Air Support, Inc.</w:t>
            </w:r>
            <w:r>
              <w:rPr>
                <w:rFonts w:ascii="Times New Roman" w:cs="Times New Roman" w:eastAsia="Times New Roman" w:hAnsi="Times New Roman"/>
                <w:sz w:val="16"/>
                <w:szCs w:val="16"/>
                <w:color w:val="auto"/>
                <w:vertAlign w:val="superscript"/>
              </w:rPr>
              <w:t>(1)</w:t>
            </w:r>
          </w:p>
        </w:tc>
        <w:tc>
          <w:tcPr>
            <w:tcW w:w="218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First Lien Debt</w:t>
            </w:r>
          </w:p>
        </w:tc>
        <w:tc>
          <w:tcPr>
            <w:tcW w:w="560" w:type="dxa"/>
            <w:vAlign w:val="bottom"/>
          </w:tcPr>
          <w:p>
            <w:pPr>
              <w:spacing w:after="0"/>
              <w:rPr>
                <w:sz w:val="13"/>
                <w:szCs w:val="13"/>
                <w:color w:val="auto"/>
              </w:rPr>
            </w:pP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N/A</w:t>
            </w:r>
          </w:p>
        </w:tc>
        <w:tc>
          <w:tcPr>
            <w:tcW w:w="3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VBC Spine Opco LLC (DxTx Pain and Spine LLC) (Revolver)</w:t>
            </w:r>
          </w:p>
        </w:tc>
        <w:tc>
          <w:tcPr>
            <w:tcW w:w="218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3"/>
                <w:szCs w:val="13"/>
                <w:color w:val="auto"/>
              </w:rPr>
              <w:t>First Lien Debt</w:t>
            </w:r>
          </w:p>
        </w:tc>
        <w:tc>
          <w:tcPr>
            <w:tcW w:w="5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3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8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VBC Spine Opco LLC (DxTx Pain and Spine LLC)</w:t>
            </w:r>
            <w:r>
              <w:rPr>
                <w:rFonts w:ascii="Times New Roman" w:cs="Times New Roman" w:eastAsia="Times New Roman" w:hAnsi="Times New Roman"/>
                <w:sz w:val="16"/>
                <w:szCs w:val="16"/>
                <w:color w:val="auto"/>
                <w:vertAlign w:val="superscript"/>
              </w:rPr>
              <w:t>(1)</w:t>
            </w:r>
          </w:p>
        </w:tc>
        <w:tc>
          <w:tcPr>
            <w:tcW w:w="218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First Lien Debt</w:t>
            </w:r>
          </w:p>
        </w:tc>
        <w:tc>
          <w:tcPr>
            <w:tcW w:w="5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761</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Unfunded Portfolio Company Commitments</w:t>
            </w:r>
          </w:p>
        </w:tc>
        <w:tc>
          <w:tcPr>
            <w:tcW w:w="218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3"/>
                <w:szCs w:val="13"/>
                <w:color w:val="auto"/>
              </w:rPr>
              <w:t>27,238</w:t>
            </w:r>
          </w:p>
        </w:tc>
        <w:tc>
          <w:tcPr>
            <w:tcW w:w="32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28,566</w:t>
            </w:r>
          </w:p>
        </w:tc>
        <w:tc>
          <w:tcPr>
            <w:tcW w:w="0" w:type="dxa"/>
            <w:vAlign w:val="bottom"/>
          </w:tcPr>
          <w:p>
            <w:pPr>
              <w:spacing w:after="0"/>
              <w:rPr>
                <w:sz w:val="1"/>
                <w:szCs w:val="1"/>
                <w:color w:val="auto"/>
              </w:rPr>
            </w:pPr>
          </w:p>
        </w:tc>
      </w:tr>
      <w:tr>
        <w:trPr>
          <w:trHeight w:val="20"/>
        </w:trPr>
        <w:tc>
          <w:tcPr>
            <w:tcW w:w="4480" w:type="dxa"/>
            <w:vAlign w:val="bottom"/>
            <w:tcBorders>
              <w:top w:val="single" w:sz="8" w:color="CFF0FC"/>
            </w:tcBorders>
            <w:shd w:val="clear" w:color="auto" w:fill="CFF0FC"/>
          </w:tcPr>
          <w:p>
            <w:pPr>
              <w:spacing w:after="0" w:line="20" w:lineRule="exact"/>
              <w:rPr>
                <w:sz w:val="1"/>
                <w:szCs w:val="1"/>
                <w:color w:val="auto"/>
              </w:rPr>
            </w:pPr>
          </w:p>
        </w:tc>
        <w:tc>
          <w:tcPr>
            <w:tcW w:w="21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(1)Delayed draw term loan.</w:t>
      </w:r>
    </w:p>
    <w:p>
      <w:pPr>
        <w:spacing w:after="0" w:line="10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1"/>
          <w:szCs w:val="11"/>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97" w:name="page98"/>
    <w:bookmarkEnd w:id="97"/>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PORTMAN RIDGE FINANCE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9. STOCKHOLDERS’ EQUITY</w:t>
      </w:r>
    </w:p>
    <w:p>
      <w:pPr>
        <w:spacing w:after="0" w:line="105" w:lineRule="exact"/>
        <w:rPr>
          <w:sz w:val="20"/>
          <w:szCs w:val="20"/>
          <w:color w:val="auto"/>
        </w:rPr>
      </w:pPr>
    </w:p>
    <w:p>
      <w:pPr>
        <w:ind w:right="60" w:firstLine="348"/>
        <w:spacing w:after="0" w:line="262" w:lineRule="auto"/>
        <w:rPr>
          <w:sz w:val="20"/>
          <w:szCs w:val="20"/>
          <w:color w:val="auto"/>
        </w:rPr>
      </w:pPr>
      <w:r>
        <w:rPr>
          <w:rFonts w:ascii="Times New Roman" w:cs="Times New Roman" w:eastAsia="Times New Roman" w:hAnsi="Times New Roman"/>
          <w:sz w:val="13"/>
          <w:szCs w:val="13"/>
          <w:color w:val="auto"/>
        </w:rPr>
        <w:t>On March 8, 2021, the Board of Directors of the Company approved a $10 million stock repurchase program (the “Stock Repurchase Program”) for an approximately one-year period, effective March 11, 2021 and terminating on March 31, 2022. Under this repurchase program, shares may be repurchased from time to time in open market transactions, in privately negotiated transactions or otherwise subject to any agreement to which we are party including any restrictions in the indenture for our 4.875% Notes due 2026. The timing and actual number of shares repurchased will depend on a variety of factors, including legal requirements, price, and economic and market conditions.</w:t>
      </w:r>
    </w:p>
    <w:p>
      <w:pPr>
        <w:spacing w:after="0" w:line="67" w:lineRule="exact"/>
        <w:rPr>
          <w:sz w:val="20"/>
          <w:szCs w:val="20"/>
          <w:color w:val="auto"/>
        </w:rPr>
      </w:pPr>
    </w:p>
    <w:p>
      <w:pPr>
        <w:jc w:val="both"/>
        <w:ind w:right="100" w:firstLine="348"/>
        <w:spacing w:after="0" w:line="268" w:lineRule="auto"/>
        <w:rPr>
          <w:sz w:val="20"/>
          <w:szCs w:val="20"/>
          <w:color w:val="auto"/>
        </w:rPr>
      </w:pPr>
      <w:r>
        <w:rPr>
          <w:rFonts w:ascii="Times New Roman" w:cs="Times New Roman" w:eastAsia="Times New Roman" w:hAnsi="Times New Roman"/>
          <w:sz w:val="13"/>
          <w:szCs w:val="13"/>
          <w:color w:val="auto"/>
        </w:rPr>
        <w:t>On March 8, 2022, the Board of Directors of the Company authorized a renewed stock repurchase program of up to $10 million (the “2022 Stock Repurchase Program”) for an approximately one-year period, effective March 8, 2022 and terminating on March 31, 2023. The terms and conditions of the 2022 Stock Repurchase Program are substantially similar to the prior Stock Repurchase Program. The timing and actual number of shares repurchased depend on a variety of factors, including legal requirements, price, and economic and market conditions.</w:t>
      </w:r>
    </w:p>
    <w:p>
      <w:pPr>
        <w:spacing w:after="0" w:line="63" w:lineRule="exact"/>
        <w:rPr>
          <w:sz w:val="20"/>
          <w:szCs w:val="20"/>
          <w:color w:val="auto"/>
        </w:rPr>
      </w:pPr>
    </w:p>
    <w:p>
      <w:pPr>
        <w:ind w:right="200" w:firstLine="381"/>
        <w:spacing w:after="0" w:line="262" w:lineRule="auto"/>
        <w:rPr>
          <w:sz w:val="20"/>
          <w:szCs w:val="20"/>
          <w:color w:val="auto"/>
        </w:rPr>
      </w:pPr>
      <w:r>
        <w:rPr>
          <w:rFonts w:ascii="Times New Roman" w:cs="Times New Roman" w:eastAsia="Times New Roman" w:hAnsi="Times New Roman"/>
          <w:sz w:val="13"/>
          <w:szCs w:val="13"/>
          <w:color w:val="auto"/>
        </w:rPr>
        <w:t>On March 6, 2023, the Board of Directors of the Company authorized a renewed stock repurchase program of up to $10 million (the “2023 Stock Repurchase Program”), effective March 6, 2023 and terminating on March 31, 2024. The terms and conditions of the 2023 Stock Repurchase Program are substantially similar to the prior 2022 Stock Repurchase Program. The 2023 Stock Repurchase Program may be suspended or discontinued at any time. Subject to these restrictions, we will selectively pursue opportunities to repurchase shares which are accretive to net asset value per share.</w:t>
      </w:r>
    </w:p>
    <w:p>
      <w:pPr>
        <w:spacing w:after="0" w:line="67" w:lineRule="exact"/>
        <w:rPr>
          <w:sz w:val="20"/>
          <w:szCs w:val="20"/>
          <w:color w:val="auto"/>
        </w:rPr>
      </w:pPr>
    </w:p>
    <w:p>
      <w:pPr>
        <w:ind w:right="260" w:firstLine="348"/>
        <w:spacing w:after="0" w:line="262" w:lineRule="auto"/>
        <w:rPr>
          <w:sz w:val="20"/>
          <w:szCs w:val="20"/>
          <w:color w:val="auto"/>
        </w:rPr>
      </w:pPr>
      <w:r>
        <w:rPr>
          <w:rFonts w:ascii="Times New Roman" w:cs="Times New Roman" w:eastAsia="Times New Roman" w:hAnsi="Times New Roman"/>
          <w:sz w:val="13"/>
          <w:szCs w:val="13"/>
          <w:color w:val="auto"/>
        </w:rPr>
        <w:t>On March 11, 2024, the Board of Directors of the Company authorized a renewed stock repurchase program of up to $10 million (the “Renewed Stock Repurchase Program”) for an approximately one-year period, effective March 11, 2024 and terminating on March 31, 2025. The terms and conditions of the Renewed Stock Repurchase Program are substantially similar to the 2023 Stock Repurchase Program. The Renewed Stock Repurchase Program may be suspended or discontinued at any time. Subject to these restrictions, we will selectively pursue opportunities to repurchase shares which are accretive to net asset value per share.</w:t>
      </w:r>
    </w:p>
    <w:p>
      <w:pPr>
        <w:spacing w:after="0" w:line="67" w:lineRule="exact"/>
        <w:rPr>
          <w:sz w:val="20"/>
          <w:szCs w:val="20"/>
          <w:color w:val="auto"/>
        </w:rPr>
      </w:pPr>
    </w:p>
    <w:p>
      <w:pPr>
        <w:ind w:right="160" w:firstLine="348"/>
        <w:spacing w:after="0" w:line="286" w:lineRule="auto"/>
        <w:rPr>
          <w:sz w:val="20"/>
          <w:szCs w:val="20"/>
          <w:color w:val="auto"/>
        </w:rPr>
      </w:pPr>
      <w:r>
        <w:rPr>
          <w:rFonts w:ascii="Times New Roman" w:cs="Times New Roman" w:eastAsia="Times New Roman" w:hAnsi="Times New Roman"/>
          <w:sz w:val="13"/>
          <w:szCs w:val="13"/>
          <w:color w:val="auto"/>
        </w:rPr>
        <w:t>During the years ended December 31, 2024 and December 31, 2023, the Company issued 17,400, and 26,529 shares, respectively, of common stock under its dividend reinvestment plan. The total number of shares of the Company’s common stock outstanding as of December 31, 2024 and December 31, 2023 was 9,198,175 and 9,383,132 respectively.</w:t>
      </w:r>
    </w:p>
    <w:p>
      <w:pPr>
        <w:spacing w:after="0" w:line="52" w:lineRule="exact"/>
        <w:rPr>
          <w:sz w:val="20"/>
          <w:szCs w:val="20"/>
          <w:color w:val="auto"/>
        </w:rPr>
      </w:pPr>
    </w:p>
    <w:p>
      <w:pPr>
        <w:jc w:val="both"/>
        <w:ind w:right="120" w:firstLine="348"/>
        <w:spacing w:after="0" w:line="268" w:lineRule="auto"/>
        <w:rPr>
          <w:sz w:val="20"/>
          <w:szCs w:val="20"/>
          <w:color w:val="auto"/>
        </w:rPr>
      </w:pPr>
      <w:r>
        <w:rPr>
          <w:rFonts w:ascii="Times New Roman" w:cs="Times New Roman" w:eastAsia="Times New Roman" w:hAnsi="Times New Roman"/>
          <w:sz w:val="13"/>
          <w:szCs w:val="13"/>
          <w:color w:val="auto"/>
        </w:rPr>
        <w:t>During the year ended December 31, 2024, the Company repurchased 202,357 shares under the Renewed Stock Repurchase Program and the 2023 Stock Repurchase Program in open market transactions at an aggregate cost of approximately $3.8 million. During the year ended December 31, 2023, the Company repurchased 224,933 shares under the 2023 Stock Repurchase Program and the 2022 Stock Repurchase Program in open market transactions at an aggregate cost of approximately $4.4 million.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10. SELECTED QUARTERLY FINANCIAL DATA (Unaudited) (in thousands, except share and per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60" w:type="dxa"/>
            <w:vAlign w:val="bottom"/>
            <w:gridSpan w:val="3"/>
          </w:tcPr>
          <w:p>
            <w:pPr>
              <w:jc w:val="right"/>
              <w:ind w:right="914"/>
              <w:spacing w:after="0"/>
              <w:rPr>
                <w:sz w:val="20"/>
                <w:szCs w:val="20"/>
                <w:color w:val="auto"/>
              </w:rPr>
            </w:pPr>
            <w:r>
              <w:rPr>
                <w:rFonts w:ascii="Times New Roman" w:cs="Times New Roman" w:eastAsia="Times New Roman" w:hAnsi="Times New Roman"/>
                <w:sz w:val="13"/>
                <w:szCs w:val="13"/>
                <w:b w:val="1"/>
                <w:bCs w:val="1"/>
                <w:color w:val="auto"/>
              </w:rPr>
              <w:t>For the Quarter Ended</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70"/>
        </w:trPr>
        <w:tc>
          <w:tcPr>
            <w:tcW w:w="4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00" w:type="dxa"/>
            <w:vAlign w:val="bottom"/>
          </w:tcPr>
          <w:p>
            <w:pPr>
              <w:spacing w:after="0"/>
              <w:rPr>
                <w:sz w:val="14"/>
                <w:szCs w:val="14"/>
                <w:color w:val="auto"/>
              </w:rPr>
            </w:pPr>
          </w:p>
        </w:tc>
        <w:tc>
          <w:tcPr>
            <w:tcW w:w="150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240" w:type="dxa"/>
            <w:vAlign w:val="bottom"/>
          </w:tcPr>
          <w:p>
            <w:pPr>
              <w:spacing w:after="0"/>
              <w:rPr>
                <w:sz w:val="14"/>
                <w:szCs w:val="14"/>
                <w:color w:val="auto"/>
              </w:rPr>
            </w:pPr>
          </w:p>
        </w:tc>
        <w:tc>
          <w:tcPr>
            <w:tcW w:w="122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March 31, 2024</w:t>
            </w:r>
          </w:p>
        </w:tc>
      </w:tr>
      <w:tr>
        <w:trPr>
          <w:trHeight w:val="156"/>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Total interest and related portfolio income</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14,392</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15,177</w:t>
            </w:r>
          </w:p>
        </w:tc>
        <w:tc>
          <w:tcPr>
            <w:tcW w:w="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16,337</w:t>
            </w:r>
          </w:p>
        </w:tc>
        <w:tc>
          <w:tcPr>
            <w:tcW w:w="2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16,526</w:t>
            </w:r>
          </w:p>
        </w:tc>
      </w:tr>
      <w:tr>
        <w:trPr>
          <w:trHeight w:val="156"/>
        </w:trPr>
        <w:tc>
          <w:tcPr>
            <w:tcW w:w="4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investment income</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5,539</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5,802</w:t>
            </w: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6,477</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6,226</w:t>
            </w:r>
          </w:p>
        </w:tc>
      </w:tr>
      <w:tr>
        <w:trPr>
          <w:trHeight w:val="156"/>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increase (decrease) in net assets resulting from operations</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(2,540)</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(1,509)</w:t>
            </w:r>
          </w:p>
        </w:tc>
        <w:tc>
          <w:tcPr>
            <w:tcW w:w="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(6,372)</w:t>
            </w:r>
          </w:p>
        </w:tc>
        <w:tc>
          <w:tcPr>
            <w:tcW w:w="2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4,486</w:t>
            </w:r>
          </w:p>
        </w:tc>
      </w:tr>
      <w:tr>
        <w:trPr>
          <w:trHeight w:val="144"/>
        </w:trPr>
        <w:tc>
          <w:tcPr>
            <w:tcW w:w="432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Net increase (decrease) in net assets resulting from operations per share – basic</w:t>
            </w: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68"/>
        </w:trPr>
        <w:tc>
          <w:tcPr>
            <w:tcW w:w="4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and diluted</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(0.28)</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(0.16)</w:t>
            </w: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(0.69)</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0.48</w:t>
            </w:r>
          </w:p>
        </w:tc>
      </w:tr>
      <w:tr>
        <w:trPr>
          <w:trHeight w:val="156"/>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investment income per share – basic and diluted</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0.60</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0.63</w:t>
            </w:r>
          </w:p>
        </w:tc>
        <w:tc>
          <w:tcPr>
            <w:tcW w:w="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0.70</w:t>
            </w:r>
          </w:p>
        </w:tc>
        <w:tc>
          <w:tcPr>
            <w:tcW w:w="2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0.67</w:t>
            </w:r>
          </w:p>
        </w:tc>
      </w:tr>
    </w:tbl>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60" w:type="dxa"/>
            <w:vAlign w:val="bottom"/>
            <w:gridSpan w:val="3"/>
          </w:tcPr>
          <w:p>
            <w:pPr>
              <w:jc w:val="right"/>
              <w:ind w:right="914"/>
              <w:spacing w:after="0"/>
              <w:rPr>
                <w:sz w:val="20"/>
                <w:szCs w:val="20"/>
                <w:color w:val="auto"/>
              </w:rPr>
            </w:pPr>
            <w:r>
              <w:rPr>
                <w:rFonts w:ascii="Times New Roman" w:cs="Times New Roman" w:eastAsia="Times New Roman" w:hAnsi="Times New Roman"/>
                <w:sz w:val="13"/>
                <w:szCs w:val="13"/>
                <w:b w:val="1"/>
                <w:bCs w:val="1"/>
                <w:color w:val="auto"/>
              </w:rPr>
              <w:t>For the Quarter Ended</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58"/>
        </w:trPr>
        <w:tc>
          <w:tcPr>
            <w:tcW w:w="4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20" w:type="dxa"/>
            <w:vAlign w:val="bottom"/>
          </w:tcPr>
          <w:p>
            <w:pPr>
              <w:spacing w:after="0"/>
              <w:rPr>
                <w:sz w:val="13"/>
                <w:szCs w:val="13"/>
                <w:color w:val="auto"/>
              </w:rPr>
            </w:pPr>
          </w:p>
        </w:tc>
        <w:tc>
          <w:tcPr>
            <w:tcW w:w="148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September 30, 2023</w:t>
            </w:r>
          </w:p>
        </w:tc>
        <w:tc>
          <w:tcPr>
            <w:tcW w:w="260" w:type="dxa"/>
            <w:vAlign w:val="bottom"/>
          </w:tcPr>
          <w:p>
            <w:pPr>
              <w:spacing w:after="0"/>
              <w:rPr>
                <w:sz w:val="13"/>
                <w:szCs w:val="13"/>
                <w:color w:val="auto"/>
              </w:rPr>
            </w:pPr>
          </w:p>
        </w:tc>
        <w:tc>
          <w:tcPr>
            <w:tcW w:w="122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220" w:type="dxa"/>
            <w:vAlign w:val="bottom"/>
          </w:tcPr>
          <w:p>
            <w:pPr>
              <w:spacing w:after="0"/>
              <w:rPr>
                <w:sz w:val="13"/>
                <w:szCs w:val="13"/>
                <w:color w:val="auto"/>
              </w:rPr>
            </w:pPr>
          </w:p>
        </w:tc>
        <w:tc>
          <w:tcPr>
            <w:tcW w:w="126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March 31, 2023</w:t>
            </w:r>
          </w:p>
        </w:tc>
      </w:tr>
      <w:tr>
        <w:trPr>
          <w:trHeight w:val="168"/>
        </w:trPr>
        <w:tc>
          <w:tcPr>
            <w:tcW w:w="4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interest and related portfolio income</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17,788</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18,574</w:t>
            </w:r>
          </w:p>
        </w:tc>
        <w:tc>
          <w:tcPr>
            <w:tcW w:w="2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19,626</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20,327</w:t>
            </w:r>
          </w:p>
        </w:tc>
      </w:tr>
      <w:tr>
        <w:trPr>
          <w:trHeight w:val="156"/>
        </w:trPr>
        <w:tc>
          <w:tcPr>
            <w:tcW w:w="43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Net investment income</w:t>
            </w:r>
            <w:r>
              <w:rPr>
                <w:rFonts w:ascii="Times New Roman" w:cs="Times New Roman" w:eastAsia="Times New Roman" w:hAnsi="Times New Roman"/>
                <w:sz w:val="16"/>
                <w:szCs w:val="16"/>
                <w:color w:val="auto"/>
                <w:vertAlign w:val="superscript"/>
              </w:rPr>
              <w:t>(1)</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11,163</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7,166</w:t>
            </w:r>
          </w:p>
        </w:tc>
        <w:tc>
          <w:tcPr>
            <w:tcW w:w="2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7,915</w:t>
            </w:r>
          </w:p>
        </w:tc>
        <w:tc>
          <w:tcPr>
            <w:tcW w:w="2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8,529</w:t>
            </w:r>
          </w:p>
        </w:tc>
      </w:tr>
      <w:tr>
        <w:trPr>
          <w:trHeight w:val="156"/>
        </w:trPr>
        <w:tc>
          <w:tcPr>
            <w:tcW w:w="4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increase (decrease) in net assets resulting from operations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6,995</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7,445</w:t>
            </w:r>
          </w:p>
        </w:tc>
        <w:tc>
          <w:tcPr>
            <w:tcW w:w="2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(3,114)</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55</w:t>
            </w:r>
          </w:p>
        </w:tc>
      </w:tr>
      <w:tr>
        <w:trPr>
          <w:trHeight w:val="144"/>
        </w:trPr>
        <w:tc>
          <w:tcPr>
            <w:tcW w:w="432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Net increase (decrease) in net assets resulting from operations per share – basic</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r>
      <w:tr>
        <w:trPr>
          <w:trHeight w:val="168"/>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and diluted</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0.74</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0.78</w:t>
            </w:r>
          </w:p>
        </w:tc>
        <w:tc>
          <w:tcPr>
            <w:tcW w:w="2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(0.33)</w:t>
            </w:r>
          </w:p>
        </w:tc>
        <w:tc>
          <w:tcPr>
            <w:tcW w:w="2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0.01</w:t>
            </w:r>
          </w:p>
        </w:tc>
      </w:tr>
      <w:tr>
        <w:trPr>
          <w:trHeight w:val="172"/>
        </w:trPr>
        <w:tc>
          <w:tcPr>
            <w:tcW w:w="4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investment income per share – basic and diluted</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1.19</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0.75</w:t>
            </w:r>
          </w:p>
        </w:tc>
        <w:tc>
          <w:tcPr>
            <w:tcW w:w="2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0.83</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0.89</w:t>
            </w:r>
          </w:p>
        </w:tc>
      </w:tr>
    </w:tbl>
    <w:p>
      <w:pPr>
        <w:spacing w:after="0" w:line="80" w:lineRule="exact"/>
        <w:rPr>
          <w:sz w:val="20"/>
          <w:szCs w:val="20"/>
          <w:color w:val="auto"/>
        </w:rPr>
      </w:pPr>
    </w:p>
    <w:p>
      <w:pPr>
        <w:jc w:val="both"/>
        <w:ind w:right="80" w:firstLine="12"/>
        <w:spacing w:after="0" w:line="276" w:lineRule="auto"/>
        <w:rPr>
          <w:sz w:val="20"/>
          <w:szCs w:val="20"/>
          <w:color w:val="auto"/>
        </w:rPr>
      </w:pPr>
      <w:r>
        <w:rPr>
          <w:rFonts w:ascii="Times New Roman" w:cs="Times New Roman" w:eastAsia="Times New Roman" w:hAnsi="Times New Roman"/>
          <w:sz w:val="11"/>
          <w:szCs w:val="11"/>
          <w:color w:val="auto"/>
        </w:rPr>
        <w:t>Excluding the impact of the expense reimbursement while also excluding the secondary impact that the reimbursement had on other expenses, such as incentive fees, of approximately $4.4 million in Q4 2023, the net investment income would have been $6.8 million.</w:t>
      </w:r>
    </w:p>
    <w:p>
      <w:pPr>
        <w:spacing w:after="0" w:line="6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1"/>
          <w:szCs w:val="11"/>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98" w:name="page99"/>
    <w:bookmarkEnd w:id="98"/>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PORTMAN RIDGE FINANCE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11. SEGMENT REPORTING</w:t>
      </w:r>
    </w:p>
    <w:p>
      <w:pPr>
        <w:spacing w:after="0" w:line="105"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3"/>
          <w:szCs w:val="13"/>
          <w:color w:val="auto"/>
        </w:rPr>
        <w:t>The Company operates through a single operating and reporting segment with an investment objective to generate both current income and capital appreciation through debt and equity investments. The CODM is the Company’s chief executive officer, and the CODM assesses the performance and makes operating decisions of the Company on a consolidated basis primarily based on the Company’s net increase in net assets resulting from operations (“net income”). Net income is comprised of total investment income (“segment revenues”) and total expenses (“significant segment expenses”), which are considered the key segment measures of profit or loss reviewed by the CODM. In addition to numerous other factors and metrics, the CODM utilizes net income as a key metric in determining the amount of dividends to be distributed to the Company’s stockholders, implementing investment policy decisions and strategic initiatives, managing the Company’s portfolio, allocating assets, and assessing the performance of the portfolio. As the Company’s operations are comprised solely of the Investment Management Segment, the segment assets are reflected on the accompanying consolidated statements of assets and liabilities as “total assets” and the significant segment expenses are listed on the accompanying consolidated statement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12. SUBSEQUENT EVENTS</w:t>
      </w:r>
    </w:p>
    <w:p>
      <w:pPr>
        <w:spacing w:after="0" w:line="105" w:lineRule="exact"/>
        <w:rPr>
          <w:sz w:val="20"/>
          <w:szCs w:val="20"/>
          <w:color w:val="auto"/>
        </w:rPr>
      </w:pPr>
    </w:p>
    <w:p>
      <w:pPr>
        <w:ind w:firstLine="348"/>
        <w:spacing w:after="0" w:line="253" w:lineRule="auto"/>
        <w:rPr>
          <w:sz w:val="20"/>
          <w:szCs w:val="20"/>
          <w:color w:val="auto"/>
        </w:rPr>
      </w:pPr>
      <w:r>
        <w:rPr>
          <w:rFonts w:ascii="Times New Roman" w:cs="Times New Roman" w:eastAsia="Times New Roman" w:hAnsi="Times New Roman"/>
          <w:sz w:val="13"/>
          <w:szCs w:val="13"/>
          <w:color w:val="auto"/>
        </w:rPr>
        <w:t>On January 29, 2025, the Company entered into an Agreement and Plan of Merger (the “Merger Agreement”) with Logan Ridge Finance Corporation, a Maryland corporation (“LRFC”), Portman Ridge Merger Sub, Inc., a Maryland corporation and a direct wholly-owned subsidiary of the Company (“Merger Sub”); and solely for the limited purposes set forth therein, Mount Logan Management LLC, a Delaware limited liability company and the external investment adviser to LRFC (“Mount Logan”); and, solely for the limited purposes set forth therein, the Adviser. The Merger Agreement provides that, subject to the conditions set forth therein, (i) at the effective time of the First Merger (the “Effective Time”), Merger Sub will be merged with and into LRFC (the “First Merger”), with LRFC continuing as the surviving company and as a wholly-owned subsidiary of the Company, and (ii) immediately after the Effective Time, LRFC will merge with and into the Company (the “Second Merger” and, together with the First Merger, the “Mergers”), with the Company continuing as the surviving company. Both the Board of Directors of the Company and LRFC’s board of directors, including all of their respective independent directors who are not “interested persons” of either the Company or LRFC or the Adviser or Mount Logan, in each case, on the recommendation of special committees comprised solely of certain independent directors of the Company or LRFC, as applicable (each, a “Special Committee”), have approved, among other things, the Merger Agreement and the transactions contemplated thereby. Consummation of the Mergers is subject to certain closing conditions, including requisite approvals of the Company’s and LRFC’s stockholders. Subject to the terms and conditions of the Merger Agreement, at the Effective Time, each share of LRFC’s common stock issued and outstanding immediately prior to the Effective Time (other than shares owned by the Company or any of its consolidated subsidiaries, including Merger Sub) will be converted into the right to receive 1.500 newly-issued shares of common stock of the Company with cash to be paid (without interest) in lieu of fractional shares. In addition, pursuant to a fee waiver letter executed on January 29, 2025, between the Company and the Adviser, the Adviser has agreed to waive up to $1.5 million of the incentive fees otherwise payable to it by Company over the eight consecutive quarters following the closing of the Mergers, subject to the closing of the Mergers.</w:t>
      </w:r>
    </w:p>
    <w:p>
      <w:pPr>
        <w:spacing w:after="0" w:line="232" w:lineRule="exact"/>
        <w:rPr>
          <w:sz w:val="20"/>
          <w:szCs w:val="20"/>
          <w:color w:val="auto"/>
        </w:rPr>
      </w:pPr>
    </w:p>
    <w:p>
      <w:pPr>
        <w:ind w:right="220" w:firstLine="348"/>
        <w:spacing w:after="0" w:line="262" w:lineRule="auto"/>
        <w:rPr>
          <w:sz w:val="20"/>
          <w:szCs w:val="20"/>
          <w:color w:val="auto"/>
        </w:rPr>
      </w:pPr>
      <w:r>
        <w:rPr>
          <w:rFonts w:ascii="Times New Roman" w:cs="Times New Roman" w:eastAsia="Times New Roman" w:hAnsi="Times New Roman"/>
          <w:sz w:val="13"/>
          <w:szCs w:val="13"/>
          <w:color w:val="auto"/>
        </w:rPr>
        <w:t>On March 12, 2025, the Board of Directors of the Company authorized once more a renewed stock repurchase program of up to $10 million (the “2025 Stock Repurchase Program”) for an approximately one-year period, effective March 12, 2025 and terminating on March 31, 2026. The terms and conditions of the 2025 Stock Repurchase Program are substantially similar to the prior Renewed Stock Repurchase Program. The 2025 Stock Repurchase Program may be suspended or discontinued at any time. Subject to these restrictions, we will selectively pursue opportunities to repurchase shares which are accretive to net asset value per share.</w:t>
      </w:r>
    </w:p>
    <w:p>
      <w:pPr>
        <w:spacing w:after="0" w:line="67"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3"/>
          <w:szCs w:val="13"/>
          <w:color w:val="auto"/>
        </w:rPr>
        <w:t>On March 13, 2025, the Company declared a regular quarterly base distribution of $0.47 per share of common stock and a supplemental cash distribution of $0.07 per share of common stock. The distribution is payable on March 31, 2025 to stockholders of record at the close of business on March 24, 2025. The modification to the dividend policy introduces a stable base distribution, which is anticipated to be sustainable across market cycles, and a quarterly supplemental distribution, which will approximate 50% of net investment income in excess of the quarterly base distribution to account for fluctuations in rates and spreads.</w:t>
      </w:r>
    </w:p>
    <w:p>
      <w:pPr>
        <w:spacing w:after="0" w:line="67" w:lineRule="exact"/>
        <w:rPr>
          <w:sz w:val="20"/>
          <w:szCs w:val="20"/>
          <w:color w:val="auto"/>
        </w:rPr>
      </w:pPr>
    </w:p>
    <w:p>
      <w:pPr>
        <w:ind w:right="220" w:firstLine="348"/>
        <w:spacing w:after="0" w:line="268" w:lineRule="auto"/>
        <w:rPr>
          <w:sz w:val="20"/>
          <w:szCs w:val="20"/>
          <w:color w:val="auto"/>
        </w:rPr>
      </w:pPr>
      <w:r>
        <w:rPr>
          <w:rFonts w:ascii="Times New Roman" w:cs="Times New Roman" w:eastAsia="Times New Roman" w:hAnsi="Times New Roman"/>
          <w:sz w:val="13"/>
          <w:szCs w:val="13"/>
          <w:color w:val="auto"/>
        </w:rPr>
        <w:t>The Company has evaluated events and transactions occurring subsequent to December 31, 2024, through the date of issuance, for items that should potentially be recognized or disclosed in these financial statements. Other than as described above, management has determined that there are no other material subsequent events that would require adjustment to, or disclosure in, these consolidated financial statements.</w:t>
      </w:r>
    </w:p>
    <w:p>
      <w:pPr>
        <w:spacing w:after="0" w:line="7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1"/>
          <w:szCs w:val="11"/>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417830</wp:posOffset>
            </wp:positionV>
            <wp:extent cx="6732905"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99" w:name="page100"/>
    <w:bookmarkEnd w:id="99"/>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EXHIBIT INDEX</w:t>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The following exhibits are filed as part of this report or hereby incorporated by reference to exhibits previously filed with the SEC:</w:t>
      </w:r>
    </w:p>
    <w:p>
      <w:pPr>
        <w:sectPr>
          <w:pgSz w:w="11900" w:h="16840" w:orient="portrait"/>
          <w:cols w:equalWidth="0" w:num="1">
            <w:col w:w="10380"/>
          </w:cols>
          <w:pgMar w:left="760" w:top="1440" w:right="760" w:bottom="1440" w:gutter="0" w:footer="0" w:header="0"/>
        </w:sectPr>
      </w:pPr>
    </w:p>
    <w:p>
      <w:pPr>
        <w:spacing w:after="0" w:line="3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Exhibit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jc w:val="center"/>
        <w:ind w:right="4500"/>
        <w:spacing w:after="0"/>
        <w:rPr>
          <w:sz w:val="20"/>
          <w:szCs w:val="20"/>
          <w:color w:val="auto"/>
        </w:rPr>
      </w:pPr>
      <w:r>
        <w:rPr>
          <w:rFonts w:ascii="Times New Roman" w:cs="Times New Roman" w:eastAsia="Times New Roman" w:hAnsi="Times New Roman"/>
          <w:sz w:val="12"/>
          <w:szCs w:val="12"/>
          <w:b w:val="1"/>
          <w:bCs w:val="1"/>
          <w:color w:val="auto"/>
        </w:rPr>
        <w:t>Description</w:t>
      </w:r>
    </w:p>
    <w:p>
      <w:pPr>
        <w:spacing w:after="0" w:line="163" w:lineRule="exact"/>
        <w:rPr>
          <w:sz w:val="20"/>
          <w:szCs w:val="20"/>
          <w:color w:val="auto"/>
        </w:rPr>
      </w:pPr>
    </w:p>
    <w:p>
      <w:pPr>
        <w:sectPr>
          <w:pgSz w:w="11900" w:h="16840" w:orient="portrait"/>
          <w:cols w:equalWidth="0" w:num="2">
            <w:col w:w="4520" w:space="720"/>
            <w:col w:w="5140"/>
          </w:cols>
          <w:pgMar w:left="760" w:top="1440" w:right="760" w:bottom="1440" w:gutter="0" w:footer="0" w:header="0"/>
          <w:type w:val="continuous"/>
        </w:sectPr>
      </w:pPr>
    </w:p>
    <w:p>
      <w:pPr>
        <w:ind w:left="360"/>
        <w:spacing w:after="0"/>
        <w:tabs>
          <w:tab w:leader="none" w:pos="640" w:val="left"/>
        </w:tabs>
        <w:rPr>
          <w:rFonts w:ascii="Times New Roman" w:cs="Times New Roman" w:eastAsia="Times New Roman" w:hAnsi="Times New Roman"/>
          <w:sz w:val="13"/>
          <w:szCs w:val="13"/>
          <w:color w:val="0000FF"/>
        </w:rPr>
      </w:pPr>
      <w:r>
        <w:rPr>
          <w:rFonts w:ascii="Times New Roman" w:cs="Times New Roman" w:eastAsia="Times New Roman" w:hAnsi="Times New Roman"/>
          <w:sz w:val="13"/>
          <w:szCs w:val="13"/>
          <w:color w:val="auto"/>
        </w:rPr>
        <w:t>3.1</w:t>
      </w:r>
      <w:r>
        <w:rPr>
          <w:rFonts w:ascii="Times New Roman" w:cs="Times New Roman" w:eastAsia="Times New Roman" w:hAnsi="Times New Roman"/>
          <w:sz w:val="13"/>
          <w:szCs w:val="13"/>
          <w:color w:val="0000FF"/>
        </w:rPr>
        <w:tab/>
      </w:r>
      <w:hyperlink r:id="rId112">
        <w:r>
          <w:rPr>
            <w:rFonts w:ascii="Times New Roman" w:cs="Times New Roman" w:eastAsia="Times New Roman" w:hAnsi="Times New Roman"/>
            <w:sz w:val="13"/>
            <w:szCs w:val="13"/>
            <w:color w:val="0000FF"/>
          </w:rPr>
          <w:t>Form of Certificate of Incorporation of the Company (incorporated by reference to Exhibit A of the Pre-Effective Amendment No. 1 on Form N-2 filed on October 6, 2006)</w:t>
        </w:r>
      </w:hyperlink>
      <w:r>
        <w:rPr>
          <w:rFonts w:ascii="Times New Roman" w:cs="Times New Roman" w:eastAsia="Times New Roman" w:hAnsi="Times New Roman"/>
          <w:sz w:val="13"/>
          <w:szCs w:val="13"/>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-3175</wp:posOffset>
            </wp:positionV>
            <wp:extent cx="579310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5793105" cy="7620"/>
                    </a:xfrm>
                    <a:prstGeom prst="rect">
                      <a:avLst/>
                    </a:prstGeom>
                    <a:noFill/>
                  </pic:spPr>
                </pic:pic>
              </a:graphicData>
            </a:graphic>
          </wp:anchor>
        </w:drawing>
      </w:r>
    </w:p>
    <w:p>
      <w:pPr>
        <w:spacing w:after="0" w:line="1" w:lineRule="exact"/>
        <w:rPr>
          <w:sz w:val="20"/>
          <w:szCs w:val="20"/>
          <w:color w:val="auto"/>
        </w:rPr>
      </w:pPr>
    </w:p>
    <w:p>
      <w:pPr>
        <w:ind w:left="260"/>
        <w:spacing w:after="0"/>
        <w:tabs>
          <w:tab w:leader="none" w:pos="640" w:val="left"/>
        </w:tabs>
        <w:rPr>
          <w:rFonts w:ascii="Times New Roman" w:cs="Times New Roman" w:eastAsia="Times New Roman" w:hAnsi="Times New Roman"/>
          <w:sz w:val="13"/>
          <w:szCs w:val="13"/>
          <w:color w:val="0000FF"/>
        </w:rPr>
      </w:pPr>
      <w:r>
        <w:rPr>
          <w:rFonts w:ascii="Times New Roman" w:cs="Times New Roman" w:eastAsia="Times New Roman" w:hAnsi="Times New Roman"/>
          <w:sz w:val="13"/>
          <w:szCs w:val="13"/>
          <w:color w:val="auto"/>
        </w:rPr>
        <w:t>3.1.1</w:t>
      </w:r>
      <w:r>
        <w:rPr>
          <w:rFonts w:ascii="Times New Roman" w:cs="Times New Roman" w:eastAsia="Times New Roman" w:hAnsi="Times New Roman"/>
          <w:sz w:val="13"/>
          <w:szCs w:val="13"/>
          <w:color w:val="0000FF"/>
        </w:rPr>
        <w:tab/>
      </w:r>
      <w:hyperlink r:id="rId114">
        <w:r>
          <w:rPr>
            <w:rFonts w:ascii="Times New Roman" w:cs="Times New Roman" w:eastAsia="Times New Roman" w:hAnsi="Times New Roman"/>
            <w:sz w:val="13"/>
            <w:szCs w:val="13"/>
            <w:color w:val="0000FF"/>
          </w:rPr>
          <w:t>Certificate of Amendment (incorporated by reference to Exhibit 3.1 of the Current Report on Form 8-K filed April 2, 2019)</w:t>
        </w:r>
      </w:hyperlink>
      <w:r>
        <w:rPr>
          <w:rFonts w:ascii="Times New Roman" w:cs="Times New Roman" w:eastAsia="Times New Roman" w:hAnsi="Times New Roman"/>
          <w:sz w:val="13"/>
          <w:szCs w:val="13"/>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-12065</wp:posOffset>
            </wp:positionV>
            <wp:extent cx="416179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4161790" cy="7620"/>
                    </a:xfrm>
                    <a:prstGeom prst="rect">
                      <a:avLst/>
                    </a:prstGeom>
                    <a:noFill/>
                  </pic:spPr>
                </pic:pic>
              </a:graphicData>
            </a:graphic>
          </wp:anchor>
        </w:drawing>
      </w:r>
    </w:p>
    <w:p>
      <w:pPr>
        <w:ind w:left="660" w:right="280" w:hanging="395"/>
        <w:spacing w:after="0" w:line="250" w:lineRule="auto"/>
        <w:tabs>
          <w:tab w:leader="none" w:pos="640" w:val="left"/>
        </w:tabs>
        <w:rPr>
          <w:rFonts w:ascii="Times New Roman" w:cs="Times New Roman" w:eastAsia="Times New Roman" w:hAnsi="Times New Roman"/>
          <w:sz w:val="13"/>
          <w:szCs w:val="13"/>
          <w:color w:val="0000FF"/>
        </w:rPr>
      </w:pPr>
      <w:r>
        <w:rPr>
          <w:rFonts w:ascii="Times New Roman" w:cs="Times New Roman" w:eastAsia="Times New Roman" w:hAnsi="Times New Roman"/>
          <w:sz w:val="13"/>
          <w:szCs w:val="13"/>
          <w:color w:val="auto"/>
        </w:rPr>
        <w:t>3.1.2</w:t>
      </w:r>
      <w:r>
        <w:rPr>
          <w:rFonts w:ascii="Times New Roman" w:cs="Times New Roman" w:eastAsia="Times New Roman" w:hAnsi="Times New Roman"/>
          <w:sz w:val="13"/>
          <w:szCs w:val="13"/>
          <w:color w:val="0000FF"/>
        </w:rPr>
        <w:tab/>
      </w:r>
      <w:hyperlink r:id="rId116">
        <w:r>
          <w:rPr>
            <w:rFonts w:ascii="Times New Roman" w:cs="Times New Roman" w:eastAsia="Times New Roman" w:hAnsi="Times New Roman"/>
            <w:sz w:val="13"/>
            <w:szCs w:val="13"/>
            <w:color w:val="0000FF"/>
          </w:rPr>
          <w:t>Certificate of Amendment to Certificate of Incorporation of Portman Ridge Finance Corporation (the Reverse Stock Split Certificate of Amendment) (incorporated by reference to</w:t>
        </w:r>
      </w:hyperlink>
      <w:r>
        <w:rPr>
          <w:rFonts w:ascii="Times New Roman" w:cs="Times New Roman" w:eastAsia="Times New Roman" w:hAnsi="Times New Roman"/>
          <w:sz w:val="13"/>
          <w:szCs w:val="13"/>
          <w:color w:val="0000FF"/>
        </w:rPr>
        <w:t xml:space="preserve"> </w:t>
      </w:r>
      <w:hyperlink r:id="rId116">
        <w:r>
          <w:rPr>
            <w:rFonts w:ascii="Times New Roman" w:cs="Times New Roman" w:eastAsia="Times New Roman" w:hAnsi="Times New Roman"/>
            <w:sz w:val="13"/>
            <w:szCs w:val="13"/>
            <w:color w:val="0000FF"/>
          </w:rPr>
          <w:t>Exhibit 3.1 of the Company’s Current Report on Form 8-K, filed on August 26,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-114935</wp:posOffset>
            </wp:positionV>
            <wp:extent cx="6014085"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6014085" cy="7620"/>
                    </a:xfrm>
                    <a:prstGeom prst="rect">
                      <a:avLst/>
                    </a:prstGeom>
                    <a:noFill/>
                  </pic:spPr>
                </pic:pic>
              </a:graphicData>
            </a:graphic>
          </wp:anchor>
        </w:drawing>
        <w:drawing>
          <wp:anchor simplePos="0" relativeHeight="251657728" behindDoc="1" locked="0" layoutInCell="0" allowOverlap="1">
            <wp:simplePos x="0" y="0"/>
            <wp:positionH relativeFrom="column">
              <wp:posOffset>420370</wp:posOffset>
            </wp:positionH>
            <wp:positionV relativeFrom="paragraph">
              <wp:posOffset>-15875</wp:posOffset>
            </wp:positionV>
            <wp:extent cx="2903855"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2903855" cy="7620"/>
                    </a:xfrm>
                    <a:prstGeom prst="rect">
                      <a:avLst/>
                    </a:prstGeom>
                    <a:noFill/>
                  </pic:spPr>
                </pic:pic>
              </a:graphicData>
            </a:graphic>
          </wp:anchor>
        </w:drawing>
      </w:r>
    </w:p>
    <w:p>
      <w:pPr>
        <w:ind w:left="260"/>
        <w:spacing w:after="0"/>
        <w:tabs>
          <w:tab w:leader="none" w:pos="640" w:val="left"/>
        </w:tabs>
        <w:rPr>
          <w:rFonts w:ascii="Times New Roman" w:cs="Times New Roman" w:eastAsia="Times New Roman" w:hAnsi="Times New Roman"/>
          <w:sz w:val="13"/>
          <w:szCs w:val="13"/>
          <w:color w:val="0000FF"/>
        </w:rPr>
      </w:pPr>
      <w:r>
        <w:rPr>
          <w:rFonts w:ascii="Times New Roman" w:cs="Times New Roman" w:eastAsia="Times New Roman" w:hAnsi="Times New Roman"/>
          <w:sz w:val="13"/>
          <w:szCs w:val="13"/>
          <w:color w:val="auto"/>
        </w:rPr>
        <w:t>3.1.3</w:t>
      </w:r>
      <w:r>
        <w:rPr>
          <w:rFonts w:ascii="Times New Roman" w:cs="Times New Roman" w:eastAsia="Times New Roman" w:hAnsi="Times New Roman"/>
          <w:sz w:val="13"/>
          <w:szCs w:val="13"/>
          <w:color w:val="0000FF"/>
        </w:rPr>
        <w:tab/>
      </w:r>
      <w:hyperlink r:id="rId119">
        <w:r>
          <w:rPr>
            <w:rFonts w:ascii="Times New Roman" w:cs="Times New Roman" w:eastAsia="Times New Roman" w:hAnsi="Times New Roman"/>
            <w:sz w:val="13"/>
            <w:szCs w:val="13"/>
            <w:color w:val="0000FF"/>
          </w:rPr>
          <w:t>Certificate of Amendment to Certificate of Incorporation of Portman Ridge Finance Corporation (the Decrease Shares Certificate of Amendment) (incorporated by reference to Exhibit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-12065</wp:posOffset>
            </wp:positionV>
            <wp:extent cx="6174105"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6174105" cy="7620"/>
                    </a:xfrm>
                    <a:prstGeom prst="rect">
                      <a:avLst/>
                    </a:prstGeom>
                    <a:noFill/>
                  </pic:spPr>
                </pic:pic>
              </a:graphicData>
            </a:graphic>
          </wp:anchor>
        </w:drawing>
      </w:r>
    </w:p>
    <w:p>
      <w:pPr>
        <w:ind w:left="660"/>
        <w:spacing w:after="0"/>
        <w:rPr>
          <w:rFonts w:ascii="Times New Roman" w:cs="Times New Roman" w:eastAsia="Times New Roman" w:hAnsi="Times New Roman"/>
          <w:sz w:val="13"/>
          <w:szCs w:val="13"/>
          <w:color w:val="0000FF"/>
        </w:rPr>
      </w:pPr>
      <w:hyperlink r:id="rId119">
        <w:r>
          <w:rPr>
            <w:rFonts w:ascii="Times New Roman" w:cs="Times New Roman" w:eastAsia="Times New Roman" w:hAnsi="Times New Roman"/>
            <w:sz w:val="13"/>
            <w:szCs w:val="13"/>
            <w:color w:val="0000FF"/>
          </w:rPr>
          <w:t>3.2 of the Company’s Current Report on Form 8-K, filed on August 26,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-12065</wp:posOffset>
            </wp:positionV>
            <wp:extent cx="2637155"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2637155" cy="7620"/>
                    </a:xfrm>
                    <a:prstGeom prst="rect">
                      <a:avLst/>
                    </a:prstGeom>
                    <a:noFill/>
                  </pic:spPr>
                </pic:pic>
              </a:graphicData>
            </a:graphic>
          </wp:anchor>
        </w:drawing>
      </w:r>
    </w:p>
    <w:p>
      <w:pPr>
        <w:spacing w:after="0" w:line="21" w:lineRule="exact"/>
        <w:rPr>
          <w:sz w:val="20"/>
          <w:szCs w:val="20"/>
          <w:color w:val="auto"/>
        </w:rPr>
      </w:pPr>
    </w:p>
    <w:p>
      <w:pPr>
        <w:ind w:left="660" w:right="100" w:hanging="296"/>
        <w:spacing w:after="0" w:line="286" w:lineRule="auto"/>
        <w:tabs>
          <w:tab w:leader="none" w:pos="640" w:val="left"/>
        </w:tabs>
        <w:rPr>
          <w:rFonts w:ascii="Times New Roman" w:cs="Times New Roman" w:eastAsia="Times New Roman" w:hAnsi="Times New Roman"/>
          <w:sz w:val="13"/>
          <w:szCs w:val="13"/>
          <w:color w:val="0000FF"/>
        </w:rPr>
      </w:pPr>
      <w:r>
        <w:rPr>
          <w:rFonts w:ascii="Times New Roman" w:cs="Times New Roman" w:eastAsia="Times New Roman" w:hAnsi="Times New Roman"/>
          <w:sz w:val="13"/>
          <w:szCs w:val="13"/>
          <w:color w:val="auto"/>
        </w:rPr>
        <w:t>3.2</w:t>
      </w:r>
      <w:r>
        <w:rPr>
          <w:rFonts w:ascii="Times New Roman" w:cs="Times New Roman" w:eastAsia="Times New Roman" w:hAnsi="Times New Roman"/>
          <w:sz w:val="13"/>
          <w:szCs w:val="13"/>
          <w:color w:val="0000FF"/>
        </w:rPr>
        <w:tab/>
      </w:r>
      <w:hyperlink r:id="rId122">
        <w:r>
          <w:rPr>
            <w:rFonts w:ascii="Times New Roman" w:cs="Times New Roman" w:eastAsia="Times New Roman" w:hAnsi="Times New Roman"/>
            <w:sz w:val="13"/>
            <w:szCs w:val="13"/>
            <w:color w:val="0000FF"/>
          </w:rPr>
          <w:t>Third Amended and Restated Bylaws of Portman Ridge Finance Corporation, dated as of July 20, 2021 (incorporated by reference to Exhibit 3.1 of the Company’s Current Report on</w:t>
        </w:r>
      </w:hyperlink>
      <w:r>
        <w:rPr>
          <w:rFonts w:ascii="Times New Roman" w:cs="Times New Roman" w:eastAsia="Times New Roman" w:hAnsi="Times New Roman"/>
          <w:sz w:val="13"/>
          <w:szCs w:val="13"/>
          <w:color w:val="0000FF"/>
        </w:rPr>
        <w:t xml:space="preserve"> </w:t>
      </w:r>
      <w:hyperlink r:id="rId122">
        <w:r>
          <w:rPr>
            <w:rFonts w:ascii="Times New Roman" w:cs="Times New Roman" w:eastAsia="Times New Roman" w:hAnsi="Times New Roman"/>
            <w:sz w:val="13"/>
            <w:szCs w:val="13"/>
            <w:color w:val="0000FF"/>
          </w:rPr>
          <w:t>Form 8-K, filed on July 21,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-134620</wp:posOffset>
            </wp:positionV>
            <wp:extent cx="6128385"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6128385" cy="7620"/>
                    </a:xfrm>
                    <a:prstGeom prst="rect">
                      <a:avLst/>
                    </a:prstGeom>
                    <a:noFill/>
                  </pic:spPr>
                </pic:pic>
              </a:graphicData>
            </a:graphic>
          </wp:anchor>
        </w:drawing>
        <w:drawing>
          <wp:anchor simplePos="0" relativeHeight="251657728" behindDoc="1" locked="0" layoutInCell="0" allowOverlap="1">
            <wp:simplePos x="0" y="0"/>
            <wp:positionH relativeFrom="column">
              <wp:posOffset>420370</wp:posOffset>
            </wp:positionH>
            <wp:positionV relativeFrom="paragraph">
              <wp:posOffset>-35560</wp:posOffset>
            </wp:positionV>
            <wp:extent cx="1158875"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1158875" cy="7620"/>
                    </a:xfrm>
                    <a:prstGeom prst="rect">
                      <a:avLst/>
                    </a:prstGeom>
                    <a:noFill/>
                  </pic:spPr>
                </pic:pic>
              </a:graphicData>
            </a:graphic>
          </wp:anchor>
        </w:drawing>
      </w:r>
    </w:p>
    <w:p>
      <w:pPr>
        <w:ind w:left="660" w:hanging="296"/>
        <w:spacing w:after="0" w:line="286" w:lineRule="auto"/>
        <w:tabs>
          <w:tab w:leader="none" w:pos="640" w:val="left"/>
        </w:tabs>
        <w:rPr>
          <w:rFonts w:ascii="Times New Roman" w:cs="Times New Roman" w:eastAsia="Times New Roman" w:hAnsi="Times New Roman"/>
          <w:sz w:val="13"/>
          <w:szCs w:val="13"/>
          <w:color w:val="0000FF"/>
        </w:rPr>
      </w:pPr>
      <w:r>
        <w:rPr>
          <w:rFonts w:ascii="Times New Roman" w:cs="Times New Roman" w:eastAsia="Times New Roman" w:hAnsi="Times New Roman"/>
          <w:sz w:val="13"/>
          <w:szCs w:val="13"/>
          <w:color w:val="auto"/>
        </w:rPr>
        <w:t>4.1</w:t>
      </w:r>
      <w:r>
        <w:rPr>
          <w:rFonts w:ascii="Times New Roman" w:cs="Times New Roman" w:eastAsia="Times New Roman" w:hAnsi="Times New Roman"/>
          <w:sz w:val="13"/>
          <w:szCs w:val="13"/>
          <w:color w:val="0000FF"/>
        </w:rPr>
        <w:tab/>
      </w:r>
      <w:hyperlink r:id="rId125">
        <w:r>
          <w:rPr>
            <w:rFonts w:ascii="Times New Roman" w:cs="Times New Roman" w:eastAsia="Times New Roman" w:hAnsi="Times New Roman"/>
            <w:sz w:val="13"/>
            <w:szCs w:val="13"/>
            <w:color w:val="0000FF"/>
          </w:rPr>
          <w:t>Specimen certificate of the Company’s common stock, par value $0.01 per share (incorporated by reference to Exhibit D.1 of the Pre-Effective Amendment No. 1 on Form N-2 filed on</w:t>
        </w:r>
      </w:hyperlink>
      <w:r>
        <w:rPr>
          <w:rFonts w:ascii="Times New Roman" w:cs="Times New Roman" w:eastAsia="Times New Roman" w:hAnsi="Times New Roman"/>
          <w:sz w:val="13"/>
          <w:szCs w:val="13"/>
          <w:color w:val="0000FF"/>
        </w:rPr>
        <w:t xml:space="preserve"> </w:t>
      </w:r>
      <w:hyperlink r:id="rId125">
        <w:r>
          <w:rPr>
            <w:rFonts w:ascii="Times New Roman" w:cs="Times New Roman" w:eastAsia="Times New Roman" w:hAnsi="Times New Roman"/>
            <w:sz w:val="13"/>
            <w:szCs w:val="13"/>
            <w:color w:val="0000FF"/>
          </w:rPr>
          <w:t>October 6, 2006).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-134620</wp:posOffset>
            </wp:positionV>
            <wp:extent cx="619696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6196965" cy="7620"/>
                    </a:xfrm>
                    <a:prstGeom prst="rect">
                      <a:avLst/>
                    </a:prstGeom>
                    <a:noFill/>
                  </pic:spPr>
                </pic:pic>
              </a:graphicData>
            </a:graphic>
          </wp:anchor>
        </w:drawing>
        <w:drawing>
          <wp:anchor simplePos="0" relativeHeight="251657728" behindDoc="1" locked="0" layoutInCell="0" allowOverlap="1">
            <wp:simplePos x="0" y="0"/>
            <wp:positionH relativeFrom="column">
              <wp:posOffset>420370</wp:posOffset>
            </wp:positionH>
            <wp:positionV relativeFrom="paragraph">
              <wp:posOffset>-35560</wp:posOffset>
            </wp:positionV>
            <wp:extent cx="59436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594360" cy="7620"/>
                    </a:xfrm>
                    <a:prstGeom prst="rect">
                      <a:avLst/>
                    </a:prstGeom>
                    <a:noFill/>
                  </pic:spPr>
                </pic:pic>
              </a:graphicData>
            </a:graphic>
          </wp:anchor>
        </w:drawing>
      </w:r>
    </w:p>
    <w:p>
      <w:pPr>
        <w:ind w:left="360"/>
        <w:spacing w:after="0"/>
        <w:tabs>
          <w:tab w:leader="none" w:pos="640" w:val="left"/>
        </w:tabs>
        <w:rPr>
          <w:rFonts w:ascii="Times New Roman" w:cs="Times New Roman" w:eastAsia="Times New Roman" w:hAnsi="Times New Roman"/>
          <w:sz w:val="13"/>
          <w:szCs w:val="13"/>
          <w:color w:val="0000FF"/>
        </w:rPr>
      </w:pPr>
      <w:r>
        <w:rPr>
          <w:rFonts w:ascii="Times New Roman" w:cs="Times New Roman" w:eastAsia="Times New Roman" w:hAnsi="Times New Roman"/>
          <w:sz w:val="13"/>
          <w:szCs w:val="13"/>
          <w:color w:val="auto"/>
        </w:rPr>
        <w:t>4.2</w:t>
      </w:r>
      <w:r>
        <w:rPr>
          <w:rFonts w:ascii="Times New Roman" w:cs="Times New Roman" w:eastAsia="Times New Roman" w:hAnsi="Times New Roman"/>
          <w:sz w:val="13"/>
          <w:szCs w:val="13"/>
          <w:color w:val="0000FF"/>
        </w:rPr>
        <w:tab/>
      </w:r>
      <w:hyperlink r:id="rId128">
        <w:r>
          <w:rPr>
            <w:rFonts w:ascii="Times New Roman" w:cs="Times New Roman" w:eastAsia="Times New Roman" w:hAnsi="Times New Roman"/>
            <w:sz w:val="13"/>
            <w:szCs w:val="13"/>
            <w:color w:val="0000FF"/>
          </w:rPr>
          <w:t>Form of Dividend Reinvestment Plan (incorporated by reference to Exhibit E of the Pre-Effective Amendment No. 2 of the Registration Statement on Form N-2 filed on November 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-3175</wp:posOffset>
            </wp:positionV>
            <wp:extent cx="617410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9">
                      <a:extLst>
                        <a:ext uri="{28A0092B-C50C-407E-A947-70E740481C1C}"/>
                      </a:extLst>
                    </a:blip>
                    <a:srcRect/>
                    <a:stretch>
                      <a:fillRect/>
                    </a:stretch>
                  </pic:blipFill>
                  <pic:spPr bwMode="auto">
                    <a:xfrm>
                      <a:off x="0" y="0"/>
                      <a:ext cx="6174105" cy="7620"/>
                    </a:xfrm>
                    <a:prstGeom prst="rect">
                      <a:avLst/>
                    </a:prstGeom>
                    <a:noFill/>
                  </pic:spPr>
                </pic:pic>
              </a:graphicData>
            </a:graphic>
          </wp:anchor>
        </w:drawing>
      </w:r>
    </w:p>
    <w:p>
      <w:pPr>
        <w:spacing w:after="0" w:line="1" w:lineRule="exact"/>
        <w:rPr>
          <w:sz w:val="20"/>
          <w:szCs w:val="20"/>
          <w:color w:val="auto"/>
        </w:rPr>
      </w:pPr>
    </w:p>
    <w:p>
      <w:pPr>
        <w:ind w:left="660"/>
        <w:spacing w:after="0"/>
        <w:rPr>
          <w:rFonts w:ascii="Times New Roman" w:cs="Times New Roman" w:eastAsia="Times New Roman" w:hAnsi="Times New Roman"/>
          <w:sz w:val="13"/>
          <w:szCs w:val="13"/>
          <w:color w:val="0000FF"/>
        </w:rPr>
      </w:pPr>
      <w:hyperlink r:id="rId128">
        <w:r>
          <w:rPr>
            <w:rFonts w:ascii="Times New Roman" w:cs="Times New Roman" w:eastAsia="Times New Roman" w:hAnsi="Times New Roman"/>
            <w:sz w:val="13"/>
            <w:szCs w:val="13"/>
            <w:color w:val="0000FF"/>
          </w:rPr>
          <w:t>2006).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-12065</wp:posOffset>
            </wp:positionV>
            <wp:extent cx="21336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0">
                      <a:extLst>
                        <a:ext uri="{28A0092B-C50C-407E-A947-70E740481C1C}"/>
                      </a:extLst>
                    </a:blip>
                    <a:srcRect/>
                    <a:stretch>
                      <a:fillRect/>
                    </a:stretch>
                  </pic:blipFill>
                  <pic:spPr bwMode="auto">
                    <a:xfrm>
                      <a:off x="0" y="0"/>
                      <a:ext cx="213360" cy="7620"/>
                    </a:xfrm>
                    <a:prstGeom prst="rect">
                      <a:avLst/>
                    </a:prstGeom>
                    <a:noFill/>
                  </pic:spPr>
                </pic:pic>
              </a:graphicData>
            </a:graphic>
          </wp:anchor>
        </w:drawing>
      </w:r>
    </w:p>
    <w:p>
      <w:pPr>
        <w:ind w:left="660" w:right="380" w:hanging="296"/>
        <w:spacing w:after="0" w:line="263" w:lineRule="auto"/>
        <w:tabs>
          <w:tab w:leader="none" w:pos="640" w:val="left"/>
        </w:tabs>
        <w:rPr>
          <w:rFonts w:ascii="Times New Roman" w:cs="Times New Roman" w:eastAsia="Times New Roman" w:hAnsi="Times New Roman"/>
          <w:sz w:val="13"/>
          <w:szCs w:val="13"/>
          <w:color w:val="0000FF"/>
        </w:rPr>
      </w:pPr>
      <w:hyperlink r:id="rId131"/>
      <w:r>
        <w:rPr>
          <w:rFonts w:ascii="Times New Roman" w:cs="Times New Roman" w:eastAsia="Times New Roman" w:hAnsi="Times New Roman"/>
          <w:sz w:val="26"/>
          <w:szCs w:val="26"/>
          <w:color w:val="000000"/>
          <w:vertAlign w:val="subscript"/>
        </w:rPr>
        <w:t>4.3</w:t>
      </w:r>
      <w:r>
        <w:rPr>
          <w:rFonts w:ascii="Times New Roman" w:cs="Times New Roman" w:eastAsia="Times New Roman" w:hAnsi="Times New Roman"/>
          <w:sz w:val="13"/>
          <w:szCs w:val="13"/>
          <w:color w:val="0000FF"/>
        </w:rPr>
        <w:tab/>
      </w:r>
      <w:hyperlink r:id="rId131">
        <w:r>
          <w:rPr>
            <w:rFonts w:ascii="Times New Roman" w:cs="Times New Roman" w:eastAsia="Times New Roman" w:hAnsi="Times New Roman"/>
            <w:sz w:val="13"/>
            <w:szCs w:val="13"/>
            <w:color w:val="0000FF"/>
          </w:rPr>
          <w:t>Form of Base Indenture between the Company and U.S. Bank National Association (incorporated by reference to Exhibit D.3 of the Registration Statement in Form N-2 filed on</w:t>
        </w:r>
      </w:hyperlink>
      <w:r>
        <w:rPr>
          <w:rFonts w:ascii="Times New Roman" w:cs="Times New Roman" w:eastAsia="Times New Roman" w:hAnsi="Times New Roman"/>
          <w:sz w:val="13"/>
          <w:szCs w:val="13"/>
          <w:color w:val="0000FF"/>
        </w:rPr>
        <w:t xml:space="preserve"> </w:t>
      </w:r>
      <w:hyperlink r:id="rId131">
        <w:r>
          <w:rPr>
            <w:rFonts w:ascii="Times New Roman" w:cs="Times New Roman" w:eastAsia="Times New Roman" w:hAnsi="Times New Roman"/>
            <w:sz w:val="13"/>
            <w:szCs w:val="13"/>
            <w:color w:val="0000FF"/>
          </w:rPr>
          <w:t>October 3, 2012).</w:t>
        </w:r>
      </w:hyperlink>
    </w:p>
    <w:p>
      <w:pPr>
        <w:spacing w:after="0" w:line="20" w:lineRule="exact"/>
        <w:rPr>
          <w:rFonts w:ascii="Times New Roman" w:cs="Times New Roman" w:eastAsia="Times New Roman" w:hAnsi="Times New Roman"/>
          <w:sz w:val="13"/>
          <w:szCs w:val="13"/>
          <w:color w:val="0000FF"/>
        </w:rPr>
      </w:pPr>
      <w:r>
        <w:rPr>
          <w:rFonts w:ascii="Times New Roman" w:cs="Times New Roman" w:eastAsia="Times New Roman" w:hAnsi="Times New Roman"/>
          <w:sz w:val="13"/>
          <w:szCs w:val="13"/>
          <w:color w:val="0000FF"/>
        </w:rPr>
        <w:drawing>
          <wp:anchor simplePos="0" relativeHeight="251657728" behindDoc="1" locked="0" layoutInCell="0" allowOverlap="1">
            <wp:simplePos x="0" y="0"/>
            <wp:positionH relativeFrom="column">
              <wp:posOffset>420370</wp:posOffset>
            </wp:positionH>
            <wp:positionV relativeFrom="paragraph">
              <wp:posOffset>-125095</wp:posOffset>
            </wp:positionV>
            <wp:extent cx="5953125"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extLst>
                    </a:blip>
                    <a:srcRect/>
                    <a:stretch>
                      <a:fillRect/>
                    </a:stretch>
                  </pic:blipFill>
                  <pic:spPr bwMode="auto">
                    <a:xfrm>
                      <a:off x="0" y="0"/>
                      <a:ext cx="5953125" cy="7620"/>
                    </a:xfrm>
                    <a:prstGeom prst="rect">
                      <a:avLst/>
                    </a:prstGeom>
                    <a:noFill/>
                  </pic:spPr>
                </pic:pic>
              </a:graphicData>
            </a:graphic>
          </wp:anchor>
        </w:drawing>
        <w:drawing>
          <wp:anchor simplePos="0" relativeHeight="251657728" behindDoc="1" locked="0" layoutInCell="0" allowOverlap="1">
            <wp:simplePos x="0" y="0"/>
            <wp:positionH relativeFrom="column">
              <wp:posOffset>420370</wp:posOffset>
            </wp:positionH>
            <wp:positionV relativeFrom="paragraph">
              <wp:posOffset>-26035</wp:posOffset>
            </wp:positionV>
            <wp:extent cx="59436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594360" cy="7620"/>
                    </a:xfrm>
                    <a:prstGeom prst="rect">
                      <a:avLst/>
                    </a:prstGeom>
                    <a:noFill/>
                  </pic:spPr>
                </pic:pic>
              </a:graphicData>
            </a:graphic>
          </wp:anchor>
        </w:drawing>
      </w:r>
    </w:p>
    <w:p>
      <w:pPr>
        <w:ind w:left="660" w:right="440" w:hanging="299"/>
        <w:spacing w:after="0" w:line="286" w:lineRule="auto"/>
        <w:tabs>
          <w:tab w:leader="none" w:pos="640" w:val="left"/>
        </w:tabs>
        <w:rPr>
          <w:rFonts w:ascii="Times New Roman" w:cs="Times New Roman" w:eastAsia="Times New Roman" w:hAnsi="Times New Roman"/>
          <w:sz w:val="13"/>
          <w:szCs w:val="13"/>
          <w:color w:val="0000FF"/>
        </w:rPr>
      </w:pPr>
      <w:r>
        <w:rPr>
          <w:rFonts w:ascii="Times New Roman" w:cs="Times New Roman" w:eastAsia="Times New Roman" w:hAnsi="Times New Roman"/>
          <w:sz w:val="13"/>
          <w:szCs w:val="13"/>
          <w:color w:val="auto"/>
        </w:rPr>
        <w:t>4.4</w:t>
      </w:r>
      <w:r>
        <w:rPr>
          <w:rFonts w:ascii="Times New Roman" w:cs="Times New Roman" w:eastAsia="Times New Roman" w:hAnsi="Times New Roman"/>
          <w:sz w:val="13"/>
          <w:szCs w:val="13"/>
          <w:color w:val="0000FF"/>
        </w:rPr>
        <w:tab/>
      </w:r>
      <w:hyperlink r:id="rId134">
        <w:r>
          <w:rPr>
            <w:rFonts w:ascii="Times New Roman" w:cs="Times New Roman" w:eastAsia="Times New Roman" w:hAnsi="Times New Roman"/>
            <w:sz w:val="13"/>
            <w:szCs w:val="13"/>
            <w:color w:val="0000FF"/>
          </w:rPr>
          <w:t>Third Supplemental Indenture, dated as of April 30, 2021, relating to the 4.875% Notes due 2026, by and between the Company and U.S. Bank National Association, as trustee</w:t>
        </w:r>
      </w:hyperlink>
      <w:r>
        <w:rPr>
          <w:rFonts w:ascii="Times New Roman" w:cs="Times New Roman" w:eastAsia="Times New Roman" w:hAnsi="Times New Roman"/>
          <w:sz w:val="13"/>
          <w:szCs w:val="13"/>
          <w:color w:val="0000FF"/>
        </w:rPr>
        <w:t xml:space="preserve"> </w:t>
      </w:r>
      <w:hyperlink r:id="rId134">
        <w:r>
          <w:rPr>
            <w:rFonts w:ascii="Times New Roman" w:cs="Times New Roman" w:eastAsia="Times New Roman" w:hAnsi="Times New Roman"/>
            <w:sz w:val="13"/>
            <w:szCs w:val="13"/>
            <w:color w:val="0000FF"/>
          </w:rPr>
          <w:t>(incorporated by reference to Exhibit 4.1 of the Company’s Current Report on Form 8-K, filed on May 3,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-134620</wp:posOffset>
            </wp:positionV>
            <wp:extent cx="5915025"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5">
                      <a:extLst>
                        <a:ext uri="{28A0092B-C50C-407E-A947-70E740481C1C}"/>
                      </a:extLst>
                    </a:blip>
                    <a:srcRect/>
                    <a:stretch>
                      <a:fillRect/>
                    </a:stretch>
                  </pic:blipFill>
                  <pic:spPr bwMode="auto">
                    <a:xfrm>
                      <a:off x="0" y="0"/>
                      <a:ext cx="5915025" cy="7620"/>
                    </a:xfrm>
                    <a:prstGeom prst="rect">
                      <a:avLst/>
                    </a:prstGeom>
                    <a:noFill/>
                  </pic:spPr>
                </pic:pic>
              </a:graphicData>
            </a:graphic>
          </wp:anchor>
        </w:drawing>
        <w:drawing>
          <wp:anchor simplePos="0" relativeHeight="251657728" behindDoc="1" locked="0" layoutInCell="0" allowOverlap="1">
            <wp:simplePos x="0" y="0"/>
            <wp:positionH relativeFrom="column">
              <wp:posOffset>420370</wp:posOffset>
            </wp:positionH>
            <wp:positionV relativeFrom="paragraph">
              <wp:posOffset>-35560</wp:posOffset>
            </wp:positionV>
            <wp:extent cx="378841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6">
                      <a:extLst>
                        <a:ext uri="{28A0092B-C50C-407E-A947-70E740481C1C}"/>
                      </a:extLst>
                    </a:blip>
                    <a:srcRect/>
                    <a:stretch>
                      <a:fillRect/>
                    </a:stretch>
                  </pic:blipFill>
                  <pic:spPr bwMode="auto">
                    <a:xfrm>
                      <a:off x="0" y="0"/>
                      <a:ext cx="3788410" cy="7620"/>
                    </a:xfrm>
                    <a:prstGeom prst="rect">
                      <a:avLst/>
                    </a:prstGeom>
                    <a:noFill/>
                  </pic:spPr>
                </pic:pic>
              </a:graphicData>
            </a:graphic>
          </wp:anchor>
        </w:drawing>
      </w:r>
    </w:p>
    <w:p>
      <w:pPr>
        <w:ind w:left="360"/>
        <w:spacing w:after="0"/>
        <w:tabs>
          <w:tab w:leader="none" w:pos="640" w:val="left"/>
        </w:tabs>
        <w:rPr>
          <w:rFonts w:ascii="Times New Roman" w:cs="Times New Roman" w:eastAsia="Times New Roman" w:hAnsi="Times New Roman"/>
          <w:sz w:val="13"/>
          <w:szCs w:val="13"/>
          <w:color w:val="0000FF"/>
        </w:rPr>
      </w:pPr>
      <w:r>
        <w:rPr>
          <w:rFonts w:ascii="Times New Roman" w:cs="Times New Roman" w:eastAsia="Times New Roman" w:hAnsi="Times New Roman"/>
          <w:sz w:val="13"/>
          <w:szCs w:val="13"/>
          <w:color w:val="auto"/>
        </w:rPr>
        <w:t>4.5</w:t>
      </w:r>
      <w:r>
        <w:rPr>
          <w:rFonts w:ascii="Times New Roman" w:cs="Times New Roman" w:eastAsia="Times New Roman" w:hAnsi="Times New Roman"/>
          <w:sz w:val="13"/>
          <w:szCs w:val="13"/>
          <w:color w:val="0000FF"/>
        </w:rPr>
        <w:tab/>
      </w:r>
      <w:hyperlink r:id="rId134">
        <w:r>
          <w:rPr>
            <w:rFonts w:ascii="Times New Roman" w:cs="Times New Roman" w:eastAsia="Times New Roman" w:hAnsi="Times New Roman"/>
            <w:sz w:val="13"/>
            <w:szCs w:val="13"/>
            <w:color w:val="0000FF"/>
          </w:rPr>
          <w:t>Form of 4.875% Notes due 2026 (incorporated by reference to Exhibit 4.2 to the Current Report on Form 8-K filed on May 3,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-3175</wp:posOffset>
            </wp:positionV>
            <wp:extent cx="445897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7">
                      <a:extLst>
                        <a:ext uri="{28A0092B-C50C-407E-A947-70E740481C1C}"/>
                      </a:extLst>
                    </a:blip>
                    <a:srcRect/>
                    <a:stretch>
                      <a:fillRect/>
                    </a:stretch>
                  </pic:blipFill>
                  <pic:spPr bwMode="auto">
                    <a:xfrm>
                      <a:off x="0" y="0"/>
                      <a:ext cx="4458970" cy="7620"/>
                    </a:xfrm>
                    <a:prstGeom prst="rect">
                      <a:avLst/>
                    </a:prstGeom>
                    <a:noFill/>
                  </pic:spPr>
                </pic:pic>
              </a:graphicData>
            </a:graphic>
          </wp:anchor>
        </w:drawing>
      </w:r>
    </w:p>
    <w:p>
      <w:pPr>
        <w:spacing w:after="0" w:line="35" w:lineRule="exact"/>
        <w:rPr>
          <w:sz w:val="20"/>
          <w:szCs w:val="20"/>
          <w:color w:val="auto"/>
        </w:rPr>
      </w:pPr>
    </w:p>
    <w:p>
      <w:pPr>
        <w:ind w:left="660" w:right="520" w:hanging="299"/>
        <w:spacing w:after="0" w:line="286" w:lineRule="auto"/>
        <w:tabs>
          <w:tab w:leader="none" w:pos="640" w:val="left"/>
        </w:tabs>
        <w:rPr>
          <w:rFonts w:ascii="Times New Roman" w:cs="Times New Roman" w:eastAsia="Times New Roman" w:hAnsi="Times New Roman"/>
          <w:sz w:val="13"/>
          <w:szCs w:val="13"/>
          <w:color w:val="0000FF"/>
        </w:rPr>
      </w:pPr>
      <w:r>
        <w:rPr>
          <w:rFonts w:ascii="Times New Roman" w:cs="Times New Roman" w:eastAsia="Times New Roman" w:hAnsi="Times New Roman"/>
          <w:sz w:val="13"/>
          <w:szCs w:val="13"/>
          <w:color w:val="auto"/>
        </w:rPr>
        <w:t>4.6</w:t>
      </w:r>
      <w:r>
        <w:rPr>
          <w:rFonts w:ascii="Times New Roman" w:cs="Times New Roman" w:eastAsia="Times New Roman" w:hAnsi="Times New Roman"/>
          <w:sz w:val="13"/>
          <w:szCs w:val="13"/>
          <w:color w:val="0000FF"/>
        </w:rPr>
        <w:tab/>
      </w:r>
      <w:hyperlink r:id="rId138">
        <w:r>
          <w:rPr>
            <w:rFonts w:ascii="Times New Roman" w:cs="Times New Roman" w:eastAsia="Times New Roman" w:hAnsi="Times New Roman"/>
            <w:sz w:val="13"/>
            <w:szCs w:val="13"/>
            <w:color w:val="0000FF"/>
          </w:rPr>
          <w:t>Registration Rights Agreement, dated as of June 23, 2021, by and among the Company and the Purchasers (as defined therein) (incorporated by reference to Exhibit 4.3 of the</w:t>
        </w:r>
      </w:hyperlink>
      <w:r>
        <w:rPr>
          <w:rFonts w:ascii="Times New Roman" w:cs="Times New Roman" w:eastAsia="Times New Roman" w:hAnsi="Times New Roman"/>
          <w:sz w:val="13"/>
          <w:szCs w:val="13"/>
          <w:color w:val="0000FF"/>
        </w:rPr>
        <w:t xml:space="preserve"> </w:t>
      </w:r>
      <w:hyperlink r:id="rId138">
        <w:r>
          <w:rPr>
            <w:rFonts w:ascii="Times New Roman" w:cs="Times New Roman" w:eastAsia="Times New Roman" w:hAnsi="Times New Roman"/>
            <w:sz w:val="13"/>
            <w:szCs w:val="13"/>
            <w:color w:val="0000FF"/>
          </w:rPr>
          <w:t>Company’s Current Report on Form 8-K, filed on June 24,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-134620</wp:posOffset>
            </wp:positionV>
            <wp:extent cx="5869305"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9">
                      <a:extLst>
                        <a:ext uri="{28A0092B-C50C-407E-A947-70E740481C1C}"/>
                      </a:extLst>
                    </a:blip>
                    <a:srcRect/>
                    <a:stretch>
                      <a:fillRect/>
                    </a:stretch>
                  </pic:blipFill>
                  <pic:spPr bwMode="auto">
                    <a:xfrm>
                      <a:off x="0" y="0"/>
                      <a:ext cx="5869305" cy="7620"/>
                    </a:xfrm>
                    <a:prstGeom prst="rect">
                      <a:avLst/>
                    </a:prstGeom>
                    <a:noFill/>
                  </pic:spPr>
                </pic:pic>
              </a:graphicData>
            </a:graphic>
          </wp:anchor>
        </w:drawing>
        <w:drawing>
          <wp:anchor simplePos="0" relativeHeight="251657728" behindDoc="1" locked="0" layoutInCell="0" allowOverlap="1">
            <wp:simplePos x="0" y="0"/>
            <wp:positionH relativeFrom="column">
              <wp:posOffset>420370</wp:posOffset>
            </wp:positionH>
            <wp:positionV relativeFrom="paragraph">
              <wp:posOffset>-35560</wp:posOffset>
            </wp:positionV>
            <wp:extent cx="2210435"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0">
                      <a:extLst>
                        <a:ext uri="{28A0092B-C50C-407E-A947-70E740481C1C}"/>
                      </a:extLst>
                    </a:blip>
                    <a:srcRect/>
                    <a:stretch>
                      <a:fillRect/>
                    </a:stretch>
                  </pic:blipFill>
                  <pic:spPr bwMode="auto">
                    <a:xfrm>
                      <a:off x="0" y="0"/>
                      <a:ext cx="2210435" cy="7620"/>
                    </a:xfrm>
                    <a:prstGeom prst="rect">
                      <a:avLst/>
                    </a:prstGeom>
                    <a:noFill/>
                  </pic:spPr>
                </pic:pic>
              </a:graphicData>
            </a:graphic>
          </wp:anchor>
        </w:drawing>
      </w:r>
    </w:p>
    <w:p>
      <w:pPr>
        <w:spacing w:after="0" w:line="32" w:lineRule="exact"/>
        <w:rPr>
          <w:sz w:val="20"/>
          <w:szCs w:val="20"/>
          <w:color w:val="auto"/>
        </w:rPr>
      </w:pPr>
    </w:p>
    <w:p>
      <w:pPr>
        <w:ind w:left="360"/>
        <w:spacing w:after="0"/>
        <w:tabs>
          <w:tab w:leader="none" w:pos="640" w:val="left"/>
        </w:tabs>
        <w:rPr>
          <w:rFonts w:ascii="Times New Roman" w:cs="Times New Roman" w:eastAsia="Times New Roman" w:hAnsi="Times New Roman"/>
          <w:sz w:val="13"/>
          <w:szCs w:val="13"/>
          <w:color w:val="0000FF"/>
        </w:rPr>
      </w:pPr>
      <w:r>
        <w:rPr>
          <w:rFonts w:ascii="Times New Roman" w:cs="Times New Roman" w:eastAsia="Times New Roman" w:hAnsi="Times New Roman"/>
          <w:sz w:val="13"/>
          <w:szCs w:val="13"/>
          <w:color w:val="auto"/>
        </w:rPr>
        <w:t>4.7</w:t>
      </w:r>
      <w:r>
        <w:rPr>
          <w:rFonts w:ascii="Times New Roman" w:cs="Times New Roman" w:eastAsia="Times New Roman" w:hAnsi="Times New Roman"/>
          <w:sz w:val="13"/>
          <w:szCs w:val="13"/>
          <w:color w:val="0000FF"/>
        </w:rPr>
        <w:tab/>
      </w:r>
      <w:hyperlink r:id="rId141">
        <w:r>
          <w:rPr>
            <w:rFonts w:ascii="Times New Roman" w:cs="Times New Roman" w:eastAsia="Times New Roman" w:hAnsi="Times New Roman"/>
            <w:sz w:val="13"/>
            <w:szCs w:val="13"/>
            <w:color w:val="0000FF"/>
          </w:rPr>
          <w:t>Description of Portman Ridge Finance Corporation's Registered Securities (incorporated by reference to Exhibit 4.7 of the Company's Annual Report on Form 10-K, filed on March 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-3175</wp:posOffset>
            </wp:positionV>
            <wp:extent cx="6196965"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6196965" cy="7620"/>
                    </a:xfrm>
                    <a:prstGeom prst="rect">
                      <a:avLst/>
                    </a:prstGeom>
                    <a:noFill/>
                  </pic:spPr>
                </pic:pic>
              </a:graphicData>
            </a:graphic>
          </wp:anchor>
        </w:drawing>
      </w:r>
    </w:p>
    <w:p>
      <w:pPr>
        <w:spacing w:after="0" w:line="1" w:lineRule="exact"/>
        <w:rPr>
          <w:sz w:val="20"/>
          <w:szCs w:val="20"/>
          <w:color w:val="auto"/>
        </w:rPr>
      </w:pPr>
    </w:p>
    <w:p>
      <w:pPr>
        <w:ind w:left="660"/>
        <w:spacing w:after="0"/>
        <w:rPr>
          <w:rFonts w:ascii="Times New Roman" w:cs="Times New Roman" w:eastAsia="Times New Roman" w:hAnsi="Times New Roman"/>
          <w:sz w:val="13"/>
          <w:szCs w:val="13"/>
          <w:color w:val="0000FF"/>
        </w:rPr>
      </w:pPr>
      <w:hyperlink r:id="rId141">
        <w:r>
          <w:rPr>
            <w:rFonts w:ascii="Times New Roman" w:cs="Times New Roman" w:eastAsia="Times New Roman" w:hAnsi="Times New Roman"/>
            <w:sz w:val="13"/>
            <w:szCs w:val="13"/>
            <w:color w:val="0000FF"/>
          </w:rPr>
          <w:t>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-12065</wp:posOffset>
            </wp:positionV>
            <wp:extent cx="21336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3">
                      <a:extLst>
                        <a:ext uri="{28A0092B-C50C-407E-A947-70E740481C1C}"/>
                      </a:extLst>
                    </a:blip>
                    <a:srcRect/>
                    <a:stretch>
                      <a:fillRect/>
                    </a:stretch>
                  </pic:blipFill>
                  <pic:spPr bwMode="auto">
                    <a:xfrm>
                      <a:off x="0" y="0"/>
                      <a:ext cx="213360" cy="7620"/>
                    </a:xfrm>
                    <a:prstGeom prst="rect">
                      <a:avLst/>
                    </a:prstGeom>
                    <a:noFill/>
                  </pic:spPr>
                </pic:pic>
              </a:graphicData>
            </a:graphic>
          </wp:anchor>
        </w:drawing>
      </w:r>
    </w:p>
    <w:p>
      <w:pPr>
        <w:spacing w:after="0" w:line="21" w:lineRule="exact"/>
        <w:rPr>
          <w:sz w:val="20"/>
          <w:szCs w:val="20"/>
          <w:color w:val="auto"/>
        </w:rPr>
      </w:pPr>
    </w:p>
    <w:p>
      <w:pPr>
        <w:ind w:left="660" w:right="160" w:hanging="359"/>
        <w:spacing w:after="0" w:line="286" w:lineRule="auto"/>
        <w:tabs>
          <w:tab w:leader="none" w:pos="640" w:val="left"/>
        </w:tabs>
        <w:rPr>
          <w:rFonts w:ascii="Times New Roman" w:cs="Times New Roman" w:eastAsia="Times New Roman" w:hAnsi="Times New Roman"/>
          <w:sz w:val="13"/>
          <w:szCs w:val="13"/>
          <w:color w:val="0000FF"/>
        </w:rPr>
      </w:pPr>
      <w:r>
        <w:rPr>
          <w:rFonts w:ascii="Times New Roman" w:cs="Times New Roman" w:eastAsia="Times New Roman" w:hAnsi="Times New Roman"/>
          <w:sz w:val="13"/>
          <w:szCs w:val="13"/>
          <w:color w:val="auto"/>
        </w:rPr>
        <w:t>10.1</w:t>
      </w:r>
      <w:r>
        <w:rPr>
          <w:rFonts w:ascii="Times New Roman" w:cs="Times New Roman" w:eastAsia="Times New Roman" w:hAnsi="Times New Roman"/>
          <w:sz w:val="13"/>
          <w:szCs w:val="13"/>
          <w:color w:val="0000FF"/>
        </w:rPr>
        <w:tab/>
      </w:r>
      <w:hyperlink r:id="rId144">
        <w:r>
          <w:rPr>
            <w:rFonts w:ascii="Times New Roman" w:cs="Times New Roman" w:eastAsia="Times New Roman" w:hAnsi="Times New Roman"/>
            <w:sz w:val="13"/>
            <w:szCs w:val="13"/>
            <w:color w:val="0000FF"/>
          </w:rPr>
          <w:t>Investment Advisory Agreement, dated April 1, 2019, by and between the Company and Sierra Crest Investment Management LLC (incorporated by reference to Exhibit 10.1 of the</w:t>
        </w:r>
      </w:hyperlink>
      <w:r>
        <w:rPr>
          <w:rFonts w:ascii="Times New Roman" w:cs="Times New Roman" w:eastAsia="Times New Roman" w:hAnsi="Times New Roman"/>
          <w:sz w:val="13"/>
          <w:szCs w:val="13"/>
          <w:color w:val="0000FF"/>
        </w:rPr>
        <w:t xml:space="preserve"> </w:t>
      </w:r>
      <w:hyperlink r:id="rId144">
        <w:r>
          <w:rPr>
            <w:rFonts w:ascii="Times New Roman" w:cs="Times New Roman" w:eastAsia="Times New Roman" w:hAnsi="Times New Roman"/>
            <w:sz w:val="13"/>
            <w:szCs w:val="13"/>
            <w:color w:val="0000FF"/>
          </w:rPr>
          <w:t>Current Report on Form 8-K filed on April 2,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-134620</wp:posOffset>
            </wp:positionV>
            <wp:extent cx="6090285"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5">
                      <a:extLst>
                        <a:ext uri="{28A0092B-C50C-407E-A947-70E740481C1C}"/>
                      </a:extLst>
                    </a:blip>
                    <a:srcRect/>
                    <a:stretch>
                      <a:fillRect/>
                    </a:stretch>
                  </pic:blipFill>
                  <pic:spPr bwMode="auto">
                    <a:xfrm>
                      <a:off x="0" y="0"/>
                      <a:ext cx="6090285" cy="7620"/>
                    </a:xfrm>
                    <a:prstGeom prst="rect">
                      <a:avLst/>
                    </a:prstGeom>
                    <a:noFill/>
                  </pic:spPr>
                </pic:pic>
              </a:graphicData>
            </a:graphic>
          </wp:anchor>
        </w:drawing>
        <w:drawing>
          <wp:anchor simplePos="0" relativeHeight="251657728" behindDoc="1" locked="0" layoutInCell="0" allowOverlap="1">
            <wp:simplePos x="0" y="0"/>
            <wp:positionH relativeFrom="column">
              <wp:posOffset>420370</wp:posOffset>
            </wp:positionH>
            <wp:positionV relativeFrom="paragraph">
              <wp:posOffset>-35560</wp:posOffset>
            </wp:positionV>
            <wp:extent cx="1760855"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6">
                      <a:extLst>
                        <a:ext uri="{28A0092B-C50C-407E-A947-70E740481C1C}"/>
                      </a:extLst>
                    </a:blip>
                    <a:srcRect/>
                    <a:stretch>
                      <a:fillRect/>
                    </a:stretch>
                  </pic:blipFill>
                  <pic:spPr bwMode="auto">
                    <a:xfrm>
                      <a:off x="0" y="0"/>
                      <a:ext cx="1760855" cy="7620"/>
                    </a:xfrm>
                    <a:prstGeom prst="rect">
                      <a:avLst/>
                    </a:prstGeom>
                    <a:noFill/>
                  </pic:spPr>
                </pic:pic>
              </a:graphicData>
            </a:graphic>
          </wp:anchor>
        </w:drawing>
      </w:r>
    </w:p>
    <w:p>
      <w:pPr>
        <w:ind w:left="660" w:hanging="359"/>
        <w:spacing w:after="0" w:line="286" w:lineRule="auto"/>
        <w:tabs>
          <w:tab w:leader="none" w:pos="640" w:val="left"/>
        </w:tabs>
        <w:rPr>
          <w:rFonts w:ascii="Times New Roman" w:cs="Times New Roman" w:eastAsia="Times New Roman" w:hAnsi="Times New Roman"/>
          <w:sz w:val="13"/>
          <w:szCs w:val="13"/>
          <w:color w:val="0000FF"/>
        </w:rPr>
      </w:pPr>
      <w:r>
        <w:rPr>
          <w:rFonts w:ascii="Times New Roman" w:cs="Times New Roman" w:eastAsia="Times New Roman" w:hAnsi="Times New Roman"/>
          <w:sz w:val="13"/>
          <w:szCs w:val="13"/>
          <w:color w:val="auto"/>
        </w:rPr>
        <w:t>10.2</w:t>
      </w:r>
      <w:r>
        <w:rPr>
          <w:rFonts w:ascii="Times New Roman" w:cs="Times New Roman" w:eastAsia="Times New Roman" w:hAnsi="Times New Roman"/>
          <w:sz w:val="13"/>
          <w:szCs w:val="13"/>
          <w:color w:val="0000FF"/>
        </w:rPr>
        <w:tab/>
      </w:r>
      <w:hyperlink r:id="rId147">
        <w:r>
          <w:rPr>
            <w:rFonts w:ascii="Times New Roman" w:cs="Times New Roman" w:eastAsia="Times New Roman" w:hAnsi="Times New Roman"/>
            <w:sz w:val="13"/>
            <w:szCs w:val="13"/>
            <w:color w:val="0000FF"/>
          </w:rPr>
          <w:t>Incentive Fee Letter Agreement, dated April 1, 2019, by and between the Company and BC Partners Management LLC (incorporated by reference to Exhibit 10.2 of the Current Report</w:t>
        </w:r>
      </w:hyperlink>
      <w:r>
        <w:rPr>
          <w:rFonts w:ascii="Times New Roman" w:cs="Times New Roman" w:eastAsia="Times New Roman" w:hAnsi="Times New Roman"/>
          <w:sz w:val="13"/>
          <w:szCs w:val="13"/>
          <w:color w:val="0000FF"/>
        </w:rPr>
        <w:t xml:space="preserve"> </w:t>
      </w:r>
      <w:hyperlink r:id="rId147">
        <w:r>
          <w:rPr>
            <w:rFonts w:ascii="Times New Roman" w:cs="Times New Roman" w:eastAsia="Times New Roman" w:hAnsi="Times New Roman"/>
            <w:sz w:val="13"/>
            <w:szCs w:val="13"/>
            <w:color w:val="0000FF"/>
          </w:rPr>
          <w:t>on Form 8-K filed on April 2,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-134620</wp:posOffset>
            </wp:positionV>
            <wp:extent cx="6196965"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6196965" cy="7620"/>
                    </a:xfrm>
                    <a:prstGeom prst="rect">
                      <a:avLst/>
                    </a:prstGeom>
                    <a:noFill/>
                  </pic:spPr>
                </pic:pic>
              </a:graphicData>
            </a:graphic>
          </wp:anchor>
        </w:drawing>
        <w:drawing>
          <wp:anchor simplePos="0" relativeHeight="251657728" behindDoc="1" locked="0" layoutInCell="0" allowOverlap="1">
            <wp:simplePos x="0" y="0"/>
            <wp:positionH relativeFrom="column">
              <wp:posOffset>420370</wp:posOffset>
            </wp:positionH>
            <wp:positionV relativeFrom="paragraph">
              <wp:posOffset>-35560</wp:posOffset>
            </wp:positionV>
            <wp:extent cx="1235075"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1235075" cy="7620"/>
                    </a:xfrm>
                    <a:prstGeom prst="rect">
                      <a:avLst/>
                    </a:prstGeom>
                    <a:noFill/>
                  </pic:spPr>
                </pic:pic>
              </a:graphicData>
            </a:graphic>
          </wp:anchor>
        </w:drawing>
      </w:r>
    </w:p>
    <w:p>
      <w:pPr>
        <w:ind w:left="660" w:right="100" w:hanging="359"/>
        <w:spacing w:after="0" w:line="286" w:lineRule="auto"/>
        <w:tabs>
          <w:tab w:leader="none" w:pos="640" w:val="left"/>
        </w:tabs>
        <w:rPr>
          <w:rFonts w:ascii="Times New Roman" w:cs="Times New Roman" w:eastAsia="Times New Roman" w:hAnsi="Times New Roman"/>
          <w:sz w:val="13"/>
          <w:szCs w:val="13"/>
          <w:color w:val="0000FF"/>
        </w:rPr>
      </w:pPr>
      <w:r>
        <w:rPr>
          <w:rFonts w:ascii="Times New Roman" w:cs="Times New Roman" w:eastAsia="Times New Roman" w:hAnsi="Times New Roman"/>
          <w:sz w:val="13"/>
          <w:szCs w:val="13"/>
          <w:color w:val="auto"/>
        </w:rPr>
        <w:t>10.3</w:t>
      </w:r>
      <w:r>
        <w:rPr>
          <w:rFonts w:ascii="Times New Roman" w:cs="Times New Roman" w:eastAsia="Times New Roman" w:hAnsi="Times New Roman"/>
          <w:sz w:val="13"/>
          <w:szCs w:val="13"/>
          <w:color w:val="0000FF"/>
        </w:rPr>
        <w:tab/>
      </w:r>
      <w:hyperlink r:id="rId150">
        <w:r>
          <w:rPr>
            <w:rFonts w:ascii="Times New Roman" w:cs="Times New Roman" w:eastAsia="Times New Roman" w:hAnsi="Times New Roman"/>
            <w:sz w:val="13"/>
            <w:szCs w:val="13"/>
            <w:color w:val="0000FF"/>
          </w:rPr>
          <w:t>Administration Agreement, dated April 1, 2019, by and between the Company and BC Partners Management LLC (incorporated by reference to Exhibit 10.3 of the Current Report on</w:t>
        </w:r>
      </w:hyperlink>
      <w:r>
        <w:rPr>
          <w:rFonts w:ascii="Times New Roman" w:cs="Times New Roman" w:eastAsia="Times New Roman" w:hAnsi="Times New Roman"/>
          <w:sz w:val="13"/>
          <w:szCs w:val="13"/>
          <w:color w:val="0000FF"/>
        </w:rPr>
        <w:t xml:space="preserve"> </w:t>
      </w:r>
      <w:hyperlink r:id="rId150">
        <w:r>
          <w:rPr>
            <w:rFonts w:ascii="Times New Roman" w:cs="Times New Roman" w:eastAsia="Times New Roman" w:hAnsi="Times New Roman"/>
            <w:sz w:val="13"/>
            <w:szCs w:val="13"/>
            <w:color w:val="0000FF"/>
          </w:rPr>
          <w:t>Form 8-K filed on April 2,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-134620</wp:posOffset>
            </wp:positionV>
            <wp:extent cx="6136005"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1">
                      <a:extLst>
                        <a:ext uri="{28A0092B-C50C-407E-A947-70E740481C1C}"/>
                      </a:extLst>
                    </a:blip>
                    <a:srcRect/>
                    <a:stretch>
                      <a:fillRect/>
                    </a:stretch>
                  </pic:blipFill>
                  <pic:spPr bwMode="auto">
                    <a:xfrm>
                      <a:off x="0" y="0"/>
                      <a:ext cx="6136005" cy="7620"/>
                    </a:xfrm>
                    <a:prstGeom prst="rect">
                      <a:avLst/>
                    </a:prstGeom>
                    <a:noFill/>
                  </pic:spPr>
                </pic:pic>
              </a:graphicData>
            </a:graphic>
          </wp:anchor>
        </w:drawing>
        <w:drawing>
          <wp:anchor simplePos="0" relativeHeight="251657728" behindDoc="1" locked="0" layoutInCell="0" allowOverlap="1">
            <wp:simplePos x="0" y="0"/>
            <wp:positionH relativeFrom="column">
              <wp:posOffset>420370</wp:posOffset>
            </wp:positionH>
            <wp:positionV relativeFrom="paragraph">
              <wp:posOffset>-35560</wp:posOffset>
            </wp:positionV>
            <wp:extent cx="112776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2">
                      <a:extLst>
                        <a:ext uri="{28A0092B-C50C-407E-A947-70E740481C1C}"/>
                      </a:extLst>
                    </a:blip>
                    <a:srcRect/>
                    <a:stretch>
                      <a:fillRect/>
                    </a:stretch>
                  </pic:blipFill>
                  <pic:spPr bwMode="auto">
                    <a:xfrm>
                      <a:off x="0" y="0"/>
                      <a:ext cx="1127760" cy="7620"/>
                    </a:xfrm>
                    <a:prstGeom prst="rect">
                      <a:avLst/>
                    </a:prstGeom>
                    <a:noFill/>
                  </pic:spPr>
                </pic:pic>
              </a:graphicData>
            </a:graphic>
          </wp:anchor>
        </w:drawing>
      </w:r>
    </w:p>
    <w:p>
      <w:pPr>
        <w:ind w:left="660" w:right="120" w:hanging="359"/>
        <w:spacing w:after="0" w:line="258" w:lineRule="auto"/>
        <w:tabs>
          <w:tab w:leader="none" w:pos="640" w:val="left"/>
        </w:tabs>
        <w:rPr>
          <w:rFonts w:ascii="Times New Roman" w:cs="Times New Roman" w:eastAsia="Times New Roman" w:hAnsi="Times New Roman"/>
          <w:sz w:val="13"/>
          <w:szCs w:val="13"/>
          <w:color w:val="0000FF"/>
        </w:rPr>
      </w:pPr>
      <w:r>
        <w:rPr>
          <w:rFonts w:ascii="Times New Roman" w:cs="Times New Roman" w:eastAsia="Times New Roman" w:hAnsi="Times New Roman"/>
          <w:sz w:val="13"/>
          <w:szCs w:val="13"/>
          <w:color w:val="auto"/>
        </w:rPr>
        <w:t>10.4</w:t>
      </w:r>
      <w:r>
        <w:rPr>
          <w:rFonts w:ascii="Times New Roman" w:cs="Times New Roman" w:eastAsia="Times New Roman" w:hAnsi="Times New Roman"/>
          <w:sz w:val="13"/>
          <w:szCs w:val="13"/>
          <w:color w:val="0000FF"/>
        </w:rPr>
        <w:tab/>
      </w:r>
      <w:hyperlink r:id="rId153">
        <w:r>
          <w:rPr>
            <w:rFonts w:ascii="Times New Roman" w:cs="Times New Roman" w:eastAsia="Times New Roman" w:hAnsi="Times New Roman"/>
            <w:sz w:val="13"/>
            <w:szCs w:val="13"/>
            <w:color w:val="0000FF"/>
          </w:rPr>
          <w:t>Loan and Security Agreement dated as of December 18, 2019 among Great Lakes Portman Ridge Funding LLC, The Lenders Party Hereto, The Collateral Administrator, Collateral</w:t>
        </w:r>
      </w:hyperlink>
      <w:r>
        <w:rPr>
          <w:rFonts w:ascii="Times New Roman" w:cs="Times New Roman" w:eastAsia="Times New Roman" w:hAnsi="Times New Roman"/>
          <w:sz w:val="13"/>
          <w:szCs w:val="13"/>
          <w:color w:val="0000FF"/>
        </w:rPr>
        <w:t xml:space="preserve"> </w:t>
      </w:r>
      <w:hyperlink r:id="rId153">
        <w:r>
          <w:rPr>
            <w:rFonts w:ascii="Times New Roman" w:cs="Times New Roman" w:eastAsia="Times New Roman" w:hAnsi="Times New Roman"/>
            <w:sz w:val="13"/>
            <w:szCs w:val="13"/>
            <w:color w:val="0000FF"/>
          </w:rPr>
          <w:t>Agent ad Securities Intermediary Party Hereto, JPMorgan Chase Bank, National Association, as Administrative Agent and Portman Ridge Finance Corporation, as Portfolio Manager</w:t>
        </w:r>
      </w:hyperlink>
      <w:r>
        <w:rPr>
          <w:rFonts w:ascii="Times New Roman" w:cs="Times New Roman" w:eastAsia="Times New Roman" w:hAnsi="Times New Roman"/>
          <w:sz w:val="13"/>
          <w:szCs w:val="13"/>
          <w:color w:val="0000FF"/>
        </w:rPr>
        <w:t xml:space="preserve"> </w:t>
      </w:r>
      <w:hyperlink r:id="rId153">
        <w:r>
          <w:rPr>
            <w:rFonts w:ascii="Times New Roman" w:cs="Times New Roman" w:eastAsia="Times New Roman" w:hAnsi="Times New Roman"/>
            <w:sz w:val="13"/>
            <w:szCs w:val="13"/>
            <w:color w:val="0000FF"/>
          </w:rPr>
          <w:t>(incorporated by reference to Exhibit 10.1 of the Current Report on Form 8-K filed on December 23, 2019).</w:t>
        </w:r>
      </w:hyperlink>
    </w:p>
    <w:p>
      <w:pPr>
        <w:spacing w:after="0" w:line="20" w:lineRule="exact"/>
        <w:rPr>
          <w:rFonts w:ascii="Times New Roman" w:cs="Times New Roman" w:eastAsia="Times New Roman" w:hAnsi="Times New Roman"/>
          <w:sz w:val="13"/>
          <w:szCs w:val="13"/>
          <w:color w:val="0000FF"/>
        </w:rPr>
      </w:pPr>
      <w:r>
        <w:rPr>
          <w:rFonts w:ascii="Times New Roman" w:cs="Times New Roman" w:eastAsia="Times New Roman" w:hAnsi="Times New Roman"/>
          <w:sz w:val="13"/>
          <w:szCs w:val="13"/>
          <w:color w:val="0000FF"/>
        </w:rPr>
        <w:drawing>
          <wp:anchor simplePos="0" relativeHeight="251657728" behindDoc="1" locked="0" layoutInCell="0" allowOverlap="1">
            <wp:simplePos x="0" y="0"/>
            <wp:positionH relativeFrom="column">
              <wp:posOffset>420370</wp:posOffset>
            </wp:positionH>
            <wp:positionV relativeFrom="paragraph">
              <wp:posOffset>-213995</wp:posOffset>
            </wp:positionV>
            <wp:extent cx="6067425"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4">
                      <a:extLst>
                        <a:ext uri="{28A0092B-C50C-407E-A947-70E740481C1C}"/>
                      </a:extLst>
                    </a:blip>
                    <a:srcRect/>
                    <a:stretch>
                      <a:fillRect/>
                    </a:stretch>
                  </pic:blipFill>
                  <pic:spPr bwMode="auto">
                    <a:xfrm>
                      <a:off x="0" y="0"/>
                      <a:ext cx="6067425" cy="7620"/>
                    </a:xfrm>
                    <a:prstGeom prst="rect">
                      <a:avLst/>
                    </a:prstGeom>
                    <a:noFill/>
                  </pic:spPr>
                </pic:pic>
              </a:graphicData>
            </a:graphic>
          </wp:anchor>
        </w:drawing>
        <w:drawing>
          <wp:anchor simplePos="0" relativeHeight="251657728" behindDoc="1" locked="0" layoutInCell="0" allowOverlap="1">
            <wp:simplePos x="0" y="0"/>
            <wp:positionH relativeFrom="column">
              <wp:posOffset>420370</wp:posOffset>
            </wp:positionH>
            <wp:positionV relativeFrom="paragraph">
              <wp:posOffset>-114935</wp:posOffset>
            </wp:positionV>
            <wp:extent cx="6120765"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5">
                      <a:extLst>
                        <a:ext uri="{28A0092B-C50C-407E-A947-70E740481C1C}"/>
                      </a:extLst>
                    </a:blip>
                    <a:srcRect/>
                    <a:stretch>
                      <a:fillRect/>
                    </a:stretch>
                  </pic:blipFill>
                  <pic:spPr bwMode="auto">
                    <a:xfrm>
                      <a:off x="0" y="0"/>
                      <a:ext cx="6120765" cy="7620"/>
                    </a:xfrm>
                    <a:prstGeom prst="rect">
                      <a:avLst/>
                    </a:prstGeom>
                    <a:noFill/>
                  </pic:spPr>
                </pic:pic>
              </a:graphicData>
            </a:graphic>
          </wp:anchor>
        </w:drawing>
        <w:drawing>
          <wp:anchor simplePos="0" relativeHeight="251657728" behindDoc="1" locked="0" layoutInCell="0" allowOverlap="1">
            <wp:simplePos x="0" y="0"/>
            <wp:positionH relativeFrom="column">
              <wp:posOffset>420370</wp:posOffset>
            </wp:positionH>
            <wp:positionV relativeFrom="paragraph">
              <wp:posOffset>-15875</wp:posOffset>
            </wp:positionV>
            <wp:extent cx="361315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6">
                      <a:extLst>
                        <a:ext uri="{28A0092B-C50C-407E-A947-70E740481C1C}"/>
                      </a:extLst>
                    </a:blip>
                    <a:srcRect/>
                    <a:stretch>
                      <a:fillRect/>
                    </a:stretch>
                  </pic:blipFill>
                  <pic:spPr bwMode="auto">
                    <a:xfrm>
                      <a:off x="0" y="0"/>
                      <a:ext cx="3613150" cy="762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1"/>
          <w:szCs w:val="11"/>
          <w:color w:val="auto"/>
        </w:rPr>
        <w:t>E-1</w:t>
      </w:r>
    </w:p>
    <w:p>
      <w:pPr>
        <w:spacing w:after="0" w:line="20" w:lineRule="exact"/>
        <w:rPr>
          <w:rFonts w:ascii="Times New Roman" w:cs="Times New Roman" w:eastAsia="Times New Roman" w:hAnsi="Times New Roman"/>
          <w:sz w:val="13"/>
          <w:szCs w:val="13"/>
          <w:color w:val="0000FF"/>
        </w:rPr>
      </w:pPr>
      <w:r>
        <w:rPr>
          <w:rFonts w:ascii="Times New Roman" w:cs="Times New Roman" w:eastAsia="Times New Roman" w:hAnsi="Times New Roman"/>
          <w:sz w:val="13"/>
          <w:szCs w:val="13"/>
          <w:color w:val="0000FF"/>
        </w:rPr>
        <w:drawing>
          <wp:anchor simplePos="0" relativeHeight="251657728" behindDoc="1" locked="0" layoutInCell="0" allowOverlap="1">
            <wp:simplePos x="0" y="0"/>
            <wp:positionH relativeFrom="column">
              <wp:posOffset>-71755</wp:posOffset>
            </wp:positionH>
            <wp:positionV relativeFrom="paragraph">
              <wp:posOffset>415290</wp:posOffset>
            </wp:positionV>
            <wp:extent cx="6732905" cy="406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80"/>
          </w:cols>
          <w:pgMar w:left="760" w:top="1440" w:right="760" w:bottom="1440" w:gutter="0" w:footer="0" w:header="0"/>
          <w:type w:val="continuous"/>
        </w:sectPr>
      </w:pPr>
    </w:p>
    <w:bookmarkStart w:id="100" w:name="page101"/>
    <w:bookmarkEnd w:id="100"/>
    <w:tbl>
      <w:tblPr>
        <w:tblLayout w:type="fixed"/>
        <w:tblInd w:w="0" w:type="dxa"/>
        <w:tblCellMar>
          <w:top w:w="0" w:type="dxa"/>
          <w:left w:w="0" w:type="dxa"/>
          <w:bottom w:w="0" w:type="dxa"/>
          <w:right w:w="0" w:type="dxa"/>
        </w:tblCellMar>
      </w:tblPr>
      <w:tr>
        <w:trPr>
          <w:trHeight w:val="149"/>
        </w:trPr>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10.5</w:t>
            </w:r>
          </w:p>
        </w:tc>
        <w:tc>
          <w:tcPr>
            <w:tcW w:w="9760" w:type="dxa"/>
            <w:vAlign w:val="bottom"/>
            <w:tcBorders>
              <w:bottom w:val="single" w:sz="8" w:color="0000EE"/>
            </w:tcBorders>
            <w:gridSpan w:val="15"/>
          </w:tcPr>
          <w:p>
            <w:pPr>
              <w:spacing w:after="0"/>
              <w:rPr>
                <w:rFonts w:ascii="Times New Roman" w:cs="Times New Roman" w:eastAsia="Times New Roman" w:hAnsi="Times New Roman"/>
                <w:sz w:val="13"/>
                <w:szCs w:val="13"/>
                <w:color w:val="0000FF"/>
              </w:rPr>
            </w:pPr>
            <w:hyperlink r:id="rId158">
              <w:r>
                <w:rPr>
                  <w:rFonts w:ascii="Times New Roman" w:cs="Times New Roman" w:eastAsia="Times New Roman" w:hAnsi="Times New Roman"/>
                  <w:sz w:val="13"/>
                  <w:szCs w:val="13"/>
                  <w:color w:val="0000FF"/>
                </w:rPr>
                <w:t>First Amendment to Loan and Security Agreement dated as of April 29, 2022 among Great Lakes Portman Ridge Funding LLC, the Lenders Party thereto, the Collateral Administrator,</w:t>
              </w:r>
            </w:hyperlink>
          </w:p>
        </w:tc>
        <w:tc>
          <w:tcPr>
            <w:tcW w:w="40" w:type="dxa"/>
            <w:vAlign w:val="bottom"/>
          </w:tcPr>
          <w:p>
            <w:pPr>
              <w:spacing w:after="0"/>
              <w:rPr>
                <w:sz w:val="12"/>
                <w:szCs w:val="12"/>
                <w:color w:val="auto"/>
              </w:rPr>
            </w:pPr>
          </w:p>
        </w:tc>
      </w:tr>
      <w:tr>
        <w:trPr>
          <w:trHeight w:val="136"/>
        </w:trPr>
        <w:tc>
          <w:tcPr>
            <w:tcW w:w="620" w:type="dxa"/>
            <w:vAlign w:val="bottom"/>
          </w:tcPr>
          <w:p>
            <w:pPr>
              <w:spacing w:after="0"/>
              <w:rPr>
                <w:sz w:val="11"/>
                <w:szCs w:val="11"/>
                <w:color w:val="auto"/>
              </w:rPr>
            </w:pPr>
          </w:p>
        </w:tc>
        <w:tc>
          <w:tcPr>
            <w:tcW w:w="9800" w:type="dxa"/>
            <w:vAlign w:val="bottom"/>
            <w:tcBorders>
              <w:bottom w:val="single" w:sz="8" w:color="0000EE"/>
            </w:tcBorders>
            <w:gridSpan w:val="16"/>
          </w:tcPr>
          <w:p>
            <w:pPr>
              <w:spacing w:after="0" w:line="136" w:lineRule="exact"/>
              <w:rPr>
                <w:rFonts w:ascii="Times New Roman" w:cs="Times New Roman" w:eastAsia="Times New Roman" w:hAnsi="Times New Roman"/>
                <w:sz w:val="13"/>
                <w:szCs w:val="13"/>
                <w:color w:val="0000FF"/>
              </w:rPr>
            </w:pPr>
            <w:hyperlink r:id="rId158">
              <w:r>
                <w:rPr>
                  <w:rFonts w:ascii="Times New Roman" w:cs="Times New Roman" w:eastAsia="Times New Roman" w:hAnsi="Times New Roman"/>
                  <w:sz w:val="13"/>
                  <w:szCs w:val="13"/>
                  <w:color w:val="0000FF"/>
                </w:rPr>
                <w:t>Collateral Agent, and Securities Intermediary Party thereto, JPMorgan Chase Bank, National Association, as Administrative Agent and Portman Ridge Finance Corporation, as Portfolio</w:t>
              </w:r>
            </w:hyperlink>
          </w:p>
        </w:tc>
      </w:tr>
      <w:tr>
        <w:trPr>
          <w:trHeight w:val="136"/>
        </w:trPr>
        <w:tc>
          <w:tcPr>
            <w:tcW w:w="620" w:type="dxa"/>
            <w:vAlign w:val="bottom"/>
          </w:tcPr>
          <w:p>
            <w:pPr>
              <w:spacing w:after="0"/>
              <w:rPr>
                <w:sz w:val="11"/>
                <w:szCs w:val="11"/>
                <w:color w:val="auto"/>
              </w:rPr>
            </w:pPr>
          </w:p>
        </w:tc>
        <w:tc>
          <w:tcPr>
            <w:tcW w:w="5840" w:type="dxa"/>
            <w:vAlign w:val="bottom"/>
            <w:tcBorders>
              <w:bottom w:val="single" w:sz="8" w:color="0000EE"/>
            </w:tcBorders>
            <w:gridSpan w:val="4"/>
          </w:tcPr>
          <w:p>
            <w:pPr>
              <w:spacing w:after="0" w:line="136" w:lineRule="exact"/>
              <w:rPr>
                <w:rFonts w:ascii="Times New Roman" w:cs="Times New Roman" w:eastAsia="Times New Roman" w:hAnsi="Times New Roman"/>
                <w:sz w:val="13"/>
                <w:szCs w:val="13"/>
                <w:color w:val="0000FF"/>
              </w:rPr>
            </w:pPr>
            <w:hyperlink r:id="rId158">
              <w:r>
                <w:rPr>
                  <w:rFonts w:ascii="Times New Roman" w:cs="Times New Roman" w:eastAsia="Times New Roman" w:hAnsi="Times New Roman"/>
                  <w:sz w:val="13"/>
                  <w:szCs w:val="13"/>
                  <w:color w:val="0000FF"/>
                </w:rPr>
                <w:t>Manager (incorporated by reference to Exhibit 10.1 of the Current Report on Form 8-K filed on May 5, 2022).</w:t>
              </w:r>
            </w:hyperlink>
          </w:p>
        </w:tc>
        <w:tc>
          <w:tcPr>
            <w:tcW w:w="3960" w:type="dxa"/>
            <w:vAlign w:val="bottom"/>
            <w:gridSpan w:val="12"/>
          </w:tcPr>
          <w:p>
            <w:pPr>
              <w:spacing w:after="0"/>
              <w:rPr>
                <w:sz w:val="11"/>
                <w:szCs w:val="11"/>
                <w:color w:val="auto"/>
              </w:rPr>
            </w:pPr>
          </w:p>
        </w:tc>
      </w:tr>
      <w:tr>
        <w:trPr>
          <w:trHeight w:val="184"/>
        </w:trPr>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10.6</w:t>
            </w:r>
          </w:p>
        </w:tc>
        <w:tc>
          <w:tcPr>
            <w:tcW w:w="9740" w:type="dxa"/>
            <w:vAlign w:val="bottom"/>
            <w:tcBorders>
              <w:bottom w:val="single" w:sz="8" w:color="0000EE"/>
            </w:tcBorders>
            <w:gridSpan w:val="14"/>
          </w:tcPr>
          <w:p>
            <w:pPr>
              <w:spacing w:after="0"/>
              <w:rPr>
                <w:rFonts w:ascii="Times New Roman" w:cs="Times New Roman" w:eastAsia="Times New Roman" w:hAnsi="Times New Roman"/>
                <w:sz w:val="13"/>
                <w:szCs w:val="13"/>
                <w:color w:val="0000FF"/>
              </w:rPr>
            </w:pPr>
            <w:hyperlink r:id="rId159">
              <w:r>
                <w:rPr>
                  <w:rFonts w:ascii="Times New Roman" w:cs="Times New Roman" w:eastAsia="Times New Roman" w:hAnsi="Times New Roman"/>
                  <w:sz w:val="13"/>
                  <w:szCs w:val="13"/>
                  <w:color w:val="0000FF"/>
                </w:rPr>
                <w:t>Loan and Security Agreement Conformed Through the Second Amendment dated as of July 23, 2024 among Great Lakes Portman Ridge Funding LLC, The Lenders Party Hereto. The</w:t>
              </w:r>
            </w:hyperlink>
          </w:p>
        </w:tc>
        <w:tc>
          <w:tcPr>
            <w:tcW w:w="60" w:type="dxa"/>
            <w:vAlign w:val="bottom"/>
            <w:gridSpan w:val="2"/>
          </w:tcPr>
          <w:p>
            <w:pPr>
              <w:spacing w:after="0"/>
              <w:rPr>
                <w:sz w:val="16"/>
                <w:szCs w:val="16"/>
                <w:color w:val="auto"/>
              </w:rPr>
            </w:pPr>
          </w:p>
        </w:tc>
      </w:tr>
      <w:tr>
        <w:trPr>
          <w:trHeight w:val="136"/>
        </w:trPr>
        <w:tc>
          <w:tcPr>
            <w:tcW w:w="620" w:type="dxa"/>
            <w:vAlign w:val="bottom"/>
          </w:tcPr>
          <w:p>
            <w:pPr>
              <w:spacing w:after="0"/>
              <w:rPr>
                <w:sz w:val="11"/>
                <w:szCs w:val="11"/>
                <w:color w:val="auto"/>
              </w:rPr>
            </w:pPr>
          </w:p>
        </w:tc>
        <w:tc>
          <w:tcPr>
            <w:tcW w:w="9720" w:type="dxa"/>
            <w:vAlign w:val="bottom"/>
            <w:tcBorders>
              <w:bottom w:val="single" w:sz="8" w:color="0000EE"/>
            </w:tcBorders>
            <w:gridSpan w:val="13"/>
          </w:tcPr>
          <w:p>
            <w:pPr>
              <w:spacing w:after="0" w:line="136" w:lineRule="exact"/>
              <w:rPr>
                <w:rFonts w:ascii="Times New Roman" w:cs="Times New Roman" w:eastAsia="Times New Roman" w:hAnsi="Times New Roman"/>
                <w:sz w:val="13"/>
                <w:szCs w:val="13"/>
                <w:color w:val="0000FF"/>
              </w:rPr>
            </w:pPr>
            <w:hyperlink r:id="rId159">
              <w:r>
                <w:rPr>
                  <w:rFonts w:ascii="Times New Roman" w:cs="Times New Roman" w:eastAsia="Times New Roman" w:hAnsi="Times New Roman"/>
                  <w:sz w:val="13"/>
                  <w:szCs w:val="13"/>
                  <w:color w:val="0000FF"/>
                </w:rPr>
                <w:t>Collateral Administrator, Collateral Agent ad Securities Intermediary Party Hereto, JPMorgan Chase Bank, National Association, as Administrative Agent and Portman Ridge Finance</w:t>
              </w:r>
            </w:hyperlink>
          </w:p>
        </w:tc>
        <w:tc>
          <w:tcPr>
            <w:tcW w:w="80" w:type="dxa"/>
            <w:vAlign w:val="bottom"/>
            <w:gridSpan w:val="3"/>
          </w:tcPr>
          <w:p>
            <w:pPr>
              <w:spacing w:after="0"/>
              <w:rPr>
                <w:sz w:val="11"/>
                <w:szCs w:val="11"/>
                <w:color w:val="auto"/>
              </w:rPr>
            </w:pPr>
          </w:p>
        </w:tc>
      </w:tr>
      <w:tr>
        <w:trPr>
          <w:trHeight w:val="136"/>
        </w:trPr>
        <w:tc>
          <w:tcPr>
            <w:tcW w:w="620" w:type="dxa"/>
            <w:vAlign w:val="bottom"/>
          </w:tcPr>
          <w:p>
            <w:pPr>
              <w:spacing w:after="0"/>
              <w:rPr>
                <w:sz w:val="11"/>
                <w:szCs w:val="11"/>
                <w:color w:val="auto"/>
              </w:rPr>
            </w:pPr>
          </w:p>
        </w:tc>
        <w:tc>
          <w:tcPr>
            <w:tcW w:w="9800" w:type="dxa"/>
            <w:vAlign w:val="bottom"/>
            <w:gridSpan w:val="16"/>
          </w:tcPr>
          <w:p>
            <w:pPr>
              <w:spacing w:after="0" w:line="136" w:lineRule="exact"/>
              <w:rPr>
                <w:rFonts w:ascii="Times New Roman" w:cs="Times New Roman" w:eastAsia="Times New Roman" w:hAnsi="Times New Roman"/>
                <w:sz w:val="13"/>
                <w:szCs w:val="13"/>
                <w:color w:val="0000FF"/>
              </w:rPr>
            </w:pPr>
            <w:hyperlink r:id="rId159">
              <w:r>
                <w:rPr>
                  <w:rFonts w:ascii="Times New Roman" w:cs="Times New Roman" w:eastAsia="Times New Roman" w:hAnsi="Times New Roman"/>
                  <w:sz w:val="13"/>
                  <w:szCs w:val="13"/>
                  <w:color w:val="0000FF"/>
                </w:rPr>
                <w:t>Corporation, as Portfolio Manager (incorporated by reference to Exhibit 10.1 of the Current Report on Form 8-K filed on July 29, 2024).</w:t>
              </w:r>
            </w:hyperlink>
          </w:p>
        </w:tc>
      </w:tr>
      <w:tr>
        <w:trPr>
          <w:trHeight w:val="184"/>
        </w:trPr>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11.1</w:t>
            </w:r>
          </w:p>
        </w:tc>
        <w:tc>
          <w:tcPr>
            <w:tcW w:w="622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3"/>
                <w:szCs w:val="13"/>
                <w:color w:val="0000FF"/>
              </w:rPr>
            </w:pPr>
            <w:hyperlink w:anchor="page79">
              <w:r>
                <w:rPr>
                  <w:rFonts w:ascii="Times New Roman" w:cs="Times New Roman" w:eastAsia="Times New Roman" w:hAnsi="Times New Roman"/>
                  <w:sz w:val="13"/>
                  <w:szCs w:val="13"/>
                  <w:color w:val="0000FF"/>
                </w:rPr>
                <w:t>Computation of Per Share Earnings (included in the notes to the audited financial statements contained in this report)</w:t>
              </w:r>
            </w:hyperlink>
            <w:r>
              <w:rPr>
                <w:rFonts w:ascii="Times New Roman" w:cs="Times New Roman" w:eastAsia="Times New Roman" w:hAnsi="Times New Roman"/>
                <w:sz w:val="13"/>
                <w:szCs w:val="13"/>
                <w:color w:val="0000FF"/>
              </w:rPr>
              <w:t>.</w:t>
            </w:r>
          </w:p>
        </w:tc>
        <w:tc>
          <w:tcPr>
            <w:tcW w:w="1000" w:type="dxa"/>
            <w:vAlign w:val="bottom"/>
            <w:tcBorders>
              <w:top w:val="single" w:sz="8" w:color="0000EE"/>
            </w:tcBorders>
            <w:gridSpan w:val="2"/>
          </w:tcPr>
          <w:p>
            <w:pPr>
              <w:spacing w:after="0"/>
              <w:rPr>
                <w:sz w:val="16"/>
                <w:szCs w:val="16"/>
                <w:color w:val="auto"/>
              </w:rPr>
            </w:pPr>
          </w:p>
        </w:tc>
        <w:tc>
          <w:tcPr>
            <w:tcW w:w="2580" w:type="dxa"/>
            <w:vAlign w:val="bottom"/>
            <w:gridSpan w:val="9"/>
          </w:tcPr>
          <w:p>
            <w:pPr>
              <w:spacing w:after="0"/>
              <w:rPr>
                <w:sz w:val="16"/>
                <w:szCs w:val="16"/>
                <w:color w:val="auto"/>
              </w:rPr>
            </w:pPr>
          </w:p>
        </w:tc>
      </w:tr>
      <w:tr>
        <w:trPr>
          <w:trHeight w:val="184"/>
        </w:trPr>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14.1</w:t>
            </w:r>
          </w:p>
        </w:tc>
        <w:tc>
          <w:tcPr>
            <w:tcW w:w="9280" w:type="dxa"/>
            <w:vAlign w:val="bottom"/>
            <w:tcBorders>
              <w:bottom w:val="single" w:sz="8" w:color="0000EE"/>
            </w:tcBorders>
            <w:gridSpan w:val="9"/>
          </w:tcPr>
          <w:p>
            <w:pPr>
              <w:spacing w:after="0"/>
              <w:rPr>
                <w:rFonts w:ascii="Times New Roman" w:cs="Times New Roman" w:eastAsia="Times New Roman" w:hAnsi="Times New Roman"/>
                <w:sz w:val="13"/>
                <w:szCs w:val="13"/>
                <w:color w:val="0000FF"/>
              </w:rPr>
            </w:pPr>
            <w:hyperlink r:id="rId160">
              <w:r>
                <w:rPr>
                  <w:rFonts w:ascii="Times New Roman" w:cs="Times New Roman" w:eastAsia="Times New Roman" w:hAnsi="Times New Roman"/>
                  <w:sz w:val="13"/>
                  <w:szCs w:val="13"/>
                  <w:color w:val="0000FF"/>
                </w:rPr>
                <w:t>Code of Ethics (incorporated by reference to Exhibit (r) of Pre-Effective Amendment No. 1 to the Company’s Registration Statement on Form N-2, filed on February 4, 2022).</w:t>
              </w:r>
            </w:hyperlink>
          </w:p>
        </w:tc>
        <w:tc>
          <w:tcPr>
            <w:tcW w:w="520" w:type="dxa"/>
            <w:vAlign w:val="bottom"/>
            <w:gridSpan w:val="7"/>
          </w:tcPr>
          <w:p>
            <w:pPr>
              <w:spacing w:after="0"/>
              <w:rPr>
                <w:sz w:val="16"/>
                <w:szCs w:val="16"/>
                <w:color w:val="auto"/>
              </w:rPr>
            </w:pPr>
          </w:p>
        </w:tc>
      </w:tr>
      <w:tr>
        <w:trPr>
          <w:trHeight w:val="184"/>
        </w:trPr>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19.1</w:t>
            </w:r>
          </w:p>
        </w:tc>
        <w:tc>
          <w:tcPr>
            <w:tcW w:w="9800" w:type="dxa"/>
            <w:vAlign w:val="bottom"/>
            <w:gridSpan w:val="16"/>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Insider Trading Policy**</w:t>
              </w:r>
            </w:hyperlink>
          </w:p>
        </w:tc>
      </w:tr>
      <w:tr>
        <w:trPr>
          <w:trHeight w:val="184"/>
        </w:trPr>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21.1</w:t>
            </w:r>
          </w:p>
        </w:tc>
        <w:tc>
          <w:tcPr>
            <w:tcW w:w="1160" w:type="dxa"/>
            <w:vAlign w:val="bottom"/>
            <w:tcBorders>
              <w:top w:val="single" w:sz="8" w:color="0000EE"/>
              <w:bottom w:val="single" w:sz="8" w:color="0000EE"/>
            </w:tcBorders>
          </w:tcPr>
          <w:p>
            <w:pPr>
              <w:spacing w:after="0"/>
              <w:rPr>
                <w:rFonts w:ascii="Times New Roman" w:cs="Times New Roman" w:eastAsia="Times New Roman" w:hAnsi="Times New Roman"/>
                <w:sz w:val="13"/>
                <w:szCs w:val="13"/>
                <w:color w:val="0000FF"/>
                <w:w w:val="99"/>
              </w:rPr>
            </w:pPr>
            <w:hyperlink w:anchor="page1">
              <w:r>
                <w:rPr>
                  <w:rFonts w:ascii="Times New Roman" w:cs="Times New Roman" w:eastAsia="Times New Roman" w:hAnsi="Times New Roman"/>
                  <w:sz w:val="13"/>
                  <w:szCs w:val="13"/>
                  <w:color w:val="0000FF"/>
                  <w:w w:val="99"/>
                </w:rPr>
                <w:t>List of Subsidiaries**</w:t>
              </w:r>
            </w:hyperlink>
          </w:p>
        </w:tc>
        <w:tc>
          <w:tcPr>
            <w:tcW w:w="160" w:type="dxa"/>
            <w:vAlign w:val="bottom"/>
            <w:tcBorders>
              <w:top w:val="single" w:sz="8" w:color="0000EE"/>
            </w:tcBorders>
          </w:tcPr>
          <w:p>
            <w:pPr>
              <w:spacing w:after="0"/>
              <w:rPr>
                <w:sz w:val="16"/>
                <w:szCs w:val="16"/>
                <w:color w:val="auto"/>
              </w:rPr>
            </w:pPr>
          </w:p>
        </w:tc>
        <w:tc>
          <w:tcPr>
            <w:tcW w:w="8480" w:type="dxa"/>
            <w:vAlign w:val="bottom"/>
            <w:gridSpan w:val="14"/>
          </w:tcPr>
          <w:p>
            <w:pPr>
              <w:spacing w:after="0"/>
              <w:rPr>
                <w:sz w:val="16"/>
                <w:szCs w:val="16"/>
                <w:color w:val="auto"/>
              </w:rPr>
            </w:pPr>
          </w:p>
        </w:tc>
      </w:tr>
      <w:tr>
        <w:trPr>
          <w:trHeight w:val="184"/>
        </w:trPr>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23.1</w:t>
            </w:r>
          </w:p>
        </w:tc>
        <w:tc>
          <w:tcPr>
            <w:tcW w:w="2000" w:type="dxa"/>
            <w:vAlign w:val="bottom"/>
            <w:tcBorders>
              <w:bottom w:val="single" w:sz="8" w:color="0000EE"/>
            </w:tcBorders>
            <w:gridSpan w:val="3"/>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Consent of Deloitte &amp; Touche LLP**</w:t>
              </w:r>
            </w:hyperlink>
          </w:p>
        </w:tc>
        <w:tc>
          <w:tcPr>
            <w:tcW w:w="7800" w:type="dxa"/>
            <w:vAlign w:val="bottom"/>
            <w:gridSpan w:val="13"/>
          </w:tcPr>
          <w:p>
            <w:pPr>
              <w:spacing w:after="0"/>
              <w:rPr>
                <w:sz w:val="16"/>
                <w:szCs w:val="16"/>
                <w:color w:val="auto"/>
              </w:rPr>
            </w:pPr>
          </w:p>
        </w:tc>
      </w:tr>
      <w:tr>
        <w:trPr>
          <w:trHeight w:val="184"/>
        </w:trPr>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31.1</w:t>
            </w:r>
          </w:p>
        </w:tc>
        <w:tc>
          <w:tcPr>
            <w:tcW w:w="9340" w:type="dxa"/>
            <w:vAlign w:val="bottom"/>
            <w:tcBorders>
              <w:bottom w:val="single" w:sz="8" w:color="0000EE"/>
            </w:tcBorders>
            <w:gridSpan w:val="10"/>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Chief Executive Officer Certification Pursuant to Rule 13a-14 of the Securities Exchange Act of 1934, as adopted pursuant to Section 302 of the Sarbanes-Oxley Act of 2002.**</w:t>
              </w:r>
            </w:hyperlink>
          </w:p>
        </w:tc>
        <w:tc>
          <w:tcPr>
            <w:tcW w:w="460" w:type="dxa"/>
            <w:vAlign w:val="bottom"/>
            <w:gridSpan w:val="6"/>
          </w:tcPr>
          <w:p>
            <w:pPr>
              <w:spacing w:after="0"/>
              <w:rPr>
                <w:sz w:val="16"/>
                <w:szCs w:val="16"/>
                <w:color w:val="auto"/>
              </w:rPr>
            </w:pPr>
          </w:p>
        </w:tc>
      </w:tr>
      <w:tr>
        <w:trPr>
          <w:trHeight w:val="184"/>
        </w:trPr>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31.2</w:t>
            </w:r>
          </w:p>
        </w:tc>
        <w:tc>
          <w:tcPr>
            <w:tcW w:w="9800" w:type="dxa"/>
            <w:vAlign w:val="bottom"/>
            <w:gridSpan w:val="16"/>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Chief Financial Officer Certification Pursuant to Rule 13a-14 of the Securities Act of 1934, as adopted pursuant to Section 302 of the Sarbanes-Oxley Act of 2002.**</w:t>
              </w:r>
            </w:hyperlink>
          </w:p>
        </w:tc>
      </w:tr>
      <w:tr>
        <w:trPr>
          <w:trHeight w:val="20"/>
        </w:trPr>
        <w:tc>
          <w:tcPr>
            <w:tcW w:w="620" w:type="dxa"/>
            <w:vAlign w:val="bottom"/>
          </w:tcPr>
          <w:p>
            <w:pPr>
              <w:spacing w:after="0" w:line="20" w:lineRule="exact"/>
              <w:rPr>
                <w:sz w:val="1"/>
                <w:szCs w:val="1"/>
                <w:color w:val="auto"/>
              </w:rPr>
            </w:pPr>
          </w:p>
        </w:tc>
        <w:tc>
          <w:tcPr>
            <w:tcW w:w="7140" w:type="dxa"/>
            <w:vAlign w:val="bottom"/>
            <w:gridSpan w:val="6"/>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184"/>
        </w:trPr>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32.1</w:t>
            </w:r>
          </w:p>
        </w:tc>
        <w:tc>
          <w:tcPr>
            <w:tcW w:w="9600" w:type="dxa"/>
            <w:vAlign w:val="bottom"/>
            <w:tcBorders>
              <w:bottom w:val="single" w:sz="8" w:color="0000EE"/>
            </w:tcBorders>
            <w:gridSpan w:val="12"/>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Chief Executive Officer Certification pursuant to Section 1350, Chapter 63 of Title 18, United States Code, as adopted pursuant to Section 906 of the Sarbanes-Oxley Act of 2002.**</w:t>
              </w:r>
            </w:hyperlink>
          </w:p>
        </w:tc>
        <w:tc>
          <w:tcPr>
            <w:tcW w:w="200" w:type="dxa"/>
            <w:vAlign w:val="bottom"/>
            <w:gridSpan w:val="4"/>
          </w:tcPr>
          <w:p>
            <w:pPr>
              <w:spacing w:after="0"/>
              <w:rPr>
                <w:sz w:val="16"/>
                <w:szCs w:val="16"/>
                <w:color w:val="auto"/>
              </w:rPr>
            </w:pPr>
          </w:p>
        </w:tc>
      </w:tr>
      <w:tr>
        <w:trPr>
          <w:trHeight w:val="184"/>
        </w:trPr>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32.2</w:t>
            </w:r>
          </w:p>
        </w:tc>
        <w:tc>
          <w:tcPr>
            <w:tcW w:w="9560" w:type="dxa"/>
            <w:vAlign w:val="bottom"/>
            <w:tcBorders>
              <w:bottom w:val="single" w:sz="8" w:color="0000EE"/>
            </w:tcBorders>
            <w:gridSpan w:val="11"/>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Chief Financial Officer Certification pursuant to Section 1350, Chapter 63 of Title 18, United States Code, as adopted pursuant to Section 906 of the Sarbanes-Oxley Act of 2002.**</w:t>
              </w:r>
            </w:hyperlink>
          </w:p>
        </w:tc>
        <w:tc>
          <w:tcPr>
            <w:tcW w:w="240" w:type="dxa"/>
            <w:vAlign w:val="bottom"/>
            <w:gridSpan w:val="5"/>
          </w:tcPr>
          <w:p>
            <w:pPr>
              <w:spacing w:after="0"/>
              <w:rPr>
                <w:sz w:val="16"/>
                <w:szCs w:val="16"/>
                <w:color w:val="auto"/>
              </w:rPr>
            </w:pPr>
          </w:p>
        </w:tc>
      </w:tr>
      <w:tr>
        <w:trPr>
          <w:trHeight w:val="184"/>
        </w:trPr>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97.1</w:t>
            </w:r>
          </w:p>
        </w:tc>
        <w:tc>
          <w:tcPr>
            <w:tcW w:w="7140" w:type="dxa"/>
            <w:vAlign w:val="bottom"/>
            <w:tcBorders>
              <w:bottom w:val="single" w:sz="8" w:color="0000EE"/>
            </w:tcBorders>
            <w:gridSpan w:val="6"/>
          </w:tcPr>
          <w:p>
            <w:pPr>
              <w:spacing w:after="0"/>
              <w:rPr>
                <w:rFonts w:ascii="Times New Roman" w:cs="Times New Roman" w:eastAsia="Times New Roman" w:hAnsi="Times New Roman"/>
                <w:sz w:val="13"/>
                <w:szCs w:val="13"/>
                <w:color w:val="0000FF"/>
              </w:rPr>
            </w:pPr>
            <w:hyperlink r:id="rId161">
              <w:r>
                <w:rPr>
                  <w:rFonts w:ascii="Times New Roman" w:cs="Times New Roman" w:eastAsia="Times New Roman" w:hAnsi="Times New Roman"/>
                  <w:sz w:val="13"/>
                  <w:szCs w:val="13"/>
                  <w:color w:val="0000FF"/>
                </w:rPr>
                <w:t>Clawback Policy (incorporated by reference to Exhibit 97.1 of the Company's Annual Report on Form 10-K, filed on March 13, 2024)</w:t>
              </w:r>
            </w:hyperlink>
            <w:r>
              <w:rPr>
                <w:rFonts w:ascii="Times New Roman" w:cs="Times New Roman" w:eastAsia="Times New Roman" w:hAnsi="Times New Roman"/>
                <w:sz w:val="13"/>
                <w:szCs w:val="13"/>
                <w:color w:val="0000FF"/>
              </w:rPr>
              <w:t>.</w:t>
            </w:r>
          </w:p>
        </w:tc>
        <w:tc>
          <w:tcPr>
            <w:tcW w:w="2660" w:type="dxa"/>
            <w:vAlign w:val="bottom"/>
            <w:gridSpan w:val="10"/>
          </w:tcPr>
          <w:p>
            <w:pPr>
              <w:spacing w:after="0"/>
              <w:rPr>
                <w:sz w:val="16"/>
                <w:szCs w:val="16"/>
                <w:color w:val="auto"/>
              </w:rPr>
            </w:pPr>
          </w:p>
        </w:tc>
      </w:tr>
      <w:tr>
        <w:trPr>
          <w:trHeight w:val="212"/>
        </w:trPr>
        <w:tc>
          <w:tcPr>
            <w:tcW w:w="6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101.INS</w:t>
            </w:r>
          </w:p>
        </w:tc>
        <w:tc>
          <w:tcPr>
            <w:tcW w:w="9800" w:type="dxa"/>
            <w:vAlign w:val="bottom"/>
            <w:gridSpan w:val="16"/>
          </w:tcPr>
          <w:p>
            <w:pPr>
              <w:spacing w:after="0"/>
              <w:rPr>
                <w:sz w:val="20"/>
                <w:szCs w:val="20"/>
                <w:color w:val="auto"/>
              </w:rPr>
            </w:pPr>
            <w:r>
              <w:rPr>
                <w:rFonts w:ascii="Times New Roman" w:cs="Times New Roman" w:eastAsia="Times New Roman" w:hAnsi="Times New Roman"/>
                <w:sz w:val="13"/>
                <w:szCs w:val="13"/>
                <w:color w:val="auto"/>
              </w:rPr>
              <w:t>Inline XBRL Instance Document – the instance document does not appear in the Interactive Data File because XBRL tags are embedded within the Inline XBRL document.</w:t>
            </w:r>
          </w:p>
        </w:tc>
      </w:tr>
      <w:tr>
        <w:trPr>
          <w:trHeight w:val="204"/>
        </w:trPr>
        <w:tc>
          <w:tcPr>
            <w:tcW w:w="6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5"/>
              </w:rPr>
              <w:t>101.SCH</w:t>
            </w:r>
          </w:p>
        </w:tc>
        <w:tc>
          <w:tcPr>
            <w:tcW w:w="9800" w:type="dxa"/>
            <w:vAlign w:val="bottom"/>
            <w:gridSpan w:val="16"/>
          </w:tcPr>
          <w:p>
            <w:pPr>
              <w:spacing w:after="0"/>
              <w:rPr>
                <w:sz w:val="20"/>
                <w:szCs w:val="20"/>
                <w:color w:val="auto"/>
              </w:rPr>
            </w:pPr>
            <w:r>
              <w:rPr>
                <w:rFonts w:ascii="Times New Roman" w:cs="Times New Roman" w:eastAsia="Times New Roman" w:hAnsi="Times New Roman"/>
                <w:sz w:val="13"/>
                <w:szCs w:val="13"/>
                <w:color w:val="auto"/>
              </w:rPr>
              <w:t>Inline XBRL Taxonomy Extension Schema with Embedded Linkbase Documents</w:t>
            </w:r>
          </w:p>
        </w:tc>
      </w:tr>
      <w:tr>
        <w:trPr>
          <w:trHeight w:val="204"/>
        </w:trPr>
        <w:tc>
          <w:tcPr>
            <w:tcW w:w="6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104</w:t>
            </w:r>
          </w:p>
        </w:tc>
        <w:tc>
          <w:tcPr>
            <w:tcW w:w="9800" w:type="dxa"/>
            <w:vAlign w:val="bottom"/>
            <w:gridSpan w:val="16"/>
          </w:tcPr>
          <w:p>
            <w:pPr>
              <w:spacing w:after="0"/>
              <w:rPr>
                <w:sz w:val="20"/>
                <w:szCs w:val="20"/>
                <w:color w:val="auto"/>
              </w:rPr>
            </w:pPr>
            <w:r>
              <w:rPr>
                <w:rFonts w:ascii="Times New Roman" w:cs="Times New Roman" w:eastAsia="Times New Roman" w:hAnsi="Times New Roman"/>
                <w:sz w:val="13"/>
                <w:szCs w:val="13"/>
                <w:color w:val="auto"/>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8"/>
          <w:szCs w:val="8"/>
          <w:color w:val="auto"/>
        </w:rPr>
        <w:t>**</w:t>
      </w:r>
    </w:p>
    <w:p>
      <w:pPr>
        <w:ind w:left="580"/>
        <w:spacing w:after="0"/>
        <w:rPr>
          <w:sz w:val="20"/>
          <w:szCs w:val="20"/>
          <w:color w:val="auto"/>
        </w:rPr>
      </w:pPr>
      <w:r>
        <w:rPr>
          <w:rFonts w:ascii="Times New Roman" w:cs="Times New Roman" w:eastAsia="Times New Roman" w:hAnsi="Times New Roman"/>
          <w:sz w:val="13"/>
          <w:szCs w:val="13"/>
          <w:color w:val="auto"/>
        </w:rPr>
        <w:t>Filed herewith.</w:t>
      </w:r>
    </w:p>
    <w:p>
      <w:pPr>
        <w:spacing w:after="0" w:line="18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1"/>
          <w:szCs w:val="11"/>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417830</wp:posOffset>
            </wp:positionV>
            <wp:extent cx="6732905" cy="406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20"/>
          </w:cols>
          <w:pgMar w:left="800" w:top="1416" w:right="680" w:bottom="1440" w:gutter="0" w:footer="0" w:header="0"/>
        </w:sectPr>
      </w:pPr>
    </w:p>
    <w:bookmarkStart w:id="101" w:name="page102"/>
    <w:bookmarkEnd w:id="101"/>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201" w:lineRule="exact"/>
        <w:rPr>
          <w:sz w:val="20"/>
          <w:szCs w:val="20"/>
          <w:color w:val="auto"/>
        </w:rPr>
      </w:pPr>
    </w:p>
    <w:p>
      <w:pPr>
        <w:ind w:right="240" w:firstLine="348"/>
        <w:spacing w:after="0" w:line="286" w:lineRule="auto"/>
        <w:rPr>
          <w:sz w:val="20"/>
          <w:szCs w:val="20"/>
          <w:color w:val="auto"/>
        </w:rPr>
      </w:pPr>
      <w:r>
        <w:rPr>
          <w:rFonts w:ascii="Times New Roman" w:cs="Times New Roman" w:eastAsia="Times New Roman" w:hAnsi="Times New Roman"/>
          <w:sz w:val="13"/>
          <w:szCs w:val="13"/>
          <w:color w:val="auto"/>
        </w:rPr>
        <w:t>Pursuant to the requirements of Section 13 or 15(d) of the Securities Exchange Act of 1934, the registrant has duly caused this report to be signed on its behalf by the undersigned, thereunto duly authorized.</w:t>
      </w:r>
    </w:p>
    <w:p>
      <w:pPr>
        <w:spacing w:after="0" w:line="136"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3"/>
          <w:szCs w:val="13"/>
          <w:color w:val="auto"/>
        </w:rPr>
        <w:t>PORTMAN RIDGE FINANCE CORPORATION</w:t>
      </w:r>
    </w:p>
    <w:p>
      <w:pPr>
        <w:spacing w:after="0" w:line="30" w:lineRule="exact"/>
        <w:rPr>
          <w:sz w:val="20"/>
          <w:szCs w:val="20"/>
          <w:color w:val="auto"/>
        </w:rPr>
      </w:pPr>
    </w:p>
    <w:p>
      <w:pPr>
        <w:ind w:left="20"/>
        <w:spacing w:after="0"/>
        <w:tabs>
          <w:tab w:leader="none" w:pos="640" w:val="left"/>
          <w:tab w:leader="none" w:pos="6240" w:val="left"/>
          <w:tab w:leader="none" w:pos="6640" w:val="left"/>
        </w:tabs>
        <w:rPr>
          <w:sz w:val="20"/>
          <w:szCs w:val="20"/>
          <w:color w:val="auto"/>
        </w:rPr>
      </w:pPr>
      <w:r>
        <w:rPr>
          <w:rFonts w:ascii="Times New Roman" w:cs="Times New Roman" w:eastAsia="Times New Roman" w:hAnsi="Times New Roman"/>
          <w:sz w:val="13"/>
          <w:szCs w:val="13"/>
          <w:color w:val="auto"/>
        </w:rPr>
        <w:t>Date:</w:t>
      </w:r>
      <w:r>
        <w:rPr>
          <w:sz w:val="20"/>
          <w:szCs w:val="20"/>
          <w:color w:val="auto"/>
        </w:rPr>
        <w:tab/>
      </w:r>
      <w:r>
        <w:rPr>
          <w:rFonts w:ascii="Times New Roman" w:cs="Times New Roman" w:eastAsia="Times New Roman" w:hAnsi="Times New Roman"/>
          <w:sz w:val="13"/>
          <w:szCs w:val="13"/>
          <w:color w:val="auto"/>
        </w:rPr>
        <w:t>March 13, 2025</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4"/>
          <w:szCs w:val="14"/>
          <w:color w:val="auto"/>
        </w:rPr>
        <w:t>/s/ EDWARD GOLDTHORPE</w:t>
      </w:r>
    </w:p>
    <w:p>
      <w:pPr>
        <w:spacing w:after="0" w:line="2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4"/>
          <w:szCs w:val="14"/>
          <w:b w:val="1"/>
          <w:bCs w:val="1"/>
          <w:color w:val="auto"/>
        </w:rPr>
        <w:t>EDWARD GOLDTHORPE</w:t>
      </w:r>
    </w:p>
    <w:p>
      <w:pPr>
        <w:spacing w:after="0" w:line="19"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p>
    <w:p>
      <w:pPr>
        <w:spacing w:after="0" w:line="199" w:lineRule="exact"/>
        <w:rPr>
          <w:sz w:val="20"/>
          <w:szCs w:val="20"/>
          <w:color w:val="auto"/>
        </w:rPr>
      </w:pPr>
    </w:p>
    <w:p>
      <w:pPr>
        <w:ind w:right="40" w:firstLine="348"/>
        <w:spacing w:after="0" w:line="286"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Signature</w:t>
            </w:r>
          </w:p>
        </w:tc>
        <w:tc>
          <w:tcPr>
            <w:tcW w:w="6180" w:type="dxa"/>
            <w:vAlign w:val="bottom"/>
          </w:tcPr>
          <w:p>
            <w:pPr>
              <w:ind w:left="3220"/>
              <w:spacing w:after="0"/>
              <w:rPr>
                <w:sz w:val="20"/>
                <w:szCs w:val="20"/>
                <w:color w:val="auto"/>
              </w:rPr>
            </w:pPr>
            <w:r>
              <w:rPr>
                <w:rFonts w:ascii="Times New Roman" w:cs="Times New Roman" w:eastAsia="Times New Roman" w:hAnsi="Times New Roman"/>
                <w:sz w:val="13"/>
                <w:szCs w:val="13"/>
                <w:b w:val="1"/>
                <w:bCs w:val="1"/>
                <w:color w:val="auto"/>
              </w:rPr>
              <w:t>Title</w:t>
            </w:r>
          </w:p>
        </w:tc>
        <w:tc>
          <w:tcPr>
            <w:tcW w:w="1900" w:type="dxa"/>
            <w:vAlign w:val="bottom"/>
          </w:tcPr>
          <w:p>
            <w:pPr>
              <w:jc w:val="center"/>
              <w:ind w:right="134"/>
              <w:spacing w:after="0"/>
              <w:rPr>
                <w:sz w:val="20"/>
                <w:szCs w:val="20"/>
                <w:color w:val="auto"/>
              </w:rPr>
            </w:pPr>
            <w:r>
              <w:rPr>
                <w:rFonts w:ascii="Times New Roman" w:cs="Times New Roman" w:eastAsia="Times New Roman" w:hAnsi="Times New Roman"/>
                <w:sz w:val="13"/>
                <w:szCs w:val="13"/>
                <w:b w:val="1"/>
                <w:bCs w:val="1"/>
                <w:color w:val="auto"/>
                <w:w w:val="99"/>
              </w:rPr>
              <w:t>Date</w:t>
            </w:r>
          </w:p>
        </w:tc>
      </w:tr>
      <w:tr>
        <w:trPr>
          <w:trHeight w:val="258"/>
        </w:trPr>
        <w:tc>
          <w:tcPr>
            <w:tcW w:w="2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 EDWARD GOLDTHORPE</w:t>
            </w:r>
          </w:p>
        </w:tc>
        <w:tc>
          <w:tcPr>
            <w:tcW w:w="618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President and Chief Executive Officer (principal executive officer) and Member of the Board</w:t>
            </w:r>
          </w:p>
        </w:tc>
        <w:tc>
          <w:tcPr>
            <w:tcW w:w="1900" w:type="dxa"/>
            <w:vAlign w:val="bottom"/>
          </w:tcPr>
          <w:p>
            <w:pPr>
              <w:jc w:val="center"/>
              <w:ind w:right="114"/>
              <w:spacing w:after="0"/>
              <w:rPr>
                <w:sz w:val="20"/>
                <w:szCs w:val="20"/>
                <w:color w:val="auto"/>
              </w:rPr>
            </w:pPr>
            <w:r>
              <w:rPr>
                <w:rFonts w:ascii="Times New Roman" w:cs="Times New Roman" w:eastAsia="Times New Roman" w:hAnsi="Times New Roman"/>
                <w:sz w:val="13"/>
                <w:szCs w:val="13"/>
                <w:color w:val="auto"/>
              </w:rPr>
              <w:t>March 13, 2025</w:t>
            </w:r>
          </w:p>
        </w:tc>
      </w:tr>
      <w:tr>
        <w:trPr>
          <w:trHeight w:val="174"/>
        </w:trPr>
        <w:tc>
          <w:tcPr>
            <w:tcW w:w="2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EDWARD GOLDTHORPE</w:t>
            </w:r>
          </w:p>
        </w:tc>
        <w:tc>
          <w:tcPr>
            <w:tcW w:w="618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of Directors</w:t>
            </w:r>
          </w:p>
        </w:tc>
        <w:tc>
          <w:tcPr>
            <w:tcW w:w="1900" w:type="dxa"/>
            <w:vAlign w:val="bottom"/>
          </w:tcPr>
          <w:p>
            <w:pPr>
              <w:spacing w:after="0"/>
              <w:rPr>
                <w:sz w:val="15"/>
                <w:szCs w:val="15"/>
                <w:color w:val="auto"/>
              </w:rPr>
            </w:pPr>
          </w:p>
        </w:tc>
      </w:tr>
      <w:tr>
        <w:trPr>
          <w:trHeight w:val="282"/>
        </w:trPr>
        <w:tc>
          <w:tcPr>
            <w:tcW w:w="2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 BRANDON SATOREN</w:t>
            </w:r>
          </w:p>
        </w:tc>
        <w:tc>
          <w:tcPr>
            <w:tcW w:w="618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Chief Financial Officer, Secretary and Treasurer (principal financial and accounting officer)</w:t>
            </w:r>
          </w:p>
        </w:tc>
        <w:tc>
          <w:tcPr>
            <w:tcW w:w="1900" w:type="dxa"/>
            <w:vAlign w:val="bottom"/>
          </w:tcPr>
          <w:p>
            <w:pPr>
              <w:jc w:val="center"/>
              <w:ind w:right="114"/>
              <w:spacing w:after="0"/>
              <w:rPr>
                <w:sz w:val="20"/>
                <w:szCs w:val="20"/>
                <w:color w:val="auto"/>
              </w:rPr>
            </w:pPr>
            <w:r>
              <w:rPr>
                <w:rFonts w:ascii="Times New Roman" w:cs="Times New Roman" w:eastAsia="Times New Roman" w:hAnsi="Times New Roman"/>
                <w:sz w:val="13"/>
                <w:szCs w:val="13"/>
                <w:color w:val="auto"/>
              </w:rPr>
              <w:t>March 13, 2025</w:t>
            </w:r>
          </w:p>
        </w:tc>
      </w:tr>
      <w:tr>
        <w:trPr>
          <w:trHeight w:val="174"/>
        </w:trPr>
        <w:tc>
          <w:tcPr>
            <w:tcW w:w="2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BRANDON SATOREN</w:t>
            </w:r>
          </w:p>
        </w:tc>
        <w:tc>
          <w:tcPr>
            <w:tcW w:w="61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300"/>
        </w:trPr>
        <w:tc>
          <w:tcPr>
            <w:tcW w:w="2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 GEORGE GRUNEBAUM</w:t>
            </w:r>
          </w:p>
        </w:tc>
        <w:tc>
          <w:tcPr>
            <w:tcW w:w="618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Member of the Board of Directors</w:t>
            </w:r>
          </w:p>
        </w:tc>
        <w:tc>
          <w:tcPr>
            <w:tcW w:w="1900" w:type="dxa"/>
            <w:vAlign w:val="bottom"/>
          </w:tcPr>
          <w:p>
            <w:pPr>
              <w:jc w:val="center"/>
              <w:ind w:right="114"/>
              <w:spacing w:after="0"/>
              <w:rPr>
                <w:sz w:val="20"/>
                <w:szCs w:val="20"/>
                <w:color w:val="auto"/>
              </w:rPr>
            </w:pPr>
            <w:r>
              <w:rPr>
                <w:rFonts w:ascii="Times New Roman" w:cs="Times New Roman" w:eastAsia="Times New Roman" w:hAnsi="Times New Roman"/>
                <w:sz w:val="13"/>
                <w:szCs w:val="13"/>
                <w:color w:val="auto"/>
              </w:rPr>
              <w:t>March 13, 2025</w:t>
            </w:r>
          </w:p>
        </w:tc>
      </w:tr>
      <w:tr>
        <w:trPr>
          <w:trHeight w:val="180"/>
        </w:trPr>
        <w:tc>
          <w:tcPr>
            <w:tcW w:w="2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GEORGE GRUNEBAUM</w:t>
            </w:r>
          </w:p>
        </w:tc>
        <w:tc>
          <w:tcPr>
            <w:tcW w:w="61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300"/>
        </w:trPr>
        <w:tc>
          <w:tcPr>
            <w:tcW w:w="2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 ROBERT WARSHAUER</w:t>
            </w:r>
          </w:p>
        </w:tc>
        <w:tc>
          <w:tcPr>
            <w:tcW w:w="618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Member of the Board of Directors</w:t>
            </w:r>
          </w:p>
        </w:tc>
        <w:tc>
          <w:tcPr>
            <w:tcW w:w="1900" w:type="dxa"/>
            <w:vAlign w:val="bottom"/>
          </w:tcPr>
          <w:p>
            <w:pPr>
              <w:jc w:val="center"/>
              <w:ind w:right="114"/>
              <w:spacing w:after="0"/>
              <w:rPr>
                <w:sz w:val="20"/>
                <w:szCs w:val="20"/>
                <w:color w:val="auto"/>
              </w:rPr>
            </w:pPr>
            <w:r>
              <w:rPr>
                <w:rFonts w:ascii="Times New Roman" w:cs="Times New Roman" w:eastAsia="Times New Roman" w:hAnsi="Times New Roman"/>
                <w:sz w:val="13"/>
                <w:szCs w:val="13"/>
                <w:color w:val="auto"/>
              </w:rPr>
              <w:t>March 13, 2025</w:t>
            </w:r>
          </w:p>
        </w:tc>
      </w:tr>
      <w:tr>
        <w:trPr>
          <w:trHeight w:val="180"/>
        </w:trPr>
        <w:tc>
          <w:tcPr>
            <w:tcW w:w="2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ROBERT WARSHAUER</w:t>
            </w:r>
          </w:p>
        </w:tc>
        <w:tc>
          <w:tcPr>
            <w:tcW w:w="61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300"/>
        </w:trPr>
        <w:tc>
          <w:tcPr>
            <w:tcW w:w="2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 ALEXANDER DUKA</w:t>
            </w:r>
          </w:p>
        </w:tc>
        <w:tc>
          <w:tcPr>
            <w:tcW w:w="618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Member of the Board of Directors</w:t>
            </w:r>
          </w:p>
        </w:tc>
        <w:tc>
          <w:tcPr>
            <w:tcW w:w="1900" w:type="dxa"/>
            <w:vAlign w:val="bottom"/>
          </w:tcPr>
          <w:p>
            <w:pPr>
              <w:jc w:val="center"/>
              <w:ind w:right="114"/>
              <w:spacing w:after="0"/>
              <w:rPr>
                <w:sz w:val="20"/>
                <w:szCs w:val="20"/>
                <w:color w:val="auto"/>
              </w:rPr>
            </w:pPr>
            <w:r>
              <w:rPr>
                <w:rFonts w:ascii="Times New Roman" w:cs="Times New Roman" w:eastAsia="Times New Roman" w:hAnsi="Times New Roman"/>
                <w:sz w:val="13"/>
                <w:szCs w:val="13"/>
                <w:color w:val="auto"/>
              </w:rPr>
              <w:t>March 13, 2025</w:t>
            </w:r>
          </w:p>
        </w:tc>
      </w:tr>
      <w:tr>
        <w:trPr>
          <w:trHeight w:val="180"/>
        </w:trPr>
        <w:tc>
          <w:tcPr>
            <w:tcW w:w="2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ALEXANDER DUKA</w:t>
            </w:r>
          </w:p>
        </w:tc>
        <w:tc>
          <w:tcPr>
            <w:tcW w:w="61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300"/>
        </w:trPr>
        <w:tc>
          <w:tcPr>
            <w:tcW w:w="2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 PATRICK SCHAFER</w:t>
            </w:r>
          </w:p>
        </w:tc>
        <w:tc>
          <w:tcPr>
            <w:tcW w:w="618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Member of the Board of Directors</w:t>
            </w:r>
          </w:p>
        </w:tc>
        <w:tc>
          <w:tcPr>
            <w:tcW w:w="1900" w:type="dxa"/>
            <w:vAlign w:val="bottom"/>
          </w:tcPr>
          <w:p>
            <w:pPr>
              <w:jc w:val="center"/>
              <w:ind w:right="114"/>
              <w:spacing w:after="0"/>
              <w:rPr>
                <w:sz w:val="20"/>
                <w:szCs w:val="20"/>
                <w:color w:val="auto"/>
              </w:rPr>
            </w:pPr>
            <w:r>
              <w:rPr>
                <w:rFonts w:ascii="Times New Roman" w:cs="Times New Roman" w:eastAsia="Times New Roman" w:hAnsi="Times New Roman"/>
                <w:sz w:val="13"/>
                <w:szCs w:val="13"/>
                <w:color w:val="auto"/>
              </w:rPr>
              <w:t>March 13, 2025</w:t>
            </w:r>
          </w:p>
        </w:tc>
      </w:tr>
      <w:tr>
        <w:trPr>
          <w:trHeight w:val="180"/>
        </w:trPr>
        <w:tc>
          <w:tcPr>
            <w:tcW w:w="2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PATRICK SCHAFER</w:t>
            </w:r>
          </w:p>
        </w:tc>
        <w:tc>
          <w:tcPr>
            <w:tcW w:w="61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300"/>
        </w:trPr>
        <w:tc>
          <w:tcPr>
            <w:tcW w:w="2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 DEAN C. KEHLER</w:t>
            </w:r>
          </w:p>
        </w:tc>
        <w:tc>
          <w:tcPr>
            <w:tcW w:w="618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Member of the Board of Directors</w:t>
            </w:r>
          </w:p>
        </w:tc>
        <w:tc>
          <w:tcPr>
            <w:tcW w:w="1900" w:type="dxa"/>
            <w:vAlign w:val="bottom"/>
          </w:tcPr>
          <w:p>
            <w:pPr>
              <w:jc w:val="center"/>
              <w:ind w:right="114"/>
              <w:spacing w:after="0"/>
              <w:rPr>
                <w:sz w:val="20"/>
                <w:szCs w:val="20"/>
                <w:color w:val="auto"/>
              </w:rPr>
            </w:pPr>
            <w:r>
              <w:rPr>
                <w:rFonts w:ascii="Times New Roman" w:cs="Times New Roman" w:eastAsia="Times New Roman" w:hAnsi="Times New Roman"/>
                <w:sz w:val="13"/>
                <w:szCs w:val="13"/>
                <w:color w:val="auto"/>
              </w:rPr>
              <w:t>March 13, 2025</w:t>
            </w:r>
          </w:p>
        </w:tc>
      </w:tr>
      <w:tr>
        <w:trPr>
          <w:trHeight w:val="180"/>
        </w:trPr>
        <w:tc>
          <w:tcPr>
            <w:tcW w:w="2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DEAN C. KEHLER</w:t>
            </w:r>
          </w:p>
        </w:tc>
        <w:tc>
          <w:tcPr>
            <w:tcW w:w="61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312"/>
        </w:trPr>
        <w:tc>
          <w:tcPr>
            <w:tcW w:w="2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 MATTHEW WESTWOOD</w:t>
            </w:r>
          </w:p>
        </w:tc>
        <w:tc>
          <w:tcPr>
            <w:tcW w:w="618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Member of the Board of Directors</w:t>
            </w:r>
          </w:p>
        </w:tc>
        <w:tc>
          <w:tcPr>
            <w:tcW w:w="1900" w:type="dxa"/>
            <w:vAlign w:val="bottom"/>
          </w:tcPr>
          <w:p>
            <w:pPr>
              <w:jc w:val="center"/>
              <w:ind w:right="114"/>
              <w:spacing w:after="0"/>
              <w:rPr>
                <w:sz w:val="20"/>
                <w:szCs w:val="20"/>
                <w:color w:val="auto"/>
              </w:rPr>
            </w:pPr>
            <w:r>
              <w:rPr>
                <w:rFonts w:ascii="Times New Roman" w:cs="Times New Roman" w:eastAsia="Times New Roman" w:hAnsi="Times New Roman"/>
                <w:sz w:val="13"/>
                <w:szCs w:val="13"/>
                <w:color w:val="auto"/>
              </w:rPr>
              <w:t>March 13, 2025</w:t>
            </w:r>
          </w:p>
        </w:tc>
      </w:tr>
      <w:tr>
        <w:trPr>
          <w:trHeight w:val="180"/>
        </w:trPr>
        <w:tc>
          <w:tcPr>
            <w:tcW w:w="2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MATTHEW WESTWOOD</w:t>
            </w:r>
          </w:p>
        </w:tc>
        <w:tc>
          <w:tcPr>
            <w:tcW w:w="61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360"/>
        </w:trPr>
        <w:tc>
          <w:tcPr>
            <w:tcW w:w="2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 JOSEPH MOREA</w:t>
            </w:r>
          </w:p>
        </w:tc>
        <w:tc>
          <w:tcPr>
            <w:tcW w:w="618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Member of the Board of Directors</w:t>
            </w:r>
          </w:p>
        </w:tc>
        <w:tc>
          <w:tcPr>
            <w:tcW w:w="1900" w:type="dxa"/>
            <w:vAlign w:val="bottom"/>
          </w:tcPr>
          <w:p>
            <w:pPr>
              <w:jc w:val="center"/>
              <w:ind w:right="114"/>
              <w:spacing w:after="0"/>
              <w:rPr>
                <w:sz w:val="20"/>
                <w:szCs w:val="20"/>
                <w:color w:val="auto"/>
              </w:rPr>
            </w:pPr>
            <w:r>
              <w:rPr>
                <w:rFonts w:ascii="Times New Roman" w:cs="Times New Roman" w:eastAsia="Times New Roman" w:hAnsi="Times New Roman"/>
                <w:sz w:val="13"/>
                <w:szCs w:val="13"/>
                <w:color w:val="auto"/>
              </w:rPr>
              <w:t>March 13, 2025</w:t>
            </w:r>
          </w:p>
        </w:tc>
      </w:tr>
      <w:tr>
        <w:trPr>
          <w:trHeight w:val="180"/>
        </w:trPr>
        <w:tc>
          <w:tcPr>
            <w:tcW w:w="2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JOSEPH MOREA</w:t>
            </w:r>
          </w:p>
        </w:tc>
        <w:tc>
          <w:tcPr>
            <w:tcW w:w="61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360"/>
        </w:trPr>
        <w:tc>
          <w:tcPr>
            <w:tcW w:w="2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 JENNIFER CHOU</w:t>
            </w:r>
          </w:p>
        </w:tc>
        <w:tc>
          <w:tcPr>
            <w:tcW w:w="618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Member of the Board of Directors</w:t>
            </w:r>
          </w:p>
        </w:tc>
        <w:tc>
          <w:tcPr>
            <w:tcW w:w="1900" w:type="dxa"/>
            <w:vAlign w:val="bottom"/>
          </w:tcPr>
          <w:p>
            <w:pPr>
              <w:jc w:val="center"/>
              <w:ind w:right="114"/>
              <w:spacing w:after="0"/>
              <w:rPr>
                <w:sz w:val="20"/>
                <w:szCs w:val="20"/>
                <w:color w:val="auto"/>
              </w:rPr>
            </w:pPr>
            <w:r>
              <w:rPr>
                <w:rFonts w:ascii="Times New Roman" w:cs="Times New Roman" w:eastAsia="Times New Roman" w:hAnsi="Times New Roman"/>
                <w:sz w:val="13"/>
                <w:szCs w:val="13"/>
                <w:color w:val="auto"/>
              </w:rPr>
              <w:t>March 13, 2025</w:t>
            </w:r>
          </w:p>
        </w:tc>
      </w:tr>
      <w:tr>
        <w:trPr>
          <w:trHeight w:val="180"/>
        </w:trPr>
        <w:tc>
          <w:tcPr>
            <w:tcW w:w="2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JENNIFER CHOU</w:t>
            </w:r>
          </w:p>
        </w:tc>
        <w:tc>
          <w:tcPr>
            <w:tcW w:w="61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1280"/>
        </w:trPr>
        <w:tc>
          <w:tcPr>
            <w:tcW w:w="2480" w:type="dxa"/>
            <w:vAlign w:val="bottom"/>
            <w:tcBorders>
              <w:bottom w:val="single" w:sz="8" w:color="EEEEEE"/>
            </w:tcBorders>
          </w:tcPr>
          <w:p>
            <w:pPr>
              <w:spacing w:after="0"/>
              <w:rPr>
                <w:sz w:val="24"/>
                <w:szCs w:val="24"/>
                <w:color w:val="auto"/>
              </w:rPr>
            </w:pPr>
          </w:p>
        </w:tc>
        <w:tc>
          <w:tcPr>
            <w:tcW w:w="6180" w:type="dxa"/>
            <w:vAlign w:val="bottom"/>
            <w:tcBorders>
              <w:bottom w:val="single" w:sz="8" w:color="EEEEEE"/>
            </w:tcBorders>
          </w:tcPr>
          <w:p>
            <w:pPr>
              <w:spacing w:after="0"/>
              <w:rPr>
                <w:sz w:val="24"/>
                <w:szCs w:val="24"/>
                <w:color w:val="auto"/>
              </w:rPr>
            </w:pPr>
          </w:p>
        </w:tc>
        <w:tc>
          <w:tcPr>
            <w:tcW w:w="19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4"/>
          <w:szCs w:val="14"/>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540" w:right="100" w:hanging="2472"/>
        <w:spacing w:after="0" w:line="285" w:lineRule="auto"/>
        <w:rPr>
          <w:sz w:val="20"/>
          <w:szCs w:val="20"/>
          <w:color w:val="auto"/>
        </w:rPr>
      </w:pPr>
      <w:r>
        <w:rPr>
          <w:rFonts w:ascii="Times New Roman" w:cs="Times New Roman" w:eastAsia="Times New Roman" w:hAnsi="Times New Roman"/>
          <w:sz w:val="44"/>
          <w:szCs w:val="44"/>
          <w:b w:val="1"/>
          <w:bCs w:val="1"/>
          <w:i w:val="1"/>
          <w:iCs w:val="1"/>
          <w:color w:val="auto"/>
        </w:rPr>
        <w:t>PTMN/LRFC Material Non-Public Information and 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3"/>
          <w:szCs w:val="23"/>
          <w:color w:val="auto"/>
        </w:rPr>
        <w:t>Policy Created: December 11, 2006</w:t>
      </w:r>
    </w:p>
    <w:p>
      <w:pPr>
        <w:spacing w:after="0" w:line="26"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3"/>
          <w:szCs w:val="23"/>
          <w:color w:val="auto"/>
        </w:rPr>
        <w:t>Last Revision: July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4232275</wp:posOffset>
            </wp:positionV>
            <wp:extent cx="6732905" cy="406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80"/>
          </w:cols>
          <w:pgMar w:left="1440" w:top="1131" w:right="680" w:bottom="1440" w:gutter="0" w:footer="0" w:header="0"/>
        </w:sectPr>
      </w:pPr>
    </w:p>
    <w:bookmarkStart w:id="103" w:name="page104"/>
    <w:bookmarkEnd w:id="103"/>
    <w:p>
      <w:pPr>
        <w:ind w:left="9680"/>
        <w:spacing w:after="0"/>
        <w:rPr>
          <w:sz w:val="20"/>
          <w:szCs w:val="20"/>
          <w:color w:val="auto"/>
        </w:rPr>
      </w:pPr>
      <w:r>
        <w:rPr>
          <w:rFonts w:ascii="Times New Roman" w:cs="Times New Roman" w:eastAsia="Times New Roman" w:hAnsi="Times New Roman"/>
          <w:sz w:val="14"/>
          <w:szCs w:val="14"/>
          <w:b w:val="1"/>
          <w:bCs w:val="1"/>
          <w:color w:val="auto"/>
        </w:rPr>
        <w:t>Exhibit 19.1</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INTRODUCTION</w:t>
      </w:r>
    </w:p>
    <w:p>
      <w:pPr>
        <w:spacing w:after="0" w:line="240" w:lineRule="exact"/>
        <w:rPr>
          <w:sz w:val="20"/>
          <w:szCs w:val="20"/>
          <w:color w:val="auto"/>
        </w:rPr>
      </w:pPr>
    </w:p>
    <w:p>
      <w:pPr>
        <w:ind w:right="320" w:firstLine="720"/>
        <w:spacing w:after="0" w:line="257" w:lineRule="auto"/>
        <w:rPr>
          <w:sz w:val="20"/>
          <w:szCs w:val="20"/>
          <w:color w:val="auto"/>
        </w:rPr>
      </w:pPr>
      <w:r>
        <w:rPr>
          <w:rFonts w:ascii="Times New Roman" w:cs="Times New Roman" w:eastAsia="Times New Roman" w:hAnsi="Times New Roman"/>
          <w:sz w:val="19"/>
          <w:szCs w:val="19"/>
          <w:color w:val="auto"/>
        </w:rPr>
        <w:t>This Policy explains requirements and procedures that apply to all corporate Directors and Officers of Portman Ridge Finance Corporation and subsidiaries and/or Logan Ridge Finance Corporation and subsidiaries (each, the “Company”), all employees (collectively, “Personnel”) and household and immediate family members of Personnel (collectively, “Insiders”) of the Company under United States laws about trading in its securities (and in some cases in the securities of other companies). It also deals with responding to questions and the disclosure of certain types of confidential information about the Company's business and affairs.</w:t>
      </w:r>
    </w:p>
    <w:p>
      <w:pPr>
        <w:spacing w:after="0" w:line="193" w:lineRule="exact"/>
        <w:rPr>
          <w:sz w:val="20"/>
          <w:szCs w:val="20"/>
          <w:color w:val="auto"/>
        </w:rPr>
      </w:pPr>
    </w:p>
    <w:p>
      <w:pPr>
        <w:ind w:right="860" w:firstLine="720"/>
        <w:spacing w:after="0" w:line="286" w:lineRule="auto"/>
        <w:rPr>
          <w:sz w:val="20"/>
          <w:szCs w:val="20"/>
          <w:color w:val="auto"/>
        </w:rPr>
      </w:pPr>
      <w:r>
        <w:rPr>
          <w:rFonts w:ascii="Times New Roman" w:cs="Times New Roman" w:eastAsia="Times New Roman" w:hAnsi="Times New Roman"/>
          <w:sz w:val="19"/>
          <w:szCs w:val="19"/>
          <w:color w:val="auto"/>
        </w:rPr>
        <w:t>Directors and Officers of the Company: Read this Policy carefully. When you have completed your review sign the attached acknowledgment form and return it to the Company’s CCO.</w:t>
      </w:r>
    </w:p>
    <w:p>
      <w:pPr>
        <w:spacing w:after="0" w:line="161" w:lineRule="exact"/>
        <w:rPr>
          <w:sz w:val="20"/>
          <w:szCs w:val="20"/>
          <w:color w:val="auto"/>
        </w:rPr>
      </w:pPr>
    </w:p>
    <w:p>
      <w:pPr>
        <w:ind w:right="680" w:firstLine="720"/>
        <w:spacing w:after="0" w:line="288" w:lineRule="auto"/>
        <w:rPr>
          <w:sz w:val="20"/>
          <w:szCs w:val="20"/>
          <w:color w:val="auto"/>
        </w:rPr>
      </w:pPr>
      <w:r>
        <w:rPr>
          <w:rFonts w:ascii="Times New Roman" w:cs="Times New Roman" w:eastAsia="Times New Roman" w:hAnsi="Times New Roman"/>
          <w:sz w:val="19"/>
          <w:szCs w:val="19"/>
          <w:i w:val="1"/>
          <w:iCs w:val="1"/>
          <w:color w:val="auto"/>
        </w:rPr>
        <w:t>Contact the CCO of the Company if at any time you have questions about this Policy or its application to a particular situation; or you plan to trade in the Company's securities but are unsure about whether you are able to do so at the time.</w:t>
      </w:r>
    </w:p>
    <w:p>
      <w:pPr>
        <w:spacing w:after="0" w:line="160" w:lineRule="exact"/>
        <w:rPr>
          <w:sz w:val="20"/>
          <w:szCs w:val="20"/>
          <w:color w:val="auto"/>
        </w:rPr>
      </w:pPr>
    </w:p>
    <w:p>
      <w:pPr>
        <w:ind w:right="300" w:firstLine="720"/>
        <w:spacing w:after="0" w:line="263" w:lineRule="auto"/>
        <w:rPr>
          <w:sz w:val="20"/>
          <w:szCs w:val="20"/>
          <w:color w:val="auto"/>
        </w:rPr>
      </w:pPr>
      <w:r>
        <w:rPr>
          <w:rFonts w:ascii="Times New Roman" w:cs="Times New Roman" w:eastAsia="Times New Roman" w:hAnsi="Times New Roman"/>
          <w:sz w:val="19"/>
          <w:szCs w:val="19"/>
          <w:i w:val="1"/>
          <w:iCs w:val="1"/>
          <w:color w:val="auto"/>
        </w:rPr>
        <w:t>Guidance concerning a request from someone outside the Company to answer questions or disclose information should be sought from a Company spokesperson as identified below.</w:t>
      </w:r>
    </w:p>
    <w:p>
      <w:pPr>
        <w:spacing w:after="0" w:line="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9"/>
          <w:szCs w:val="19"/>
          <w:i w:val="1"/>
          <w:iCs w:val="1"/>
          <w:color w:val="auto"/>
        </w:rPr>
        <w:t>Guidance about special securities forms and reporting requirements by Directors and Officers of the Company (“Section 16 Officers” as updated in the Company’s registration or proxy statements) should contact the CCO prior to undertaking any transactions in the Company's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w:t>
      </w:r>
      <w:r>
        <w:rPr>
          <w:rFonts w:ascii="Times New Roman" w:cs="Times New Roman" w:eastAsia="Times New Roman" w:hAnsi="Times New Roman"/>
          <w:sz w:val="13"/>
          <w:szCs w:val="13"/>
          <w:b w:val="1"/>
          <w:bCs w:val="1"/>
          <w:color w:val="auto"/>
        </w:rPr>
        <w:t>ENERAL</w:t>
      </w:r>
      <w:r>
        <w:rPr>
          <w:rFonts w:ascii="Times New Roman" w:cs="Times New Roman" w:eastAsia="Times New Roman" w:hAnsi="Times New Roman"/>
          <w:sz w:val="19"/>
          <w:szCs w:val="19"/>
          <w:b w:val="1"/>
          <w:bCs w:val="1"/>
          <w:color w:val="auto"/>
        </w:rPr>
        <w:t xml:space="preserve"> R</w:t>
      </w:r>
      <w:r>
        <w:rPr>
          <w:rFonts w:ascii="Times New Roman" w:cs="Times New Roman" w:eastAsia="Times New Roman" w:hAnsi="Times New Roman"/>
          <w:sz w:val="13"/>
          <w:szCs w:val="13"/>
          <w:b w:val="1"/>
          <w:bCs w:val="1"/>
          <w:color w:val="auto"/>
        </w:rPr>
        <w:t>ULES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general terms, the law and/or Company Policy prohibit:</w:t>
      </w:r>
    </w:p>
    <w:p>
      <w:pPr>
        <w:spacing w:after="0" w:line="106" w:lineRule="exact"/>
        <w:rPr>
          <w:sz w:val="20"/>
          <w:szCs w:val="20"/>
          <w:color w:val="auto"/>
        </w:rPr>
      </w:pPr>
    </w:p>
    <w:p>
      <w:pPr>
        <w:ind w:left="340" w:right="300"/>
        <w:spacing w:after="0" w:line="286" w:lineRule="auto"/>
        <w:rPr>
          <w:sz w:val="20"/>
          <w:szCs w:val="20"/>
          <w:color w:val="auto"/>
        </w:rPr>
      </w:pPr>
      <w:r>
        <w:rPr>
          <w:rFonts w:ascii="Times New Roman" w:cs="Times New Roman" w:eastAsia="Times New Roman" w:hAnsi="Times New Roman"/>
          <w:sz w:val="19"/>
          <w:szCs w:val="19"/>
          <w:color w:val="auto"/>
        </w:rPr>
        <w:t>•Buying or selling Company securities (or in some cases the securities of other companies) while in possession of material non-public information ("inside information");</w:t>
      </w:r>
    </w:p>
    <w:p>
      <w:pPr>
        <w:spacing w:after="0" w:line="31" w:lineRule="exact"/>
        <w:rPr>
          <w:sz w:val="20"/>
          <w:szCs w:val="20"/>
          <w:color w:val="auto"/>
        </w:rPr>
      </w:pPr>
    </w:p>
    <w:p>
      <w:pPr>
        <w:ind w:left="340"/>
        <w:spacing w:after="0" w:line="286" w:lineRule="auto"/>
        <w:rPr>
          <w:sz w:val="20"/>
          <w:szCs w:val="20"/>
          <w:color w:val="auto"/>
        </w:rPr>
      </w:pPr>
      <w:r>
        <w:rPr>
          <w:rFonts w:ascii="Times New Roman" w:cs="Times New Roman" w:eastAsia="Times New Roman" w:hAnsi="Times New Roman"/>
          <w:sz w:val="19"/>
          <w:szCs w:val="19"/>
          <w:color w:val="auto"/>
        </w:rPr>
        <w:t>•Buying or selling Company securities during certain prescribed periods of time before and after earnings releases or quarterly SEC financial filings;</w:t>
      </w:r>
    </w:p>
    <w:p>
      <w:pPr>
        <w:spacing w:after="0" w:line="31" w:lineRule="exact"/>
        <w:rPr>
          <w:sz w:val="20"/>
          <w:szCs w:val="20"/>
          <w:color w:val="auto"/>
        </w:rPr>
      </w:pPr>
    </w:p>
    <w:p>
      <w:pPr>
        <w:ind w:left="340" w:right="360"/>
        <w:spacing w:after="0" w:line="268" w:lineRule="auto"/>
        <w:rPr>
          <w:sz w:val="20"/>
          <w:szCs w:val="20"/>
          <w:color w:val="auto"/>
        </w:rPr>
      </w:pPr>
      <w:r>
        <w:rPr>
          <w:rFonts w:ascii="Times New Roman" w:cs="Times New Roman" w:eastAsia="Times New Roman" w:hAnsi="Times New Roman"/>
          <w:sz w:val="19"/>
          <w:szCs w:val="19"/>
          <w:color w:val="auto"/>
        </w:rPr>
        <w:t>•Disclosing material non-public information to outsiders, including family members and others (tipping), who then trade in the Company's securities or the securities of another company on the basis of that information (see separate guidelines under the Company’s Regulation FD Policy under the Compliance Manual); and</w:t>
      </w:r>
    </w:p>
    <w:p>
      <w:pPr>
        <w:spacing w:after="0" w:line="48" w:lineRule="exact"/>
        <w:rPr>
          <w:sz w:val="20"/>
          <w:szCs w:val="20"/>
          <w:color w:val="auto"/>
        </w:rPr>
      </w:pPr>
    </w:p>
    <w:p>
      <w:pPr>
        <w:ind w:left="340" w:right="40"/>
        <w:spacing w:after="0" w:line="262" w:lineRule="auto"/>
        <w:rPr>
          <w:sz w:val="20"/>
          <w:szCs w:val="20"/>
          <w:color w:val="auto"/>
        </w:rPr>
      </w:pPr>
      <w:r>
        <w:rPr>
          <w:rFonts w:ascii="Times New Roman" w:cs="Times New Roman" w:eastAsia="Times New Roman" w:hAnsi="Times New Roman"/>
          <w:sz w:val="19"/>
          <w:szCs w:val="19"/>
          <w:color w:val="auto"/>
        </w:rPr>
        <w:t>•Earning "short- swing profits" (as covered by Section 16 of the 1934 Securities Exchange Act) through trading in the Company's equity securities whether or not in possession of non-public inside material information. Any such profits, which generally involve a purchase and sale or a sale and purchase (or any number of these transactions) within any six-month period, must be disgorged to the Company.</w:t>
      </w:r>
    </w:p>
    <w:p>
      <w:pPr>
        <w:spacing w:after="0" w:line="54" w:lineRule="exact"/>
        <w:rPr>
          <w:sz w:val="20"/>
          <w:szCs w:val="20"/>
          <w:color w:val="auto"/>
        </w:rPr>
      </w:pPr>
    </w:p>
    <w:p>
      <w:pPr>
        <w:ind w:left="340" w:right="100"/>
        <w:spacing w:after="0" w:line="268" w:lineRule="auto"/>
        <w:rPr>
          <w:sz w:val="20"/>
          <w:szCs w:val="20"/>
          <w:color w:val="auto"/>
        </w:rPr>
      </w:pPr>
      <w:r>
        <w:rPr>
          <w:rFonts w:ascii="Times New Roman" w:cs="Times New Roman" w:eastAsia="Times New Roman" w:hAnsi="Times New Roman"/>
          <w:sz w:val="19"/>
          <w:szCs w:val="19"/>
          <w:color w:val="auto"/>
        </w:rPr>
        <w:t>•The sale of any Company securities without complying with all the requirements of Rule 144 under the 1933 Securities Act. This Rule, also described in more detail later in this Policy, has detailed reporting requirements, and strict limitations and/or requirements regarding:</w:t>
      </w:r>
    </w:p>
    <w:p>
      <w:pPr>
        <w:spacing w:after="0" w:line="4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color w:val="auto"/>
        </w:rPr>
        <w:t>othe number of shares that may be sold during an established period of time;</w:t>
      </w:r>
    </w:p>
    <w:p>
      <w:pPr>
        <w:spacing w:after="0" w:line="106" w:lineRule="exact"/>
        <w:rPr>
          <w:sz w:val="20"/>
          <w:szCs w:val="20"/>
          <w:color w:val="auto"/>
        </w:rPr>
      </w:pPr>
    </w:p>
    <w:p>
      <w:pPr>
        <w:ind w:left="820" w:right="2700"/>
        <w:spacing w:after="0" w:line="373" w:lineRule="auto"/>
        <w:rPr>
          <w:sz w:val="20"/>
          <w:szCs w:val="20"/>
          <w:color w:val="auto"/>
        </w:rPr>
      </w:pPr>
      <w:r>
        <w:rPr>
          <w:rFonts w:ascii="Times New Roman" w:cs="Times New Roman" w:eastAsia="Times New Roman" w:hAnsi="Times New Roman"/>
          <w:sz w:val="19"/>
          <w:szCs w:val="19"/>
          <w:color w:val="auto"/>
        </w:rPr>
        <w:t>ofor certain securities, the length of time for which they must be held before they are sold; othe availability of publicly available information about the Company; and othe manner of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332105</wp:posOffset>
            </wp:positionV>
            <wp:extent cx="6732905" cy="406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40"/>
          </w:cols>
          <w:pgMar w:left="800" w:top="1131" w:right="660" w:bottom="1440" w:gutter="0" w:footer="0" w:header="0"/>
        </w:sectPr>
      </w:pPr>
    </w:p>
    <w:bookmarkStart w:id="104" w:name="page105"/>
    <w:bookmarkEnd w:id="104"/>
    <w:p>
      <w:pPr>
        <w:ind w:left="9680"/>
        <w:spacing w:after="0"/>
        <w:rPr>
          <w:sz w:val="20"/>
          <w:szCs w:val="20"/>
          <w:color w:val="auto"/>
        </w:rPr>
      </w:pPr>
      <w:r>
        <w:rPr>
          <w:rFonts w:ascii="Times New Roman" w:cs="Times New Roman" w:eastAsia="Times New Roman" w:hAnsi="Times New Roman"/>
          <w:sz w:val="14"/>
          <w:szCs w:val="14"/>
          <w:b w:val="1"/>
          <w:bCs w:val="1"/>
          <w:color w:val="auto"/>
        </w:rPr>
        <w:t>Exhibit 19.1</w:t>
      </w:r>
    </w:p>
    <w:p>
      <w:pPr>
        <w:spacing w:after="0" w:line="104" w:lineRule="exact"/>
        <w:rPr>
          <w:sz w:val="20"/>
          <w:szCs w:val="20"/>
          <w:color w:val="auto"/>
        </w:rPr>
      </w:pPr>
    </w:p>
    <w:p>
      <w:pPr>
        <w:ind w:left="340"/>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9"/>
          <w:szCs w:val="19"/>
          <w:color w:val="auto"/>
        </w:rPr>
        <w:t>Answering questions or providing information about the Company and its affairs to Company outsiders unless you are specifically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9"/>
          <w:szCs w:val="19"/>
          <w:color w:val="auto"/>
        </w:rPr>
        <w:t>authorized to do so, or it is a regular part of your position (see separate guidelines under the Company’s Regulation FD Policy under the Compliance Manual).</w:t>
      </w:r>
    </w:p>
    <w:p>
      <w:pPr>
        <w:spacing w:after="0" w:line="180"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9"/>
          <w:szCs w:val="19"/>
          <w:color w:val="auto"/>
        </w:rPr>
        <w:t>In addition, Company’s Section 16 Officers are required to file a number of Forms with the Securities and Exchange Commission (the "SEC") in connection with various events that include:</w:t>
      </w:r>
    </w:p>
    <w:p>
      <w:pPr>
        <w:spacing w:after="0" w:line="29" w:lineRule="exact"/>
        <w:rPr>
          <w:sz w:val="20"/>
          <w:szCs w:val="20"/>
          <w:color w:val="auto"/>
        </w:rPr>
      </w:pPr>
    </w:p>
    <w:p>
      <w:pPr>
        <w:ind w:left="340" w:right="440"/>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Form 3:</w:t>
      </w:r>
      <w:r>
        <w:rPr>
          <w:rFonts w:ascii="Times New Roman" w:cs="Times New Roman" w:eastAsia="Times New Roman" w:hAnsi="Times New Roman"/>
          <w:sz w:val="19"/>
          <w:szCs w:val="19"/>
          <w:color w:val="auto"/>
        </w:rPr>
        <w:t xml:space="preserve"> An initial statement regarding beneficial ownership of equity securities of the Company, usually filed at the time of becoming a Director or Officer, regardless of actual ownership of such securities.</w:t>
      </w:r>
    </w:p>
    <w:p>
      <w:pPr>
        <w:spacing w:after="0" w:line="28" w:lineRule="exact"/>
        <w:rPr>
          <w:sz w:val="20"/>
          <w:szCs w:val="20"/>
          <w:color w:val="auto"/>
        </w:rPr>
      </w:pPr>
    </w:p>
    <w:p>
      <w:pPr>
        <w:ind w:left="340"/>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Form 4:</w:t>
      </w:r>
      <w:r>
        <w:rPr>
          <w:rFonts w:ascii="Times New Roman" w:cs="Times New Roman" w:eastAsia="Times New Roman" w:hAnsi="Times New Roman"/>
          <w:sz w:val="19"/>
          <w:szCs w:val="19"/>
          <w:color w:val="auto"/>
        </w:rPr>
        <w:t xml:space="preserve"> Statements of changes of beneficial ownership of securities of the Company, to be filed no later than the second business day following the day on which the transaction occurs.</w:t>
      </w:r>
    </w:p>
    <w:p>
      <w:pPr>
        <w:spacing w:after="0" w:line="162"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9"/>
          <w:szCs w:val="19"/>
          <w:color w:val="auto"/>
        </w:rPr>
        <w:t>The Company's CCO can help provide information to its Section 16 Officers concerning these requirements, the filing of needed Forms, and other information as required. Consult with the CCO regarding any questions you have in this area.</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w:t>
      </w:r>
      <w:r>
        <w:rPr>
          <w:rFonts w:ascii="Times New Roman" w:cs="Times New Roman" w:eastAsia="Times New Roman" w:hAnsi="Times New Roman"/>
          <w:sz w:val="13"/>
          <w:szCs w:val="13"/>
          <w:b w:val="1"/>
          <w:bCs w:val="1"/>
          <w:color w:val="auto"/>
        </w:rPr>
        <w:t>NSIDER</w:t>
      </w:r>
      <w:r>
        <w:rPr>
          <w:rFonts w:ascii="Times New Roman" w:cs="Times New Roman" w:eastAsia="Times New Roman" w:hAnsi="Times New Roman"/>
          <w:sz w:val="19"/>
          <w:szCs w:val="19"/>
          <w:b w:val="1"/>
          <w:bCs w:val="1"/>
          <w:color w:val="auto"/>
        </w:rPr>
        <w:t xml:space="preserve"> T</w:t>
      </w:r>
      <w:r>
        <w:rPr>
          <w:rFonts w:ascii="Times New Roman" w:cs="Times New Roman" w:eastAsia="Times New Roman" w:hAnsi="Times New Roman"/>
          <w:sz w:val="13"/>
          <w:szCs w:val="13"/>
          <w:b w:val="1"/>
          <w:bCs w:val="1"/>
          <w:color w:val="auto"/>
        </w:rPr>
        <w:t>RADING</w:t>
      </w:r>
    </w:p>
    <w:p>
      <w:pPr>
        <w:spacing w:after="0" w:line="228" w:lineRule="exact"/>
        <w:rPr>
          <w:sz w:val="20"/>
          <w:szCs w:val="20"/>
          <w:color w:val="auto"/>
        </w:rPr>
      </w:pPr>
    </w:p>
    <w:p>
      <w:pPr>
        <w:ind w:right="400" w:firstLine="720"/>
        <w:spacing w:after="0" w:line="262" w:lineRule="auto"/>
        <w:rPr>
          <w:sz w:val="20"/>
          <w:szCs w:val="20"/>
          <w:color w:val="auto"/>
        </w:rPr>
      </w:pPr>
      <w:r>
        <w:rPr>
          <w:rFonts w:ascii="Times New Roman" w:cs="Times New Roman" w:eastAsia="Times New Roman" w:hAnsi="Times New Roman"/>
          <w:sz w:val="19"/>
          <w:szCs w:val="19"/>
          <w:color w:val="auto"/>
        </w:rPr>
        <w:t>A significant concept of the federal securities laws (part of Rule 10b-5 of the 1934 Securities Exchange Act) prohibits corporate insiders in possession of material non-public information with respect to their company from engaging in transactions in its securities. If the information involves another company (such as in a merger situation), an insider may not trade in that other company's securities as well.</w:t>
      </w:r>
    </w:p>
    <w:p>
      <w:pPr>
        <w:spacing w:after="0" w:line="184" w:lineRule="exact"/>
        <w:rPr>
          <w:sz w:val="20"/>
          <w:szCs w:val="20"/>
          <w:color w:val="auto"/>
        </w:rPr>
      </w:pPr>
    </w:p>
    <w:p>
      <w:pPr>
        <w:ind w:right="60" w:firstLine="768"/>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"Insiders" - </w:t>
      </w:r>
      <w:r>
        <w:rPr>
          <w:rFonts w:ascii="Times New Roman" w:cs="Times New Roman" w:eastAsia="Times New Roman" w:hAnsi="Times New Roman"/>
          <w:sz w:val="19"/>
          <w:szCs w:val="19"/>
          <w:color w:val="auto"/>
        </w:rPr>
        <w:t>An "insider" includes not only corporate Directors and Officers, but also persons such as a non-officer employee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who, because of a special relationship or position within the Company, learns of material undisclosed information. According to the circumstances this could include a member of senior management or mailroom or messenger employee who sees or hears something while carrying out normal duties.</w:t>
      </w:r>
    </w:p>
    <w:p>
      <w:pPr>
        <w:spacing w:after="0" w:line="183" w:lineRule="exact"/>
        <w:rPr>
          <w:sz w:val="20"/>
          <w:szCs w:val="20"/>
          <w:color w:val="auto"/>
        </w:rPr>
      </w:pPr>
    </w:p>
    <w:p>
      <w:pPr>
        <w:ind w:right="360" w:firstLine="780"/>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"Materiality" and "Inside Information" - </w:t>
      </w:r>
      <w:r>
        <w:rPr>
          <w:rFonts w:ascii="Times New Roman" w:cs="Times New Roman" w:eastAsia="Times New Roman" w:hAnsi="Times New Roman"/>
          <w:sz w:val="19"/>
          <w:szCs w:val="19"/>
          <w:color w:val="auto"/>
        </w:rPr>
        <w:t>Information is "material" for the purposes of the federal securities laws and this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Policy if a reasonable investor would consider it important in arriving at a decision to buy sell or hold securities. In addition to the following, other types of information may also be "material" and "inside information" at any particular time depending upon the circumstances.</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Examples of material inside information include the following:</w:t>
      </w:r>
    </w:p>
    <w:p>
      <w:pPr>
        <w:spacing w:after="0" w:line="106" w:lineRule="exact"/>
        <w:rPr>
          <w:sz w:val="20"/>
          <w:szCs w:val="20"/>
          <w:color w:val="auto"/>
        </w:rPr>
      </w:pPr>
    </w:p>
    <w:p>
      <w:pPr>
        <w:ind w:left="340" w:right="160"/>
        <w:spacing w:after="0" w:line="286" w:lineRule="auto"/>
        <w:rPr>
          <w:sz w:val="20"/>
          <w:szCs w:val="20"/>
          <w:color w:val="auto"/>
        </w:rPr>
      </w:pPr>
      <w:r>
        <w:rPr>
          <w:rFonts w:ascii="Times New Roman" w:cs="Times New Roman" w:eastAsia="Times New Roman" w:hAnsi="Times New Roman"/>
          <w:sz w:val="19"/>
          <w:szCs w:val="19"/>
          <w:color w:val="auto"/>
        </w:rPr>
        <w:t>•Company financial results, earnings, possible dividend increases or decreases, stock splits or stock dividends and other financial information;</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•Anticipated public or private offerings of Company securities;</w:t>
      </w:r>
    </w:p>
    <w:p>
      <w:pPr>
        <w:spacing w:after="0" w:line="106" w:lineRule="exact"/>
        <w:rPr>
          <w:sz w:val="20"/>
          <w:szCs w:val="20"/>
          <w:color w:val="auto"/>
        </w:rPr>
      </w:pPr>
    </w:p>
    <w:p>
      <w:pPr>
        <w:ind w:left="340" w:right="180"/>
        <w:spacing w:after="0" w:line="286" w:lineRule="auto"/>
        <w:rPr>
          <w:sz w:val="20"/>
          <w:szCs w:val="20"/>
          <w:color w:val="auto"/>
        </w:rPr>
      </w:pPr>
      <w:r>
        <w:rPr>
          <w:rFonts w:ascii="Times New Roman" w:cs="Times New Roman" w:eastAsia="Times New Roman" w:hAnsi="Times New Roman"/>
          <w:sz w:val="19"/>
          <w:szCs w:val="19"/>
          <w:color w:val="auto"/>
        </w:rPr>
        <w:t>•The fact that an acquisition candidate, business unit divestiture, joint venture, tender offer or other restructuring activity is being evaluated or considered, that discussions or negotiations are in progress, or that such a transaction is being undertaken;</w:t>
      </w:r>
    </w:p>
    <w:p>
      <w:pPr>
        <w:spacing w:after="0" w:line="31" w:lineRule="exact"/>
        <w:rPr>
          <w:sz w:val="20"/>
          <w:szCs w:val="20"/>
          <w:color w:val="auto"/>
        </w:rPr>
      </w:pPr>
    </w:p>
    <w:p>
      <w:pPr>
        <w:ind w:left="340" w:right="3320"/>
        <w:spacing w:after="0" w:line="356" w:lineRule="auto"/>
        <w:rPr>
          <w:sz w:val="20"/>
          <w:szCs w:val="20"/>
          <w:color w:val="auto"/>
        </w:rPr>
      </w:pPr>
      <w:r>
        <w:rPr>
          <w:rFonts w:ascii="Times New Roman" w:cs="Times New Roman" w:eastAsia="Times New Roman" w:hAnsi="Times New Roman"/>
          <w:sz w:val="19"/>
          <w:szCs w:val="19"/>
          <w:color w:val="auto"/>
        </w:rPr>
        <w:t>•Any significant litigation, actual or threatened disputes or governmental investigations; •Any changes in management or control of the Company;</w:t>
      </w:r>
    </w:p>
    <w:p>
      <w:pPr>
        <w:ind w:left="340" w:right="520"/>
        <w:spacing w:after="0" w:line="286" w:lineRule="auto"/>
        <w:rPr>
          <w:sz w:val="20"/>
          <w:szCs w:val="20"/>
          <w:color w:val="auto"/>
        </w:rPr>
      </w:pPr>
      <w:r>
        <w:rPr>
          <w:rFonts w:ascii="Times New Roman" w:cs="Times New Roman" w:eastAsia="Times New Roman" w:hAnsi="Times New Roman"/>
          <w:sz w:val="19"/>
          <w:szCs w:val="19"/>
          <w:color w:val="auto"/>
        </w:rPr>
        <w:t>•A significant disruption in the Company’s operations or loss, potential loss, breach or unauthorized access of its property or assets, including its facilities and information technology infrastructure; and</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•Changes in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428625</wp:posOffset>
            </wp:positionV>
            <wp:extent cx="6732905" cy="406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20"/>
          </w:cols>
          <w:pgMar w:left="800" w:top="1131" w:right="680"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4"/>
          <w:szCs w:val="14"/>
          <w:b w:val="1"/>
          <w:bCs w:val="1"/>
          <w:color w:val="auto"/>
        </w:rPr>
        <w:t>Exhibit 19.1</w:t>
      </w:r>
    </w:p>
    <w:p>
      <w:pPr>
        <w:spacing w:after="0" w:line="236" w:lineRule="exact"/>
        <w:rPr>
          <w:sz w:val="20"/>
          <w:szCs w:val="20"/>
          <w:color w:val="auto"/>
        </w:rPr>
      </w:pPr>
    </w:p>
    <w:p>
      <w:pPr>
        <w:ind w:left="140" w:right="180" w:firstLine="720"/>
        <w:spacing w:after="0" w:line="262" w:lineRule="auto"/>
        <w:rPr>
          <w:sz w:val="20"/>
          <w:szCs w:val="20"/>
          <w:color w:val="auto"/>
        </w:rPr>
      </w:pPr>
      <w:r>
        <w:rPr>
          <w:rFonts w:ascii="Times New Roman" w:cs="Times New Roman" w:eastAsia="Times New Roman" w:hAnsi="Times New Roman"/>
          <w:sz w:val="19"/>
          <w:szCs w:val="19"/>
          <w:color w:val="auto"/>
        </w:rPr>
        <w:t>Until this type of material non-public inside information does become public, a Company Director, Officer or other Insiders with knowledge of it may not trade in the Company's securities. In addition, to the extent that an Insider, through his or her position obtains inside information concerning another company, the Insider may not use that information and trade in that company's securities.</w:t>
      </w:r>
    </w:p>
    <w:p>
      <w:pPr>
        <w:spacing w:after="0" w:line="18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9"/>
          <w:szCs w:val="19"/>
          <w:color w:val="auto"/>
        </w:rPr>
        <w:t>For the purpose of this Policy, information is “Non-Public” until three criteria have been satisfied:</w:t>
      </w:r>
    </w:p>
    <w:p>
      <w:pPr>
        <w:spacing w:after="0" w:line="226" w:lineRule="exact"/>
        <w:rPr>
          <w:sz w:val="20"/>
          <w:szCs w:val="20"/>
          <w:color w:val="auto"/>
        </w:rPr>
      </w:pPr>
    </w:p>
    <w:p>
      <w:pPr>
        <w:ind w:right="20" w:firstLine="96"/>
        <w:spacing w:after="0" w:line="286" w:lineRule="auto"/>
        <w:rPr>
          <w:sz w:val="20"/>
          <w:szCs w:val="20"/>
          <w:color w:val="auto"/>
        </w:rPr>
      </w:pPr>
      <w:r>
        <w:rPr>
          <w:rFonts w:ascii="Times New Roman" w:cs="Times New Roman" w:eastAsia="Times New Roman" w:hAnsi="Times New Roman"/>
          <w:sz w:val="19"/>
          <w:szCs w:val="19"/>
          <w:color w:val="auto"/>
        </w:rPr>
        <w:t>First, the information must have been widely disseminated. Insiders should assume that information has NOT been widely disseminated unless one or more of the following has occurred:</w:t>
      </w:r>
    </w:p>
    <w:p>
      <w:pPr>
        <w:spacing w:after="0" w:line="31" w:lineRule="exact"/>
        <w:rPr>
          <w:sz w:val="20"/>
          <w:szCs w:val="20"/>
          <w:color w:val="auto"/>
        </w:rPr>
      </w:pPr>
    </w:p>
    <w:p>
      <w:pPr>
        <w:ind w:left="960" w:right="3060"/>
        <w:spacing w:after="0" w:line="356" w:lineRule="auto"/>
        <w:rPr>
          <w:sz w:val="20"/>
          <w:szCs w:val="20"/>
          <w:color w:val="auto"/>
        </w:rPr>
      </w:pPr>
      <w:r>
        <w:rPr>
          <w:rFonts w:ascii="Times New Roman" w:cs="Times New Roman" w:eastAsia="Times New Roman" w:hAnsi="Times New Roman"/>
          <w:sz w:val="19"/>
          <w:szCs w:val="19"/>
          <w:color w:val="auto"/>
        </w:rPr>
        <w:t>oit has been carried in a “financial” news service such as the Dow Jones Broad Tape; oit has been carried in a “general” news service such as the Associated Press; oit has been carried by a national television news service and/or;</w:t>
      </w:r>
    </w:p>
    <w:p>
      <w:pPr>
        <w:ind w:left="960"/>
        <w:spacing w:after="0"/>
        <w:rPr>
          <w:sz w:val="20"/>
          <w:szCs w:val="20"/>
          <w:color w:val="auto"/>
        </w:rPr>
      </w:pPr>
      <w:r>
        <w:rPr>
          <w:rFonts w:ascii="Times New Roman" w:cs="Times New Roman" w:eastAsia="Times New Roman" w:hAnsi="Times New Roman"/>
          <w:sz w:val="19"/>
          <w:szCs w:val="19"/>
          <w:color w:val="auto"/>
        </w:rPr>
        <w:t>oit has appeared in a filing with the SEC.</w:t>
      </w:r>
    </w:p>
    <w:p>
      <w:pPr>
        <w:spacing w:after="0" w:line="226" w:lineRule="exact"/>
        <w:rPr>
          <w:sz w:val="20"/>
          <w:szCs w:val="20"/>
          <w:color w:val="auto"/>
        </w:rPr>
      </w:pPr>
    </w:p>
    <w:p>
      <w:pPr>
        <w:ind w:left="140" w:right="140" w:firstLine="720"/>
        <w:spacing w:after="0" w:line="268" w:lineRule="auto"/>
        <w:rPr>
          <w:sz w:val="20"/>
          <w:szCs w:val="20"/>
          <w:color w:val="auto"/>
        </w:rPr>
      </w:pPr>
      <w:r>
        <w:rPr>
          <w:rFonts w:ascii="Times New Roman" w:cs="Times New Roman" w:eastAsia="Times New Roman" w:hAnsi="Times New Roman"/>
          <w:sz w:val="19"/>
          <w:szCs w:val="19"/>
          <w:color w:val="auto"/>
        </w:rPr>
        <w:t>Second, the information disseminated must be some form of “official” announcement. In other words, the fact that rumors, speculation, or statements attributed to unidentified sources are public is insufficient to be considered widely disseminated even when the information is accurate.</w:t>
      </w:r>
    </w:p>
    <w:p>
      <w:pPr>
        <w:spacing w:after="0" w:line="144" w:lineRule="exact"/>
        <w:rPr>
          <w:sz w:val="20"/>
          <w:szCs w:val="20"/>
          <w:color w:val="auto"/>
        </w:rPr>
      </w:pPr>
    </w:p>
    <w:p>
      <w:pPr>
        <w:ind w:left="140" w:right="360" w:firstLine="720"/>
        <w:spacing w:after="0" w:line="262" w:lineRule="auto"/>
        <w:rPr>
          <w:sz w:val="20"/>
          <w:szCs w:val="20"/>
          <w:color w:val="auto"/>
        </w:rPr>
      </w:pPr>
      <w:r>
        <w:rPr>
          <w:rFonts w:ascii="Times New Roman" w:cs="Times New Roman" w:eastAsia="Times New Roman" w:hAnsi="Times New Roman"/>
          <w:sz w:val="19"/>
          <w:szCs w:val="19"/>
          <w:color w:val="auto"/>
        </w:rPr>
        <w:t>Third, after the information has been disseminated, a period of time must pass sufficient for the information to be assimilated by the general public. As a general rule, at least 48 hours (several of which must be hours during which NASDAQ is open for trading) must elapse between the dissemination of information in a national news medium and when that information may be considered public.</w:t>
      </w:r>
    </w:p>
    <w:p>
      <w:pPr>
        <w:spacing w:after="0" w:line="148" w:lineRule="exact"/>
        <w:rPr>
          <w:sz w:val="20"/>
          <w:szCs w:val="20"/>
          <w:color w:val="auto"/>
        </w:rPr>
      </w:pPr>
    </w:p>
    <w:p>
      <w:pPr>
        <w:ind w:left="140" w:right="220" w:firstLine="720"/>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Periods During Which Trading is Not Permitted - </w:t>
      </w:r>
      <w:r>
        <w:rPr>
          <w:rFonts w:ascii="Times New Roman" w:cs="Times New Roman" w:eastAsia="Times New Roman" w:hAnsi="Times New Roman"/>
          <w:sz w:val="19"/>
          <w:szCs w:val="19"/>
          <w:color w:val="auto"/>
        </w:rPr>
        <w:t>Even after non-public information is disclosed, an Insider must wait until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 sufficient time has passed before trading in the Company's securities. This is to permit the market (and investors) to digest and to make their own investment decisions with knowledge of the information.</w:t>
      </w:r>
    </w:p>
    <w:p>
      <w:pPr>
        <w:spacing w:after="0" w:line="180" w:lineRule="exact"/>
        <w:rPr>
          <w:sz w:val="20"/>
          <w:szCs w:val="20"/>
          <w:color w:val="auto"/>
        </w:rPr>
      </w:pPr>
    </w:p>
    <w:p>
      <w:pPr>
        <w:ind w:left="140" w:right="960" w:firstLine="732"/>
        <w:spacing w:after="0" w:line="288" w:lineRule="auto"/>
        <w:rPr>
          <w:sz w:val="20"/>
          <w:szCs w:val="20"/>
          <w:color w:val="auto"/>
        </w:rPr>
      </w:pPr>
      <w:r>
        <w:rPr>
          <w:rFonts w:ascii="Times New Roman" w:cs="Times New Roman" w:eastAsia="Times New Roman" w:hAnsi="Times New Roman"/>
          <w:sz w:val="19"/>
          <w:szCs w:val="19"/>
          <w:color w:val="auto"/>
        </w:rPr>
        <w:t>Accordingly, the Company has adopted a policy that an Insider who is not otherwise in possession of undisclosed material information may only purchase or sell the Company's stock during the period</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9"/>
          <w:szCs w:val="19"/>
          <w:color w:val="auto"/>
        </w:rPr>
        <w:t>:</w:t>
      </w:r>
    </w:p>
    <w:p>
      <w:pPr>
        <w:spacing w:after="0" w:line="159" w:lineRule="exact"/>
        <w:rPr>
          <w:sz w:val="20"/>
          <w:szCs w:val="20"/>
          <w:color w:val="auto"/>
        </w:rPr>
      </w:pPr>
    </w:p>
    <w:p>
      <w:pPr>
        <w:ind w:left="480" w:right="220"/>
        <w:spacing w:after="0" w:line="268" w:lineRule="auto"/>
        <w:rPr>
          <w:sz w:val="20"/>
          <w:szCs w:val="20"/>
          <w:color w:val="auto"/>
        </w:rPr>
      </w:pPr>
      <w:r>
        <w:rPr>
          <w:rFonts w:ascii="Times New Roman" w:cs="Times New Roman" w:eastAsia="Times New Roman" w:hAnsi="Times New Roman"/>
          <w:sz w:val="19"/>
          <w:szCs w:val="19"/>
          <w:color w:val="auto"/>
        </w:rPr>
        <w:t>1.Commencing on the third business day after the filing of the Company’s quarterly financial statements (10 -Q) and for a period ending at 4:01 p.m. Eastern Time on the seventh business day prior to the Company’s next succeeding fiscal quarter or year, assuming that no material nonpublic information has been obtained in the meantime; or</w:t>
      </w:r>
    </w:p>
    <w:p>
      <w:pPr>
        <w:spacing w:after="0" w:line="276" w:lineRule="exact"/>
        <w:rPr>
          <w:sz w:val="20"/>
          <w:szCs w:val="20"/>
          <w:color w:val="auto"/>
        </w:rPr>
      </w:pPr>
    </w:p>
    <w:p>
      <w:pPr>
        <w:ind w:left="480" w:right="20"/>
        <w:spacing w:after="0" w:line="268" w:lineRule="auto"/>
        <w:rPr>
          <w:sz w:val="20"/>
          <w:szCs w:val="20"/>
          <w:color w:val="auto"/>
        </w:rPr>
      </w:pPr>
      <w:r>
        <w:rPr>
          <w:rFonts w:ascii="Times New Roman" w:cs="Times New Roman" w:eastAsia="Times New Roman" w:hAnsi="Times New Roman"/>
          <w:sz w:val="19"/>
          <w:szCs w:val="19"/>
          <w:color w:val="auto"/>
        </w:rPr>
        <w:t>2.Commencing on the third business day after the filing of the Company’s annual financial statements (10-K) and for a period ending at 4:01 p.m. Eastern Time on the seventh business day prior to the Company’s next succeeding fiscal quarter, assuming that no material nonpublic information has been obtained in the meantime.</w:t>
      </w:r>
    </w:p>
    <w:p>
      <w:pPr>
        <w:spacing w:after="0" w:line="276" w:lineRule="exact"/>
        <w:rPr>
          <w:sz w:val="20"/>
          <w:szCs w:val="20"/>
          <w:color w:val="auto"/>
        </w:rPr>
      </w:pPr>
    </w:p>
    <w:p>
      <w:pPr>
        <w:ind w:left="480" w:right="340"/>
        <w:spacing w:after="0" w:line="286" w:lineRule="auto"/>
        <w:rPr>
          <w:sz w:val="20"/>
          <w:szCs w:val="20"/>
          <w:color w:val="auto"/>
        </w:rPr>
      </w:pPr>
      <w:r>
        <w:rPr>
          <w:rFonts w:ascii="Times New Roman" w:cs="Times New Roman" w:eastAsia="Times New Roman" w:hAnsi="Times New Roman"/>
          <w:sz w:val="19"/>
          <w:szCs w:val="19"/>
          <w:color w:val="auto"/>
        </w:rPr>
        <w:t>3.On a quarter -by-quarter basis, the trading window as defined above may be extended for a specified amount of time upon the discretion and approval by a majority of the Board of Directors and a majority of Independent Directors.</w:t>
      </w:r>
    </w:p>
    <w:p>
      <w:pPr>
        <w:spacing w:after="0" w:line="260" w:lineRule="exact"/>
        <w:rPr>
          <w:sz w:val="20"/>
          <w:szCs w:val="20"/>
          <w:color w:val="auto"/>
        </w:rPr>
      </w:pPr>
    </w:p>
    <w:p>
      <w:pPr>
        <w:ind w:left="840" w:right="460" w:hanging="762"/>
        <w:spacing w:after="0" w:line="210" w:lineRule="auto"/>
        <w:tabs>
          <w:tab w:leader="none" w:pos="183"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Absent an active 10b5-1 trading plan, an employee, officer or director may only change the dividend reinvestment election of Company shares during the open trading window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106" w:name="page107"/>
    <w:bookmarkEnd w:id="106"/>
    <w:p>
      <w:pPr>
        <w:ind w:left="9820"/>
        <w:spacing w:after="0"/>
        <w:rPr>
          <w:sz w:val="20"/>
          <w:szCs w:val="20"/>
          <w:color w:val="auto"/>
        </w:rPr>
      </w:pPr>
      <w:r>
        <w:rPr>
          <w:rFonts w:ascii="Times New Roman" w:cs="Times New Roman" w:eastAsia="Times New Roman" w:hAnsi="Times New Roman"/>
          <w:sz w:val="14"/>
          <w:szCs w:val="14"/>
          <w:b w:val="1"/>
          <w:bCs w:val="1"/>
          <w:color w:val="auto"/>
        </w:rPr>
        <w:t>Exhibit 19.1</w:t>
      </w:r>
    </w:p>
    <w:p>
      <w:pPr>
        <w:spacing w:after="0" w:line="188" w:lineRule="exact"/>
        <w:rPr>
          <w:sz w:val="20"/>
          <w:szCs w:val="20"/>
          <w:color w:val="auto"/>
        </w:rPr>
      </w:pPr>
    </w:p>
    <w:p>
      <w:pPr>
        <w:ind w:right="160" w:firstLine="84"/>
        <w:spacing w:after="0" w:line="286" w:lineRule="auto"/>
        <w:rPr>
          <w:sz w:val="20"/>
          <w:szCs w:val="20"/>
          <w:color w:val="auto"/>
        </w:rPr>
      </w:pPr>
      <w:r>
        <w:rPr>
          <w:rFonts w:ascii="Times New Roman" w:cs="Times New Roman" w:eastAsia="Times New Roman" w:hAnsi="Times New Roman"/>
          <w:sz w:val="19"/>
          <w:szCs w:val="19"/>
          <w:color w:val="auto"/>
        </w:rPr>
        <w:t>The Company reserves the right to shorten or void the open window period if it believes that the Company is in possession of material nonpublic information at the time.</w:t>
      </w:r>
    </w:p>
    <w:p>
      <w:pPr>
        <w:spacing w:after="0" w:line="183" w:lineRule="exact"/>
        <w:rPr>
          <w:sz w:val="20"/>
          <w:szCs w:val="20"/>
          <w:color w:val="auto"/>
        </w:rPr>
      </w:pPr>
    </w:p>
    <w:p>
      <w:pPr>
        <w:ind w:left="140" w:right="120" w:firstLine="708"/>
        <w:spacing w:after="0" w:line="270" w:lineRule="auto"/>
        <w:rPr>
          <w:sz w:val="20"/>
          <w:szCs w:val="20"/>
          <w:color w:val="auto"/>
        </w:rPr>
      </w:pPr>
      <w:r>
        <w:rPr>
          <w:rFonts w:ascii="Times New Roman" w:cs="Times New Roman" w:eastAsia="Times New Roman" w:hAnsi="Times New Roman"/>
          <w:sz w:val="19"/>
          <w:szCs w:val="19"/>
          <w:b w:val="1"/>
          <w:bCs w:val="1"/>
          <w:i w:val="1"/>
          <w:iCs w:val="1"/>
          <w:color w:val="auto"/>
        </w:rPr>
        <w:t>Given the limitations on trading outlined herein and the potential difficulty in the interpretative nature of the guidance, if an employee, officer or director wishes to trade in the Company’s securities or stock, such transactions must be pre-approved by CCO’s Office as per the Company’s Trading Pre-Approval Procedures.</w:t>
      </w:r>
    </w:p>
    <w:p>
      <w:pPr>
        <w:spacing w:after="0" w:line="345" w:lineRule="exact"/>
        <w:rPr>
          <w:sz w:val="20"/>
          <w:szCs w:val="20"/>
          <w:color w:val="auto"/>
        </w:rPr>
      </w:pPr>
    </w:p>
    <w:p>
      <w:pPr>
        <w:ind w:left="140" w:right="340" w:firstLine="720"/>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The securities trading policy at the Company is clear – any individual who believes they have individual knowledge of material nonpublic information is precluded from trading even during the open window period. </w:t>
      </w:r>
      <w:r>
        <w:rPr>
          <w:rFonts w:ascii="Times New Roman" w:cs="Times New Roman" w:eastAsia="Times New Roman" w:hAnsi="Times New Roman"/>
          <w:sz w:val="19"/>
          <w:szCs w:val="19"/>
          <w:color w:val="auto"/>
        </w:rPr>
        <w:t>Furthermore, if you have material,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nonpublic information, do not "tip" or disclose such information to others. Violations of this policy should be reported to our CCO, your supervisor or a senior officer of the Company.</w:t>
      </w:r>
    </w:p>
    <w:p>
      <w:pPr>
        <w:spacing w:after="0" w:line="183" w:lineRule="exact"/>
        <w:rPr>
          <w:sz w:val="20"/>
          <w:szCs w:val="20"/>
          <w:color w:val="auto"/>
        </w:rPr>
      </w:pPr>
    </w:p>
    <w:p>
      <w:pPr>
        <w:ind w:left="140" w:right="80" w:firstLine="708"/>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"Tipper" and "Tippee" Liability </w:t>
      </w:r>
      <w:r>
        <w:rPr>
          <w:rFonts w:ascii="Times New Roman" w:cs="Times New Roman" w:eastAsia="Times New Roman" w:hAnsi="Times New Roman"/>
          <w:sz w:val="19"/>
          <w:szCs w:val="19"/>
          <w:color w:val="auto"/>
        </w:rPr>
        <w:t>- Not only are insiders forbidden to use undisclosed material information about the Company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to trade in securities for their own advantage, but they may not give such information to an outsider for the purpose of trading. An outsider can include friends, business associates, a spouse or a family member. Both the tipper and tippee can be held liable for violations of this kind (see separate guidelines under the Company’s Regulation FD Policy under the Compliance Manual).</w:t>
      </w:r>
    </w:p>
    <w:p>
      <w:pPr>
        <w:spacing w:after="0" w:line="183" w:lineRule="exact"/>
        <w:rPr>
          <w:sz w:val="20"/>
          <w:szCs w:val="20"/>
          <w:color w:val="auto"/>
        </w:rPr>
      </w:pPr>
    </w:p>
    <w:p>
      <w:pPr>
        <w:ind w:left="140" w:right="100" w:firstLine="720"/>
        <w:spacing w:after="0" w:line="255" w:lineRule="auto"/>
        <w:rPr>
          <w:sz w:val="20"/>
          <w:szCs w:val="20"/>
          <w:color w:val="auto"/>
        </w:rPr>
      </w:pPr>
      <w:r>
        <w:rPr>
          <w:rFonts w:ascii="Times New Roman" w:cs="Times New Roman" w:eastAsia="Times New Roman" w:hAnsi="Times New Roman"/>
          <w:sz w:val="19"/>
          <w:szCs w:val="19"/>
          <w:i w:val="1"/>
          <w:iCs w:val="1"/>
          <w:color w:val="auto"/>
        </w:rPr>
        <w:t xml:space="preserve">Proprietary Information </w:t>
      </w:r>
      <w:r>
        <w:rPr>
          <w:rFonts w:ascii="Times New Roman" w:cs="Times New Roman" w:eastAsia="Times New Roman" w:hAnsi="Times New Roman"/>
          <w:sz w:val="19"/>
          <w:szCs w:val="19"/>
          <w:color w:val="auto"/>
        </w:rPr>
        <w:t>- The Company, like most businesses, has developed and continues to develop proprietary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confidential information. In the course of business operations, you may become aware of proprietary, confidential or other nonpublic information regarding the Company. You may not disclose or otherwise use any proprietary, confidential or nonpublic information of any kind acquired as a result of your association with the Company except, of course, for or on behalf of the Company. This obligation applies whether that information relates to the Company (including its affiliates) or another organization (such as a consumer or lender) and continues even after you are no longer associated with the Company. If you have a question as to whether information is proprietary, confidential or nonpublic, you must contact our CCO. You must abstain from disclosing or otherwise using such information until you are informed that its disclosure or other use is permitted.</w:t>
      </w:r>
    </w:p>
    <w:p>
      <w:pPr>
        <w:spacing w:after="0" w:line="198" w:lineRule="exact"/>
        <w:rPr>
          <w:sz w:val="20"/>
          <w:szCs w:val="20"/>
          <w:color w:val="auto"/>
        </w:rPr>
      </w:pPr>
    </w:p>
    <w:p>
      <w:pPr>
        <w:ind w:left="140" w:right="240" w:firstLine="720"/>
        <w:spacing w:after="0" w:line="259" w:lineRule="auto"/>
        <w:rPr>
          <w:sz w:val="20"/>
          <w:szCs w:val="20"/>
          <w:color w:val="auto"/>
        </w:rPr>
      </w:pPr>
      <w:r>
        <w:rPr>
          <w:rFonts w:ascii="Times New Roman" w:cs="Times New Roman" w:eastAsia="Times New Roman" w:hAnsi="Times New Roman"/>
          <w:sz w:val="19"/>
          <w:szCs w:val="19"/>
          <w:color w:val="auto"/>
        </w:rPr>
        <w:t xml:space="preserve">Further, if someone from outside the Company, such as the news media or a securities analyst or stockholder, asks you questions relating to our business, policies or practices, either directly or through another person, do not answer them. Instead, refer media inquiries to the Company’s CEO, CFO or their designated investor relations proxy (Authorized &amp; Designated Spokespersons) and investor and analyst inquiries to our Chief Financial Officer (see separate guidelines under the Company’s </w:t>
      </w:r>
      <w:r>
        <w:rPr>
          <w:rFonts w:ascii="Times New Roman" w:cs="Times New Roman" w:eastAsia="Times New Roman" w:hAnsi="Times New Roman"/>
          <w:sz w:val="19"/>
          <w:szCs w:val="19"/>
          <w:i w:val="1"/>
          <w:iCs w:val="1"/>
          <w:color w:val="auto"/>
        </w:rPr>
        <w:t>Regulation FD &amp;</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Press Relations Policy </w:t>
      </w:r>
      <w:r>
        <w:rPr>
          <w:rFonts w:ascii="Times New Roman" w:cs="Times New Roman" w:eastAsia="Times New Roman" w:hAnsi="Times New Roman"/>
          <w:sz w:val="19"/>
          <w:szCs w:val="19"/>
          <w:color w:val="auto"/>
        </w:rPr>
        <w:t>under the Corporate Governance section of the Policies and Procedures manual).</w:t>
      </w:r>
    </w:p>
    <w:p>
      <w:pPr>
        <w:spacing w:after="0" w:line="190" w:lineRule="exact"/>
        <w:rPr>
          <w:sz w:val="20"/>
          <w:szCs w:val="20"/>
          <w:color w:val="auto"/>
        </w:rPr>
      </w:pPr>
    </w:p>
    <w:p>
      <w:pPr>
        <w:ind w:left="140" w:right="400" w:firstLine="720"/>
        <w:spacing w:after="0" w:line="262" w:lineRule="auto"/>
        <w:rPr>
          <w:sz w:val="20"/>
          <w:szCs w:val="20"/>
          <w:color w:val="auto"/>
        </w:rPr>
      </w:pPr>
      <w:r>
        <w:rPr>
          <w:rFonts w:ascii="Times New Roman" w:cs="Times New Roman" w:eastAsia="Times New Roman" w:hAnsi="Times New Roman"/>
          <w:sz w:val="19"/>
          <w:szCs w:val="19"/>
          <w:color w:val="auto"/>
        </w:rPr>
        <w:t>A significant concept of the federal securities laws (part of Rule 10b-5 of the 1934 Securities Exchange Act) prohibits corporate insiders in possession of material non-public information with respect to their company from engaging in transactions in its securities. If the information involves another company (such as in a merger situation), an insider may not trade in that other company's securities as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1569720</wp:posOffset>
            </wp:positionV>
            <wp:extent cx="6732905" cy="406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4"/>
          <w:szCs w:val="14"/>
          <w:b w:val="1"/>
          <w:bCs w:val="1"/>
          <w:color w:val="auto"/>
        </w:rPr>
        <w:t>Exhibit 19.1</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w:t>
      </w:r>
      <w:r>
        <w:rPr>
          <w:rFonts w:ascii="Times New Roman" w:cs="Times New Roman" w:eastAsia="Times New Roman" w:hAnsi="Times New Roman"/>
          <w:sz w:val="13"/>
          <w:szCs w:val="13"/>
          <w:b w:val="1"/>
          <w:bCs w:val="1"/>
          <w:color w:val="auto"/>
        </w:rPr>
        <w:t>MPLEMENTATION OF A</w:t>
      </w:r>
      <w:r>
        <w:rPr>
          <w:rFonts w:ascii="Times New Roman" w:cs="Times New Roman" w:eastAsia="Times New Roman" w:hAnsi="Times New Roman"/>
          <w:sz w:val="19"/>
          <w:szCs w:val="19"/>
          <w:b w:val="1"/>
          <w:bCs w:val="1"/>
          <w:color w:val="auto"/>
        </w:rPr>
        <w:t xml:space="preserve"> 10</w:t>
      </w:r>
      <w:r>
        <w:rPr>
          <w:rFonts w:ascii="Times New Roman" w:cs="Times New Roman" w:eastAsia="Times New Roman" w:hAnsi="Times New Roman"/>
          <w:sz w:val="13"/>
          <w:szCs w:val="13"/>
          <w:b w:val="1"/>
          <w:bCs w:val="1"/>
          <w:color w:val="auto"/>
        </w:rPr>
        <w:t>B</w:t>
      </w:r>
      <w:r>
        <w:rPr>
          <w:rFonts w:ascii="Times New Roman" w:cs="Times New Roman" w:eastAsia="Times New Roman" w:hAnsi="Times New Roman"/>
          <w:sz w:val="19"/>
          <w:szCs w:val="19"/>
          <w:b w:val="1"/>
          <w:bCs w:val="1"/>
          <w:color w:val="auto"/>
        </w:rPr>
        <w:t>5-1 P</w:t>
      </w:r>
      <w:r>
        <w:rPr>
          <w:rFonts w:ascii="Times New Roman" w:cs="Times New Roman" w:eastAsia="Times New Roman" w:hAnsi="Times New Roman"/>
          <w:sz w:val="13"/>
          <w:szCs w:val="13"/>
          <w:b w:val="1"/>
          <w:bCs w:val="1"/>
          <w:color w:val="auto"/>
        </w:rPr>
        <w:t>LAN FOR</w:t>
      </w:r>
      <w:r>
        <w:rPr>
          <w:rFonts w:ascii="Times New Roman" w:cs="Times New Roman" w:eastAsia="Times New Roman" w:hAnsi="Times New Roman"/>
          <w:sz w:val="19"/>
          <w:szCs w:val="19"/>
          <w:b w:val="1"/>
          <w:bCs w:val="1"/>
          <w:color w:val="auto"/>
        </w:rPr>
        <w:t xml:space="preserve"> S</w:t>
      </w:r>
      <w:r>
        <w:rPr>
          <w:rFonts w:ascii="Times New Roman" w:cs="Times New Roman" w:eastAsia="Times New Roman" w:hAnsi="Times New Roman"/>
          <w:sz w:val="13"/>
          <w:szCs w:val="13"/>
          <w:b w:val="1"/>
          <w:bCs w:val="1"/>
          <w:color w:val="auto"/>
        </w:rPr>
        <w:t>ENIOR</w:t>
      </w:r>
      <w:r>
        <w:rPr>
          <w:rFonts w:ascii="Times New Roman" w:cs="Times New Roman" w:eastAsia="Times New Roman" w:hAnsi="Times New Roman"/>
          <w:sz w:val="19"/>
          <w:szCs w:val="19"/>
          <w:b w:val="1"/>
          <w:bCs w:val="1"/>
          <w:color w:val="auto"/>
        </w:rPr>
        <w:t xml:space="preserve"> E</w:t>
      </w:r>
      <w:r>
        <w:rPr>
          <w:rFonts w:ascii="Times New Roman" w:cs="Times New Roman" w:eastAsia="Times New Roman" w:hAnsi="Times New Roman"/>
          <w:sz w:val="13"/>
          <w:szCs w:val="13"/>
          <w:b w:val="1"/>
          <w:bCs w:val="1"/>
          <w:color w:val="auto"/>
        </w:rPr>
        <w:t>XECUTIVES AND</w:t>
      </w:r>
      <w:r>
        <w:rPr>
          <w:rFonts w:ascii="Times New Roman" w:cs="Times New Roman" w:eastAsia="Times New Roman" w:hAnsi="Times New Roman"/>
          <w:sz w:val="19"/>
          <w:szCs w:val="19"/>
          <w:b w:val="1"/>
          <w:bCs w:val="1"/>
          <w:color w:val="auto"/>
        </w:rPr>
        <w:t xml:space="preserve"> D</w:t>
      </w:r>
      <w:r>
        <w:rPr>
          <w:rFonts w:ascii="Times New Roman" w:cs="Times New Roman" w:eastAsia="Times New Roman" w:hAnsi="Times New Roman"/>
          <w:sz w:val="13"/>
          <w:szCs w:val="13"/>
          <w:b w:val="1"/>
          <w:bCs w:val="1"/>
          <w:color w:val="auto"/>
        </w:rPr>
        <w:t>IRECTORS</w:t>
      </w:r>
    </w:p>
    <w:p>
      <w:pPr>
        <w:spacing w:after="0" w:line="205" w:lineRule="exact"/>
        <w:rPr>
          <w:sz w:val="20"/>
          <w:szCs w:val="20"/>
          <w:color w:val="auto"/>
        </w:rPr>
      </w:pPr>
    </w:p>
    <w:p>
      <w:pPr>
        <w:ind w:right="300" w:firstLine="720"/>
        <w:spacing w:after="0" w:line="286" w:lineRule="auto"/>
        <w:rPr>
          <w:sz w:val="20"/>
          <w:szCs w:val="20"/>
          <w:color w:val="auto"/>
        </w:rPr>
      </w:pPr>
      <w:r>
        <w:rPr>
          <w:rFonts w:ascii="Times New Roman" w:cs="Times New Roman" w:eastAsia="Times New Roman" w:hAnsi="Times New Roman"/>
          <w:sz w:val="19"/>
          <w:szCs w:val="19"/>
          <w:color w:val="auto"/>
        </w:rPr>
        <w:t>An Insider may adopt a 10b5-1 trading plan, subject to pre- approval thereof by the Company. A properly executed 10b5-1 plan allows Insiders (including the Company) to trade (buy and sell) the Company’s shares even during black-out periods.</w:t>
      </w:r>
    </w:p>
    <w:p>
      <w:pPr>
        <w:spacing w:after="0" w:line="163" w:lineRule="exact"/>
        <w:rPr>
          <w:sz w:val="20"/>
          <w:szCs w:val="20"/>
          <w:color w:val="auto"/>
        </w:rPr>
      </w:pPr>
    </w:p>
    <w:p>
      <w:pPr>
        <w:ind w:right="960" w:firstLine="720"/>
        <w:spacing w:after="0" w:line="286" w:lineRule="auto"/>
        <w:rPr>
          <w:sz w:val="20"/>
          <w:szCs w:val="20"/>
          <w:color w:val="auto"/>
        </w:rPr>
      </w:pPr>
      <w:r>
        <w:rPr>
          <w:rFonts w:ascii="Times New Roman" w:cs="Times New Roman" w:eastAsia="Times New Roman" w:hAnsi="Times New Roman"/>
          <w:sz w:val="19"/>
          <w:szCs w:val="19"/>
          <w:color w:val="auto"/>
        </w:rPr>
        <w:t>Rule 10b5-1 was adopted by the SEC in August 2000 to clarify what constitutes trading “on the basis of” material nonpublic information in insider trading cases brought under the federal securities laws. .</w:t>
      </w:r>
    </w:p>
    <w:p>
      <w:pPr>
        <w:spacing w:after="0" w:line="161" w:lineRule="exact"/>
        <w:rPr>
          <w:sz w:val="20"/>
          <w:szCs w:val="20"/>
          <w:color w:val="auto"/>
        </w:rPr>
      </w:pPr>
    </w:p>
    <w:p>
      <w:pPr>
        <w:jc w:val="both"/>
        <w:ind w:right="660" w:firstLine="744"/>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General Rule – “Awareness” </w:t>
      </w:r>
      <w:r>
        <w:rPr>
          <w:rFonts w:ascii="Times New Roman" w:cs="Times New Roman" w:eastAsia="Times New Roman" w:hAnsi="Times New Roman"/>
          <w:sz w:val="19"/>
          <w:szCs w:val="19"/>
          <w:color w:val="auto"/>
        </w:rPr>
        <w:t>- Rule 10b5-1 was designed in part to make it easier for the SEC to prosecute claims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illegal insider trader and generally provides that a person need only be aware of material nonpublic information at the time of a purchase or sale – rather than actually use such information – to be liable for securities fraud.</w:t>
      </w:r>
    </w:p>
    <w:p>
      <w:pPr>
        <w:spacing w:after="0" w:line="178" w:lineRule="exact"/>
        <w:rPr>
          <w:sz w:val="20"/>
          <w:szCs w:val="20"/>
          <w:color w:val="auto"/>
        </w:rPr>
      </w:pPr>
    </w:p>
    <w:p>
      <w:pPr>
        <w:ind w:right="200" w:firstLine="720"/>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Affirmative Defense for Predetermined Trading Plans Rule </w:t>
      </w:r>
      <w:r>
        <w:rPr>
          <w:rFonts w:ascii="Times New Roman" w:cs="Times New Roman" w:eastAsia="Times New Roman" w:hAnsi="Times New Roman"/>
          <w:sz w:val="19"/>
          <w:szCs w:val="19"/>
          <w:color w:val="auto"/>
        </w:rPr>
        <w:t>- 10b5-1 goes on, however, to provide an affirmative defense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claims of trading on the basis of material nonpublic information. </w:t>
      </w:r>
      <w:r>
        <w:rPr>
          <w:rFonts w:ascii="Times New Roman" w:cs="Times New Roman" w:eastAsia="Times New Roman" w:hAnsi="Times New Roman"/>
          <w:sz w:val="19"/>
          <w:szCs w:val="19"/>
          <w:i w:val="1"/>
          <w:iCs w:val="1"/>
          <w:color w:val="auto"/>
        </w:rPr>
        <w:t>The rule expressly provides that a corporate insider may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buy or sell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securities while in possession of material nonpublic information </w:t>
      </w:r>
      <w:r>
        <w:rPr>
          <w:rFonts w:ascii="Times New Roman" w:cs="Times New Roman" w:eastAsia="Times New Roman" w:hAnsi="Times New Roman"/>
          <w:sz w:val="19"/>
          <w:szCs w:val="19"/>
          <w:color w:val="auto"/>
        </w:rPr>
        <w:t>– without being deemed to have traded on the basis of such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information – so long as the insider can demonstrate that the trades were made pursuant to a </w:t>
      </w:r>
      <w:r>
        <w:rPr>
          <w:rFonts w:ascii="Times New Roman" w:cs="Times New Roman" w:eastAsia="Times New Roman" w:hAnsi="Times New Roman"/>
          <w:sz w:val="19"/>
          <w:szCs w:val="19"/>
          <w:i w:val="1"/>
          <w:iCs w:val="1"/>
          <w:color w:val="auto"/>
        </w:rPr>
        <w:t>predetermined trading plan</w:t>
      </w:r>
      <w:r>
        <w:rPr>
          <w:rFonts w:ascii="Times New Roman" w:cs="Times New Roman" w:eastAsia="Times New Roman" w:hAnsi="Times New Roman"/>
          <w:sz w:val="19"/>
          <w:szCs w:val="19"/>
          <w:color w:val="auto"/>
        </w:rPr>
        <w:t xml:space="preserve"> put into place before the insider became aware of the information.</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The SEC’s adoption of the Rule 10b5-1 affirmative defense provides many benefits for both corporate insiders and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Company:</w:t>
      </w:r>
    </w:p>
    <w:p>
      <w:pPr>
        <w:spacing w:after="0" w:line="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•Increased protection from insider trading liability</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•Flexibility to trade securities on a predictable and consistent basis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•Despite possession of material nonpublic information</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•Despite closed trading windows</w:t>
      </w:r>
    </w:p>
    <w:p>
      <w:pPr>
        <w:spacing w:after="0" w:line="106" w:lineRule="exact"/>
        <w:rPr>
          <w:sz w:val="20"/>
          <w:szCs w:val="20"/>
          <w:color w:val="auto"/>
        </w:rPr>
      </w:pPr>
    </w:p>
    <w:p>
      <w:pPr>
        <w:ind w:left="340" w:right="4800"/>
        <w:spacing w:after="0" w:line="367" w:lineRule="auto"/>
        <w:rPr>
          <w:sz w:val="20"/>
          <w:szCs w:val="20"/>
          <w:color w:val="auto"/>
        </w:rPr>
      </w:pPr>
      <w:r>
        <w:rPr>
          <w:rFonts w:ascii="Times New Roman" w:cs="Times New Roman" w:eastAsia="Times New Roman" w:hAnsi="Times New Roman"/>
          <w:sz w:val="19"/>
          <w:szCs w:val="19"/>
          <w:color w:val="auto"/>
        </w:rPr>
        <w:t>•Despite blackout periods (subject to any issuer-imposed conditions) •Mitigates negative inferences associated with insider stock sales •Convenience of putting a portfolio plan on auto-pilot •Discipline during volatile market fluctuations</w:t>
      </w:r>
    </w:p>
    <w:p>
      <w:pPr>
        <w:spacing w:after="0" w:line="92" w:lineRule="exact"/>
        <w:rPr>
          <w:sz w:val="20"/>
          <w:szCs w:val="20"/>
          <w:color w:val="auto"/>
        </w:rPr>
      </w:pPr>
    </w:p>
    <w:p>
      <w:pPr>
        <w:ind w:right="180" w:firstLine="708"/>
        <w:spacing w:after="0" w:line="286" w:lineRule="auto"/>
        <w:rPr>
          <w:sz w:val="20"/>
          <w:szCs w:val="20"/>
          <w:color w:val="auto"/>
        </w:rPr>
      </w:pPr>
      <w:r>
        <w:rPr>
          <w:rFonts w:ascii="Times New Roman" w:cs="Times New Roman" w:eastAsia="Times New Roman" w:hAnsi="Times New Roman"/>
          <w:sz w:val="19"/>
          <w:szCs w:val="19"/>
          <w:color w:val="auto"/>
        </w:rPr>
        <w:t>To qualify for the Rule 10b5-1 affirmative defense, a trade must be made pursuant to a predetermined trading plan which, at the outset, must:</w:t>
      </w:r>
    </w:p>
    <w:p>
      <w:pPr>
        <w:spacing w:after="0" w:line="31" w:lineRule="exact"/>
        <w:rPr>
          <w:sz w:val="20"/>
          <w:szCs w:val="20"/>
          <w:color w:val="auto"/>
        </w:rPr>
      </w:pPr>
    </w:p>
    <w:p>
      <w:pPr>
        <w:ind w:left="340" w:right="2920"/>
        <w:spacing w:after="0" w:line="356" w:lineRule="auto"/>
        <w:rPr>
          <w:sz w:val="20"/>
          <w:szCs w:val="20"/>
          <w:color w:val="auto"/>
        </w:rPr>
      </w:pPr>
      <w:r>
        <w:rPr>
          <w:rFonts w:ascii="Times New Roman" w:cs="Times New Roman" w:eastAsia="Times New Roman" w:hAnsi="Times New Roman"/>
          <w:sz w:val="19"/>
          <w:szCs w:val="19"/>
          <w:color w:val="auto"/>
        </w:rPr>
        <w:t>•Be entered into good faith and not part of a plan or scheme to evade insider trading laws; •Be adopted at a time when the insider does not possess material nonpublic information; and, •Either:</w:t>
      </w:r>
    </w:p>
    <w:p>
      <w:pPr>
        <w:ind w:left="820" w:right="340"/>
        <w:spacing w:after="0" w:line="286" w:lineRule="auto"/>
        <w:rPr>
          <w:sz w:val="20"/>
          <w:szCs w:val="20"/>
          <w:color w:val="auto"/>
        </w:rPr>
      </w:pPr>
      <w:r>
        <w:rPr>
          <w:rFonts w:ascii="Times New Roman" w:cs="Times New Roman" w:eastAsia="Times New Roman" w:hAnsi="Times New Roman"/>
          <w:sz w:val="19"/>
          <w:szCs w:val="19"/>
          <w:color w:val="auto"/>
        </w:rPr>
        <w:t>oSpecify the amount of securities to be bought or sold (shares or dollar amount), the price (market of limit or some other objective calculation), and the date (exact date or period).</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color w:val="auto"/>
        </w:rPr>
        <w:t>oInclude a written formula for determining the amount, price and date; or</w:t>
      </w:r>
    </w:p>
    <w:p>
      <w:pPr>
        <w:spacing w:after="0" w:line="106" w:lineRule="exact"/>
        <w:rPr>
          <w:sz w:val="20"/>
          <w:szCs w:val="20"/>
          <w:color w:val="auto"/>
        </w:rPr>
      </w:pPr>
    </w:p>
    <w:p>
      <w:pPr>
        <w:ind w:left="820" w:right="540"/>
        <w:spacing w:after="0" w:line="286" w:lineRule="auto"/>
        <w:rPr>
          <w:sz w:val="20"/>
          <w:szCs w:val="20"/>
          <w:color w:val="auto"/>
        </w:rPr>
      </w:pPr>
      <w:r>
        <w:rPr>
          <w:rFonts w:ascii="Times New Roman" w:cs="Times New Roman" w:eastAsia="Times New Roman" w:hAnsi="Times New Roman"/>
          <w:sz w:val="19"/>
          <w:szCs w:val="19"/>
          <w:color w:val="auto"/>
        </w:rPr>
        <w:t>oDelegate complete discretion to a third party (with no knowledge of inside information) to determine how, when and whether to effect a transaction and not permit the insider to exercise any subsequent influence.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381635</wp:posOffset>
            </wp:positionV>
            <wp:extent cx="6732905" cy="406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20"/>
          </w:cols>
          <w:pgMar w:left="800" w:top="1131" w:right="680"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4"/>
          <w:szCs w:val="14"/>
          <w:b w:val="1"/>
          <w:bCs w:val="1"/>
          <w:color w:val="auto"/>
        </w:rPr>
        <w:t>Exhibit 19.1</w:t>
      </w: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Deviations from the Plan are permitted only at times when the insider is not aware of material nonpublic information:</w:t>
      </w:r>
    </w:p>
    <w:p>
      <w:pPr>
        <w:spacing w:after="0" w:line="106" w:lineRule="exact"/>
        <w:rPr>
          <w:sz w:val="20"/>
          <w:szCs w:val="20"/>
          <w:color w:val="auto"/>
        </w:rPr>
      </w:pPr>
    </w:p>
    <w:p>
      <w:pPr>
        <w:ind w:left="340" w:right="200"/>
        <w:spacing w:after="0" w:line="286" w:lineRule="auto"/>
        <w:rPr>
          <w:sz w:val="20"/>
          <w:szCs w:val="20"/>
          <w:color w:val="auto"/>
        </w:rPr>
      </w:pPr>
      <w:r>
        <w:rPr>
          <w:rFonts w:ascii="Times New Roman" w:cs="Times New Roman" w:eastAsia="Times New Roman" w:hAnsi="Times New Roman"/>
          <w:sz w:val="19"/>
          <w:szCs w:val="19"/>
          <w:color w:val="auto"/>
        </w:rPr>
        <w:t>•Subject to Company and broker approval, an insider may make changes to a predetermined trading plan at a time when they are not aware of material nonpublic information; this will be deemed to be the creation of a new Rule 10b5-1 plan.</w:t>
      </w:r>
    </w:p>
    <w:p>
      <w:pPr>
        <w:spacing w:after="0" w:line="31" w:lineRule="exact"/>
        <w:rPr>
          <w:sz w:val="20"/>
          <w:szCs w:val="20"/>
          <w:color w:val="auto"/>
        </w:rPr>
      </w:pPr>
    </w:p>
    <w:p>
      <w:pPr>
        <w:ind w:left="340" w:right="100"/>
        <w:spacing w:after="0" w:line="286" w:lineRule="auto"/>
        <w:rPr>
          <w:sz w:val="20"/>
          <w:szCs w:val="20"/>
          <w:color w:val="auto"/>
        </w:rPr>
      </w:pPr>
      <w:r>
        <w:rPr>
          <w:rFonts w:ascii="Times New Roman" w:cs="Times New Roman" w:eastAsia="Times New Roman" w:hAnsi="Times New Roman"/>
          <w:sz w:val="19"/>
          <w:szCs w:val="19"/>
          <w:color w:val="auto"/>
        </w:rPr>
        <w:t>•If material nonpublic information is known to the insider at the original or subsequent change in the Plan, the affirmative defense is lost for subsequent trades and may be retroactively lost for trades already completed.</w:t>
      </w:r>
    </w:p>
    <w:p>
      <w:pPr>
        <w:spacing w:after="0" w:line="31" w:lineRule="exact"/>
        <w:rPr>
          <w:sz w:val="20"/>
          <w:szCs w:val="20"/>
          <w:color w:val="auto"/>
        </w:rPr>
      </w:pPr>
    </w:p>
    <w:p>
      <w:pPr>
        <w:ind w:left="340" w:right="160"/>
        <w:spacing w:after="0" w:line="286" w:lineRule="auto"/>
        <w:rPr>
          <w:sz w:val="20"/>
          <w:szCs w:val="20"/>
          <w:color w:val="auto"/>
        </w:rPr>
      </w:pPr>
      <w:r>
        <w:rPr>
          <w:rFonts w:ascii="Times New Roman" w:cs="Times New Roman" w:eastAsia="Times New Roman" w:hAnsi="Times New Roman"/>
          <w:sz w:val="19"/>
          <w:szCs w:val="19"/>
          <w:color w:val="auto"/>
        </w:rPr>
        <w:t>•The open window of opportunity to finalize new or any changes to trading parameters under a 10b5-1 plan is consistent with the periods permitted for insider trading, assuming that no material nonpublic information has been obtained in the meantime.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w:t>
      </w:r>
      <w:r>
        <w:rPr>
          <w:rFonts w:ascii="Times New Roman" w:cs="Times New Roman" w:eastAsia="Times New Roman" w:hAnsi="Times New Roman"/>
          <w:sz w:val="13"/>
          <w:szCs w:val="13"/>
          <w:b w:val="1"/>
          <w:bCs w:val="1"/>
          <w:color w:val="auto"/>
        </w:rPr>
        <w:t>EPORTING AND</w:t>
      </w:r>
      <w:r>
        <w:rPr>
          <w:rFonts w:ascii="Times New Roman" w:cs="Times New Roman" w:eastAsia="Times New Roman" w:hAnsi="Times New Roman"/>
          <w:sz w:val="19"/>
          <w:szCs w:val="19"/>
          <w:b w:val="1"/>
          <w:bCs w:val="1"/>
          <w:color w:val="auto"/>
        </w:rPr>
        <w:t xml:space="preserve"> F</w:t>
      </w:r>
      <w:r>
        <w:rPr>
          <w:rFonts w:ascii="Times New Roman" w:cs="Times New Roman" w:eastAsia="Times New Roman" w:hAnsi="Times New Roman"/>
          <w:sz w:val="13"/>
          <w:szCs w:val="13"/>
          <w:b w:val="1"/>
          <w:bCs w:val="1"/>
          <w:color w:val="auto"/>
        </w:rPr>
        <w:t>ORM</w:t>
      </w:r>
      <w:r>
        <w:rPr>
          <w:rFonts w:ascii="Times New Roman" w:cs="Times New Roman" w:eastAsia="Times New Roman" w:hAnsi="Times New Roman"/>
          <w:sz w:val="19"/>
          <w:szCs w:val="19"/>
          <w:b w:val="1"/>
          <w:bCs w:val="1"/>
          <w:color w:val="auto"/>
        </w:rPr>
        <w:t xml:space="preserve"> F</w:t>
      </w:r>
      <w:r>
        <w:rPr>
          <w:rFonts w:ascii="Times New Roman" w:cs="Times New Roman" w:eastAsia="Times New Roman" w:hAnsi="Times New Roman"/>
          <w:sz w:val="13"/>
          <w:szCs w:val="13"/>
          <w:b w:val="1"/>
          <w:bCs w:val="1"/>
          <w:color w:val="auto"/>
        </w:rPr>
        <w:t>ILING</w:t>
      </w:r>
      <w:r>
        <w:rPr>
          <w:rFonts w:ascii="Times New Roman" w:cs="Times New Roman" w:eastAsia="Times New Roman" w:hAnsi="Times New Roman"/>
          <w:sz w:val="19"/>
          <w:szCs w:val="19"/>
          <w:b w:val="1"/>
          <w:bCs w:val="1"/>
          <w:color w:val="auto"/>
        </w:rPr>
        <w:t xml:space="preserve"> R</w:t>
      </w:r>
      <w:r>
        <w:rPr>
          <w:rFonts w:ascii="Times New Roman" w:cs="Times New Roman" w:eastAsia="Times New Roman" w:hAnsi="Times New Roman"/>
          <w:sz w:val="13"/>
          <w:szCs w:val="13"/>
          <w:b w:val="1"/>
          <w:bCs w:val="1"/>
          <w:color w:val="auto"/>
        </w:rPr>
        <w:t>EQUIREMENTS</w:t>
      </w:r>
    </w:p>
    <w:p>
      <w:pPr>
        <w:spacing w:after="0" w:line="228" w:lineRule="exact"/>
        <w:rPr>
          <w:sz w:val="20"/>
          <w:szCs w:val="20"/>
          <w:color w:val="auto"/>
        </w:rPr>
      </w:pPr>
    </w:p>
    <w:p>
      <w:pPr>
        <w:ind w:right="360" w:firstLine="720"/>
        <w:spacing w:after="0" w:line="259" w:lineRule="auto"/>
        <w:rPr>
          <w:sz w:val="20"/>
          <w:szCs w:val="20"/>
          <w:color w:val="auto"/>
        </w:rPr>
      </w:pPr>
      <w:r>
        <w:rPr>
          <w:rFonts w:ascii="Times New Roman" w:cs="Times New Roman" w:eastAsia="Times New Roman" w:hAnsi="Times New Roman"/>
          <w:sz w:val="19"/>
          <w:szCs w:val="19"/>
          <w:color w:val="auto"/>
        </w:rPr>
        <w:t>Under Section 16 of the 1934 Securities Exchange Act, Directors and Officers of the Company must file forms with the SEC when they engage in certain transactions involving the Company's equity securities. In this context, in addition to basic traditional equity interests such as common stock, "equity securities" of the Company also include any securities that are exchangeable for or convertible into, or that derives their value from, an equity security of the Company. These other securities are known as derivative securities, and include options, warrants, convertible securities, and stock appreciation rights.</w:t>
      </w:r>
    </w:p>
    <w:p>
      <w:pPr>
        <w:spacing w:after="0" w:line="186" w:lineRule="exact"/>
        <w:rPr>
          <w:sz w:val="20"/>
          <w:szCs w:val="20"/>
          <w:color w:val="auto"/>
        </w:rPr>
      </w:pPr>
    </w:p>
    <w:p>
      <w:pPr>
        <w:ind w:right="220" w:firstLine="720"/>
        <w:spacing w:after="0" w:line="270" w:lineRule="auto"/>
        <w:rPr>
          <w:sz w:val="20"/>
          <w:szCs w:val="20"/>
          <w:color w:val="auto"/>
        </w:rPr>
      </w:pPr>
      <w:r>
        <w:rPr>
          <w:rFonts w:ascii="Times New Roman" w:cs="Times New Roman" w:eastAsia="Times New Roman" w:hAnsi="Times New Roman"/>
          <w:sz w:val="19"/>
          <w:szCs w:val="19"/>
          <w:b w:val="1"/>
          <w:bCs w:val="1"/>
          <w:color w:val="auto"/>
        </w:rPr>
        <w:t xml:space="preserve">Form 3: </w:t>
      </w:r>
      <w:r>
        <w:rPr>
          <w:rFonts w:ascii="Times New Roman" w:cs="Times New Roman" w:eastAsia="Times New Roman" w:hAnsi="Times New Roman"/>
          <w:sz w:val="19"/>
          <w:szCs w:val="19"/>
          <w:b w:val="1"/>
          <w:bCs w:val="1"/>
          <w:i w:val="1"/>
          <w:iCs w:val="1"/>
          <w:color w:val="auto"/>
        </w:rPr>
        <w:t>Initial Beneficial Ownership Statement.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 person who becomes a Director or Officer of the Company must file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Form 3 within 10 days of becoming a Director or Officer, even if the Director or Officer is not an owner of the Company's equity securities at the time.</w:t>
      </w:r>
    </w:p>
    <w:p>
      <w:pPr>
        <w:spacing w:after="0" w:line="175" w:lineRule="exact"/>
        <w:rPr>
          <w:sz w:val="20"/>
          <w:szCs w:val="20"/>
          <w:color w:val="auto"/>
        </w:rPr>
      </w:pPr>
    </w:p>
    <w:p>
      <w:pPr>
        <w:jc w:val="both"/>
        <w:ind w:right="240" w:firstLine="720"/>
        <w:spacing w:after="0" w:line="270" w:lineRule="auto"/>
        <w:rPr>
          <w:sz w:val="20"/>
          <w:szCs w:val="20"/>
          <w:color w:val="auto"/>
        </w:rPr>
      </w:pPr>
      <w:r>
        <w:rPr>
          <w:rFonts w:ascii="Times New Roman" w:cs="Times New Roman" w:eastAsia="Times New Roman" w:hAnsi="Times New Roman"/>
          <w:sz w:val="19"/>
          <w:szCs w:val="19"/>
          <w:b w:val="1"/>
          <w:bCs w:val="1"/>
          <w:color w:val="auto"/>
        </w:rPr>
        <w:t xml:space="preserve">Form 4: </w:t>
      </w:r>
      <w:r>
        <w:rPr>
          <w:rFonts w:ascii="Times New Roman" w:cs="Times New Roman" w:eastAsia="Times New Roman" w:hAnsi="Times New Roman"/>
          <w:sz w:val="19"/>
          <w:szCs w:val="19"/>
          <w:b w:val="1"/>
          <w:bCs w:val="1"/>
          <w:i w:val="1"/>
          <w:iCs w:val="1"/>
          <w:color w:val="auto"/>
        </w:rPr>
        <w:t>Changes of Beneficial Ownership Statement.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As long as a person remains a Director or Officer, and for up to six</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months after a person no longer holds such a position with the Company, a Form 4 must be filed no later than the end of the second business day following the day on which a transaction in the shares occurs (including stock option exercises).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w:t>
      </w:r>
      <w:r>
        <w:rPr>
          <w:rFonts w:ascii="Times New Roman" w:cs="Times New Roman" w:eastAsia="Times New Roman" w:hAnsi="Times New Roman"/>
          <w:sz w:val="13"/>
          <w:szCs w:val="13"/>
          <w:b w:val="1"/>
          <w:bCs w:val="1"/>
          <w:color w:val="auto"/>
        </w:rPr>
        <w:t>HORT</w:t>
      </w:r>
      <w:r>
        <w:rPr>
          <w:rFonts w:ascii="Times New Roman" w:cs="Times New Roman" w:eastAsia="Times New Roman" w:hAnsi="Times New Roman"/>
          <w:sz w:val="19"/>
          <w:szCs w:val="19"/>
          <w:b w:val="1"/>
          <w:bCs w:val="1"/>
          <w:color w:val="auto"/>
        </w:rPr>
        <w:t>-S</w:t>
      </w:r>
      <w:r>
        <w:rPr>
          <w:rFonts w:ascii="Times New Roman" w:cs="Times New Roman" w:eastAsia="Times New Roman" w:hAnsi="Times New Roman"/>
          <w:sz w:val="13"/>
          <w:szCs w:val="13"/>
          <w:b w:val="1"/>
          <w:bCs w:val="1"/>
          <w:color w:val="auto"/>
        </w:rPr>
        <w:t>WING</w:t>
      </w:r>
      <w:r>
        <w:rPr>
          <w:rFonts w:ascii="Times New Roman" w:cs="Times New Roman" w:eastAsia="Times New Roman" w:hAnsi="Times New Roman"/>
          <w:sz w:val="19"/>
          <w:szCs w:val="19"/>
          <w:b w:val="1"/>
          <w:bCs w:val="1"/>
          <w:color w:val="auto"/>
        </w:rPr>
        <w:t xml:space="preserve"> T</w:t>
      </w:r>
      <w:r>
        <w:rPr>
          <w:rFonts w:ascii="Times New Roman" w:cs="Times New Roman" w:eastAsia="Times New Roman" w:hAnsi="Times New Roman"/>
          <w:sz w:val="13"/>
          <w:szCs w:val="13"/>
          <w:b w:val="1"/>
          <w:bCs w:val="1"/>
          <w:color w:val="auto"/>
        </w:rPr>
        <w:t>RADING</w:t>
      </w:r>
      <w:r>
        <w:rPr>
          <w:rFonts w:ascii="Times New Roman" w:cs="Times New Roman" w:eastAsia="Times New Roman" w:hAnsi="Times New Roman"/>
          <w:sz w:val="19"/>
          <w:szCs w:val="19"/>
          <w:b w:val="1"/>
          <w:bCs w:val="1"/>
          <w:color w:val="auto"/>
        </w:rPr>
        <w:t xml:space="preserve"> P</w:t>
      </w:r>
      <w:r>
        <w:rPr>
          <w:rFonts w:ascii="Times New Roman" w:cs="Times New Roman" w:eastAsia="Times New Roman" w:hAnsi="Times New Roman"/>
          <w:sz w:val="13"/>
          <w:szCs w:val="13"/>
          <w:b w:val="1"/>
          <w:bCs w:val="1"/>
          <w:color w:val="auto"/>
        </w:rPr>
        <w:t>ROFITS AND</w:t>
      </w:r>
      <w:r>
        <w:rPr>
          <w:rFonts w:ascii="Times New Roman" w:cs="Times New Roman" w:eastAsia="Times New Roman" w:hAnsi="Times New Roman"/>
          <w:sz w:val="19"/>
          <w:szCs w:val="19"/>
          <w:b w:val="1"/>
          <w:bCs w:val="1"/>
          <w:color w:val="auto"/>
        </w:rPr>
        <w:t xml:space="preserve"> S</w:t>
      </w:r>
      <w:r>
        <w:rPr>
          <w:rFonts w:ascii="Times New Roman" w:cs="Times New Roman" w:eastAsia="Times New Roman" w:hAnsi="Times New Roman"/>
          <w:sz w:val="13"/>
          <w:szCs w:val="13"/>
          <w:b w:val="1"/>
          <w:bCs w:val="1"/>
          <w:color w:val="auto"/>
        </w:rPr>
        <w:t>HORT</w:t>
      </w:r>
      <w:r>
        <w:rPr>
          <w:rFonts w:ascii="Times New Roman" w:cs="Times New Roman" w:eastAsia="Times New Roman" w:hAnsi="Times New Roman"/>
          <w:sz w:val="19"/>
          <w:szCs w:val="19"/>
          <w:b w:val="1"/>
          <w:bCs w:val="1"/>
          <w:color w:val="auto"/>
        </w:rPr>
        <w:t xml:space="preserve"> S</w:t>
      </w:r>
      <w:r>
        <w:rPr>
          <w:rFonts w:ascii="Times New Roman" w:cs="Times New Roman" w:eastAsia="Times New Roman" w:hAnsi="Times New Roman"/>
          <w:sz w:val="13"/>
          <w:szCs w:val="13"/>
          <w:b w:val="1"/>
          <w:bCs w:val="1"/>
          <w:color w:val="auto"/>
        </w:rPr>
        <w:t>ALES</w:t>
      </w:r>
    </w:p>
    <w:p>
      <w:pPr>
        <w:spacing w:after="0" w:line="224" w:lineRule="exact"/>
        <w:rPr>
          <w:sz w:val="20"/>
          <w:szCs w:val="20"/>
          <w:color w:val="auto"/>
        </w:rPr>
      </w:pPr>
    </w:p>
    <w:p>
      <w:pPr>
        <w:ind w:right="240" w:firstLine="720"/>
        <w:spacing w:after="0" w:line="257" w:lineRule="auto"/>
        <w:rPr>
          <w:sz w:val="20"/>
          <w:szCs w:val="20"/>
          <w:color w:val="auto"/>
        </w:rPr>
      </w:pPr>
      <w:r>
        <w:rPr>
          <w:rFonts w:ascii="Times New Roman" w:cs="Times New Roman" w:eastAsia="Times New Roman" w:hAnsi="Times New Roman"/>
          <w:sz w:val="19"/>
          <w:szCs w:val="19"/>
          <w:i w:val="1"/>
          <w:iCs w:val="1"/>
          <w:color w:val="auto"/>
        </w:rPr>
        <w:t xml:space="preserve">Short -Swing Trading Profits </w:t>
      </w:r>
      <w:r>
        <w:rPr>
          <w:rFonts w:ascii="Times New Roman" w:cs="Times New Roman" w:eastAsia="Times New Roman" w:hAnsi="Times New Roman"/>
          <w:sz w:val="19"/>
          <w:szCs w:val="19"/>
          <w:b w:val="1"/>
          <w:bCs w:val="1"/>
          <w:i w:val="1"/>
          <w:iCs w:val="1"/>
          <w:color w:val="auto"/>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 order to discourage Directors and Officers from profiting through short-term trading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transactions in equity securities of the Company, Section 16(b) requires that any "short -swing profits" be disgorged to the Company. (This is in addition to the Form reporting requirements described above.) "Short-swing profits" are profits that result from any purchase and sale, or sale and purchase of the Company's equity securities within a six- month period unless there is an applicable exemption. It is important to note that this rule applies to any matched transactions in the Company's securities, not only a purchase and sale or sale and purchase of the same shares. Furthermore, pursuant to the SEC's rules, the "statutory profit" is determined so as to maximize the amount that the Director or Officer must disgorge, and this amount may not be offset by any losses realized.</w:t>
      </w:r>
    </w:p>
    <w:p>
      <w:pPr>
        <w:spacing w:after="0" w:line="189" w:lineRule="exact"/>
        <w:rPr>
          <w:sz w:val="20"/>
          <w:szCs w:val="20"/>
          <w:color w:val="auto"/>
        </w:rPr>
      </w:pPr>
    </w:p>
    <w:p>
      <w:pPr>
        <w:ind w:right="280" w:firstLine="720"/>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Short- swing Exemptions for Certain Reinvestment and Employee Benefit Plan Transactions - </w:t>
      </w:r>
      <w:r>
        <w:rPr>
          <w:rFonts w:ascii="Times New Roman" w:cs="Times New Roman" w:eastAsia="Times New Roman" w:hAnsi="Times New Roman"/>
          <w:sz w:val="19"/>
          <w:szCs w:val="19"/>
          <w:color w:val="auto"/>
        </w:rPr>
        <w:t>As indicated, to come within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short-swing rules, a purchase and sale (or sale and purchase) within a six month period are matched to determine what profit there is (if any). Rule (16b-3) carves out a few exceptions to what constitutes a "purchase" for these matching purposes.</w:t>
      </w:r>
    </w:p>
    <w:p>
      <w:pPr>
        <w:spacing w:after="0" w:line="180" w:lineRule="exact"/>
        <w:rPr>
          <w:sz w:val="20"/>
          <w:szCs w:val="20"/>
          <w:color w:val="auto"/>
        </w:rPr>
      </w:pPr>
    </w:p>
    <w:p>
      <w:pPr>
        <w:ind w:right="800" w:firstLine="720"/>
        <w:spacing w:after="0" w:line="286" w:lineRule="auto"/>
        <w:rPr>
          <w:sz w:val="20"/>
          <w:szCs w:val="20"/>
          <w:color w:val="auto"/>
        </w:rPr>
      </w:pPr>
      <w:r>
        <w:rPr>
          <w:rFonts w:ascii="Times New Roman" w:cs="Times New Roman" w:eastAsia="Times New Roman" w:hAnsi="Times New Roman"/>
          <w:sz w:val="19"/>
          <w:szCs w:val="19"/>
          <w:color w:val="auto"/>
        </w:rPr>
        <w:t>Under this Rule certain transactions involving acquisitions of equity securities under employee benefit plans are not counted as "purchases" for short-swing purposes, provided that the benefit plan meets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381635</wp:posOffset>
            </wp:positionV>
            <wp:extent cx="6732905" cy="406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20"/>
          </w:cols>
          <w:pgMar w:left="800" w:top="1131" w:right="680"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4"/>
          <w:szCs w:val="14"/>
          <w:b w:val="1"/>
          <w:bCs w:val="1"/>
          <w:color w:val="auto"/>
        </w:rPr>
        <w:t>Exhibit 19.1</w:t>
      </w:r>
    </w:p>
    <w:p>
      <w:pPr>
        <w:spacing w:after="0" w:line="2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9"/>
          <w:szCs w:val="19"/>
          <w:color w:val="auto"/>
        </w:rPr>
        <w:t>various statutory requirements.</w:t>
      </w:r>
    </w:p>
    <w:p>
      <w:pPr>
        <w:spacing w:after="0" w:line="215" w:lineRule="exact"/>
        <w:rPr>
          <w:sz w:val="20"/>
          <w:szCs w:val="20"/>
          <w:color w:val="auto"/>
        </w:rPr>
      </w:pPr>
    </w:p>
    <w:p>
      <w:pPr>
        <w:ind w:left="2" w:right="220" w:firstLine="720"/>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Prohibition Against Short-Sales - </w:t>
      </w:r>
      <w:r>
        <w:rPr>
          <w:rFonts w:ascii="Times New Roman" w:cs="Times New Roman" w:eastAsia="Times New Roman" w:hAnsi="Times New Roman"/>
          <w:sz w:val="19"/>
          <w:szCs w:val="19"/>
          <w:color w:val="auto"/>
        </w:rPr>
        <w:t>A transaction in options is, in effect, a bet on the short- term movement 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Company’s stock and therefore creates the appearance that Directors and Officers are trading based on inside information. Transactions in options also may focus the Directors or Officer’s attention on short-term performance at the expense of the Company’s long-term objectives. Directors and Officers are prohibited from making "short sales" of the Company's equity securities and from transacting in puts, calls or other derivative securities, on an exchange or in any other organized market. A short sale has occurred if the seller:</w:t>
      </w:r>
    </w:p>
    <w:p>
      <w:pPr>
        <w:spacing w:after="0" w:line="292"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9"/>
          <w:szCs w:val="19"/>
          <w:color w:val="auto"/>
        </w:rPr>
        <w:t>1.does not own the securities sold; or</w:t>
      </w:r>
    </w:p>
    <w:p>
      <w:pPr>
        <w:spacing w:after="0" w:line="106"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9"/>
          <w:szCs w:val="19"/>
          <w:color w:val="auto"/>
        </w:rPr>
        <w:t>2.does own the securities sold, but does not deliver them within 20 days or place them in the mail within 5 days of the sale.</w:t>
      </w:r>
    </w:p>
    <w:p>
      <w:pPr>
        <w:spacing w:after="0" w:line="23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9"/>
          <w:szCs w:val="19"/>
          <w:b w:val="1"/>
          <w:bCs w:val="1"/>
          <w:color w:val="auto"/>
        </w:rPr>
        <w:t>L</w:t>
      </w:r>
      <w:r>
        <w:rPr>
          <w:rFonts w:ascii="Times New Roman" w:cs="Times New Roman" w:eastAsia="Times New Roman" w:hAnsi="Times New Roman"/>
          <w:sz w:val="13"/>
          <w:szCs w:val="13"/>
          <w:b w:val="1"/>
          <w:bCs w:val="1"/>
          <w:color w:val="auto"/>
        </w:rPr>
        <w:t>IMITATIONS</w:t>
      </w:r>
      <w:r>
        <w:rPr>
          <w:rFonts w:ascii="Times New Roman" w:cs="Times New Roman" w:eastAsia="Times New Roman" w:hAnsi="Times New Roman"/>
          <w:sz w:val="19"/>
          <w:szCs w:val="19"/>
          <w:b w:val="1"/>
          <w:bCs w:val="1"/>
          <w:color w:val="auto"/>
        </w:rPr>
        <w:t xml:space="preserve"> A</w:t>
      </w:r>
      <w:r>
        <w:rPr>
          <w:rFonts w:ascii="Times New Roman" w:cs="Times New Roman" w:eastAsia="Times New Roman" w:hAnsi="Times New Roman"/>
          <w:sz w:val="13"/>
          <w:szCs w:val="13"/>
          <w:b w:val="1"/>
          <w:bCs w:val="1"/>
          <w:color w:val="auto"/>
        </w:rPr>
        <w:t>ND</w:t>
      </w:r>
      <w:r>
        <w:rPr>
          <w:rFonts w:ascii="Times New Roman" w:cs="Times New Roman" w:eastAsia="Times New Roman" w:hAnsi="Times New Roman"/>
          <w:sz w:val="19"/>
          <w:szCs w:val="19"/>
          <w:b w:val="1"/>
          <w:bCs w:val="1"/>
          <w:color w:val="auto"/>
        </w:rPr>
        <w:t xml:space="preserve"> R</w:t>
      </w:r>
      <w:r>
        <w:rPr>
          <w:rFonts w:ascii="Times New Roman" w:cs="Times New Roman" w:eastAsia="Times New Roman" w:hAnsi="Times New Roman"/>
          <w:sz w:val="13"/>
          <w:szCs w:val="13"/>
          <w:b w:val="1"/>
          <w:bCs w:val="1"/>
          <w:color w:val="auto"/>
        </w:rPr>
        <w:t>EQUIREMENTS</w:t>
      </w:r>
      <w:r>
        <w:rPr>
          <w:rFonts w:ascii="Times New Roman" w:cs="Times New Roman" w:eastAsia="Times New Roman" w:hAnsi="Times New Roman"/>
          <w:sz w:val="19"/>
          <w:szCs w:val="19"/>
          <w:b w:val="1"/>
          <w:bCs w:val="1"/>
          <w:color w:val="auto"/>
        </w:rPr>
        <w:t xml:space="preserve"> O</w:t>
      </w:r>
      <w:r>
        <w:rPr>
          <w:rFonts w:ascii="Times New Roman" w:cs="Times New Roman" w:eastAsia="Times New Roman" w:hAnsi="Times New Roman"/>
          <w:sz w:val="13"/>
          <w:szCs w:val="13"/>
          <w:b w:val="1"/>
          <w:bCs w:val="1"/>
          <w:color w:val="auto"/>
        </w:rPr>
        <w:t>N</w:t>
      </w:r>
      <w:r>
        <w:rPr>
          <w:rFonts w:ascii="Times New Roman" w:cs="Times New Roman" w:eastAsia="Times New Roman" w:hAnsi="Times New Roman"/>
          <w:sz w:val="19"/>
          <w:szCs w:val="19"/>
          <w:b w:val="1"/>
          <w:bCs w:val="1"/>
          <w:color w:val="auto"/>
        </w:rPr>
        <w:t xml:space="preserve"> R</w:t>
      </w:r>
      <w:r>
        <w:rPr>
          <w:rFonts w:ascii="Times New Roman" w:cs="Times New Roman" w:eastAsia="Times New Roman" w:hAnsi="Times New Roman"/>
          <w:sz w:val="13"/>
          <w:szCs w:val="13"/>
          <w:b w:val="1"/>
          <w:bCs w:val="1"/>
          <w:color w:val="auto"/>
        </w:rPr>
        <w:t>ESALES</w:t>
      </w:r>
      <w:r>
        <w:rPr>
          <w:rFonts w:ascii="Times New Roman" w:cs="Times New Roman" w:eastAsia="Times New Roman" w:hAnsi="Times New Roman"/>
          <w:sz w:val="19"/>
          <w:szCs w:val="19"/>
          <w:b w:val="1"/>
          <w:bCs w:val="1"/>
          <w:color w:val="auto"/>
        </w:rPr>
        <w:t xml:space="preserve"> O</w:t>
      </w:r>
      <w:r>
        <w:rPr>
          <w:rFonts w:ascii="Times New Roman" w:cs="Times New Roman" w:eastAsia="Times New Roman" w:hAnsi="Times New Roman"/>
          <w:sz w:val="13"/>
          <w:szCs w:val="13"/>
          <w:b w:val="1"/>
          <w:bCs w:val="1"/>
          <w:color w:val="auto"/>
        </w:rPr>
        <w:t>F</w:t>
      </w:r>
      <w:r>
        <w:rPr>
          <w:rFonts w:ascii="Times New Roman" w:cs="Times New Roman" w:eastAsia="Times New Roman" w:hAnsi="Times New Roman"/>
          <w:sz w:val="19"/>
          <w:szCs w:val="19"/>
          <w:b w:val="1"/>
          <w:bCs w:val="1"/>
          <w:color w:val="auto"/>
        </w:rPr>
        <w:t xml:space="preserve"> T</w:t>
      </w:r>
      <w:r>
        <w:rPr>
          <w:rFonts w:ascii="Times New Roman" w:cs="Times New Roman" w:eastAsia="Times New Roman" w:hAnsi="Times New Roman"/>
          <w:sz w:val="13"/>
          <w:szCs w:val="13"/>
          <w:b w:val="1"/>
          <w:bCs w:val="1"/>
          <w:color w:val="auto"/>
        </w:rPr>
        <w:t>HE</w:t>
      </w:r>
      <w:r>
        <w:rPr>
          <w:rFonts w:ascii="Times New Roman" w:cs="Times New Roman" w:eastAsia="Times New Roman" w:hAnsi="Times New Roman"/>
          <w:sz w:val="19"/>
          <w:szCs w:val="19"/>
          <w:b w:val="1"/>
          <w:bCs w:val="1"/>
          <w:color w:val="auto"/>
        </w:rPr>
        <w:t xml:space="preserve"> C</w:t>
      </w:r>
      <w:r>
        <w:rPr>
          <w:rFonts w:ascii="Times New Roman" w:cs="Times New Roman" w:eastAsia="Times New Roman" w:hAnsi="Times New Roman"/>
          <w:sz w:val="13"/>
          <w:szCs w:val="13"/>
          <w:b w:val="1"/>
          <w:bCs w:val="1"/>
          <w:color w:val="auto"/>
        </w:rPr>
        <w:t>OMPANY</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3"/>
          <w:szCs w:val="13"/>
          <w:b w:val="1"/>
          <w:bCs w:val="1"/>
          <w:color w:val="auto"/>
        </w:rPr>
        <w:t>S</w:t>
      </w:r>
      <w:r>
        <w:rPr>
          <w:rFonts w:ascii="Times New Roman" w:cs="Times New Roman" w:eastAsia="Times New Roman" w:hAnsi="Times New Roman"/>
          <w:sz w:val="19"/>
          <w:szCs w:val="19"/>
          <w:b w:val="1"/>
          <w:bCs w:val="1"/>
          <w:color w:val="auto"/>
        </w:rPr>
        <w:t xml:space="preserve"> S</w:t>
      </w:r>
      <w:r>
        <w:rPr>
          <w:rFonts w:ascii="Times New Roman" w:cs="Times New Roman" w:eastAsia="Times New Roman" w:hAnsi="Times New Roman"/>
          <w:sz w:val="13"/>
          <w:szCs w:val="13"/>
          <w:b w:val="1"/>
          <w:bCs w:val="1"/>
          <w:color w:val="auto"/>
        </w:rPr>
        <w:t>ECURITIES</w:t>
      </w:r>
    </w:p>
    <w:p>
      <w:pPr>
        <w:spacing w:after="0" w:line="228" w:lineRule="exact"/>
        <w:rPr>
          <w:sz w:val="20"/>
          <w:szCs w:val="20"/>
          <w:color w:val="auto"/>
        </w:rPr>
      </w:pPr>
    </w:p>
    <w:p>
      <w:pPr>
        <w:ind w:left="2" w:right="320" w:firstLine="720"/>
        <w:spacing w:after="0" w:line="262" w:lineRule="auto"/>
        <w:rPr>
          <w:sz w:val="20"/>
          <w:szCs w:val="20"/>
          <w:color w:val="auto"/>
        </w:rPr>
      </w:pPr>
      <w:r>
        <w:rPr>
          <w:rFonts w:ascii="Times New Roman" w:cs="Times New Roman" w:eastAsia="Times New Roman" w:hAnsi="Times New Roman"/>
          <w:sz w:val="19"/>
          <w:szCs w:val="19"/>
          <w:color w:val="auto"/>
        </w:rPr>
        <w:t>Under the 1933 Securities Act, Directors and Officers who wish to resell their Company securities must comply with the requirements of Rule 144, or be forced to register the sale of them under the Act. "Securities" under Rule 144 (unlike under Section</w:t>
      </w:r>
    </w:p>
    <w:p>
      <w:pPr>
        <w:spacing w:after="0" w:line="1" w:lineRule="exact"/>
        <w:rPr>
          <w:sz w:val="20"/>
          <w:szCs w:val="20"/>
          <w:color w:val="auto"/>
        </w:rPr>
      </w:pPr>
    </w:p>
    <w:p>
      <w:pPr>
        <w:ind w:left="2" w:right="260" w:hanging="2"/>
        <w:spacing w:after="0" w:line="254" w:lineRule="auto"/>
        <w:tabs>
          <w:tab w:leader="none" w:pos="306"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are broadly defined to include all securities, not just equity securities. Therefore, the Rule 144 requirements apply not only to common and preferred stock, but also to bonds, debentures and any other form of security. Also, the requirements of this Rule apply whether or not the securities to be resold were previously registered under the 1933 Securities Act, except for the minimum holding period (which applies only to securities which were not registered under that Act).</w:t>
      </w:r>
    </w:p>
    <w:p>
      <w:pPr>
        <w:spacing w:after="0" w:line="193" w:lineRule="exact"/>
        <w:rPr>
          <w:sz w:val="20"/>
          <w:szCs w:val="20"/>
          <w:color w:val="auto"/>
        </w:rPr>
      </w:pPr>
    </w:p>
    <w:p>
      <w:pPr>
        <w:ind w:left="782"/>
        <w:spacing w:after="0"/>
        <w:rPr>
          <w:sz w:val="20"/>
          <w:szCs w:val="20"/>
          <w:color w:val="auto"/>
        </w:rPr>
      </w:pPr>
      <w:r>
        <w:rPr>
          <w:rFonts w:ascii="Times New Roman" w:cs="Times New Roman" w:eastAsia="Times New Roman" w:hAnsi="Times New Roman"/>
          <w:sz w:val="19"/>
          <w:szCs w:val="19"/>
          <w:color w:val="auto"/>
        </w:rPr>
        <w:t>The relevant provisions of Rule 144 as they apply to resales by Directors and Officers are as follows:</w:t>
      </w:r>
    </w:p>
    <w:p>
      <w:pPr>
        <w:spacing w:after="0" w:line="104" w:lineRule="exact"/>
        <w:rPr>
          <w:sz w:val="20"/>
          <w:szCs w:val="20"/>
          <w:color w:val="auto"/>
        </w:rPr>
      </w:pPr>
    </w:p>
    <w:p>
      <w:pPr>
        <w:ind w:left="342" w:right="180"/>
        <w:spacing w:after="0" w:line="269" w:lineRule="auto"/>
        <w:rPr>
          <w:sz w:val="20"/>
          <w:szCs w:val="20"/>
          <w:color w:val="auto"/>
        </w:rPr>
      </w:pPr>
      <w:r>
        <w:rPr>
          <w:rFonts w:ascii="Times New Roman" w:cs="Times New Roman" w:eastAsia="Times New Roman" w:hAnsi="Times New Roman"/>
          <w:sz w:val="19"/>
          <w:szCs w:val="19"/>
          <w:i w:val="1"/>
          <w:iCs w:val="1"/>
          <w:color w:val="auto"/>
        </w:rPr>
        <w:t>1.Current public information</w:t>
      </w:r>
      <w:r>
        <w:rPr>
          <w:rFonts w:ascii="Times New Roman" w:cs="Times New Roman" w:eastAsia="Times New Roman" w:hAnsi="Times New Roman"/>
          <w:sz w:val="19"/>
          <w:szCs w:val="19"/>
          <w:color w:val="auto"/>
        </w:rPr>
        <w:t>. There must be adequate current public information available regarding the Company. This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requirement is satisfied only if the Company has filed all reports required by the 1934 Securities Exchange Act during the twelve months preceding the sale.</w:t>
      </w:r>
    </w:p>
    <w:p>
      <w:pPr>
        <w:spacing w:after="0" w:line="46" w:lineRule="exact"/>
        <w:rPr>
          <w:sz w:val="20"/>
          <w:szCs w:val="20"/>
          <w:color w:val="auto"/>
        </w:rPr>
      </w:pPr>
    </w:p>
    <w:p>
      <w:pPr>
        <w:ind w:left="342" w:right="320"/>
        <w:spacing w:after="0" w:line="269" w:lineRule="auto"/>
        <w:rPr>
          <w:sz w:val="20"/>
          <w:szCs w:val="20"/>
          <w:color w:val="auto"/>
        </w:rPr>
      </w:pPr>
      <w:r>
        <w:rPr>
          <w:rFonts w:ascii="Times New Roman" w:cs="Times New Roman" w:eastAsia="Times New Roman" w:hAnsi="Times New Roman"/>
          <w:sz w:val="19"/>
          <w:szCs w:val="19"/>
          <w:i w:val="1"/>
          <w:iCs w:val="1"/>
          <w:color w:val="auto"/>
        </w:rPr>
        <w:t>2.Manner of sale</w:t>
      </w:r>
      <w:r>
        <w:rPr>
          <w:rFonts w:ascii="Times New Roman" w:cs="Times New Roman" w:eastAsia="Times New Roman" w:hAnsi="Times New Roman"/>
          <w:sz w:val="19"/>
          <w:szCs w:val="19"/>
          <w:color w:val="auto"/>
        </w:rPr>
        <w:t>. The sale of Company shares by a Director or Officer must be made in an open market transaction through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broker at the prevailing market price for no more than the usual and customary brokerage commission. Furthermore, the broker may not solicit nor arrange for the solicitation of customers to purchase the shares.</w:t>
      </w:r>
    </w:p>
    <w:p>
      <w:pPr>
        <w:spacing w:after="0" w:line="46" w:lineRule="exact"/>
        <w:rPr>
          <w:sz w:val="20"/>
          <w:szCs w:val="20"/>
          <w:color w:val="auto"/>
        </w:rPr>
      </w:pPr>
    </w:p>
    <w:p>
      <w:pPr>
        <w:ind w:left="342" w:right="460"/>
        <w:spacing w:after="0" w:line="288" w:lineRule="auto"/>
        <w:rPr>
          <w:sz w:val="20"/>
          <w:szCs w:val="20"/>
          <w:color w:val="auto"/>
        </w:rPr>
      </w:pPr>
      <w:r>
        <w:rPr>
          <w:rFonts w:ascii="Times New Roman" w:cs="Times New Roman" w:eastAsia="Times New Roman" w:hAnsi="Times New Roman"/>
          <w:sz w:val="19"/>
          <w:szCs w:val="19"/>
          <w:i w:val="1"/>
          <w:iCs w:val="1"/>
          <w:color w:val="auto"/>
        </w:rPr>
        <w:t>3.Number of shares, which may be sold</w:t>
      </w:r>
      <w:r>
        <w:rPr>
          <w:rFonts w:ascii="Times New Roman" w:cs="Times New Roman" w:eastAsia="Times New Roman" w:hAnsi="Times New Roman"/>
          <w:sz w:val="19"/>
          <w:szCs w:val="19"/>
          <w:color w:val="auto"/>
        </w:rPr>
        <w:t>. The amount of securities that a director or officer may sell in a three-month period is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limited to the greater of:</w:t>
      </w:r>
    </w:p>
    <w:p>
      <w:pPr>
        <w:spacing w:after="0" w:line="28" w:lineRule="exact"/>
        <w:rPr>
          <w:sz w:val="20"/>
          <w:szCs w:val="20"/>
          <w:color w:val="auto"/>
        </w:rPr>
      </w:pPr>
    </w:p>
    <w:p>
      <w:pPr>
        <w:ind w:left="822"/>
        <w:spacing w:after="0"/>
        <w:rPr>
          <w:sz w:val="20"/>
          <w:szCs w:val="20"/>
          <w:color w:val="auto"/>
        </w:rPr>
      </w:pPr>
      <w:r>
        <w:rPr>
          <w:rFonts w:ascii="Times New Roman" w:cs="Times New Roman" w:eastAsia="Times New Roman" w:hAnsi="Times New Roman"/>
          <w:sz w:val="19"/>
          <w:szCs w:val="19"/>
          <w:i w:val="1"/>
          <w:iCs w:val="1"/>
          <w:color w:val="auto"/>
        </w:rPr>
        <w:t>a.one percent of the outstanding shares of the Company, or</w:t>
      </w:r>
    </w:p>
    <w:p>
      <w:pPr>
        <w:spacing w:after="0" w:line="106" w:lineRule="exact"/>
        <w:rPr>
          <w:sz w:val="20"/>
          <w:szCs w:val="20"/>
          <w:color w:val="auto"/>
        </w:rPr>
      </w:pPr>
    </w:p>
    <w:p>
      <w:pPr>
        <w:ind w:left="822"/>
        <w:spacing w:after="0"/>
        <w:rPr>
          <w:sz w:val="20"/>
          <w:szCs w:val="20"/>
          <w:color w:val="auto"/>
        </w:rPr>
      </w:pPr>
      <w:r>
        <w:rPr>
          <w:rFonts w:ascii="Times New Roman" w:cs="Times New Roman" w:eastAsia="Times New Roman" w:hAnsi="Times New Roman"/>
          <w:sz w:val="19"/>
          <w:szCs w:val="19"/>
          <w:i w:val="1"/>
          <w:iCs w:val="1"/>
          <w:color w:val="auto"/>
        </w:rPr>
        <w:t>b.the average weekly reported trading volume in the four calendar weeks preceding the transactions.</w:t>
      </w:r>
    </w:p>
    <w:p>
      <w:pPr>
        <w:spacing w:after="0" w:line="106" w:lineRule="exact"/>
        <w:rPr>
          <w:sz w:val="20"/>
          <w:szCs w:val="20"/>
          <w:color w:val="auto"/>
        </w:rPr>
      </w:pPr>
    </w:p>
    <w:p>
      <w:pPr>
        <w:jc w:val="both"/>
        <w:ind w:left="342" w:right="200"/>
        <w:spacing w:after="0" w:line="269" w:lineRule="auto"/>
        <w:rPr>
          <w:sz w:val="20"/>
          <w:szCs w:val="20"/>
          <w:color w:val="auto"/>
        </w:rPr>
      </w:pPr>
      <w:r>
        <w:rPr>
          <w:rFonts w:ascii="Times New Roman" w:cs="Times New Roman" w:eastAsia="Times New Roman" w:hAnsi="Times New Roman"/>
          <w:sz w:val="19"/>
          <w:szCs w:val="19"/>
          <w:i w:val="1"/>
          <w:iCs w:val="1"/>
          <w:color w:val="auto"/>
        </w:rPr>
        <w:t>4.Notice of proposed sale</w:t>
      </w:r>
      <w:r>
        <w:rPr>
          <w:rFonts w:ascii="Times New Roman" w:cs="Times New Roman" w:eastAsia="Times New Roman" w:hAnsi="Times New Roman"/>
          <w:sz w:val="19"/>
          <w:szCs w:val="19"/>
          <w:color w:val="auto"/>
        </w:rPr>
        <w:t>. If the amount of securities proposed to be sold by a Director or Officer during any three- month period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exceeds 500 shares or has an aggregate sale price in excess of $10,000, the Officer or Director must file a notice of sale with the SEC and on Form 144 prior to, or concurrently with, the placing of the order to sell securities.</w:t>
      </w:r>
    </w:p>
    <w:p>
      <w:pPr>
        <w:spacing w:after="0" w:line="46" w:lineRule="exact"/>
        <w:rPr>
          <w:sz w:val="20"/>
          <w:szCs w:val="20"/>
          <w:color w:val="auto"/>
        </w:rPr>
      </w:pPr>
    </w:p>
    <w:p>
      <w:pPr>
        <w:ind w:left="342" w:right="160"/>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5.Holding Periods. </w:t>
      </w:r>
      <w:r>
        <w:rPr>
          <w:rFonts w:ascii="Times New Roman" w:cs="Times New Roman" w:eastAsia="Times New Roman" w:hAnsi="Times New Roman"/>
          <w:sz w:val="19"/>
          <w:szCs w:val="19"/>
          <w:color w:val="auto"/>
        </w:rPr>
        <w:t>Any securities of the Company acquired directly or indirectly from the Company in a transaction that was not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registered with the SEC under the 1933 Act (restricted securities) must be held for six months prior to reselling such securities. There is no statutory minimum holding period for securities that were registered under the 1933 Act.</w:t>
      </w:r>
    </w:p>
    <w:p>
      <w:pPr>
        <w:spacing w:after="0" w:line="178" w:lineRule="exact"/>
        <w:rPr>
          <w:sz w:val="20"/>
          <w:szCs w:val="20"/>
          <w:color w:val="auto"/>
        </w:rPr>
      </w:pPr>
    </w:p>
    <w:p>
      <w:pPr>
        <w:ind w:left="702"/>
        <w:spacing w:after="0"/>
        <w:rPr>
          <w:sz w:val="20"/>
          <w:szCs w:val="20"/>
          <w:color w:val="auto"/>
        </w:rPr>
      </w:pPr>
      <w:r>
        <w:rPr>
          <w:rFonts w:ascii="Times New Roman" w:cs="Times New Roman" w:eastAsia="Times New Roman" w:hAnsi="Times New Roman"/>
          <w:sz w:val="19"/>
          <w:szCs w:val="19"/>
          <w:color w:val="auto"/>
        </w:rPr>
        <w:t>In certain situations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securities acquired through stock dividends, splits or conversions), "tacking"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429895</wp:posOffset>
            </wp:positionV>
            <wp:extent cx="6732905" cy="406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22"/>
          </w:cols>
          <w:pgMar w:left="798" w:top="1131" w:right="680"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4"/>
          <w:szCs w:val="14"/>
          <w:b w:val="1"/>
          <w:bCs w:val="1"/>
          <w:color w:val="auto"/>
        </w:rPr>
        <w:t>Exhibit 19.1</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is permitted, that is, the new securities will be deemed to have been acquired at the same time as the original securities.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w:t>
      </w:r>
      <w:r>
        <w:rPr>
          <w:rFonts w:ascii="Times New Roman" w:cs="Times New Roman" w:eastAsia="Times New Roman" w:hAnsi="Times New Roman"/>
          <w:sz w:val="13"/>
          <w:szCs w:val="13"/>
          <w:b w:val="1"/>
          <w:bCs w:val="1"/>
          <w:color w:val="auto"/>
        </w:rPr>
        <w:t>NSWERING</w:t>
      </w:r>
      <w:r>
        <w:rPr>
          <w:rFonts w:ascii="Times New Roman" w:cs="Times New Roman" w:eastAsia="Times New Roman" w:hAnsi="Times New Roman"/>
          <w:sz w:val="19"/>
          <w:szCs w:val="19"/>
          <w:b w:val="1"/>
          <w:bCs w:val="1"/>
          <w:color w:val="auto"/>
        </w:rPr>
        <w:t xml:space="preserve"> Q</w:t>
      </w:r>
      <w:r>
        <w:rPr>
          <w:rFonts w:ascii="Times New Roman" w:cs="Times New Roman" w:eastAsia="Times New Roman" w:hAnsi="Times New Roman"/>
          <w:sz w:val="13"/>
          <w:szCs w:val="13"/>
          <w:b w:val="1"/>
          <w:bCs w:val="1"/>
          <w:color w:val="auto"/>
        </w:rPr>
        <w:t>UESTIONS AND</w:t>
      </w:r>
      <w:r>
        <w:rPr>
          <w:rFonts w:ascii="Times New Roman" w:cs="Times New Roman" w:eastAsia="Times New Roman" w:hAnsi="Times New Roman"/>
          <w:sz w:val="19"/>
          <w:szCs w:val="19"/>
          <w:b w:val="1"/>
          <w:bCs w:val="1"/>
          <w:color w:val="auto"/>
        </w:rPr>
        <w:t xml:space="preserve"> P</w:t>
      </w:r>
      <w:r>
        <w:rPr>
          <w:rFonts w:ascii="Times New Roman" w:cs="Times New Roman" w:eastAsia="Times New Roman" w:hAnsi="Times New Roman"/>
          <w:sz w:val="13"/>
          <w:szCs w:val="13"/>
          <w:b w:val="1"/>
          <w:bCs w:val="1"/>
          <w:color w:val="auto"/>
        </w:rPr>
        <w:t>ROVIDING</w:t>
      </w:r>
      <w:r>
        <w:rPr>
          <w:rFonts w:ascii="Times New Roman" w:cs="Times New Roman" w:eastAsia="Times New Roman" w:hAnsi="Times New Roman"/>
          <w:sz w:val="19"/>
          <w:szCs w:val="19"/>
          <w:b w:val="1"/>
          <w:bCs w:val="1"/>
          <w:color w:val="auto"/>
        </w:rPr>
        <w:t xml:space="preserve"> C</w:t>
      </w:r>
      <w:r>
        <w:rPr>
          <w:rFonts w:ascii="Times New Roman" w:cs="Times New Roman" w:eastAsia="Times New Roman" w:hAnsi="Times New Roman"/>
          <w:sz w:val="13"/>
          <w:szCs w:val="13"/>
          <w:b w:val="1"/>
          <w:bCs w:val="1"/>
          <w:color w:val="auto"/>
        </w:rPr>
        <w:t>OMPANY</w:t>
      </w:r>
      <w:r>
        <w:rPr>
          <w:rFonts w:ascii="Times New Roman" w:cs="Times New Roman" w:eastAsia="Times New Roman" w:hAnsi="Times New Roman"/>
          <w:sz w:val="19"/>
          <w:szCs w:val="19"/>
          <w:b w:val="1"/>
          <w:bCs w:val="1"/>
          <w:color w:val="auto"/>
        </w:rPr>
        <w:t xml:space="preserve"> I</w:t>
      </w:r>
      <w:r>
        <w:rPr>
          <w:rFonts w:ascii="Times New Roman" w:cs="Times New Roman" w:eastAsia="Times New Roman" w:hAnsi="Times New Roman"/>
          <w:sz w:val="13"/>
          <w:szCs w:val="13"/>
          <w:b w:val="1"/>
          <w:bCs w:val="1"/>
          <w:color w:val="auto"/>
        </w:rPr>
        <w:t>NFORMATION</w:t>
      </w:r>
    </w:p>
    <w:p>
      <w:pPr>
        <w:spacing w:after="0" w:line="228" w:lineRule="exact"/>
        <w:rPr>
          <w:sz w:val="20"/>
          <w:szCs w:val="20"/>
          <w:color w:val="auto"/>
        </w:rPr>
      </w:pPr>
    </w:p>
    <w:p>
      <w:pPr>
        <w:ind w:right="120" w:firstLine="708"/>
        <w:spacing w:after="0" w:line="268" w:lineRule="auto"/>
        <w:rPr>
          <w:sz w:val="20"/>
          <w:szCs w:val="20"/>
          <w:color w:val="auto"/>
        </w:rPr>
      </w:pPr>
      <w:r>
        <w:rPr>
          <w:rFonts w:ascii="Times New Roman" w:cs="Times New Roman" w:eastAsia="Times New Roman" w:hAnsi="Times New Roman"/>
          <w:sz w:val="19"/>
          <w:szCs w:val="19"/>
          <w:color w:val="auto"/>
        </w:rPr>
        <w:t>In many situations, Directors and Officers may find themselves the recipient of questions concerning various activities of the Company. Such inquiries can come from the media, stock exchanges and others regarding the Company's business, rumors, trading activity, current and future prospects and plans, acquisition or divestiture activities and other similar important information.</w:t>
      </w:r>
    </w:p>
    <w:p>
      <w:pPr>
        <w:spacing w:after="0" w:line="180" w:lineRule="exact"/>
        <w:rPr>
          <w:sz w:val="20"/>
          <w:szCs w:val="20"/>
          <w:color w:val="auto"/>
        </w:rPr>
      </w:pPr>
    </w:p>
    <w:p>
      <w:pPr>
        <w:ind w:right="240" w:firstLine="720"/>
        <w:spacing w:after="0" w:line="259" w:lineRule="auto"/>
        <w:rPr>
          <w:sz w:val="20"/>
          <w:szCs w:val="20"/>
          <w:color w:val="auto"/>
        </w:rPr>
      </w:pPr>
      <w:r>
        <w:rPr>
          <w:rFonts w:ascii="Times New Roman" w:cs="Times New Roman" w:eastAsia="Times New Roman" w:hAnsi="Times New Roman"/>
          <w:sz w:val="19"/>
          <w:szCs w:val="19"/>
          <w:color w:val="auto"/>
        </w:rPr>
        <w:t>Only Authorized &amp; Designated Spokespersons of the Company may answer questions about or disclose information concerning the Company. Once disclosure has been authorized and/or commenced, Rule 10b-5 of the 1934 Securities Exchange Act prohibits Company personnel from making any untrue statements of material facts or, when making a disclosure, omitting a material fact necessary in order to make the statement made, in light of the circumstances under which it was made, not misleading (see separate guidelines under the Company’s Regulation FD Policy under the Compliance Manual).</w:t>
      </w:r>
    </w:p>
    <w:p>
      <w:pPr>
        <w:spacing w:after="0" w:line="190" w:lineRule="exact"/>
        <w:rPr>
          <w:sz w:val="20"/>
          <w:szCs w:val="20"/>
          <w:color w:val="auto"/>
        </w:rPr>
      </w:pPr>
    </w:p>
    <w:p>
      <w:pPr>
        <w:ind w:right="20" w:firstLine="708"/>
        <w:spacing w:after="0" w:line="268" w:lineRule="auto"/>
        <w:rPr>
          <w:sz w:val="20"/>
          <w:szCs w:val="20"/>
          <w:color w:val="auto"/>
        </w:rPr>
      </w:pPr>
      <w:r>
        <w:rPr>
          <w:rFonts w:ascii="Times New Roman" w:cs="Times New Roman" w:eastAsia="Times New Roman" w:hAnsi="Times New Roman"/>
          <w:sz w:val="19"/>
          <w:szCs w:val="19"/>
          <w:color w:val="auto"/>
        </w:rPr>
        <w:t>In applying this Policy concerning disclosing Company information to the public, or answering questions about the Company, the following procedures have been established. They must be followed by all employees in handling inquiries seeking information concerning the Company:</w:t>
      </w:r>
    </w:p>
    <w:p>
      <w:pPr>
        <w:spacing w:after="0" w:line="48" w:lineRule="exact"/>
        <w:rPr>
          <w:sz w:val="20"/>
          <w:szCs w:val="20"/>
          <w:color w:val="auto"/>
        </w:rPr>
      </w:pPr>
    </w:p>
    <w:p>
      <w:pPr>
        <w:jc w:val="both"/>
        <w:ind w:left="340" w:right="40"/>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9"/>
          <w:szCs w:val="19"/>
          <w:color w:val="auto"/>
        </w:rPr>
        <w:t>The Company's Authorized &amp; Designated Spokespersons are the CEO or CFO. These spokespersons have been specially briefed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9"/>
          <w:szCs w:val="19"/>
          <w:color w:val="auto"/>
        </w:rPr>
        <w:t>and trained regarding the rules and requirements of the securities law and Company Policy on responding to inquiries from outside the Company.</w:t>
      </w:r>
    </w:p>
    <w:p>
      <w:pPr>
        <w:spacing w:after="0" w:line="48" w:lineRule="exact"/>
        <w:rPr>
          <w:sz w:val="20"/>
          <w:szCs w:val="20"/>
          <w:color w:val="auto"/>
        </w:rPr>
      </w:pPr>
    </w:p>
    <w:p>
      <w:pPr>
        <w:ind w:left="340" w:right="340"/>
        <w:spacing w:after="0" w:line="286" w:lineRule="auto"/>
        <w:rPr>
          <w:sz w:val="20"/>
          <w:szCs w:val="20"/>
          <w:color w:val="auto"/>
        </w:rPr>
      </w:pPr>
      <w:r>
        <w:rPr>
          <w:rFonts w:ascii="Times New Roman" w:cs="Times New Roman" w:eastAsia="Times New Roman" w:hAnsi="Times New Roman"/>
          <w:sz w:val="19"/>
          <w:szCs w:val="19"/>
          <w:color w:val="auto"/>
        </w:rPr>
        <w:t>•Directors or Officers other than the Authorized &amp; Designated Spokespersons may respond to outside inquiries only if they are authorized to do so in a particular case, or if their job responsibilities include responding to questions.</w:t>
      </w:r>
    </w:p>
    <w:p>
      <w:pPr>
        <w:spacing w:after="0" w:line="31" w:lineRule="exact"/>
        <w:rPr>
          <w:sz w:val="20"/>
          <w:szCs w:val="20"/>
          <w:color w:val="auto"/>
        </w:rPr>
      </w:pPr>
    </w:p>
    <w:p>
      <w:pPr>
        <w:ind w:left="340" w:right="260"/>
        <w:spacing w:after="0" w:line="268" w:lineRule="auto"/>
        <w:rPr>
          <w:sz w:val="20"/>
          <w:szCs w:val="20"/>
          <w:color w:val="auto"/>
        </w:rPr>
      </w:pPr>
      <w:r>
        <w:rPr>
          <w:rFonts w:ascii="Times New Roman" w:cs="Times New Roman" w:eastAsia="Times New Roman" w:hAnsi="Times New Roman"/>
          <w:sz w:val="19"/>
          <w:szCs w:val="19"/>
          <w:color w:val="auto"/>
        </w:rPr>
        <w:t>•Any inquiries from outsiders concerning any Company information should be referred to the Authorized &amp; Designated Spokespersons identified above. An appropriate response to a request from on outsider for information or to seek an answer to a question is: "The authorized Company spokesperson on this matter is [ ], whose telephone number is…."</w:t>
      </w:r>
    </w:p>
    <w:p>
      <w:pPr>
        <w:spacing w:after="0" w:line="48" w:lineRule="exact"/>
        <w:rPr>
          <w:sz w:val="20"/>
          <w:szCs w:val="20"/>
          <w:color w:val="auto"/>
        </w:rPr>
      </w:pPr>
    </w:p>
    <w:p>
      <w:pPr>
        <w:ind w:left="340" w:right="200"/>
        <w:spacing w:after="0" w:line="268" w:lineRule="auto"/>
        <w:rPr>
          <w:sz w:val="20"/>
          <w:szCs w:val="20"/>
          <w:color w:val="auto"/>
        </w:rPr>
      </w:pPr>
      <w:r>
        <w:rPr>
          <w:rFonts w:ascii="Times New Roman" w:cs="Times New Roman" w:eastAsia="Times New Roman" w:hAnsi="Times New Roman"/>
          <w:sz w:val="19"/>
          <w:szCs w:val="19"/>
          <w:color w:val="auto"/>
        </w:rPr>
        <w:t>•Care should be taken not to make statements such as "the Company knows of no such corporate development." Even if the Company knows nothing at the time such a statement is made, by making such a statement, it may be undertaking an affirmative disclosure obligation if the facts change.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Any questions about this Policy and these procedures should be directed to the Chief Financial Officer.</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w:t>
      </w:r>
      <w:r>
        <w:rPr>
          <w:rFonts w:ascii="Times New Roman" w:cs="Times New Roman" w:eastAsia="Times New Roman" w:hAnsi="Times New Roman"/>
          <w:sz w:val="13"/>
          <w:szCs w:val="13"/>
          <w:b w:val="1"/>
          <w:bCs w:val="1"/>
          <w:color w:val="auto"/>
        </w:rPr>
        <w:t>ENALTIES FOR</w:t>
      </w:r>
      <w:r>
        <w:rPr>
          <w:rFonts w:ascii="Times New Roman" w:cs="Times New Roman" w:eastAsia="Times New Roman" w:hAnsi="Times New Roman"/>
          <w:sz w:val="19"/>
          <w:szCs w:val="19"/>
          <w:b w:val="1"/>
          <w:bCs w:val="1"/>
          <w:color w:val="auto"/>
        </w:rPr>
        <w:t xml:space="preserve"> V</w:t>
      </w:r>
      <w:r>
        <w:rPr>
          <w:rFonts w:ascii="Times New Roman" w:cs="Times New Roman" w:eastAsia="Times New Roman" w:hAnsi="Times New Roman"/>
          <w:sz w:val="13"/>
          <w:szCs w:val="13"/>
          <w:b w:val="1"/>
          <w:bCs w:val="1"/>
          <w:color w:val="auto"/>
        </w:rPr>
        <w:t>IOLATING</w:t>
      </w:r>
      <w:r>
        <w:rPr>
          <w:rFonts w:ascii="Times New Roman" w:cs="Times New Roman" w:eastAsia="Times New Roman" w:hAnsi="Times New Roman"/>
          <w:sz w:val="19"/>
          <w:szCs w:val="19"/>
          <w:b w:val="1"/>
          <w:bCs w:val="1"/>
          <w:color w:val="auto"/>
        </w:rPr>
        <w:t xml:space="preserve"> S</w:t>
      </w:r>
      <w:r>
        <w:rPr>
          <w:rFonts w:ascii="Times New Roman" w:cs="Times New Roman" w:eastAsia="Times New Roman" w:hAnsi="Times New Roman"/>
          <w:sz w:val="13"/>
          <w:szCs w:val="13"/>
          <w:b w:val="1"/>
          <w:bCs w:val="1"/>
          <w:color w:val="auto"/>
        </w:rPr>
        <w:t>ECURITIES</w:t>
      </w:r>
      <w:r>
        <w:rPr>
          <w:rFonts w:ascii="Times New Roman" w:cs="Times New Roman" w:eastAsia="Times New Roman" w:hAnsi="Times New Roman"/>
          <w:sz w:val="19"/>
          <w:szCs w:val="19"/>
          <w:b w:val="1"/>
          <w:bCs w:val="1"/>
          <w:color w:val="auto"/>
        </w:rPr>
        <w:t xml:space="preserve"> L</w:t>
      </w:r>
      <w:r>
        <w:rPr>
          <w:rFonts w:ascii="Times New Roman" w:cs="Times New Roman" w:eastAsia="Times New Roman" w:hAnsi="Times New Roman"/>
          <w:sz w:val="13"/>
          <w:szCs w:val="13"/>
          <w:b w:val="1"/>
          <w:bCs w:val="1"/>
          <w:color w:val="auto"/>
        </w:rPr>
        <w:t>AW AND</w:t>
      </w:r>
      <w:r>
        <w:rPr>
          <w:rFonts w:ascii="Times New Roman" w:cs="Times New Roman" w:eastAsia="Times New Roman" w:hAnsi="Times New Roman"/>
          <w:sz w:val="19"/>
          <w:szCs w:val="19"/>
          <w:b w:val="1"/>
          <w:bCs w:val="1"/>
          <w:color w:val="auto"/>
        </w:rPr>
        <w:t xml:space="preserve"> C</w:t>
      </w:r>
      <w:r>
        <w:rPr>
          <w:rFonts w:ascii="Times New Roman" w:cs="Times New Roman" w:eastAsia="Times New Roman" w:hAnsi="Times New Roman"/>
          <w:sz w:val="13"/>
          <w:szCs w:val="13"/>
          <w:b w:val="1"/>
          <w:bCs w:val="1"/>
          <w:color w:val="auto"/>
        </w:rPr>
        <w:t>OMPANY</w:t>
      </w:r>
      <w:r>
        <w:rPr>
          <w:rFonts w:ascii="Times New Roman" w:cs="Times New Roman" w:eastAsia="Times New Roman" w:hAnsi="Times New Roman"/>
          <w:sz w:val="19"/>
          <w:szCs w:val="19"/>
          <w:b w:val="1"/>
          <w:bCs w:val="1"/>
          <w:color w:val="auto"/>
        </w:rPr>
        <w:t xml:space="preserve"> P</w:t>
      </w:r>
      <w:r>
        <w:rPr>
          <w:rFonts w:ascii="Times New Roman" w:cs="Times New Roman" w:eastAsia="Times New Roman" w:hAnsi="Times New Roman"/>
          <w:sz w:val="13"/>
          <w:szCs w:val="13"/>
          <w:b w:val="1"/>
          <w:bCs w:val="1"/>
          <w:color w:val="auto"/>
        </w:rPr>
        <w:t>OLICY</w:t>
      </w:r>
    </w:p>
    <w:p>
      <w:pPr>
        <w:spacing w:after="0" w:line="228" w:lineRule="exact"/>
        <w:rPr>
          <w:sz w:val="20"/>
          <w:szCs w:val="20"/>
          <w:color w:val="auto"/>
        </w:rPr>
      </w:pPr>
    </w:p>
    <w:p>
      <w:pPr>
        <w:ind w:right="280" w:firstLine="720"/>
        <w:spacing w:after="0" w:line="262" w:lineRule="auto"/>
        <w:rPr>
          <w:sz w:val="20"/>
          <w:szCs w:val="20"/>
          <w:color w:val="auto"/>
        </w:rPr>
      </w:pPr>
      <w:r>
        <w:rPr>
          <w:rFonts w:ascii="Times New Roman" w:cs="Times New Roman" w:eastAsia="Times New Roman" w:hAnsi="Times New Roman"/>
          <w:sz w:val="19"/>
          <w:szCs w:val="19"/>
          <w:color w:val="auto"/>
        </w:rPr>
        <w:t>The seriousness of securities law violations is reflected in the penalties that it carries. A Director's resignation may be sought, or an Officer or other Insider will be subject to possible Company disciplinary action up to and including termination of employment. In addition, the Company itself and individual Directors, Officers or employees may be subjected to both criminal and civil liability. Criminal penalties can be up to a maximum of $5 million and 20 years in jail.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Conclusion</w:t>
      </w:r>
    </w:p>
    <w:p>
      <w:pPr>
        <w:spacing w:after="0" w:line="226" w:lineRule="exact"/>
        <w:rPr>
          <w:sz w:val="20"/>
          <w:szCs w:val="20"/>
          <w:color w:val="auto"/>
        </w:rPr>
      </w:pPr>
    </w:p>
    <w:p>
      <w:pPr>
        <w:jc w:val="both"/>
        <w:ind w:right="340" w:firstLine="720"/>
        <w:spacing w:after="0" w:line="268" w:lineRule="auto"/>
        <w:rPr>
          <w:sz w:val="20"/>
          <w:szCs w:val="20"/>
          <w:color w:val="auto"/>
        </w:rPr>
      </w:pPr>
      <w:r>
        <w:rPr>
          <w:rFonts w:ascii="Times New Roman" w:cs="Times New Roman" w:eastAsia="Times New Roman" w:hAnsi="Times New Roman"/>
          <w:sz w:val="19"/>
          <w:szCs w:val="19"/>
          <w:color w:val="auto"/>
        </w:rPr>
        <w:t>Because of the technical nature of some aspects of the federal securities laws all Directors and Officers should review this material carefully and contact the CCO prior to engaging in any transaction in the Company's securities which might be in conflict with the securities law and this Company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392430</wp:posOffset>
            </wp:positionV>
            <wp:extent cx="6732905" cy="406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20"/>
          </w:cols>
          <w:pgMar w:left="800" w:top="1131" w:right="680"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4"/>
          <w:szCs w:val="14"/>
          <w:b w:val="1"/>
          <w:bCs w:val="1"/>
          <w:color w:val="auto"/>
        </w:rPr>
        <w:t>Exhibit 19.1</w:t>
      </w:r>
    </w:p>
    <w:p>
      <w:pPr>
        <w:spacing w:after="0" w:line="29" w:lineRule="exact"/>
        <w:rPr>
          <w:sz w:val="20"/>
          <w:szCs w:val="20"/>
          <w:color w:val="auto"/>
        </w:rPr>
      </w:pPr>
    </w:p>
    <w:p>
      <w:pPr>
        <w:ind w:left="80" w:right="920"/>
        <w:spacing w:after="0" w:line="263" w:lineRule="auto"/>
        <w:rPr>
          <w:sz w:val="20"/>
          <w:szCs w:val="20"/>
          <w:color w:val="auto"/>
        </w:rPr>
      </w:pPr>
      <w:r>
        <w:rPr>
          <w:rFonts w:ascii="Times New Roman" w:cs="Times New Roman" w:eastAsia="Times New Roman" w:hAnsi="Times New Roman"/>
          <w:sz w:val="19"/>
          <w:szCs w:val="19"/>
          <w:color w:val="auto"/>
        </w:rPr>
        <w:t>Contact an Authorized &amp; Designated Spokespersons for guidance on the rules about responding to questions or requests for information from outsiders, and the CCO regarding any securities law required reporting or form-filing requirements.</w:t>
      </w:r>
    </w:p>
    <w:p>
      <w:pPr>
        <w:spacing w:after="0" w:line="13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b w:val="1"/>
          <w:bCs w:val="1"/>
          <w:color w:val="auto"/>
        </w:rPr>
        <w:t>E</w:t>
      </w:r>
      <w:r>
        <w:rPr>
          <w:rFonts w:ascii="Times New Roman" w:cs="Times New Roman" w:eastAsia="Times New Roman" w:hAnsi="Times New Roman"/>
          <w:sz w:val="13"/>
          <w:szCs w:val="13"/>
          <w:b w:val="1"/>
          <w:bCs w:val="1"/>
          <w:color w:val="auto"/>
        </w:rPr>
        <w:t>THICAL</w:t>
      </w:r>
      <w:r>
        <w:rPr>
          <w:rFonts w:ascii="Times New Roman" w:cs="Times New Roman" w:eastAsia="Times New Roman" w:hAnsi="Times New Roman"/>
          <w:sz w:val="19"/>
          <w:szCs w:val="19"/>
          <w:b w:val="1"/>
          <w:bCs w:val="1"/>
          <w:color w:val="auto"/>
        </w:rPr>
        <w:t xml:space="preserve"> A</w:t>
      </w:r>
      <w:r>
        <w:rPr>
          <w:rFonts w:ascii="Times New Roman" w:cs="Times New Roman" w:eastAsia="Times New Roman" w:hAnsi="Times New Roman"/>
          <w:sz w:val="13"/>
          <w:szCs w:val="13"/>
          <w:b w:val="1"/>
          <w:bCs w:val="1"/>
          <w:color w:val="auto"/>
        </w:rPr>
        <w:t>ND</w:t>
      </w:r>
      <w:r>
        <w:rPr>
          <w:rFonts w:ascii="Times New Roman" w:cs="Times New Roman" w:eastAsia="Times New Roman" w:hAnsi="Times New Roman"/>
          <w:sz w:val="19"/>
          <w:szCs w:val="19"/>
          <w:b w:val="1"/>
          <w:bCs w:val="1"/>
          <w:color w:val="auto"/>
        </w:rPr>
        <w:t xml:space="preserve"> L</w:t>
      </w:r>
      <w:r>
        <w:rPr>
          <w:rFonts w:ascii="Times New Roman" w:cs="Times New Roman" w:eastAsia="Times New Roman" w:hAnsi="Times New Roman"/>
          <w:sz w:val="13"/>
          <w:szCs w:val="13"/>
          <w:b w:val="1"/>
          <w:bCs w:val="1"/>
          <w:color w:val="auto"/>
        </w:rPr>
        <w:t>EGAL</w:t>
      </w:r>
      <w:r>
        <w:rPr>
          <w:rFonts w:ascii="Times New Roman" w:cs="Times New Roman" w:eastAsia="Times New Roman" w:hAnsi="Times New Roman"/>
          <w:sz w:val="19"/>
          <w:szCs w:val="19"/>
          <w:b w:val="1"/>
          <w:bCs w:val="1"/>
          <w:color w:val="auto"/>
        </w:rPr>
        <w:t xml:space="preserve"> R</w:t>
      </w:r>
      <w:r>
        <w:rPr>
          <w:rFonts w:ascii="Times New Roman" w:cs="Times New Roman" w:eastAsia="Times New Roman" w:hAnsi="Times New Roman"/>
          <w:sz w:val="13"/>
          <w:szCs w:val="13"/>
          <w:b w:val="1"/>
          <w:bCs w:val="1"/>
          <w:color w:val="auto"/>
        </w:rPr>
        <w:t>ESPONSIBILITIES</w:t>
      </w:r>
      <w:r>
        <w:rPr>
          <w:rFonts w:ascii="Times New Roman" w:cs="Times New Roman" w:eastAsia="Times New Roman" w:hAnsi="Times New Roman"/>
          <w:sz w:val="19"/>
          <w:szCs w:val="19"/>
          <w:b w:val="1"/>
          <w:bCs w:val="1"/>
          <w:color w:val="auto"/>
        </w:rPr>
        <w:t xml:space="preserve"> O</w:t>
      </w:r>
      <w:r>
        <w:rPr>
          <w:rFonts w:ascii="Times New Roman" w:cs="Times New Roman" w:eastAsia="Times New Roman" w:hAnsi="Times New Roman"/>
          <w:sz w:val="13"/>
          <w:szCs w:val="13"/>
          <w:b w:val="1"/>
          <w:bCs w:val="1"/>
          <w:color w:val="auto"/>
        </w:rPr>
        <w:t>F</w:t>
      </w:r>
      <w:r>
        <w:rPr>
          <w:rFonts w:ascii="Times New Roman" w:cs="Times New Roman" w:eastAsia="Times New Roman" w:hAnsi="Times New Roman"/>
          <w:sz w:val="19"/>
          <w:szCs w:val="19"/>
          <w:b w:val="1"/>
          <w:bCs w:val="1"/>
          <w:color w:val="auto"/>
        </w:rPr>
        <w:t xml:space="preserve"> D</w:t>
      </w:r>
      <w:r>
        <w:rPr>
          <w:rFonts w:ascii="Times New Roman" w:cs="Times New Roman" w:eastAsia="Times New Roman" w:hAnsi="Times New Roman"/>
          <w:sz w:val="13"/>
          <w:szCs w:val="13"/>
          <w:b w:val="1"/>
          <w:bCs w:val="1"/>
          <w:color w:val="auto"/>
        </w:rPr>
        <w:t>IRECTORS</w:t>
      </w:r>
      <w:r>
        <w:rPr>
          <w:rFonts w:ascii="Times New Roman" w:cs="Times New Roman" w:eastAsia="Times New Roman" w:hAnsi="Times New Roman"/>
          <w:sz w:val="19"/>
          <w:szCs w:val="19"/>
          <w:b w:val="1"/>
          <w:bCs w:val="1"/>
          <w:color w:val="auto"/>
        </w:rPr>
        <w:t>, O</w:t>
      </w:r>
      <w:r>
        <w:rPr>
          <w:rFonts w:ascii="Times New Roman" w:cs="Times New Roman" w:eastAsia="Times New Roman" w:hAnsi="Times New Roman"/>
          <w:sz w:val="13"/>
          <w:szCs w:val="13"/>
          <w:b w:val="1"/>
          <w:bCs w:val="1"/>
          <w:color w:val="auto"/>
        </w:rPr>
        <w:t>FFICERS</w:t>
      </w:r>
      <w:r>
        <w:rPr>
          <w:rFonts w:ascii="Times New Roman" w:cs="Times New Roman" w:eastAsia="Times New Roman" w:hAnsi="Times New Roman"/>
          <w:sz w:val="19"/>
          <w:szCs w:val="19"/>
          <w:b w:val="1"/>
          <w:bCs w:val="1"/>
          <w:color w:val="auto"/>
        </w:rPr>
        <w:t>, A</w:t>
      </w:r>
      <w:r>
        <w:rPr>
          <w:rFonts w:ascii="Times New Roman" w:cs="Times New Roman" w:eastAsia="Times New Roman" w:hAnsi="Times New Roman"/>
          <w:sz w:val="13"/>
          <w:szCs w:val="13"/>
          <w:b w:val="1"/>
          <w:bCs w:val="1"/>
          <w:color w:val="auto"/>
        </w:rPr>
        <w:t>ND</w:t>
      </w:r>
      <w:r>
        <w:rPr>
          <w:rFonts w:ascii="Times New Roman" w:cs="Times New Roman" w:eastAsia="Times New Roman" w:hAnsi="Times New Roman"/>
          <w:sz w:val="19"/>
          <w:szCs w:val="19"/>
          <w:b w:val="1"/>
          <w:bCs w:val="1"/>
          <w:color w:val="auto"/>
        </w:rPr>
        <w:t xml:space="preserve"> E</w:t>
      </w:r>
      <w:r>
        <w:rPr>
          <w:rFonts w:ascii="Times New Roman" w:cs="Times New Roman" w:eastAsia="Times New Roman" w:hAnsi="Times New Roman"/>
          <w:sz w:val="13"/>
          <w:szCs w:val="13"/>
          <w:b w:val="1"/>
          <w:bCs w:val="1"/>
          <w:color w:val="auto"/>
        </w:rPr>
        <w:t>MPLOYEES</w:t>
      </w:r>
      <w:r>
        <w:rPr>
          <w:rFonts w:ascii="Times New Roman" w:cs="Times New Roman" w:eastAsia="Times New Roman" w:hAnsi="Times New Roman"/>
          <w:sz w:val="19"/>
          <w:szCs w:val="19"/>
          <w:b w:val="1"/>
          <w:bCs w:val="1"/>
          <w:color w:val="auto"/>
        </w:rPr>
        <w:t xml:space="preserve"> R</w:t>
      </w:r>
      <w:r>
        <w:rPr>
          <w:rFonts w:ascii="Times New Roman" w:cs="Times New Roman" w:eastAsia="Times New Roman" w:hAnsi="Times New Roman"/>
          <w:sz w:val="13"/>
          <w:szCs w:val="13"/>
          <w:b w:val="1"/>
          <w:bCs w:val="1"/>
          <w:color w:val="auto"/>
        </w:rPr>
        <w:t>EGARDING</w:t>
      </w:r>
      <w:r>
        <w:rPr>
          <w:rFonts w:ascii="Times New Roman" w:cs="Times New Roman" w:eastAsia="Times New Roman" w:hAnsi="Times New Roman"/>
          <w:sz w:val="19"/>
          <w:szCs w:val="19"/>
          <w:b w:val="1"/>
          <w:bCs w:val="1"/>
          <w:color w:val="auto"/>
        </w:rPr>
        <w:t xml:space="preserve"> T</w:t>
      </w:r>
      <w:r>
        <w:rPr>
          <w:rFonts w:ascii="Times New Roman" w:cs="Times New Roman" w:eastAsia="Times New Roman" w:hAnsi="Times New Roman"/>
          <w:sz w:val="13"/>
          <w:szCs w:val="13"/>
          <w:b w:val="1"/>
          <w:bCs w:val="1"/>
          <w:color w:val="auto"/>
        </w:rPr>
        <w:t>RADING</w:t>
      </w:r>
      <w:r>
        <w:rPr>
          <w:rFonts w:ascii="Times New Roman" w:cs="Times New Roman" w:eastAsia="Times New Roman" w:hAnsi="Times New Roman"/>
          <w:sz w:val="19"/>
          <w:szCs w:val="19"/>
          <w:b w:val="1"/>
          <w:bCs w:val="1"/>
          <w:color w:val="auto"/>
        </w:rPr>
        <w:t xml:space="preserve"> I</w:t>
      </w:r>
      <w:r>
        <w:rPr>
          <w:rFonts w:ascii="Times New Roman" w:cs="Times New Roman" w:eastAsia="Times New Roman" w:hAnsi="Times New Roman"/>
          <w:sz w:val="13"/>
          <w:szCs w:val="13"/>
          <w:b w:val="1"/>
          <w:bCs w:val="1"/>
          <w:color w:val="auto"/>
        </w:rPr>
        <w:t>N</w:t>
      </w:r>
      <w:r>
        <w:rPr>
          <w:rFonts w:ascii="Times New Roman" w:cs="Times New Roman" w:eastAsia="Times New Roman" w:hAnsi="Times New Roman"/>
          <w:sz w:val="19"/>
          <w:szCs w:val="19"/>
          <w:b w:val="1"/>
          <w:bCs w:val="1"/>
          <w:color w:val="auto"/>
        </w:rPr>
        <w:t xml:space="preserve"> S</w:t>
      </w:r>
      <w:r>
        <w:rPr>
          <w:rFonts w:ascii="Times New Roman" w:cs="Times New Roman" w:eastAsia="Times New Roman" w:hAnsi="Times New Roman"/>
          <w:sz w:val="13"/>
          <w:szCs w:val="13"/>
          <w:b w:val="1"/>
          <w:bCs w:val="1"/>
          <w:color w:val="auto"/>
        </w:rPr>
        <w:t>ECURITIES</w:t>
      </w:r>
    </w:p>
    <w:p>
      <w:pPr>
        <w:spacing w:after="0" w:line="228" w:lineRule="exact"/>
        <w:rPr>
          <w:sz w:val="20"/>
          <w:szCs w:val="20"/>
          <w:color w:val="auto"/>
        </w:rPr>
      </w:pPr>
    </w:p>
    <w:p>
      <w:pPr>
        <w:ind w:left="80" w:right="260" w:firstLine="720"/>
        <w:spacing w:after="0" w:line="268" w:lineRule="auto"/>
        <w:rPr>
          <w:sz w:val="20"/>
          <w:szCs w:val="20"/>
          <w:color w:val="auto"/>
        </w:rPr>
      </w:pPr>
      <w:r>
        <w:rPr>
          <w:rFonts w:ascii="Times New Roman" w:cs="Times New Roman" w:eastAsia="Times New Roman" w:hAnsi="Times New Roman"/>
          <w:sz w:val="19"/>
          <w:szCs w:val="19"/>
          <w:color w:val="auto"/>
        </w:rPr>
        <w:t>This affirms my reading, knowledge and understanding of [Portman Ridge Finance Corporation’s][Logan Ridge Finance Corporation’s] Statement on Trading in Company and Other Securities by Directors, Officers and other Insiders and I agree to abide by such policy statement.</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Should any violation of this policy come to my attention, I agree to promptly contact the Company’s Chief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___________________________________________________</w:t>
      </w:r>
    </w:p>
    <w:p>
      <w:pPr>
        <w:spacing w:after="0" w:line="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Name (Print or type)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___________________________________________________ ______________________</w:t>
      </w:r>
    </w:p>
    <w:p>
      <w:pPr>
        <w:spacing w:after="0" w:line="32" w:lineRule="exact"/>
        <w:rPr>
          <w:sz w:val="20"/>
          <w:szCs w:val="20"/>
          <w:color w:val="auto"/>
        </w:rPr>
      </w:pPr>
    </w:p>
    <w:p>
      <w:pPr>
        <w:ind w:left="80"/>
        <w:spacing w:after="0"/>
        <w:tabs>
          <w:tab w:leader="none" w:pos="1260" w:val="left"/>
        </w:tabs>
        <w:rPr>
          <w:sz w:val="20"/>
          <w:szCs w:val="20"/>
          <w:color w:val="auto"/>
        </w:rPr>
      </w:pPr>
      <w:r>
        <w:rPr>
          <w:rFonts w:ascii="Times New Roman" w:cs="Times New Roman" w:eastAsia="Times New Roman" w:hAnsi="Times New Roman"/>
          <w:sz w:val="19"/>
          <w:szCs w:val="19"/>
          <w:color w:val="auto"/>
        </w:rPr>
        <w:t>Signature</w:t>
      </w:r>
      <w:r>
        <w:rPr>
          <w:sz w:val="20"/>
          <w:szCs w:val="20"/>
          <w:color w:val="auto"/>
        </w:rPr>
        <w:tab/>
      </w:r>
      <w:r>
        <w:rPr>
          <w:rFonts w:ascii="Times New Roman" w:cs="Times New Roman" w:eastAsia="Times New Roman" w:hAnsi="Times New Roman"/>
          <w:sz w:val="19"/>
          <w:szCs w:val="19"/>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528955</wp:posOffset>
            </wp:positionV>
            <wp:extent cx="6732905" cy="406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720" w:top="1131" w:right="680" w:bottom="1440" w:gutter="0" w:footer="0" w:header="0"/>
        </w:sectPr>
      </w:pPr>
    </w:p>
    <w:bookmarkStart w:id="112" w:name="page113"/>
    <w:bookmarkEnd w:id="112"/>
    <w:p>
      <w:pPr>
        <w:ind w:left="9880"/>
        <w:spacing w:after="0"/>
        <w:rPr>
          <w:sz w:val="20"/>
          <w:szCs w:val="20"/>
          <w:color w:val="auto"/>
        </w:rPr>
      </w:pPr>
      <w:r>
        <w:rPr>
          <w:rFonts w:ascii="Times New Roman" w:cs="Times New Roman" w:eastAsia="Times New Roman" w:hAnsi="Times New Roman"/>
          <w:sz w:val="13"/>
          <w:szCs w:val="13"/>
          <w:b w:val="1"/>
          <w:bCs w:val="1"/>
          <w:color w:val="auto"/>
        </w:rPr>
        <w:t>Exhibit 21.1</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440" w:type="dxa"/>
            <w:vAlign w:val="bottom"/>
          </w:tcPr>
          <w:p>
            <w:pPr>
              <w:spacing w:after="0"/>
              <w:rPr>
                <w:sz w:val="12"/>
                <w:szCs w:val="12"/>
                <w:color w:val="auto"/>
              </w:rPr>
            </w:pPr>
          </w:p>
        </w:tc>
        <w:tc>
          <w:tcPr>
            <w:tcW w:w="5540" w:type="dxa"/>
            <w:vAlign w:val="bottom"/>
            <w:gridSpan w:val="3"/>
          </w:tcPr>
          <w:p>
            <w:pPr>
              <w:ind w:left="160"/>
              <w:spacing w:after="0"/>
              <w:rPr>
                <w:sz w:val="20"/>
                <w:szCs w:val="20"/>
                <w:color w:val="auto"/>
              </w:rPr>
            </w:pPr>
            <w:r>
              <w:rPr>
                <w:rFonts w:ascii="Times New Roman" w:cs="Times New Roman" w:eastAsia="Times New Roman" w:hAnsi="Times New Roman"/>
                <w:sz w:val="11"/>
                <w:szCs w:val="11"/>
                <w:b w:val="1"/>
                <w:bCs w:val="1"/>
                <w:color w:val="auto"/>
              </w:rPr>
              <w:t>List of Subsidiaries</w:t>
            </w:r>
          </w:p>
        </w:tc>
        <w:tc>
          <w:tcPr>
            <w:tcW w:w="1580" w:type="dxa"/>
            <w:vAlign w:val="bottom"/>
          </w:tcPr>
          <w:p>
            <w:pPr>
              <w:spacing w:after="0"/>
              <w:rPr>
                <w:sz w:val="12"/>
                <w:szCs w:val="12"/>
                <w:color w:val="auto"/>
              </w:rPr>
            </w:pPr>
          </w:p>
        </w:tc>
      </w:tr>
      <w:tr>
        <w:trPr>
          <w:trHeight w:val="276"/>
        </w:trPr>
        <w:tc>
          <w:tcPr>
            <w:tcW w:w="34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Name</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Jurisdiction</w:t>
            </w:r>
          </w:p>
        </w:tc>
        <w:tc>
          <w:tcPr>
            <w:tcW w:w="1580" w:type="dxa"/>
            <w:vAlign w:val="bottom"/>
          </w:tcPr>
          <w:p>
            <w:pPr>
              <w:spacing w:after="0"/>
              <w:rPr>
                <w:sz w:val="24"/>
                <w:szCs w:val="24"/>
                <w:color w:val="auto"/>
              </w:rPr>
            </w:pPr>
          </w:p>
        </w:tc>
      </w:tr>
      <w:tr>
        <w:trPr>
          <w:trHeight w:val="148"/>
        </w:trPr>
        <w:tc>
          <w:tcPr>
            <w:tcW w:w="34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940" w:type="dxa"/>
            <w:vAlign w:val="bottom"/>
            <w:tcBorders>
              <w:bottom w:val="single" w:sz="8" w:color="auto"/>
            </w:tcBorders>
          </w:tcPr>
          <w:p>
            <w:pPr>
              <w:spacing w:after="0"/>
              <w:rPr>
                <w:sz w:val="12"/>
                <w:szCs w:val="12"/>
                <w:color w:val="auto"/>
              </w:rPr>
            </w:pPr>
          </w:p>
        </w:tc>
        <w:tc>
          <w:tcPr>
            <w:tcW w:w="1580" w:type="dxa"/>
            <w:vAlign w:val="bottom"/>
          </w:tcPr>
          <w:p>
            <w:pPr>
              <w:spacing w:after="0"/>
              <w:rPr>
                <w:sz w:val="12"/>
                <w:szCs w:val="12"/>
                <w:color w:val="auto"/>
              </w:rPr>
            </w:pPr>
          </w:p>
        </w:tc>
      </w:tr>
      <w:tr>
        <w:trPr>
          <w:trHeight w:val="156"/>
        </w:trPr>
        <w:tc>
          <w:tcPr>
            <w:tcW w:w="3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Katonah Management Holdings LLC</w:t>
            </w: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Delaware</w:t>
            </w:r>
          </w:p>
        </w:tc>
        <w:tc>
          <w:tcPr>
            <w:tcW w:w="1580" w:type="dxa"/>
            <w:vAlign w:val="bottom"/>
          </w:tcPr>
          <w:p>
            <w:pPr>
              <w:spacing w:after="0"/>
              <w:rPr>
                <w:sz w:val="13"/>
                <w:szCs w:val="13"/>
                <w:color w:val="auto"/>
              </w:rPr>
            </w:pPr>
          </w:p>
        </w:tc>
      </w:tr>
      <w:tr>
        <w:trPr>
          <w:trHeight w:val="312"/>
        </w:trPr>
        <w:tc>
          <w:tcPr>
            <w:tcW w:w="3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KCAP Senior Funding I Holdings, LLC</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Delaware</w:t>
            </w:r>
          </w:p>
        </w:tc>
        <w:tc>
          <w:tcPr>
            <w:tcW w:w="1580" w:type="dxa"/>
            <w:vAlign w:val="bottom"/>
          </w:tcPr>
          <w:p>
            <w:pPr>
              <w:spacing w:after="0"/>
              <w:rPr>
                <w:sz w:val="24"/>
                <w:szCs w:val="24"/>
                <w:color w:val="auto"/>
              </w:rPr>
            </w:pPr>
          </w:p>
        </w:tc>
      </w:tr>
      <w:tr>
        <w:trPr>
          <w:trHeight w:val="266"/>
        </w:trPr>
        <w:tc>
          <w:tcPr>
            <w:tcW w:w="3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KCAP Senior Funding I, LLC</w:t>
            </w:r>
            <w:r>
              <w:rPr>
                <w:rFonts w:ascii="Times New Roman" w:cs="Times New Roman" w:eastAsia="Times New Roman" w:hAnsi="Times New Roman"/>
                <w:sz w:val="14"/>
                <w:szCs w:val="14"/>
                <w:color w:val="auto"/>
                <w:vertAlign w:val="superscript"/>
              </w:rPr>
              <w:t>(1)</w:t>
            </w:r>
          </w:p>
        </w:tc>
        <w:tc>
          <w:tcPr>
            <w:tcW w:w="1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Delaware</w:t>
            </w:r>
          </w:p>
        </w:tc>
        <w:tc>
          <w:tcPr>
            <w:tcW w:w="1580" w:type="dxa"/>
            <w:vAlign w:val="bottom"/>
          </w:tcPr>
          <w:p>
            <w:pPr>
              <w:spacing w:after="0"/>
              <w:rPr>
                <w:sz w:val="23"/>
                <w:szCs w:val="23"/>
                <w:color w:val="auto"/>
              </w:rPr>
            </w:pPr>
          </w:p>
        </w:tc>
      </w:tr>
      <w:tr>
        <w:trPr>
          <w:trHeight w:val="190"/>
        </w:trPr>
        <w:tc>
          <w:tcPr>
            <w:tcW w:w="3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KCAP Management, LLC</w:t>
            </w: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Delaware</w:t>
            </w:r>
          </w:p>
        </w:tc>
        <w:tc>
          <w:tcPr>
            <w:tcW w:w="1580" w:type="dxa"/>
            <w:vAlign w:val="bottom"/>
          </w:tcPr>
          <w:p>
            <w:pPr>
              <w:spacing w:after="0"/>
              <w:rPr>
                <w:sz w:val="16"/>
                <w:szCs w:val="16"/>
                <w:color w:val="auto"/>
              </w:rPr>
            </w:pPr>
          </w:p>
        </w:tc>
      </w:tr>
      <w:tr>
        <w:trPr>
          <w:trHeight w:val="312"/>
        </w:trPr>
        <w:tc>
          <w:tcPr>
            <w:tcW w:w="3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KCAP Coastal LLC</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Delaware</w:t>
            </w:r>
          </w:p>
        </w:tc>
        <w:tc>
          <w:tcPr>
            <w:tcW w:w="1580" w:type="dxa"/>
            <w:vAlign w:val="bottom"/>
          </w:tcPr>
          <w:p>
            <w:pPr>
              <w:spacing w:after="0"/>
              <w:rPr>
                <w:sz w:val="24"/>
                <w:szCs w:val="24"/>
                <w:color w:val="auto"/>
              </w:rPr>
            </w:pPr>
          </w:p>
        </w:tc>
      </w:tr>
      <w:tr>
        <w:trPr>
          <w:trHeight w:val="312"/>
        </w:trPr>
        <w:tc>
          <w:tcPr>
            <w:tcW w:w="3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Great Lakes KCAP Funding I, LLC</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Delaware</w:t>
            </w:r>
          </w:p>
        </w:tc>
        <w:tc>
          <w:tcPr>
            <w:tcW w:w="1580" w:type="dxa"/>
            <w:vAlign w:val="bottom"/>
          </w:tcPr>
          <w:p>
            <w:pPr>
              <w:spacing w:after="0"/>
              <w:rPr>
                <w:sz w:val="24"/>
                <w:szCs w:val="24"/>
                <w:color w:val="auto"/>
              </w:rPr>
            </w:pPr>
          </w:p>
        </w:tc>
      </w:tr>
      <w:tr>
        <w:trPr>
          <w:trHeight w:val="312"/>
        </w:trPr>
        <w:tc>
          <w:tcPr>
            <w:tcW w:w="3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PTMN Sub Holdings LLC</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Delaware</w:t>
            </w:r>
          </w:p>
        </w:tc>
        <w:tc>
          <w:tcPr>
            <w:tcW w:w="1580" w:type="dxa"/>
            <w:vAlign w:val="bottom"/>
          </w:tcPr>
          <w:p>
            <w:pPr>
              <w:spacing w:after="0"/>
              <w:rPr>
                <w:sz w:val="24"/>
                <w:szCs w:val="24"/>
                <w:color w:val="auto"/>
              </w:rPr>
            </w:pPr>
          </w:p>
        </w:tc>
      </w:tr>
      <w:tr>
        <w:trPr>
          <w:trHeight w:val="312"/>
        </w:trPr>
        <w:tc>
          <w:tcPr>
            <w:tcW w:w="3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Great Lakes Portman Ridge Funding, LLC</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Delaware</w:t>
            </w:r>
          </w:p>
        </w:tc>
        <w:tc>
          <w:tcPr>
            <w:tcW w:w="1580" w:type="dxa"/>
            <w:vAlign w:val="bottom"/>
          </w:tcPr>
          <w:p>
            <w:pPr>
              <w:spacing w:after="0"/>
              <w:rPr>
                <w:sz w:val="24"/>
                <w:szCs w:val="24"/>
                <w:color w:val="auto"/>
              </w:rPr>
            </w:pPr>
          </w:p>
        </w:tc>
      </w:tr>
      <w:tr>
        <w:trPr>
          <w:trHeight w:val="312"/>
        </w:trPr>
        <w:tc>
          <w:tcPr>
            <w:tcW w:w="3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Kohlberg Capital Funding LLC I</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Delaware</w:t>
            </w:r>
          </w:p>
        </w:tc>
        <w:tc>
          <w:tcPr>
            <w:tcW w:w="1580" w:type="dxa"/>
            <w:vAlign w:val="bottom"/>
          </w:tcPr>
          <w:p>
            <w:pPr>
              <w:spacing w:after="0"/>
              <w:rPr>
                <w:sz w:val="24"/>
                <w:szCs w:val="24"/>
                <w:color w:val="auto"/>
              </w:rPr>
            </w:pPr>
          </w:p>
        </w:tc>
      </w:tr>
      <w:tr>
        <w:trPr>
          <w:trHeight w:val="312"/>
        </w:trPr>
        <w:tc>
          <w:tcPr>
            <w:tcW w:w="3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OHA Nevada, LLC</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Nevada</w:t>
            </w:r>
          </w:p>
        </w:tc>
        <w:tc>
          <w:tcPr>
            <w:tcW w:w="1580" w:type="dxa"/>
            <w:vAlign w:val="bottom"/>
          </w:tcPr>
          <w:p>
            <w:pPr>
              <w:spacing w:after="0"/>
              <w:rPr>
                <w:sz w:val="24"/>
                <w:szCs w:val="24"/>
                <w:color w:val="auto"/>
              </w:rPr>
            </w:pPr>
          </w:p>
        </w:tc>
      </w:tr>
      <w:tr>
        <w:trPr>
          <w:trHeight w:val="312"/>
        </w:trPr>
        <w:tc>
          <w:tcPr>
            <w:tcW w:w="3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Garrison Capital Equity Holdings I LLC</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Delaware</w:t>
            </w:r>
          </w:p>
        </w:tc>
        <w:tc>
          <w:tcPr>
            <w:tcW w:w="1580" w:type="dxa"/>
            <w:vAlign w:val="bottom"/>
          </w:tcPr>
          <w:p>
            <w:pPr>
              <w:spacing w:after="0"/>
              <w:rPr>
                <w:sz w:val="24"/>
                <w:szCs w:val="24"/>
                <w:color w:val="auto"/>
              </w:rPr>
            </w:pPr>
          </w:p>
        </w:tc>
      </w:tr>
      <w:tr>
        <w:trPr>
          <w:trHeight w:val="312"/>
        </w:trPr>
        <w:tc>
          <w:tcPr>
            <w:tcW w:w="3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Garrison Capital Equity Holdings II LLC</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Delaware</w:t>
            </w:r>
          </w:p>
        </w:tc>
        <w:tc>
          <w:tcPr>
            <w:tcW w:w="1580" w:type="dxa"/>
            <w:vAlign w:val="bottom"/>
          </w:tcPr>
          <w:p>
            <w:pPr>
              <w:spacing w:after="0"/>
              <w:rPr>
                <w:sz w:val="24"/>
                <w:szCs w:val="24"/>
                <w:color w:val="auto"/>
              </w:rPr>
            </w:pPr>
          </w:p>
        </w:tc>
      </w:tr>
      <w:tr>
        <w:trPr>
          <w:trHeight w:val="312"/>
        </w:trPr>
        <w:tc>
          <w:tcPr>
            <w:tcW w:w="3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Garrison Capital Equity Holdings VIII LLC</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Delaware</w:t>
            </w:r>
          </w:p>
        </w:tc>
        <w:tc>
          <w:tcPr>
            <w:tcW w:w="1580" w:type="dxa"/>
            <w:vAlign w:val="bottom"/>
          </w:tcPr>
          <w:p>
            <w:pPr>
              <w:spacing w:after="0"/>
              <w:rPr>
                <w:sz w:val="24"/>
                <w:szCs w:val="24"/>
                <w:color w:val="auto"/>
              </w:rPr>
            </w:pPr>
          </w:p>
        </w:tc>
      </w:tr>
      <w:tr>
        <w:trPr>
          <w:trHeight w:val="312"/>
        </w:trPr>
        <w:tc>
          <w:tcPr>
            <w:tcW w:w="3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Garrison Capital Equity Holdings XI LLC</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Delaware</w:t>
            </w:r>
          </w:p>
        </w:tc>
        <w:tc>
          <w:tcPr>
            <w:tcW w:w="1580" w:type="dxa"/>
            <w:vAlign w:val="bottom"/>
          </w:tcPr>
          <w:p>
            <w:pPr>
              <w:spacing w:after="0"/>
              <w:rPr>
                <w:sz w:val="24"/>
                <w:szCs w:val="24"/>
                <w:color w:val="auto"/>
              </w:rPr>
            </w:pPr>
          </w:p>
        </w:tc>
      </w:tr>
      <w:tr>
        <w:trPr>
          <w:trHeight w:val="312"/>
        </w:trPr>
        <w:tc>
          <w:tcPr>
            <w:tcW w:w="3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GIG Rooster Holdings I LLC</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Delaware</w:t>
            </w:r>
          </w:p>
        </w:tc>
        <w:tc>
          <w:tcPr>
            <w:tcW w:w="1580" w:type="dxa"/>
            <w:vAlign w:val="bottom"/>
          </w:tcPr>
          <w:p>
            <w:pPr>
              <w:spacing w:after="0"/>
              <w:rPr>
                <w:sz w:val="24"/>
                <w:szCs w:val="24"/>
                <w:color w:val="auto"/>
              </w:rPr>
            </w:pPr>
          </w:p>
        </w:tc>
      </w:tr>
      <w:tr>
        <w:trPr>
          <w:trHeight w:val="312"/>
        </w:trPr>
        <w:tc>
          <w:tcPr>
            <w:tcW w:w="3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Portman Ridge Funding 2018-2 Ltd.</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Cayman Islands</w:t>
            </w:r>
          </w:p>
        </w:tc>
        <w:tc>
          <w:tcPr>
            <w:tcW w:w="1580" w:type="dxa"/>
            <w:vAlign w:val="bottom"/>
          </w:tcPr>
          <w:p>
            <w:pPr>
              <w:spacing w:after="0"/>
              <w:rPr>
                <w:sz w:val="24"/>
                <w:szCs w:val="24"/>
                <w:color w:val="auto"/>
              </w:rPr>
            </w:pPr>
          </w:p>
        </w:tc>
      </w:tr>
      <w:tr>
        <w:trPr>
          <w:trHeight w:val="312"/>
        </w:trPr>
        <w:tc>
          <w:tcPr>
            <w:tcW w:w="3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Portman Ridge Funding 2018-2 LLC</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Delaware</w:t>
            </w:r>
          </w:p>
        </w:tc>
        <w:tc>
          <w:tcPr>
            <w:tcW w:w="1580" w:type="dxa"/>
            <w:vAlign w:val="bottom"/>
          </w:tcPr>
          <w:p>
            <w:pPr>
              <w:spacing w:after="0"/>
              <w:rPr>
                <w:sz w:val="24"/>
                <w:szCs w:val="24"/>
                <w:color w:val="auto"/>
              </w:rPr>
            </w:pPr>
          </w:p>
        </w:tc>
      </w:tr>
      <w:tr>
        <w:trPr>
          <w:trHeight w:val="312"/>
        </w:trPr>
        <w:tc>
          <w:tcPr>
            <w:tcW w:w="3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KCAP Freedom 3, LLC</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Delaware</w:t>
            </w:r>
          </w:p>
        </w:tc>
        <w:tc>
          <w:tcPr>
            <w:tcW w:w="1580" w:type="dxa"/>
            <w:vAlign w:val="bottom"/>
          </w:tcPr>
          <w:p>
            <w:pPr>
              <w:spacing w:after="0"/>
              <w:rPr>
                <w:sz w:val="24"/>
                <w:szCs w:val="24"/>
                <w:color w:val="auto"/>
              </w:rPr>
            </w:pPr>
          </w:p>
        </w:tc>
      </w:tr>
      <w:tr>
        <w:trPr>
          <w:trHeight w:val="312"/>
        </w:trPr>
        <w:tc>
          <w:tcPr>
            <w:tcW w:w="3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HCAP Equity Holdings, LLC</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Delaware</w:t>
            </w:r>
          </w:p>
        </w:tc>
        <w:tc>
          <w:tcPr>
            <w:tcW w:w="1580" w:type="dxa"/>
            <w:vAlign w:val="bottom"/>
          </w:tcPr>
          <w:p>
            <w:pPr>
              <w:spacing w:after="0"/>
              <w:rPr>
                <w:sz w:val="24"/>
                <w:szCs w:val="24"/>
                <w:color w:val="auto"/>
              </w:rPr>
            </w:pPr>
          </w:p>
        </w:tc>
      </w:tr>
      <w:tr>
        <w:trPr>
          <w:trHeight w:val="312"/>
        </w:trPr>
        <w:tc>
          <w:tcPr>
            <w:tcW w:w="3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HCAP ICC, LLC</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Delaware</w:t>
            </w:r>
          </w:p>
        </w:tc>
        <w:tc>
          <w:tcPr>
            <w:tcW w:w="1580" w:type="dxa"/>
            <w:vAlign w:val="bottom"/>
          </w:tcPr>
          <w:p>
            <w:pPr>
              <w:spacing w:after="0"/>
              <w:rPr>
                <w:sz w:val="24"/>
                <w:szCs w:val="24"/>
                <w:color w:val="auto"/>
              </w:rPr>
            </w:pPr>
          </w:p>
        </w:tc>
      </w:tr>
      <w:tr>
        <w:trPr>
          <w:trHeight w:val="352"/>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40"/>
        </w:trPr>
        <w:tc>
          <w:tcPr>
            <w:tcW w:w="3440" w:type="dxa"/>
            <w:vAlign w:val="bottom"/>
          </w:tcPr>
          <w:p>
            <w:pPr>
              <w:spacing w:after="0"/>
              <w:rPr>
                <w:sz w:val="20"/>
                <w:szCs w:val="20"/>
                <w:color w:val="auto"/>
              </w:rPr>
            </w:pPr>
            <w:r>
              <w:rPr>
                <w:rFonts w:ascii="Times New Roman" w:cs="Times New Roman" w:eastAsia="Times New Roman" w:hAnsi="Times New Roman"/>
                <w:sz w:val="11"/>
                <w:szCs w:val="11"/>
                <w:color w:val="auto"/>
              </w:rPr>
              <w:t>(1) A wholly-owned subsidiary of KCAP Senior Funding I Holdings, LLC.</w:t>
            </w: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832"/>
        </w:trPr>
        <w:tc>
          <w:tcPr>
            <w:tcW w:w="3440" w:type="dxa"/>
            <w:vAlign w:val="bottom"/>
            <w:tcBorders>
              <w:bottom w:val="single" w:sz="8" w:color="EEEEEE"/>
            </w:tcBorders>
          </w:tcPr>
          <w:p>
            <w:pPr>
              <w:spacing w:after="0"/>
              <w:rPr>
                <w:sz w:val="24"/>
                <w:szCs w:val="24"/>
                <w:color w:val="auto"/>
              </w:rPr>
            </w:pPr>
          </w:p>
        </w:tc>
        <w:tc>
          <w:tcPr>
            <w:tcW w:w="15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3940" w:type="dxa"/>
            <w:vAlign w:val="bottom"/>
            <w:tcBorders>
              <w:bottom w:val="single" w:sz="8" w:color="EEEEEE"/>
            </w:tcBorders>
          </w:tcPr>
          <w:p>
            <w:pPr>
              <w:spacing w:after="0"/>
              <w:rPr>
                <w:sz w:val="24"/>
                <w:szCs w:val="24"/>
                <w:color w:val="auto"/>
              </w:rPr>
            </w:pPr>
          </w:p>
        </w:tc>
        <w:tc>
          <w:tcPr>
            <w:tcW w:w="15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3"/>
          <w:szCs w:val="13"/>
          <w:b w:val="1"/>
          <w:bCs w:val="1"/>
          <w:color w:val="auto"/>
        </w:rPr>
        <w:t>Exhibit 23.1</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CONSENT OF INDEPENDENT REGISTERED PUBLIC ACCOUNTING FIRM</w:t>
      </w:r>
    </w:p>
    <w:p>
      <w:pPr>
        <w:spacing w:after="0" w:line="35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3"/>
          <w:szCs w:val="13"/>
          <w:color w:val="auto"/>
        </w:rPr>
        <w:t>We consent to the incorporation by reference in the Registration Statements of Portman Ridge Finance Corporation (the “Company”) on Form N-2 (No. 333-283443) of our report dated March 13, 2025, relating to the consolidated financial statements of the Company appearing in this Annual Report on Form 10-K for the year ended December 31, 2024.</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Deloitte &amp; Touche LLP</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New York, New York</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March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539750</wp:posOffset>
            </wp:positionV>
            <wp:extent cx="6732905" cy="406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3"/>
          <w:szCs w:val="13"/>
          <w:b w:val="1"/>
          <w:bCs w:val="1"/>
          <w:color w:val="auto"/>
        </w:rPr>
        <w:t>Exhibit 31.1</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PURSUANT TO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RULE 13a-14(a) and 15d-14(a) UNDER THE SECURITIES EXCHANGE ACT OF 1934, AS AMENDED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Edward Goldthorpe, certify that:</w:t>
      </w:r>
    </w:p>
    <w:p>
      <w:pPr>
        <w:spacing w:after="0" w:line="163" w:lineRule="exact"/>
        <w:rPr>
          <w:sz w:val="20"/>
          <w:szCs w:val="20"/>
          <w:color w:val="auto"/>
        </w:rPr>
      </w:pPr>
    </w:p>
    <w:p>
      <w:pPr>
        <w:ind w:left="580" w:hanging="130"/>
        <w:spacing w:after="0"/>
        <w:tabs>
          <w:tab w:leader="none" w:pos="58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Annual Report on Form 10-K of Portman Ridge Finance Corporation (the “registrant”);</w:t>
      </w:r>
    </w:p>
    <w:p>
      <w:pPr>
        <w:spacing w:after="0" w:line="162" w:lineRule="exact"/>
        <w:rPr>
          <w:rFonts w:ascii="Times New Roman" w:cs="Times New Roman" w:eastAsia="Times New Roman" w:hAnsi="Times New Roman"/>
          <w:sz w:val="13"/>
          <w:szCs w:val="13"/>
          <w:color w:val="auto"/>
        </w:rPr>
      </w:pPr>
    </w:p>
    <w:p>
      <w:pPr>
        <w:ind w:left="940" w:right="620" w:hanging="490"/>
        <w:spacing w:after="0" w:line="286" w:lineRule="auto"/>
        <w:tabs>
          <w:tab w:leader="none" w:pos="58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Times New Roman" w:cs="Times New Roman" w:eastAsia="Times New Roman" w:hAnsi="Times New Roman"/>
          <w:sz w:val="13"/>
          <w:szCs w:val="13"/>
          <w:color w:val="auto"/>
        </w:rPr>
      </w:pPr>
    </w:p>
    <w:p>
      <w:pPr>
        <w:ind w:left="940" w:right="120" w:hanging="490"/>
        <w:spacing w:after="0" w:line="286" w:lineRule="auto"/>
        <w:tabs>
          <w:tab w:leader="none" w:pos="58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1" w:lineRule="exact"/>
        <w:rPr>
          <w:rFonts w:ascii="Times New Roman" w:cs="Times New Roman" w:eastAsia="Times New Roman" w:hAnsi="Times New Roman"/>
          <w:sz w:val="13"/>
          <w:szCs w:val="13"/>
          <w:color w:val="auto"/>
        </w:rPr>
      </w:pPr>
    </w:p>
    <w:p>
      <w:pPr>
        <w:ind w:left="940" w:right="140" w:hanging="490"/>
        <w:spacing w:after="0" w:line="286" w:lineRule="auto"/>
        <w:tabs>
          <w:tab w:leader="none" w:pos="58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rFonts w:ascii="Times New Roman" w:cs="Times New Roman" w:eastAsia="Times New Roman" w:hAnsi="Times New Roman"/>
          <w:sz w:val="13"/>
          <w:szCs w:val="13"/>
          <w:color w:val="auto"/>
        </w:rPr>
      </w:pPr>
    </w:p>
    <w:p>
      <w:pPr>
        <w:ind w:left="1420" w:right="240" w:hanging="550"/>
        <w:spacing w:after="0" w:line="268" w:lineRule="auto"/>
        <w:tabs>
          <w:tab w:leader="none" w:pos="1047" w:val="left"/>
        </w:tabs>
        <w:numPr>
          <w:ilvl w:val="1"/>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Times New Roman" w:cs="Times New Roman" w:eastAsia="Times New Roman" w:hAnsi="Times New Roman"/>
          <w:sz w:val="13"/>
          <w:szCs w:val="13"/>
          <w:color w:val="auto"/>
        </w:rPr>
      </w:pPr>
    </w:p>
    <w:p>
      <w:pPr>
        <w:ind w:left="1420" w:right="120" w:hanging="550"/>
        <w:spacing w:after="0" w:line="268" w:lineRule="auto"/>
        <w:tabs>
          <w:tab w:leader="none" w:pos="1055" w:val="left"/>
        </w:tabs>
        <w:numPr>
          <w:ilvl w:val="1"/>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Times New Roman" w:cs="Times New Roman" w:eastAsia="Times New Roman" w:hAnsi="Times New Roman"/>
          <w:sz w:val="13"/>
          <w:szCs w:val="13"/>
          <w:color w:val="auto"/>
        </w:rPr>
      </w:pPr>
    </w:p>
    <w:p>
      <w:pPr>
        <w:ind w:left="1420" w:right="80" w:hanging="550"/>
        <w:spacing w:after="0" w:line="286" w:lineRule="auto"/>
        <w:tabs>
          <w:tab w:leader="none" w:pos="1047" w:val="left"/>
        </w:tabs>
        <w:numPr>
          <w:ilvl w:val="1"/>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3"/>
          <w:szCs w:val="13"/>
          <w:color w:val="auto"/>
        </w:rPr>
      </w:pPr>
    </w:p>
    <w:p>
      <w:pPr>
        <w:ind w:left="1420" w:right="40" w:hanging="550"/>
        <w:spacing w:after="0" w:line="268" w:lineRule="auto"/>
        <w:tabs>
          <w:tab w:leader="none" w:pos="1055" w:val="left"/>
        </w:tabs>
        <w:numPr>
          <w:ilvl w:val="1"/>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Times New Roman" w:cs="Times New Roman" w:eastAsia="Times New Roman" w:hAnsi="Times New Roman"/>
          <w:sz w:val="13"/>
          <w:szCs w:val="13"/>
          <w:color w:val="auto"/>
        </w:rPr>
      </w:pPr>
    </w:p>
    <w:p>
      <w:pPr>
        <w:ind w:left="940" w:right="240" w:hanging="490"/>
        <w:spacing w:after="0" w:line="286" w:lineRule="auto"/>
        <w:tabs>
          <w:tab w:leader="none" w:pos="613"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Times New Roman" w:cs="Times New Roman" w:eastAsia="Times New Roman" w:hAnsi="Times New Roman"/>
          <w:sz w:val="13"/>
          <w:szCs w:val="13"/>
          <w:color w:val="auto"/>
        </w:rPr>
      </w:pPr>
    </w:p>
    <w:p>
      <w:pPr>
        <w:ind w:left="1420" w:right="420" w:hanging="550"/>
        <w:spacing w:after="0" w:line="286" w:lineRule="auto"/>
        <w:tabs>
          <w:tab w:leader="none" w:pos="1047" w:val="left"/>
        </w:tabs>
        <w:numPr>
          <w:ilvl w:val="1"/>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Times New Roman" w:cs="Times New Roman" w:eastAsia="Times New Roman" w:hAnsi="Times New Roman"/>
          <w:sz w:val="13"/>
          <w:szCs w:val="13"/>
          <w:color w:val="auto"/>
        </w:rPr>
      </w:pPr>
    </w:p>
    <w:p>
      <w:pPr>
        <w:ind w:left="1060" w:hanging="190"/>
        <w:spacing w:after="0"/>
        <w:tabs>
          <w:tab w:leader="none" w:pos="1060" w:val="left"/>
        </w:tabs>
        <w:numPr>
          <w:ilvl w:val="1"/>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ind w:left="20"/>
        <w:spacing w:after="0"/>
        <w:tabs>
          <w:tab w:leader="none" w:pos="5300" w:val="left"/>
          <w:tab w:leader="none" w:pos="5720" w:val="left"/>
        </w:tabs>
        <w:rPr>
          <w:sz w:val="20"/>
          <w:szCs w:val="20"/>
          <w:color w:val="auto"/>
        </w:rPr>
      </w:pPr>
      <w:r>
        <w:rPr>
          <w:rFonts w:ascii="Times New Roman" w:cs="Times New Roman" w:eastAsia="Times New Roman" w:hAnsi="Times New Roman"/>
          <w:sz w:val="13"/>
          <w:szCs w:val="13"/>
          <w:color w:val="auto"/>
        </w:rPr>
        <w:t>Date: March 13, 2025</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 EDWARD GOLDTHORPE</w:t>
      </w:r>
    </w:p>
    <w:p>
      <w:pPr>
        <w:spacing w:after="0" w:line="16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3"/>
          <w:szCs w:val="13"/>
          <w:b w:val="1"/>
          <w:bCs w:val="1"/>
          <w:color w:val="auto"/>
        </w:rPr>
        <w:t>Edward Goldthorpe</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3"/>
          <w:szCs w:val="13"/>
          <w:b w:val="1"/>
          <w:bCs w:val="1"/>
          <w:color w:val="auto"/>
        </w:rPr>
        <w:t>President and Chief Executive Officer</w:t>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3"/>
          <w:szCs w:val="13"/>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668020</wp:posOffset>
            </wp:positionV>
            <wp:extent cx="6732905" cy="406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3"/>
          <w:szCs w:val="13"/>
          <w:b w:val="1"/>
          <w:bCs w:val="1"/>
          <w:color w:val="auto"/>
        </w:rPr>
        <w:t>Exhibit 31.2</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PURSUANT TO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RULE 13a-14(a) and 15d-14(a) UNDER THE SECURITIES EXCHANGE ACT OF 1934, AS AMENDED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Brandon Satoren, certify that:</w:t>
      </w:r>
    </w:p>
    <w:p>
      <w:pPr>
        <w:spacing w:after="0" w:line="16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1.</w:t>
      </w:r>
      <w:r>
        <w:rPr>
          <w:rFonts w:ascii="Times New Roman" w:cs="Times New Roman" w:eastAsia="Times New Roman" w:hAnsi="Times New Roman"/>
          <w:sz w:val="13"/>
          <w:szCs w:val="13"/>
          <w:color w:val="auto"/>
        </w:rPr>
        <w:t>I have reviewed this Annual Report on Form 10-K of Portman Ridge Finance Corporation (the “registrant”);</w:t>
      </w:r>
    </w:p>
    <w:p>
      <w:pPr>
        <w:spacing w:after="0" w:line="152" w:lineRule="exact"/>
        <w:rPr>
          <w:sz w:val="20"/>
          <w:szCs w:val="20"/>
          <w:color w:val="auto"/>
        </w:rPr>
      </w:pPr>
    </w:p>
    <w:p>
      <w:pPr>
        <w:ind w:left="480" w:right="600"/>
        <w:spacing w:after="0" w:line="230" w:lineRule="auto"/>
        <w:rPr>
          <w:sz w:val="20"/>
          <w:szCs w:val="20"/>
          <w:color w:val="auto"/>
        </w:rPr>
      </w:pPr>
      <w:r>
        <w:rPr>
          <w:rFonts w:ascii="Times New Roman" w:cs="Times New Roman" w:eastAsia="Times New Roman" w:hAnsi="Times New Roman"/>
          <w:sz w:val="16"/>
          <w:szCs w:val="16"/>
          <w:color w:val="auto"/>
        </w:rPr>
        <w:t>2.</w:t>
      </w: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3"/>
          <w:szCs w:val="13"/>
          <w:color w:val="auto"/>
        </w:rPr>
        <w:t>circumstances under which such statements were made, not misleading with respect to the period covered by this report;</w:t>
      </w:r>
    </w:p>
    <w:p>
      <w:pPr>
        <w:spacing w:after="0" w:line="139" w:lineRule="exact"/>
        <w:rPr>
          <w:sz w:val="20"/>
          <w:szCs w:val="20"/>
          <w:color w:val="auto"/>
        </w:rPr>
      </w:pPr>
    </w:p>
    <w:p>
      <w:pPr>
        <w:ind w:left="480" w:right="100"/>
        <w:spacing w:after="0" w:line="230" w:lineRule="auto"/>
        <w:rPr>
          <w:sz w:val="20"/>
          <w:szCs w:val="20"/>
          <w:color w:val="auto"/>
        </w:rPr>
      </w:pPr>
      <w:r>
        <w:rPr>
          <w:rFonts w:ascii="Times New Roman" w:cs="Times New Roman" w:eastAsia="Times New Roman" w:hAnsi="Times New Roman"/>
          <w:sz w:val="16"/>
          <w:szCs w:val="16"/>
          <w:color w:val="auto"/>
        </w:rPr>
        <w:t>3.</w:t>
      </w: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3"/>
          <w:szCs w:val="13"/>
          <w:color w:val="auto"/>
        </w:rPr>
        <w:t>and cash flows of the registrant as of, and for, the periods presented in this report;</w:t>
      </w:r>
    </w:p>
    <w:p>
      <w:pPr>
        <w:spacing w:after="0" w:line="139" w:lineRule="exact"/>
        <w:rPr>
          <w:sz w:val="20"/>
          <w:szCs w:val="20"/>
          <w:color w:val="auto"/>
        </w:rPr>
      </w:pPr>
    </w:p>
    <w:p>
      <w:pPr>
        <w:ind w:left="480" w:right="140"/>
        <w:spacing w:after="0" w:line="230" w:lineRule="auto"/>
        <w:rPr>
          <w:sz w:val="20"/>
          <w:szCs w:val="20"/>
          <w:color w:val="auto"/>
        </w:rPr>
      </w:pPr>
      <w:r>
        <w:rPr>
          <w:rFonts w:ascii="Times New Roman" w:cs="Times New Roman" w:eastAsia="Times New Roman" w:hAnsi="Times New Roman"/>
          <w:sz w:val="16"/>
          <w:szCs w:val="16"/>
          <w:color w:val="auto"/>
        </w:rPr>
        <w:t>4.</w:t>
      </w:r>
      <w:r>
        <w:rPr>
          <w:rFonts w:ascii="Times New Roman" w:cs="Times New Roman" w:eastAsia="Times New Roman" w:hAnsi="Times New Roman"/>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1" w:lineRule="exact"/>
        <w:rPr>
          <w:sz w:val="20"/>
          <w:szCs w:val="20"/>
          <w:color w:val="auto"/>
        </w:rPr>
      </w:pPr>
    </w:p>
    <w:p>
      <w:pPr>
        <w:ind w:left="1420" w:right="240" w:hanging="550"/>
        <w:spacing w:after="0" w:line="268" w:lineRule="auto"/>
        <w:tabs>
          <w:tab w:leader="none" w:pos="1047" w:val="left"/>
        </w:tabs>
        <w:numPr>
          <w:ilvl w:val="1"/>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Times New Roman" w:cs="Times New Roman" w:eastAsia="Times New Roman" w:hAnsi="Times New Roman"/>
          <w:sz w:val="13"/>
          <w:szCs w:val="13"/>
          <w:color w:val="auto"/>
        </w:rPr>
      </w:pPr>
    </w:p>
    <w:p>
      <w:pPr>
        <w:ind w:left="1420" w:right="120" w:hanging="550"/>
        <w:spacing w:after="0" w:line="268" w:lineRule="auto"/>
        <w:tabs>
          <w:tab w:leader="none" w:pos="1055" w:val="left"/>
        </w:tabs>
        <w:numPr>
          <w:ilvl w:val="1"/>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Times New Roman" w:cs="Times New Roman" w:eastAsia="Times New Roman" w:hAnsi="Times New Roman"/>
          <w:sz w:val="13"/>
          <w:szCs w:val="13"/>
          <w:color w:val="auto"/>
        </w:rPr>
      </w:pPr>
    </w:p>
    <w:p>
      <w:pPr>
        <w:ind w:left="1420" w:right="80" w:hanging="550"/>
        <w:spacing w:after="0" w:line="286" w:lineRule="auto"/>
        <w:tabs>
          <w:tab w:leader="none" w:pos="1047" w:val="left"/>
        </w:tabs>
        <w:numPr>
          <w:ilvl w:val="1"/>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3"/>
          <w:szCs w:val="13"/>
          <w:color w:val="auto"/>
        </w:rPr>
      </w:pPr>
    </w:p>
    <w:p>
      <w:pPr>
        <w:ind w:left="1420" w:right="40" w:hanging="550"/>
        <w:spacing w:after="0" w:line="268" w:lineRule="auto"/>
        <w:tabs>
          <w:tab w:leader="none" w:pos="1055" w:val="left"/>
        </w:tabs>
        <w:numPr>
          <w:ilvl w:val="1"/>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Times New Roman" w:cs="Times New Roman" w:eastAsia="Times New Roman" w:hAnsi="Times New Roman"/>
          <w:sz w:val="13"/>
          <w:szCs w:val="13"/>
          <w:color w:val="auto"/>
        </w:rPr>
      </w:pPr>
    </w:p>
    <w:p>
      <w:pPr>
        <w:ind w:left="940" w:right="280" w:hanging="490"/>
        <w:spacing w:after="0" w:line="286" w:lineRule="auto"/>
        <w:tabs>
          <w:tab w:leader="none" w:pos="5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Times New Roman" w:cs="Times New Roman" w:eastAsia="Times New Roman" w:hAnsi="Times New Roman"/>
          <w:sz w:val="13"/>
          <w:szCs w:val="13"/>
          <w:color w:val="auto"/>
        </w:rPr>
      </w:pPr>
    </w:p>
    <w:p>
      <w:pPr>
        <w:ind w:left="1420" w:right="420" w:hanging="550"/>
        <w:spacing w:after="0" w:line="286" w:lineRule="auto"/>
        <w:tabs>
          <w:tab w:leader="none" w:pos="1047" w:val="left"/>
        </w:tabs>
        <w:numPr>
          <w:ilvl w:val="1"/>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Times New Roman" w:cs="Times New Roman" w:eastAsia="Times New Roman" w:hAnsi="Times New Roman"/>
          <w:sz w:val="13"/>
          <w:szCs w:val="13"/>
          <w:color w:val="auto"/>
        </w:rPr>
      </w:pPr>
    </w:p>
    <w:p>
      <w:pPr>
        <w:ind w:left="1060" w:hanging="190"/>
        <w:spacing w:after="0"/>
        <w:tabs>
          <w:tab w:leader="none" w:pos="1060" w:val="left"/>
        </w:tabs>
        <w:numPr>
          <w:ilvl w:val="1"/>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ind w:left="20"/>
        <w:spacing w:after="0"/>
        <w:tabs>
          <w:tab w:leader="none" w:pos="5300" w:val="left"/>
          <w:tab w:leader="none" w:pos="5720" w:val="left"/>
        </w:tabs>
        <w:rPr>
          <w:sz w:val="20"/>
          <w:szCs w:val="20"/>
          <w:color w:val="auto"/>
        </w:rPr>
      </w:pPr>
      <w:r>
        <w:rPr>
          <w:rFonts w:ascii="Times New Roman" w:cs="Times New Roman" w:eastAsia="Times New Roman" w:hAnsi="Times New Roman"/>
          <w:sz w:val="13"/>
          <w:szCs w:val="13"/>
          <w:color w:val="auto"/>
        </w:rPr>
        <w:t>Date: March 13, 2025</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 BRANDON SATOREN</w:t>
      </w:r>
    </w:p>
    <w:p>
      <w:pPr>
        <w:spacing w:after="0" w:line="16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3"/>
          <w:szCs w:val="13"/>
          <w:b w:val="1"/>
          <w:bCs w:val="1"/>
          <w:color w:val="auto"/>
        </w:rPr>
        <w:t>Brandon Satoren</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3"/>
          <w:szCs w:val="13"/>
          <w:b w:val="1"/>
          <w:bCs w:val="1"/>
          <w:color w:val="auto"/>
        </w:rPr>
        <w:t>Chief Financial Officer</w:t>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3"/>
          <w:szCs w:val="13"/>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629920</wp:posOffset>
            </wp:positionV>
            <wp:extent cx="6732905" cy="406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3"/>
          <w:szCs w:val="13"/>
          <w:b w:val="1"/>
          <w:bCs w:val="1"/>
          <w:color w:val="auto"/>
        </w:rPr>
        <w:t>Exhibit 32.1</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1350, CHAPTER 63 OF TITLE 18, UNITED STATES CODE, AS ADOPTED PURSUANT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906 OF THE SARBANES-OXLEY ACT OF 2002</w:t>
      </w:r>
    </w:p>
    <w:p>
      <w:pPr>
        <w:spacing w:after="0" w:line="149" w:lineRule="exact"/>
        <w:rPr>
          <w:sz w:val="20"/>
          <w:szCs w:val="20"/>
          <w:color w:val="auto"/>
        </w:rPr>
      </w:pPr>
    </w:p>
    <w:p>
      <w:pPr>
        <w:ind w:right="20" w:firstLine="468"/>
        <w:spacing w:after="0" w:line="286" w:lineRule="auto"/>
        <w:rPr>
          <w:sz w:val="20"/>
          <w:szCs w:val="20"/>
          <w:color w:val="auto"/>
        </w:rPr>
      </w:pPr>
      <w:r>
        <w:rPr>
          <w:rFonts w:ascii="Times New Roman" w:cs="Times New Roman" w:eastAsia="Times New Roman" w:hAnsi="Times New Roman"/>
          <w:sz w:val="13"/>
          <w:szCs w:val="13"/>
          <w:color w:val="auto"/>
        </w:rPr>
        <w:t>In connection with the accompanying Annual Report of Portman Ridge Finance Corporation (the “Company”) on Form 10-K for the year ended December 31, 2024 (the “Report”), I, Edward Goldthorpe, President and Chief Executive Officer of the Company, certify, pursuant to 18 U.S.C. §1350, as adopted pursuant to §906 of the Sarbanes-Oxley Act of 2002, that:</w:t>
      </w:r>
    </w:p>
    <w:p>
      <w:pPr>
        <w:spacing w:after="0" w:line="112" w:lineRule="exact"/>
        <w:rPr>
          <w:sz w:val="20"/>
          <w:szCs w:val="20"/>
          <w:color w:val="auto"/>
        </w:rPr>
      </w:pPr>
    </w:p>
    <w:p>
      <w:pPr>
        <w:ind w:left="640" w:hanging="190"/>
        <w:spacing w:after="0"/>
        <w:tabs>
          <w:tab w:leader="none" w:pos="64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Report fully complies with the requirements of Section 13(a) or Section 15(d) of the Securities Exchange Act of 1934, as amended; and</w:t>
      </w:r>
    </w:p>
    <w:p>
      <w:pPr>
        <w:spacing w:after="0" w:line="162" w:lineRule="exact"/>
        <w:rPr>
          <w:rFonts w:ascii="Times New Roman" w:cs="Times New Roman" w:eastAsia="Times New Roman" w:hAnsi="Times New Roman"/>
          <w:sz w:val="13"/>
          <w:szCs w:val="13"/>
          <w:color w:val="auto"/>
        </w:rPr>
      </w:pPr>
    </w:p>
    <w:p>
      <w:pPr>
        <w:ind w:left="640" w:hanging="190"/>
        <w:spacing w:after="0"/>
        <w:tabs>
          <w:tab w:leader="none" w:pos="64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Company.</w:t>
      </w:r>
    </w:p>
    <w:p>
      <w:pPr>
        <w:spacing w:after="0" w:line="187" w:lineRule="exact"/>
        <w:rPr>
          <w:sz w:val="20"/>
          <w:szCs w:val="20"/>
          <w:color w:val="auto"/>
        </w:rPr>
      </w:pPr>
    </w:p>
    <w:p>
      <w:pPr>
        <w:ind w:left="20"/>
        <w:spacing w:after="0"/>
        <w:tabs>
          <w:tab w:leader="none" w:pos="5280" w:val="left"/>
          <w:tab w:leader="none" w:pos="5720" w:val="left"/>
        </w:tabs>
        <w:rPr>
          <w:sz w:val="20"/>
          <w:szCs w:val="20"/>
          <w:color w:val="auto"/>
        </w:rPr>
      </w:pPr>
      <w:r>
        <w:rPr>
          <w:rFonts w:ascii="Times New Roman" w:cs="Times New Roman" w:eastAsia="Times New Roman" w:hAnsi="Times New Roman"/>
          <w:sz w:val="13"/>
          <w:szCs w:val="13"/>
          <w:color w:val="auto"/>
        </w:rPr>
        <w:t>Date: March 13, 2025</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 EDWARD GOLDTHORPE</w:t>
      </w:r>
    </w:p>
    <w:p>
      <w:pPr>
        <w:spacing w:after="0" w:line="16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3"/>
          <w:szCs w:val="13"/>
          <w:b w:val="1"/>
          <w:bCs w:val="1"/>
          <w:color w:val="auto"/>
        </w:rPr>
        <w:t>Edward Goldthorpe</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3"/>
          <w:szCs w:val="13"/>
          <w:b w:val="1"/>
          <w:bCs w:val="1"/>
          <w:color w:val="auto"/>
        </w:rPr>
        <w:t>President and Chief Executive Officer</w:t>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3"/>
          <w:szCs w:val="13"/>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629920</wp:posOffset>
            </wp:positionV>
            <wp:extent cx="6732905" cy="406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3"/>
          <w:szCs w:val="13"/>
          <w:b w:val="1"/>
          <w:bCs w:val="1"/>
          <w:color w:val="auto"/>
        </w:rPr>
        <w:t>Exhibit 32.2</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1350, CHAPTER 63 OF TITLE 18, UNITED STATES CODE, AS ADOPTED PURSUANT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906 OF THE SARBANES-OXLEY ACT OF 2002</w:t>
      </w:r>
    </w:p>
    <w:p>
      <w:pPr>
        <w:spacing w:after="0" w:line="149" w:lineRule="exact"/>
        <w:rPr>
          <w:sz w:val="20"/>
          <w:szCs w:val="20"/>
          <w:color w:val="auto"/>
        </w:rPr>
      </w:pPr>
    </w:p>
    <w:p>
      <w:pPr>
        <w:ind w:right="440" w:firstLine="468"/>
        <w:spacing w:after="0" w:line="286" w:lineRule="auto"/>
        <w:rPr>
          <w:sz w:val="20"/>
          <w:szCs w:val="20"/>
          <w:color w:val="auto"/>
        </w:rPr>
      </w:pPr>
      <w:r>
        <w:rPr>
          <w:rFonts w:ascii="Times New Roman" w:cs="Times New Roman" w:eastAsia="Times New Roman" w:hAnsi="Times New Roman"/>
          <w:sz w:val="13"/>
          <w:szCs w:val="13"/>
          <w:color w:val="auto"/>
        </w:rPr>
        <w:t>In connection with the accompanying Annual Report of Portman Ridge Finance Corporation, (the “Company”) on Form 10-K for the year ended December 31, 2024 (the “Report”), I, Brandon Satoren, Chief Financial Officer of the Company, certify, pursuant to 18 U.S.C. §1350, as adopted pursuant to §906 of the Sarbanes-Oxley Act of 2002, that:</w:t>
      </w:r>
    </w:p>
    <w:p>
      <w:pPr>
        <w:spacing w:after="0" w:line="112" w:lineRule="exact"/>
        <w:rPr>
          <w:sz w:val="20"/>
          <w:szCs w:val="20"/>
          <w:color w:val="auto"/>
        </w:rPr>
      </w:pPr>
    </w:p>
    <w:p>
      <w:pPr>
        <w:ind w:left="640" w:hanging="190"/>
        <w:spacing w:after="0"/>
        <w:tabs>
          <w:tab w:leader="none" w:pos="6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Report fully complies with the requirements of Section 13(a) or Section 15(d) of the Securities Exchange Act of 1934, as amended; and</w:t>
      </w:r>
    </w:p>
    <w:p>
      <w:pPr>
        <w:spacing w:after="0" w:line="162" w:lineRule="exact"/>
        <w:rPr>
          <w:rFonts w:ascii="Times New Roman" w:cs="Times New Roman" w:eastAsia="Times New Roman" w:hAnsi="Times New Roman"/>
          <w:sz w:val="13"/>
          <w:szCs w:val="13"/>
          <w:color w:val="auto"/>
        </w:rPr>
      </w:pPr>
    </w:p>
    <w:p>
      <w:pPr>
        <w:ind w:left="640" w:hanging="190"/>
        <w:spacing w:after="0"/>
        <w:tabs>
          <w:tab w:leader="none" w:pos="6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Company.</w:t>
      </w:r>
    </w:p>
    <w:p>
      <w:pPr>
        <w:spacing w:after="0" w:line="187" w:lineRule="exact"/>
        <w:rPr>
          <w:sz w:val="20"/>
          <w:szCs w:val="20"/>
          <w:color w:val="auto"/>
        </w:rPr>
      </w:pPr>
    </w:p>
    <w:p>
      <w:pPr>
        <w:ind w:left="20"/>
        <w:spacing w:after="0"/>
        <w:tabs>
          <w:tab w:leader="none" w:pos="5300" w:val="left"/>
          <w:tab w:leader="none" w:pos="5720" w:val="left"/>
        </w:tabs>
        <w:rPr>
          <w:sz w:val="20"/>
          <w:szCs w:val="20"/>
          <w:color w:val="auto"/>
        </w:rPr>
      </w:pPr>
      <w:r>
        <w:rPr>
          <w:rFonts w:ascii="Times New Roman" w:cs="Times New Roman" w:eastAsia="Times New Roman" w:hAnsi="Times New Roman"/>
          <w:sz w:val="13"/>
          <w:szCs w:val="13"/>
          <w:color w:val="auto"/>
        </w:rPr>
        <w:t>Date: March 13, 2025</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 BRANDON SATOREN</w:t>
      </w:r>
    </w:p>
    <w:p>
      <w:pPr>
        <w:spacing w:after="0" w:line="16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3"/>
          <w:szCs w:val="13"/>
          <w:b w:val="1"/>
          <w:bCs w:val="1"/>
          <w:color w:val="auto"/>
        </w:rPr>
        <w:t>Brandon Satoren</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3"/>
          <w:szCs w:val="13"/>
          <w:b w:val="1"/>
          <w:bCs w:val="1"/>
          <w:color w:val="auto"/>
        </w:rPr>
        <w:t>Chief Financial Officer</w:t>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3"/>
          <w:szCs w:val="13"/>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668020</wp:posOffset>
            </wp:positionV>
            <wp:extent cx="6732905" cy="406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118" w:name="page119"/>
    <w:bookmarkEnd w:id="118"/>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lowerRoman"/>
      <w:start w:val="2"/>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lowerRoman"/>
      <w:start w:val="2"/>
    </w:lvl>
  </w:abstractNum>
  <w:abstractNum w:abstractNumId="8">
    <w:nsid w:val="7FDCC233"/>
    <w:multiLevelType w:val="hybridMultilevel"/>
    <w:lvl w:ilvl="0">
      <w:lvlJc w:val="left"/>
      <w:lvlText w:val="(%1)"/>
      <w:numFmt w:val="lowerLetter"/>
      <w:start w:val="1"/>
    </w:lvl>
    <w:lvl w:ilvl="1">
      <w:lvlJc w:val="left"/>
      <w:lvlText w:val="%2."/>
      <w:numFmt w:val="decimal"/>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lowerRoman"/>
      <w:start w:val="2"/>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bullet"/>
      <w:start w:val="1"/>
    </w:lvl>
  </w:abstractNum>
  <w:abstractNum w:abstractNumId="14">
    <w:nsid w:val="519B500D"/>
    <w:multiLevelType w:val="hybridMultilevel"/>
    <w:lvl w:ilvl="0">
      <w:lvlJc w:val="left"/>
      <w:lvlText w:val="%1)"/>
      <w:numFmt w:val="decimal"/>
      <w:start w:val="16"/>
    </w:lvl>
  </w:abstractNum>
  <w:abstractNum w:abstractNumId="15">
    <w:nsid w:val="431BD7B7"/>
    <w:multiLevelType w:val="hybridMultilevel"/>
    <w:lvl w:ilvl="0">
      <w:lvlJc w:val="left"/>
      <w:lvlText w:val="%1."/>
      <w:numFmt w:val="decimal"/>
      <w:start w:val="1"/>
    </w:lvl>
    <w:lvl w:ilvl="1">
      <w:lvlJc w:val="left"/>
      <w:lvlText w:val="(%2)"/>
      <w:numFmt w:val="lowerLetter"/>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5"/>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3" Type="http://schemas.openxmlformats.org/officeDocument/2006/relationships/image" Target="media/image105.png"/><Relationship Id="rId115"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9" Type="http://schemas.openxmlformats.org/officeDocument/2006/relationships/image" Target="media/image115.png"/><Relationship Id="rId130"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35" Type="http://schemas.openxmlformats.org/officeDocument/2006/relationships/image" Target="media/image119.png"/><Relationship Id="rId136" Type="http://schemas.openxmlformats.org/officeDocument/2006/relationships/image" Target="media/image120.png"/><Relationship Id="rId137" Type="http://schemas.openxmlformats.org/officeDocument/2006/relationships/image" Target="media/image121.png"/><Relationship Id="rId139" Type="http://schemas.openxmlformats.org/officeDocument/2006/relationships/image" Target="media/image122.png"/><Relationship Id="rId140" Type="http://schemas.openxmlformats.org/officeDocument/2006/relationships/image" Target="media/image123.png"/><Relationship Id="rId142" Type="http://schemas.openxmlformats.org/officeDocument/2006/relationships/image" Target="media/image124.png"/><Relationship Id="rId143" Type="http://schemas.openxmlformats.org/officeDocument/2006/relationships/image" Target="media/image125.png"/><Relationship Id="rId145" Type="http://schemas.openxmlformats.org/officeDocument/2006/relationships/image" Target="media/image126.png"/><Relationship Id="rId146" Type="http://schemas.openxmlformats.org/officeDocument/2006/relationships/image" Target="media/image127.png"/><Relationship Id="rId148" Type="http://schemas.openxmlformats.org/officeDocument/2006/relationships/image" Target="media/image128.png"/><Relationship Id="rId149" Type="http://schemas.openxmlformats.org/officeDocument/2006/relationships/image" Target="media/image129.png"/><Relationship Id="rId151" Type="http://schemas.openxmlformats.org/officeDocument/2006/relationships/image" Target="media/image130.png"/><Relationship Id="rId152" Type="http://schemas.openxmlformats.org/officeDocument/2006/relationships/image" Target="media/image131.png"/><Relationship Id="rId154" Type="http://schemas.openxmlformats.org/officeDocument/2006/relationships/image" Target="media/image132.png"/><Relationship Id="rId155" Type="http://schemas.openxmlformats.org/officeDocument/2006/relationships/image" Target="media/image133.png"/><Relationship Id="rId156" Type="http://schemas.openxmlformats.org/officeDocument/2006/relationships/image" Target="media/image134.png"/><Relationship Id="rId157" Type="http://schemas.openxmlformats.org/officeDocument/2006/relationships/image" Target="media/image135.png"/><Relationship Id="rId162" Type="http://schemas.openxmlformats.org/officeDocument/2006/relationships/image" Target="media/image136.png"/><Relationship Id="rId163" Type="http://schemas.openxmlformats.org/officeDocument/2006/relationships/image" Target="media/image137.png"/><Relationship Id="rId164" Type="http://schemas.openxmlformats.org/officeDocument/2006/relationships/image" Target="media/image138.png"/><Relationship Id="rId165" Type="http://schemas.openxmlformats.org/officeDocument/2006/relationships/image" Target="media/image139.png"/><Relationship Id="rId166" Type="http://schemas.openxmlformats.org/officeDocument/2006/relationships/image" Target="media/image140.png"/><Relationship Id="rId167" Type="http://schemas.openxmlformats.org/officeDocument/2006/relationships/image" Target="media/image141.png"/><Relationship Id="rId168" Type="http://schemas.openxmlformats.org/officeDocument/2006/relationships/image" Target="media/image142.png"/><Relationship Id="rId169" Type="http://schemas.openxmlformats.org/officeDocument/2006/relationships/image" Target="media/image143.png"/><Relationship Id="rId170" Type="http://schemas.openxmlformats.org/officeDocument/2006/relationships/image" Target="media/image144.png"/><Relationship Id="rId171" Type="http://schemas.openxmlformats.org/officeDocument/2006/relationships/image" Target="media/image145.png"/><Relationship Id="rId172" Type="http://schemas.openxmlformats.org/officeDocument/2006/relationships/image" Target="media/image146.png"/><Relationship Id="rId173" Type="http://schemas.openxmlformats.org/officeDocument/2006/relationships/image" Target="media/image147.png"/><Relationship Id="rId174" Type="http://schemas.openxmlformats.org/officeDocument/2006/relationships/image" Target="media/image148.png"/><Relationship Id="rId175" Type="http://schemas.openxmlformats.org/officeDocument/2006/relationships/image" Target="media/image149.png"/><Relationship Id="rId176" Type="http://schemas.openxmlformats.org/officeDocument/2006/relationships/image" Target="media/image150.png"/><Relationship Id="rId177" Type="http://schemas.openxmlformats.org/officeDocument/2006/relationships/image" Target="media/image151.png"/><Relationship Id="rId178" Type="http://schemas.openxmlformats.org/officeDocument/2006/relationships/image" Target="media/image152.png"/><Relationship Id="rId179" Type="http://schemas.openxmlformats.org/officeDocument/2006/relationships/image" Target="media/image153.png"/><Relationship Id="rId112" Type="http://schemas.openxmlformats.org/officeDocument/2006/relationships/hyperlink" Target="https://www.sec.gov/Archives/edgar/data/1372807/000119312506204545/dex99a.htm" TargetMode="External"/><Relationship Id="rId114" Type="http://schemas.openxmlformats.org/officeDocument/2006/relationships/hyperlink" Target="https://www.sec.gov/Archives/edgar/data/1372807/000114420419017514/tv517653_ex3-1.htm" TargetMode="External"/><Relationship Id="rId116" Type="http://schemas.openxmlformats.org/officeDocument/2006/relationships/hyperlink" Target="https://www.sec.gov/Archives/edgar/data/1372807/000119312521256995/d210335dex31.htm" TargetMode="External"/><Relationship Id="rId119" Type="http://schemas.openxmlformats.org/officeDocument/2006/relationships/hyperlink" Target="https://www.sec.gov/Archives/edgar/data/1372807/000119312521256995/d210335dex32.htm" TargetMode="External"/><Relationship Id="rId122" Type="http://schemas.openxmlformats.org/officeDocument/2006/relationships/hyperlink" Target="https://www.sec.gov/Archives/edgar/data/1372807/000119312521220662/d298619dex31.htm" TargetMode="External"/><Relationship Id="rId125" Type="http://schemas.openxmlformats.org/officeDocument/2006/relationships/hyperlink" Target="https://www.sec.gov/Archives/edgar/data/1372807/000119312506204545/dex99d1.htm" TargetMode="External"/><Relationship Id="rId128" Type="http://schemas.openxmlformats.org/officeDocument/2006/relationships/hyperlink" Target="https://www.sec.gov/Archives/edgar/data/1372807/000119312506238694/dex99e.htm" TargetMode="External"/><Relationship Id="rId131" Type="http://schemas.openxmlformats.org/officeDocument/2006/relationships/hyperlink" Target="https://www.sec.gov/Archives/edgar/data/1372807/000114420412054349/v323537_ex99d3.htm" TargetMode="External"/><Relationship Id="rId134" Type="http://schemas.openxmlformats.org/officeDocument/2006/relationships/hyperlink" Target="https://www.sec.gov/Archives/edgar/data/1372807/000119312521147534/d308157dex41.htm" TargetMode="External"/><Relationship Id="rId138" Type="http://schemas.openxmlformats.org/officeDocument/2006/relationships/hyperlink" Target="https://www.sec.gov/Archives/edgar/data/1372807/000119312521197921/d121071dex43.htm" TargetMode="External"/><Relationship Id="rId141" Type="http://schemas.openxmlformats.org/officeDocument/2006/relationships/hyperlink" Target="https://www.sec.gov/Archives/edgar/data/1372807/000095017023007081/ptmn-ex4_7.htm" TargetMode="External"/><Relationship Id="rId144" Type="http://schemas.openxmlformats.org/officeDocument/2006/relationships/hyperlink" Target="https://www.sec.gov/Archives/edgar/data/1372807/000114420419017514/tv517653_ex10-1.htm" TargetMode="External"/><Relationship Id="rId147" Type="http://schemas.openxmlformats.org/officeDocument/2006/relationships/hyperlink" Target="https://www.sec.gov/Archives/edgar/data/1372807/000114420419017514/tv517653_ex10-2.htm" TargetMode="External"/><Relationship Id="rId150" Type="http://schemas.openxmlformats.org/officeDocument/2006/relationships/hyperlink" Target="https://www.sec.gov/Archives/edgar/data/1372807/000114420419017514/tv517653_ex10-3.htm" TargetMode="External"/><Relationship Id="rId153" Type="http://schemas.openxmlformats.org/officeDocument/2006/relationships/hyperlink" Target="https://www.sec.gov/Archives/edgar/data/1372807/000119312519322650/d103850dex101.htm" TargetMode="External"/><Relationship Id="rId158" Type="http://schemas.openxmlformats.org/officeDocument/2006/relationships/hyperlink" Target="https://www.sec.gov/Archives/edgar/data/1372807/000119312522142491/d327555dex101.htm" TargetMode="External"/><Relationship Id="rId159" Type="http://schemas.openxmlformats.org/officeDocument/2006/relationships/hyperlink" Target="https://www.sec.gov/Archives/edgar/data/1372807/000119312524187711/d836604dex101.htm" TargetMode="External"/><Relationship Id="rId160" Type="http://schemas.openxmlformats.org/officeDocument/2006/relationships/hyperlink" Target="https://www.sec.gov/Archives/edgar/data/1372807/000119312522028385/d253251dex99r.htm" TargetMode="External"/><Relationship Id="rId161" Type="http://schemas.openxmlformats.org/officeDocument/2006/relationships/hyperlink" Target="https://www.sec.gov/Archives/edgar/data/1372807/000095017024030788/ptmn-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2025-03-13T15:49:23Z</dcterms:created>
  <dcterms:modified xsi:type="dcterms:W3CDTF">2025-03-13T15:49:23Z</dcterms:modified>
</cp:coreProperties>
</file>