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58420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1" w:lineRule="exact"/>
        <w:rPr>
          <w:sz w:val="24"/>
          <w:szCs w:val="24"/>
          <w:color w:val="auto"/>
        </w:rPr>
      </w:pPr>
    </w:p>
    <w:p>
      <w:pPr>
        <w:ind w:left="660" w:right="1520" w:hanging="652"/>
        <w:spacing w:after="0" w:line="50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2016</w:t>
      </w: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660"/>
        <w:spacing w:after="0"/>
        <w:tabs>
          <w:tab w:leader="none" w:pos="3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KCAP Financial,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20"/>
          </w:cols>
          <w:pgMar w:left="240" w:top="747"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56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20-5951150</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98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6840" w:space="720"/>
            <w:col w:w="3760"/>
          </w:cols>
          <w:pgMar w:left="240" w:top="747" w:right="33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295 Madison Avenue, 6th Floor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320"/>
          </w:cols>
          <w:pgMar w:left="240" w:top="747" w:right="339" w:bottom="1440" w:gutter="0" w:footer="0" w:header="0"/>
          <w:type w:val="continuous"/>
        </w:sect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455-8300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right="2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20"/>
          </w:cols>
          <w:pgMar w:left="240" w:top="747" w:right="3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1680" w:space="720"/>
            <w:col w:w="4540" w:space="720"/>
            <w:col w:w="2020" w:space="720"/>
            <w:col w:w="920"/>
          </w:cols>
          <w:pgMar w:left="240" w:top="747" w:right="3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840"/>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5">
            <w:col w:w="1680" w:space="720"/>
            <w:col w:w="80" w:space="480"/>
            <w:col w:w="3980" w:space="720"/>
            <w:col w:w="2020" w:space="720"/>
            <w:col w:w="920"/>
          </w:cols>
          <w:pgMar w:left="240" w:top="747" w:right="339" w:bottom="1440" w:gutter="0" w:footer="0" w:header="0"/>
          <w:type w:val="continuous"/>
        </w:sectPr>
      </w:pPr>
    </w:p>
    <w:p>
      <w:pPr>
        <w:spacing w:after="0" w:line="16"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common stock of the registrant as of May 3, 2016 was 37,198,243.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4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0" w:type="dxa"/>
            <w:vAlign w:val="bottom"/>
            <w:gridSpan w:val="13"/>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0" w:type="dxa"/>
            <w:vAlign w:val="bottom"/>
            <w:gridSpan w:val="14"/>
            <w:shd w:val="clear" w:color="auto" w:fill="CCEEFF"/>
          </w:tcPr>
          <w:p>
            <w:pPr>
              <w:jc w:val="center"/>
              <w:ind w:right="2340"/>
              <w:spacing w:after="0"/>
              <w:rPr>
                <w:sz w:val="20"/>
                <w:szCs w:val="20"/>
                <w:color w:val="auto"/>
              </w:rPr>
            </w:pPr>
            <w:r>
              <w:rPr>
                <w:rFonts w:ascii="Arial" w:cs="Arial" w:eastAsia="Arial" w:hAnsi="Arial"/>
                <w:sz w:val="18"/>
                <w:szCs w:val="18"/>
                <w:b w:val="1"/>
                <w:bCs w:val="1"/>
                <w:color w:val="auto"/>
                <w:w w:val="95"/>
              </w:rPr>
              <w:t>Part I. Financial Information</w:t>
            </w: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912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2016 (unaudited) and December 31, 2015</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 for the three months ended March 31, 2016 and 2015</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Consolidated Statements of Changes in Net Assets (unaudited) for the three months ended March 31, 2016 and 2015</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three months ended March 31, 2016 and 2015</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March 31, 2016 (unaudited) and December 31, 2015</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Financial Highlights (unaudited) for the three months ended March 31, 2016 and 2015</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Notes to Consolidated Financial Statements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Changes in and Disagreements with Accountants on Accounting and Financial Disclosure</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0" w:type="dxa"/>
            <w:vAlign w:val="bottom"/>
            <w:gridSpan w:val="14"/>
            <w:shd w:val="clear" w:color="auto" w:fill="CCEEFF"/>
          </w:tcPr>
          <w:p>
            <w:pPr>
              <w:jc w:val="center"/>
              <w:ind w:right="2340"/>
              <w:spacing w:after="0" w:line="176" w:lineRule="exact"/>
              <w:rPr>
                <w:rFonts w:ascii="Arial" w:cs="Arial" w:eastAsia="Arial" w:hAnsi="Arial"/>
                <w:sz w:val="18"/>
                <w:szCs w:val="18"/>
                <w:b w:val="1"/>
                <w:bCs w:val="1"/>
                <w:color w:val="0000EE"/>
                <w:w w:val="97"/>
              </w:rPr>
            </w:pPr>
            <w:hyperlink w:anchor="page83">
              <w:r>
                <w:rPr>
                  <w:rFonts w:ascii="Arial" w:cs="Arial" w:eastAsia="Arial" w:hAnsi="Arial"/>
                  <w:sz w:val="18"/>
                  <w:szCs w:val="18"/>
                  <w:b w:val="1"/>
                  <w:bCs w:val="1"/>
                  <w:color w:val="0000EE"/>
                  <w:w w:val="97"/>
                </w:rPr>
                <w:t>Part II. Other Information</w:t>
              </w:r>
            </w:hyperlink>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Legal Proceedings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Unregistered Sales of Equity Securities and Use of Proceeds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Defaults Upon Senior Securities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Mine Safety Disclosures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Exhibits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 2016</w:t>
            </w:r>
          </w:p>
        </w:tc>
        <w:tc>
          <w:tcPr>
            <w:tcW w:w="2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 (cost: 2016 - $1,665,993; 2015 - $2,129,381)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1,665,993</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2,129,381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Debt securities (cost: 2016 - $281,405,117; 2015 - $298,308,845)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266,003,517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284,639,244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 Fund Securities managed by affiliates (cost: 2016 - $68,235,255; 2015 - $77,764,568)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47,298,797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53,557,570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2016 - $5,375,598; 2015 - $5,450,379)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2,059,486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2,314,812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(cost: 2016 - $10,467,786; 2015 - $10,467,786)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10,927,901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9,548,488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Asset Manager Affiliates (cost: 2016 - $56,091,230; 2015 - $56,591,230)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50,348,000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57,381,000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 (cost: 2016 - $423,240,979; 2015 - $450,712,189)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378,303,694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409,570,495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626,236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4,273,754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7,138,272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1,732,514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1,812,624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2,835,649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2,117,095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505,466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566,211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388,277,313</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421,204,697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 (net of offering costs of: 2016 - $837,745; 2015 - $890,344)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40,562,255</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40,509,656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Arial" w:cs="Arial" w:eastAsia="Arial" w:hAnsi="Arial"/>
                <w:sz w:val="18"/>
                <w:szCs w:val="18"/>
                <w:color w:val="auto"/>
                <w:w w:val="93"/>
              </w:rPr>
              <w:t>Notes issued by KCAP Senior Funding I, LLC (net of discount and offering costs of: 2016 - $2,753,854 and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$2,961,017, respectively; 2015 - $2,907,595 and $3,126,009, respectively)</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141,635,129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141,316,396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(net of offering costs of: 2015 - $21,292)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19,277,709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850,628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2,218,065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841,484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1,228,068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Due to affiliates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554,333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183,889,585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205,104,227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par value $0.01 per share, 100,000,000 common shares authorized; 37,166,781 issued, and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w w:val="91"/>
              </w:rPr>
              <w:t>37,130,433 outstanding at March 31, 2016, and 37,136,353 issued, and 37,100,005 outstanding at December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31, 2015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371,304</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362,588,974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361,962,511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Excess distribution of net investment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(22,370,226)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(21,638,184)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Accumulated net realized losses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(89,865,993)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(82,054,107)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(46,336,331)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(42,540,750)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204,387,728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216,100,470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388,277,313</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421,204,697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5.50</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5,705,577</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6,197,828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from cash and time deposits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Investment income on CLO Fund Securities managed by affiliates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3,051,816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4,340,143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 on CLO Fund Securities managed by non-affiliates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152,317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Dividends from Asset Manager Affiliates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1,413,975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structuring service fees</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43,239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investment income</w:t>
            </w:r>
          </w:p>
        </w:tc>
        <w:tc>
          <w:tcPr>
            <w:tcW w:w="5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9,510,321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12,342,129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2,573,440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2,967,154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966,588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651,939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1,171,441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106,223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Administrative and other</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447,361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511,325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expenses</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4,745,551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5,835,181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4,764,770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6,506,948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Net realized (losses) gains from investment transactions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(7,811,888)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unrealized (depreciation) appreciation on:</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(1,731,990)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1,250,211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1,379,413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CLO Fund Securities managed by affiliates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3,270,541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(658,871)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 Fund Securities managed by non-affiliates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(180,545)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Asset Manager Affiliates investments</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(6,533,000)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484,025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net change in unrealized (depreciation) appreciation</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(3,795,581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1,092,986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realized and unrealized (depreciation) appreciation on investments</w:t>
            </w:r>
          </w:p>
        </w:tc>
        <w:tc>
          <w:tcPr>
            <w:tcW w:w="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(11,607,469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1,165,342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Stockholders’ Equity Resulting From Operations</w:t>
            </w:r>
          </w:p>
        </w:tc>
        <w:tc>
          <w:tcPr>
            <w:tcW w:w="5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(6,842,699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7,672,290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160"/>
              <w:spacing w:after="0"/>
              <w:rPr>
                <w:sz w:val="20"/>
                <w:szCs w:val="20"/>
                <w:color w:val="auto"/>
              </w:rPr>
            </w:pPr>
            <w:r>
              <w:rPr>
                <w:rFonts w:ascii="Arial" w:cs="Arial" w:eastAsia="Arial" w:hAnsi="Arial"/>
                <w:sz w:val="18"/>
                <w:szCs w:val="18"/>
                <w:color w:val="auto"/>
                <w:w w:val="97"/>
              </w:rPr>
              <w:t>Net (Decrease) Increase In Stockholders' Equity Resulting from Operations per Common Share:</w:t>
            </w: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8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 Per Common Share:</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Basic:</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8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Weighted Average Shares of Common Stock Outstanding—Basic</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37,109,735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36,834,266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Shares of Common Stock Outstanding—Diluted</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37,109,735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36,843,382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5715</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jc w:val="both"/>
        <w:ind w:left="8700"/>
        <w:spacing w:after="0"/>
        <w:tabs>
          <w:tab w:leader="none" w:pos="1038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17145</wp:posOffset>
            </wp:positionV>
            <wp:extent cx="2023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realized gains (losses) from investment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Net change in unrealized (depreciation) appreciation on investments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(decrease)/increase in stockholders’ equity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of ordinary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Return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7"/>
          <w:szCs w:val="17"/>
          <w:color w:val="auto"/>
        </w:rPr>
        <w:t>Net decrease in net assets resulting from stockholder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9" w:lineRule="exact"/>
        <w:rPr>
          <w:sz w:val="20"/>
          <w:szCs w:val="20"/>
          <w:color w:val="auto"/>
        </w:rPr>
      </w:pPr>
    </w:p>
    <w:p>
      <w:pPr>
        <w:jc w:val="center"/>
        <w:ind w:right="5320"/>
        <w:spacing w:after="0"/>
        <w:rPr>
          <w:sz w:val="20"/>
          <w:szCs w:val="20"/>
          <w:color w:val="auto"/>
        </w:rPr>
      </w:pPr>
      <w:r>
        <w:rPr>
          <w:rFonts w:ascii="Arial" w:cs="Arial" w:eastAsia="Arial" w:hAnsi="Arial"/>
          <w:sz w:val="16"/>
          <w:szCs w:val="16"/>
          <w:b w:val="1"/>
          <w:bCs w:val="1"/>
          <w:color w:val="auto"/>
        </w:rPr>
        <w:t>Capital share transactions:</w:t>
      </w:r>
    </w:p>
    <w:p>
      <w:pPr>
        <w:spacing w:after="0" w:line="50" w:lineRule="exact"/>
        <w:rPr>
          <w:sz w:val="20"/>
          <w:szCs w:val="20"/>
          <w:color w:val="auto"/>
        </w:rPr>
      </w:pPr>
    </w:p>
    <w:p>
      <w:pPr>
        <w:jc w:val="center"/>
        <w:ind w:right="5180"/>
        <w:spacing w:after="0"/>
        <w:rPr>
          <w:sz w:val="20"/>
          <w:szCs w:val="20"/>
          <w:color w:val="auto"/>
        </w:rPr>
      </w:pPr>
      <w:r>
        <w:rPr>
          <w:rFonts w:ascii="Arial" w:cs="Arial" w:eastAsia="Arial" w:hAnsi="Arial"/>
          <w:sz w:val="16"/>
          <w:szCs w:val="16"/>
          <w:color w:val="auto"/>
        </w:rPr>
        <w:t>Issuance of common stock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jc w:val="center"/>
        <w:ind w:right="5060"/>
        <w:spacing w:after="0"/>
        <w:rPr>
          <w:sz w:val="20"/>
          <w:szCs w:val="20"/>
          <w:color w:val="auto"/>
        </w:rPr>
      </w:pPr>
      <w:r>
        <w:rPr>
          <w:rFonts w:ascii="Arial" w:cs="Arial" w:eastAsia="Arial" w:hAnsi="Arial"/>
          <w:sz w:val="18"/>
          <w:szCs w:val="18"/>
          <w:color w:val="auto"/>
        </w:rPr>
        <w:t>Dividend reinvestment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7"/>
          <w:szCs w:val="17"/>
          <w:color w:val="auto"/>
        </w:rPr>
        <w:t>Net increase in net assets resulting from capital share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4,764,770</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6,506,948</w:t>
            </w:r>
          </w:p>
        </w:tc>
      </w:tr>
      <w:tr>
        <w:trPr>
          <w:trHeight w:val="216"/>
        </w:trPr>
        <w:tc>
          <w:tcPr>
            <w:tcW w:w="4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(7,811,888)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72,356</w:t>
            </w:r>
          </w:p>
        </w:tc>
      </w:tr>
      <w:tr>
        <w:trPr>
          <w:trHeight w:val="244"/>
        </w:trPr>
        <w:tc>
          <w:tcPr>
            <w:tcW w:w="4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(3,795,581)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1,092,986</w:t>
            </w:r>
          </w:p>
        </w:tc>
      </w:tr>
      <w:tr>
        <w:trPr>
          <w:trHeight w:val="210"/>
        </w:trPr>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(6,842,699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7,672,290</w:t>
            </w:r>
          </w:p>
        </w:tc>
      </w:tr>
      <w:tr>
        <w:trPr>
          <w:trHeight w:val="641"/>
        </w:trPr>
        <w:tc>
          <w:tcPr>
            <w:tcW w:w="40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(5,496,812)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(5,496,812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857"/>
        </w:trPr>
        <w:tc>
          <w:tcPr>
            <w:tcW w:w="40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205,796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579,913</w:t>
            </w:r>
          </w:p>
        </w:tc>
      </w:tr>
      <w:tr>
        <w:trPr>
          <w:trHeight w:val="230"/>
        </w:trPr>
        <w:tc>
          <w:tcPr>
            <w:tcW w:w="4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420,973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354,531</w:t>
            </w:r>
          </w:p>
        </w:tc>
      </w:tr>
      <w:tr>
        <w:trPr>
          <w:trHeight w:val="210"/>
        </w:trPr>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626,769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934,444</w:t>
            </w:r>
          </w:p>
        </w:tc>
      </w:tr>
    </w:tbl>
    <w:p>
      <w:pPr>
        <w:spacing w:after="0" w:line="20" w:lineRule="exact"/>
        <w:rPr>
          <w:sz w:val="20"/>
          <w:szCs w:val="20"/>
          <w:color w:val="auto"/>
        </w:rPr>
      </w:pPr>
    </w:p>
    <w:p>
      <w:pPr>
        <w:sectPr>
          <w:pgSz w:w="11900" w:h="16838" w:orient="portrait"/>
          <w:cols w:equalWidth="0" w:num="2">
            <w:col w:w="7400" w:space="720"/>
            <w:col w:w="33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Net assets at beginning of period</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216,100,470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255,316,701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94"/>
              </w:rPr>
              <w:t>Net assets at end of period (including undistributed net investment income of $0 in 2016 and $0 in 2015)</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204,387,728</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263,923,435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asset value per common share</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at end of period</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37,130,433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36,859,957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Net (decrease) increase in stockholder's equity resulting from operations</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(6,842,699)</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7,672,290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Adjustments to reconcile net (decrease) increase in stockholder’s equity resulting from operations to net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provided by (used in) in operations:</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Net realized losses (gains) on investment transactions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7,811,888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depreciation (appreciation) from investments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3,795,581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(5,860,000)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(20,176,406)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24,051,566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Net accretion of investments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1,826,450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2,930,687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original issue discount on indebtedness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153,742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238,882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295,455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Payment-in-kind interest income</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(358,684)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420,973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Decrease in payable for open trades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(6,341,725)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interest and dividends receivable</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Decrease (increase) in other assets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60,745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due from affiliates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(718,554)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(Decrease) increase in due to affiliates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(554,243)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2,355,179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accounts payable and accrued expenses</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(1,754,022)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(1,382,772)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22,351,736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(6,562,121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stockholders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(5,291,018)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Repayment/repurchase of Convertible Notes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(19,299,000)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restricted cash</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2,864,518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15,363,358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(21,725,500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6,862,878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CHANGE IN CASH</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626,236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300,757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1,220,798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END OF PERIOD</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626,236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1,521,555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 during the period</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2,567,401</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3,237,329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205,796</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579,913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Portfolio Company / Principal Business</w:t>
      </w:r>
    </w:p>
    <w:p>
      <w:pPr>
        <w:spacing w:after="0" w:line="224" w:lineRule="auto"/>
        <w:rPr>
          <w:sz w:val="20"/>
          <w:szCs w:val="20"/>
          <w:color w:val="auto"/>
        </w:rPr>
      </w:pPr>
      <w:r>
        <w:rPr>
          <w:rFonts w:ascii="Arial" w:cs="Arial" w:eastAsia="Arial" w:hAnsi="Arial"/>
          <w:sz w:val="18"/>
          <w:szCs w:val="18"/>
          <w:color w:val="auto"/>
        </w:rPr>
        <w:t>1A Smart Start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00" w:lineRule="exact"/>
        <w:rPr>
          <w:sz w:val="20"/>
          <w:szCs w:val="20"/>
          <w:color w:val="auto"/>
        </w:rPr>
      </w:pPr>
    </w:p>
    <w:p>
      <w:pPr>
        <w:spacing w:after="0" w:line="225" w:lineRule="exact"/>
        <w:rPr>
          <w:sz w:val="20"/>
          <w:szCs w:val="20"/>
          <w:color w:val="auto"/>
        </w:rPr>
      </w:pPr>
    </w:p>
    <w:p>
      <w:pPr>
        <w:ind w:left="180" w:hanging="161"/>
        <w:spacing w:after="0" w:line="212" w:lineRule="auto"/>
        <w:rPr>
          <w:sz w:val="20"/>
          <w:szCs w:val="20"/>
          <w:color w:val="auto"/>
        </w:rPr>
      </w:pPr>
      <w:r>
        <w:rPr>
          <w:rFonts w:ascii="Arial" w:cs="Arial" w:eastAsia="Arial" w:hAnsi="Arial"/>
          <w:sz w:val="18"/>
          <w:szCs w:val="18"/>
          <w:color w:val="auto"/>
        </w:rPr>
        <w:t>4L Technologies Inc. (fka Clover Holdings,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Advanced Lighting Technologies, Inc.</w:t>
      </w:r>
      <w:r>
        <w:rPr>
          <w:rFonts w:ascii="Arial" w:cs="Arial" w:eastAsia="Arial" w:hAnsi="Arial"/>
          <w:sz w:val="26"/>
          <w:szCs w:val="26"/>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Alere Inc. (fka IM US Holdings, LLC)</w:t>
      </w:r>
      <w:r>
        <w:rPr>
          <w:rFonts w:ascii="Arial" w:cs="Arial" w:eastAsia="Arial" w:hAnsi="Arial"/>
          <w:sz w:val="30"/>
          <w:szCs w:val="30"/>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American Seafoods Group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Anaren,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Apco Holdings,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Aristotle Corporation</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b w:val="1"/>
                <w:bCs w:val="1"/>
                <w:color w:val="auto"/>
                <w:w w:val="94"/>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Initial Term Loan</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 Due 2/22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2,992,500</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2,965,247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2,880,281</w:t>
            </w:r>
          </w:p>
        </w:tc>
        <w:tc>
          <w:tcPr>
            <w:tcW w:w="0" w:type="dxa"/>
            <w:vAlign w:val="bottom"/>
          </w:tcPr>
          <w:p>
            <w:pPr>
              <w:spacing w:after="0"/>
              <w:rPr>
                <w:sz w:val="1"/>
                <w:szCs w:val="1"/>
                <w:color w:val="auto"/>
              </w:rPr>
            </w:pPr>
          </w:p>
        </w:tc>
      </w:tr>
      <w:tr>
        <w:trPr>
          <w:trHeight w:val="64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 Due 5/20</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2,758,000</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2,739,118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2,579,557</w:t>
            </w:r>
          </w:p>
        </w:tc>
        <w:tc>
          <w:tcPr>
            <w:tcW w:w="0" w:type="dxa"/>
            <w:vAlign w:val="bottom"/>
          </w:tcPr>
          <w:p>
            <w:pPr>
              <w:spacing w:after="0"/>
              <w:rPr>
                <w:sz w:val="1"/>
                <w:szCs w:val="1"/>
                <w:color w:val="auto"/>
              </w:rPr>
            </w:pPr>
          </w:p>
        </w:tc>
      </w:tr>
      <w:tr>
        <w:trPr>
          <w:trHeight w:val="473"/>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 Bond —</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10.5% Cash, Due 6/19</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1,825,800</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Lien)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 Due 7/22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1,001,991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921,400</w:t>
            </w:r>
          </w:p>
        </w:tc>
        <w:tc>
          <w:tcPr>
            <w:tcW w:w="0" w:type="dxa"/>
            <w:vAlign w:val="bottom"/>
          </w:tcPr>
          <w:p>
            <w:pPr>
              <w:spacing w:after="0"/>
              <w:rPr>
                <w:sz w:val="1"/>
                <w:szCs w:val="1"/>
                <w:color w:val="auto"/>
              </w:rPr>
            </w:pPr>
          </w:p>
        </w:tc>
      </w:tr>
      <w:tr>
        <w:trPr>
          <w:trHeight w:val="473"/>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B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4.3% Cash, 1.0% Libor Floor, Due 6/22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1,549,563</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1,550,989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1,542,781</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Lien)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 Due 8/21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3,950,000</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3,932,230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3,856,780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Lien)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 Due 2/21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1,886,385</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1,873,173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1,792,821</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7.0% Cash, 1.0% Libor Floor, Due 1/22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4,000,000</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3,883,180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3,880,000</w:t>
            </w:r>
          </w:p>
        </w:tc>
        <w:tc>
          <w:tcPr>
            <w:tcW w:w="0" w:type="dxa"/>
            <w:vAlign w:val="bottom"/>
          </w:tcPr>
          <w:p>
            <w:pPr>
              <w:spacing w:after="0"/>
              <w:rPr>
                <w:sz w:val="1"/>
                <w:szCs w:val="1"/>
                <w:color w:val="auto"/>
              </w:rPr>
            </w:pPr>
          </w:p>
        </w:tc>
      </w:tr>
      <w:tr>
        <w:trPr>
          <w:trHeight w:val="473"/>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 Due 6/21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3,693,773</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3,677,555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3,563,013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-4012565</wp:posOffset>
            </wp:positionV>
            <wp:extent cx="7246620" cy="43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-3412490</wp:posOffset>
            </wp:positionV>
            <wp:extent cx="7246620"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-2974975</wp:posOffset>
            </wp:positionV>
            <wp:extent cx="7246620" cy="43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-2374900</wp:posOffset>
            </wp:positionV>
            <wp:extent cx="724662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-1937385</wp:posOffset>
            </wp:positionV>
            <wp:extent cx="7246620" cy="43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-1337310</wp:posOffset>
            </wp:positionV>
            <wp:extent cx="7246620" cy="43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-762635</wp:posOffset>
            </wp:positionV>
            <wp:extent cx="724662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-4596130</wp:posOffset>
            </wp:positionV>
            <wp:extent cx="724662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140" w:space="420"/>
            <w:col w:w="786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34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6"/>
              </w:rPr>
              <w:t>Asurion, LLC (fka Asurion Corporation)</w:t>
            </w:r>
            <w:r>
              <w:rPr>
                <w:rFonts w:ascii="Arial" w:cs="Arial" w:eastAsia="Arial" w:hAnsi="Arial"/>
                <w:sz w:val="30"/>
                <w:szCs w:val="30"/>
                <w:color w:val="auto"/>
                <w:w w:val="96"/>
                <w:vertAlign w:val="superscript"/>
              </w:rPr>
              <w:t>9, 10</w:t>
            </w: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Loan — Incremental Tranche</w:t>
            </w:r>
          </w:p>
        </w:tc>
        <w:tc>
          <w:tcPr>
            <w:tcW w:w="15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5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w w:val="94"/>
              </w:rPr>
              <w:t>Banking, Finance, Insurance &amp; Real Estate</w:t>
            </w: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B-1 Term Loan</w:t>
            </w:r>
          </w:p>
        </w:tc>
        <w:tc>
          <w:tcPr>
            <w:tcW w:w="15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3440" w:type="dxa"/>
            <w:vAlign w:val="bottom"/>
            <w:shd w:val="clear" w:color="auto" w:fill="CCEEFF"/>
          </w:tcPr>
          <w:p>
            <w:pPr>
              <w:spacing w:after="0"/>
              <w:rPr>
                <w:sz w:val="20"/>
                <w:szCs w:val="20"/>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 Cash, 1.3% Libor Floor, Due 5/19</w:t>
            </w:r>
          </w:p>
        </w:tc>
        <w:tc>
          <w:tcPr>
            <w:tcW w:w="15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913,034</w:t>
            </w:r>
          </w:p>
        </w:tc>
        <w:tc>
          <w:tcPr>
            <w:tcW w:w="14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914,252</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902,000</w:t>
            </w:r>
          </w:p>
        </w:tc>
      </w:tr>
      <w:tr>
        <w:trPr>
          <w:trHeight w:val="648"/>
        </w:trPr>
        <w:tc>
          <w:tcPr>
            <w:tcW w:w="34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rPr>
              <w:t>5</w:t>
            </w:r>
          </w:p>
        </w:tc>
        <w:tc>
          <w:tcPr>
            <w:tcW w:w="1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Asurion, LLC (fka Asurion Corporation)</w:t>
            </w:r>
            <w:r>
              <w:rPr>
                <w:rFonts w:ascii="Arial" w:cs="Arial" w:eastAsia="Arial" w:hAnsi="Arial"/>
                <w:sz w:val="22"/>
                <w:szCs w:val="22"/>
                <w:color w:val="auto"/>
                <w:vertAlign w:val="superscript"/>
              </w:rPr>
              <w:t>9, 10</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Senior Secured Loan — Incremental Tranche</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w w:val="97"/>
              </w:rPr>
              <w:t>Banking, Finance, Insurance &amp; Real Estate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B-4 Term Loan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 Cash, 1.0% Libor Floor, Due 8/22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887,042</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883,011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869,860</w:t>
            </w: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color w:val="auto"/>
        </w:rPr>
        <w:t>Avalign Technologies,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Avalign Technologies,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BarBri, Inc. (Gemini Holdings,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Services: Consumer</w:t>
      </w:r>
    </w:p>
    <w:p>
      <w:pPr>
        <w:spacing w:after="0" w:line="213" w:lineRule="exact"/>
        <w:rPr>
          <w:sz w:val="20"/>
          <w:szCs w:val="20"/>
          <w:color w:val="auto"/>
        </w:rPr>
      </w:pPr>
    </w:p>
    <w:p>
      <w:pPr>
        <w:ind w:left="180" w:right="500" w:hanging="172"/>
        <w:spacing w:after="0" w:line="210" w:lineRule="auto"/>
        <w:tabs>
          <w:tab w:leader="none" w:pos="42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Industries US Holdings, Inc.</w:t>
      </w:r>
      <w:r>
        <w:rPr>
          <w:rFonts w:ascii="Arial" w:cs="Arial" w:eastAsia="Arial" w:hAnsi="Arial"/>
          <w:sz w:val="30"/>
          <w:szCs w:val="30"/>
          <w:color w:val="auto"/>
          <w:vertAlign w:val="superscript"/>
        </w:rPr>
        <w:t>9, 10</w:t>
      </w:r>
      <w:r>
        <w:rPr>
          <w:rFonts w:ascii="Arial" w:cs="Arial" w:eastAsia="Arial" w:hAnsi="Arial"/>
          <w:sz w:val="18"/>
          <w:szCs w:val="18"/>
          <w:color w:val="auto"/>
        </w:rPr>
        <w:t xml:space="preserve"> </w:t>
      </w:r>
      <w:r>
        <w:rPr>
          <w:rFonts w:ascii="Arial" w:cs="Arial" w:eastAsia="Arial" w:hAnsi="Arial"/>
          <w:sz w:val="18"/>
          <w:szCs w:val="18"/>
          <w:i w:val="1"/>
          <w:iCs w:val="1"/>
          <w:color w:val="auto"/>
        </w:rPr>
        <w:t>Automotive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Bellisio Foods, Inc. </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Bestop,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Bestop,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213" w:lineRule="exact"/>
        <w:rPr>
          <w:sz w:val="20"/>
          <w:szCs w:val="20"/>
          <w:color w:val="auto"/>
        </w:rPr>
      </w:pPr>
    </w:p>
    <w:p>
      <w:pPr>
        <w:jc w:val="right"/>
        <w:ind w:right="940"/>
        <w:spacing w:after="0"/>
        <w:rPr>
          <w:sz w:val="20"/>
          <w:szCs w:val="20"/>
          <w:color w:val="auto"/>
        </w:rPr>
      </w:pPr>
      <w:r>
        <w:rPr>
          <w:rFonts w:ascii="Arial" w:cs="Arial" w:eastAsia="Arial" w:hAnsi="Arial"/>
          <w:sz w:val="16"/>
          <w:szCs w:val="16"/>
          <w:color w:val="auto"/>
        </w:rPr>
        <w:t>Carolina Beverage Group LLC</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w:t>
      </w:r>
      <w:r>
        <w:rPr>
          <w:rFonts w:ascii="Arial" w:cs="Arial" w:eastAsia="Arial" w:hAnsi="Arial"/>
          <w:sz w:val="16"/>
          <w:szCs w:val="16"/>
          <w:i w:val="1"/>
          <w:iCs w:val="1"/>
          <w:color w:val="auto"/>
        </w:rPr>
        <w:t>Beverage, Food and Tobacco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CCS Intermediate Holdings,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0" w:lineRule="exact"/>
        <w:rPr>
          <w:sz w:val="20"/>
          <w:szCs w:val="20"/>
          <w:color w:val="auto"/>
        </w:rPr>
      </w:pPr>
    </w:p>
    <w:p>
      <w:pPr>
        <w:spacing w:after="0" w:line="225" w:lineRule="exact"/>
        <w:rPr>
          <w:sz w:val="20"/>
          <w:szCs w:val="20"/>
          <w:color w:val="auto"/>
        </w:rPr>
      </w:pPr>
    </w:p>
    <w:p>
      <w:pPr>
        <w:ind w:left="180" w:hanging="161"/>
        <w:spacing w:after="0" w:line="212" w:lineRule="auto"/>
        <w:rPr>
          <w:sz w:val="20"/>
          <w:szCs w:val="20"/>
          <w:color w:val="auto"/>
        </w:rPr>
      </w:pPr>
      <w:r>
        <w:rPr>
          <w:rFonts w:ascii="Arial" w:cs="Arial" w:eastAsia="Arial" w:hAnsi="Arial"/>
          <w:sz w:val="18"/>
          <w:szCs w:val="18"/>
          <w:color w:val="auto"/>
        </w:rPr>
        <w:t>Cengage Learning Acquisitions, Inc. (fka TL Acquisitions,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Junior Secured Loan — Initial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-121920</wp:posOffset>
            </wp:positionV>
            <wp:extent cx="7246620" cy="43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(Second Lien)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9.3%</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7/22</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1,000,000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991,000</w:t>
            </w:r>
          </w:p>
        </w:tc>
        <w:tc>
          <w:tcPr>
            <w:tcW w:w="1100" w:type="dxa"/>
            <w:vAlign w:val="bottom"/>
          </w:tcPr>
          <w:p>
            <w:pPr>
              <w:jc w:val="right"/>
              <w:spacing w:after="0"/>
              <w:rPr>
                <w:sz w:val="20"/>
                <w:szCs w:val="20"/>
                <w:color w:val="auto"/>
              </w:rPr>
            </w:pPr>
            <w:r>
              <w:rPr>
                <w:rFonts w:ascii="Arial" w:cs="Arial" w:eastAsia="Arial" w:hAnsi="Arial"/>
                <w:sz w:val="18"/>
                <w:szCs w:val="18"/>
                <w:color w:val="auto"/>
              </w:rPr>
              <w:t>947,100</w:t>
            </w:r>
          </w:p>
        </w:tc>
      </w:tr>
      <w:tr>
        <w:trPr>
          <w:trHeight w:val="418"/>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Initial Term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840" w:type="dxa"/>
            <w:vAlign w:val="bottom"/>
            <w:gridSpan w:val="2"/>
          </w:tcPr>
          <w:p>
            <w:pPr>
              <w:spacing w:after="0"/>
              <w:rPr>
                <w:sz w:val="20"/>
                <w:szCs w:val="20"/>
                <w:color w:val="auto"/>
              </w:rPr>
            </w:pPr>
            <w:r>
              <w:rPr>
                <w:rFonts w:ascii="Arial" w:cs="Arial" w:eastAsia="Arial" w:hAnsi="Arial"/>
                <w:sz w:val="18"/>
                <w:szCs w:val="18"/>
                <w:color w:val="auto"/>
                <w:w w:val="95"/>
              </w:rPr>
              <w:t>(First Lien)</w:t>
            </w:r>
          </w:p>
        </w:tc>
        <w:tc>
          <w:tcPr>
            <w:tcW w:w="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5.5%</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7/21</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2,925,000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2,912,081</w:t>
            </w:r>
          </w:p>
        </w:tc>
        <w:tc>
          <w:tcPr>
            <w:tcW w:w="1100" w:type="dxa"/>
            <w:vAlign w:val="bottom"/>
          </w:tcPr>
          <w:p>
            <w:pPr>
              <w:jc w:val="right"/>
              <w:spacing w:after="0"/>
              <w:rPr>
                <w:sz w:val="20"/>
                <w:szCs w:val="20"/>
                <w:color w:val="auto"/>
              </w:rPr>
            </w:pPr>
            <w:r>
              <w:rPr>
                <w:rFonts w:ascii="Arial" w:cs="Arial" w:eastAsia="Arial" w:hAnsi="Arial"/>
                <w:sz w:val="18"/>
                <w:szCs w:val="18"/>
                <w:color w:val="auto"/>
              </w:rPr>
              <w:t>2,815,313</w:t>
            </w:r>
          </w:p>
        </w:tc>
      </w:tr>
      <w:tr>
        <w:trPr>
          <w:trHeight w:val="432"/>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Term B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7.0%</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6/18</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678,401</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678,401</w:t>
            </w:r>
          </w:p>
        </w:tc>
        <w:tc>
          <w:tcPr>
            <w:tcW w:w="1100" w:type="dxa"/>
            <w:vAlign w:val="bottom"/>
          </w:tcPr>
          <w:p>
            <w:pPr>
              <w:jc w:val="right"/>
              <w:spacing w:after="0"/>
              <w:rPr>
                <w:sz w:val="20"/>
                <w:szCs w:val="20"/>
                <w:color w:val="auto"/>
              </w:rPr>
            </w:pPr>
            <w:r>
              <w:rPr>
                <w:rFonts w:ascii="Arial" w:cs="Arial" w:eastAsia="Arial" w:hAnsi="Arial"/>
                <w:sz w:val="18"/>
                <w:szCs w:val="18"/>
                <w:color w:val="auto"/>
              </w:rPr>
              <w:t>654,182</w:t>
            </w:r>
          </w:p>
        </w:tc>
      </w:tr>
      <w:tr>
        <w:trPr>
          <w:trHeight w:val="432"/>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Term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4.5%</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7/19</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2,731,875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2,724,330</w:t>
            </w:r>
          </w:p>
        </w:tc>
        <w:tc>
          <w:tcPr>
            <w:tcW w:w="1100" w:type="dxa"/>
            <w:vAlign w:val="bottom"/>
          </w:tcPr>
          <w:p>
            <w:pPr>
              <w:jc w:val="right"/>
              <w:spacing w:after="0"/>
              <w:rPr>
                <w:sz w:val="20"/>
                <w:szCs w:val="20"/>
                <w:color w:val="auto"/>
              </w:rPr>
            </w:pPr>
            <w:r>
              <w:rPr>
                <w:rFonts w:ascii="Arial" w:cs="Arial" w:eastAsia="Arial" w:hAnsi="Arial"/>
                <w:sz w:val="18"/>
                <w:szCs w:val="18"/>
                <w:color w:val="auto"/>
              </w:rPr>
              <w:t>2,497,207</w:t>
            </w:r>
          </w:p>
        </w:tc>
      </w:tr>
      <w:tr>
        <w:trPr>
          <w:trHeight w:val="418"/>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Initial Term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840" w:type="dxa"/>
            <w:vAlign w:val="bottom"/>
            <w:gridSpan w:val="2"/>
          </w:tcPr>
          <w:p>
            <w:pPr>
              <w:spacing w:after="0"/>
              <w:rPr>
                <w:sz w:val="20"/>
                <w:szCs w:val="20"/>
                <w:color w:val="auto"/>
              </w:rPr>
            </w:pPr>
            <w:r>
              <w:rPr>
                <w:rFonts w:ascii="Arial" w:cs="Arial" w:eastAsia="Arial" w:hAnsi="Arial"/>
                <w:sz w:val="18"/>
                <w:szCs w:val="18"/>
                <w:color w:val="auto"/>
                <w:w w:val="95"/>
              </w:rPr>
              <w:t>(First Lien)</w:t>
            </w:r>
          </w:p>
        </w:tc>
        <w:tc>
          <w:tcPr>
            <w:tcW w:w="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6.0%</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11/21</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2,970,000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2,922,508</w:t>
            </w:r>
          </w:p>
        </w:tc>
        <w:tc>
          <w:tcPr>
            <w:tcW w:w="1100" w:type="dxa"/>
            <w:vAlign w:val="bottom"/>
          </w:tcPr>
          <w:p>
            <w:pPr>
              <w:jc w:val="right"/>
              <w:spacing w:after="0"/>
              <w:rPr>
                <w:sz w:val="20"/>
                <w:szCs w:val="20"/>
                <w:color w:val="auto"/>
              </w:rPr>
            </w:pPr>
            <w:r>
              <w:rPr>
                <w:rFonts w:ascii="Arial" w:cs="Arial" w:eastAsia="Arial" w:hAnsi="Arial"/>
                <w:sz w:val="18"/>
                <w:szCs w:val="18"/>
                <w:color w:val="auto"/>
              </w:rPr>
              <w:t>2,825,955</w:t>
            </w:r>
          </w:p>
        </w:tc>
      </w:tr>
      <w:tr>
        <w:trPr>
          <w:trHeight w:val="432"/>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U.S. Term B Loans</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5.3%</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8/19</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1,930,341</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1,924,721</w:t>
            </w:r>
          </w:p>
        </w:tc>
        <w:tc>
          <w:tcPr>
            <w:tcW w:w="1100" w:type="dxa"/>
            <w:vAlign w:val="bottom"/>
          </w:tcPr>
          <w:p>
            <w:pPr>
              <w:jc w:val="right"/>
              <w:spacing w:after="0"/>
              <w:rPr>
                <w:sz w:val="20"/>
                <w:szCs w:val="20"/>
                <w:color w:val="auto"/>
              </w:rPr>
            </w:pPr>
            <w:r>
              <w:rPr>
                <w:rFonts w:ascii="Arial" w:cs="Arial" w:eastAsia="Arial" w:hAnsi="Arial"/>
                <w:sz w:val="18"/>
                <w:szCs w:val="18"/>
                <w:color w:val="auto"/>
              </w:rPr>
              <w:t>1,881,697</w:t>
            </w:r>
          </w:p>
        </w:tc>
      </w:tr>
      <w:tr>
        <w:trPr>
          <w:trHeight w:val="432"/>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Revolving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7/20</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40,000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34,808</w:t>
            </w:r>
          </w:p>
        </w:tc>
        <w:tc>
          <w:tcPr>
            <w:tcW w:w="1100" w:type="dxa"/>
            <w:vAlign w:val="bottom"/>
          </w:tcPr>
          <w:p>
            <w:pPr>
              <w:jc w:val="right"/>
              <w:spacing w:after="0"/>
              <w:rPr>
                <w:sz w:val="20"/>
                <w:szCs w:val="20"/>
                <w:color w:val="auto"/>
              </w:rPr>
            </w:pPr>
            <w:r>
              <w:rPr>
                <w:rFonts w:ascii="Arial" w:cs="Arial" w:eastAsia="Arial" w:hAnsi="Arial"/>
                <w:sz w:val="18"/>
                <w:szCs w:val="18"/>
                <w:color w:val="auto"/>
              </w:rPr>
              <w:t>36,916</w:t>
            </w:r>
          </w:p>
        </w:tc>
      </w:tr>
      <w:tr>
        <w:trPr>
          <w:trHeight w:val="432"/>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Term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7/21</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1,580,000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1,558,960</w:t>
            </w:r>
          </w:p>
        </w:tc>
        <w:tc>
          <w:tcPr>
            <w:tcW w:w="1100" w:type="dxa"/>
            <w:vAlign w:val="bottom"/>
          </w:tcPr>
          <w:p>
            <w:pPr>
              <w:jc w:val="right"/>
              <w:spacing w:after="0"/>
              <w:rPr>
                <w:sz w:val="20"/>
                <w:szCs w:val="20"/>
                <w:color w:val="auto"/>
              </w:rPr>
            </w:pPr>
            <w:r>
              <w:rPr>
                <w:rFonts w:ascii="Arial" w:cs="Arial" w:eastAsia="Arial" w:hAnsi="Arial"/>
                <w:sz w:val="18"/>
                <w:szCs w:val="18"/>
                <w:color w:val="auto"/>
              </w:rPr>
              <w:t>1,458,182</w:t>
            </w:r>
          </w:p>
        </w:tc>
      </w:tr>
      <w:tr>
        <w:trPr>
          <w:trHeight w:val="432"/>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Bond — 10.625% - 08/2018</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3640" w:type="dxa"/>
            <w:vAlign w:val="bottom"/>
            <w:gridSpan w:val="4"/>
          </w:tcPr>
          <w:p>
            <w:pPr>
              <w:spacing w:after="0"/>
              <w:rPr>
                <w:sz w:val="20"/>
                <w:szCs w:val="20"/>
                <w:color w:val="auto"/>
              </w:rPr>
            </w:pPr>
            <w:r>
              <w:rPr>
                <w:rFonts w:ascii="Arial" w:cs="Arial" w:eastAsia="Arial" w:hAnsi="Arial"/>
                <w:sz w:val="18"/>
                <w:szCs w:val="18"/>
                <w:color w:val="auto"/>
              </w:rPr>
              <w:t>10.6% Cash, Due 8/18</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1,500,000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1,509,541</w:t>
            </w:r>
          </w:p>
        </w:tc>
        <w:tc>
          <w:tcPr>
            <w:tcW w:w="1100" w:type="dxa"/>
            <w:vAlign w:val="bottom"/>
          </w:tcPr>
          <w:p>
            <w:pPr>
              <w:jc w:val="right"/>
              <w:spacing w:after="0"/>
              <w:rPr>
                <w:sz w:val="20"/>
                <w:szCs w:val="20"/>
                <w:color w:val="auto"/>
              </w:rPr>
            </w:pPr>
            <w:r>
              <w:rPr>
                <w:rFonts w:ascii="Arial" w:cs="Arial" w:eastAsia="Arial" w:hAnsi="Arial"/>
                <w:sz w:val="18"/>
                <w:szCs w:val="18"/>
                <w:color w:val="auto"/>
              </w:rPr>
              <w:t>1,440,000</w:t>
            </w:r>
          </w:p>
        </w:tc>
      </w:tr>
      <w:tr>
        <w:trPr>
          <w:trHeight w:val="418"/>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Initial Term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840" w:type="dxa"/>
            <w:vAlign w:val="bottom"/>
            <w:gridSpan w:val="2"/>
          </w:tcPr>
          <w:p>
            <w:pPr>
              <w:spacing w:after="0"/>
              <w:rPr>
                <w:sz w:val="20"/>
                <w:szCs w:val="20"/>
                <w:color w:val="auto"/>
              </w:rPr>
            </w:pPr>
            <w:r>
              <w:rPr>
                <w:rFonts w:ascii="Arial" w:cs="Arial" w:eastAsia="Arial" w:hAnsi="Arial"/>
                <w:sz w:val="18"/>
                <w:szCs w:val="18"/>
                <w:color w:val="auto"/>
                <w:w w:val="95"/>
              </w:rPr>
              <w:t>(First Lien)</w:t>
            </w:r>
          </w:p>
        </w:tc>
        <w:tc>
          <w:tcPr>
            <w:tcW w:w="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5.0%</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7/21</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2,955,000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2,943,699</w:t>
            </w:r>
          </w:p>
        </w:tc>
        <w:tc>
          <w:tcPr>
            <w:tcW w:w="1100" w:type="dxa"/>
            <w:vAlign w:val="bottom"/>
          </w:tcPr>
          <w:p>
            <w:pPr>
              <w:jc w:val="right"/>
              <w:spacing w:after="0"/>
              <w:rPr>
                <w:sz w:val="20"/>
                <w:szCs w:val="20"/>
                <w:color w:val="auto"/>
              </w:rPr>
            </w:pPr>
            <w:r>
              <w:rPr>
                <w:rFonts w:ascii="Arial" w:cs="Arial" w:eastAsia="Arial" w:hAnsi="Arial"/>
                <w:sz w:val="18"/>
                <w:szCs w:val="18"/>
                <w:color w:val="auto"/>
              </w:rPr>
              <w:t>2,304,900</w:t>
            </w:r>
          </w:p>
        </w:tc>
      </w:tr>
      <w:tr>
        <w:trPr>
          <w:trHeight w:val="648"/>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Term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7.0%</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3/20</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2,978,175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2,973,081</w:t>
            </w:r>
          </w:p>
        </w:tc>
        <w:tc>
          <w:tcPr>
            <w:tcW w:w="1100" w:type="dxa"/>
            <w:vAlign w:val="bottom"/>
          </w:tcPr>
          <w:p>
            <w:pPr>
              <w:jc w:val="right"/>
              <w:spacing w:after="0"/>
              <w:rPr>
                <w:sz w:val="20"/>
                <w:szCs w:val="20"/>
                <w:color w:val="auto"/>
              </w:rPr>
            </w:pPr>
            <w:r>
              <w:rPr>
                <w:rFonts w:ascii="Arial" w:cs="Arial" w:eastAsia="Arial" w:hAnsi="Arial"/>
                <w:sz w:val="18"/>
                <w:szCs w:val="18"/>
                <w:color w:val="auto"/>
              </w:rPr>
              <w:t>2,970,209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-4784725</wp:posOffset>
            </wp:positionV>
            <wp:extent cx="7246620" cy="43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-4210050</wp:posOffset>
            </wp:positionV>
            <wp:extent cx="724662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-3772535</wp:posOffset>
            </wp:positionV>
            <wp:extent cx="7246620"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-3335655</wp:posOffset>
            </wp:positionV>
            <wp:extent cx="7246620" cy="43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-2760980</wp:posOffset>
            </wp:positionV>
            <wp:extent cx="7246620"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-2323465</wp:posOffset>
            </wp:positionV>
            <wp:extent cx="7246620"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-1885950</wp:posOffset>
            </wp:positionV>
            <wp:extent cx="7246620"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-1448435</wp:posOffset>
            </wp:positionV>
            <wp:extent cx="7246620"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-1011555</wp:posOffset>
            </wp:positionV>
            <wp:extent cx="7246620" cy="437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-436880</wp:posOffset>
            </wp:positionV>
            <wp:extent cx="7246620" cy="437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300"/>
            <w:col w:w="7860"/>
          </w:cols>
          <w:pgMar w:left="240" w:top="904" w:right="2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w w:val="92"/>
              </w:rPr>
              <w:t>Charter Communications Operating, LLC (aka</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Senior Secured Loan — Term I Loan</w:t>
            </w:r>
          </w:p>
        </w:tc>
        <w:tc>
          <w:tcPr>
            <w:tcW w:w="120" w:type="dxa"/>
            <w:vAlign w:val="bottom"/>
            <w:tcBorders>
              <w:top w:val="single" w:sz="8" w:color="CCEEFF"/>
            </w:tcBorders>
            <w:vMerge w:val="restart"/>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line="253" w:lineRule="exact"/>
              <w:rPr>
                <w:sz w:val="20"/>
                <w:szCs w:val="20"/>
                <w:color w:val="auto"/>
              </w:rPr>
            </w:pPr>
            <w:r>
              <w:rPr>
                <w:rFonts w:ascii="Arial" w:cs="Arial" w:eastAsia="Arial" w:hAnsi="Arial"/>
                <w:sz w:val="18"/>
                <w:szCs w:val="18"/>
                <w:color w:val="auto"/>
              </w:rPr>
              <w:t>CCO Safari LLC)</w:t>
            </w:r>
            <w:r>
              <w:rPr>
                <w:rFonts w:ascii="Arial" w:cs="Arial" w:eastAsia="Arial" w:hAnsi="Arial"/>
                <w:sz w:val="29"/>
                <w:szCs w:val="29"/>
                <w:color w:val="auto"/>
                <w:vertAlign w:val="superscript"/>
              </w:rPr>
              <w:t>10</w:t>
            </w:r>
          </w:p>
        </w:tc>
        <w:tc>
          <w:tcPr>
            <w:tcW w:w="344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3.5%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0.8% Libor Floor, Due 1/23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1,001,179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Checkout Holding Corp. (fka Catalina</w:t>
            </w:r>
          </w:p>
        </w:tc>
        <w:tc>
          <w:tcPr>
            <w:tcW w:w="3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B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Marketing)</w:t>
            </w:r>
            <w:r>
              <w:rPr>
                <w:rFonts w:ascii="Arial" w:cs="Arial" w:eastAsia="Arial" w:hAnsi="Arial"/>
                <w:sz w:val="29"/>
                <w:szCs w:val="29"/>
                <w:color w:val="auto"/>
                <w:vertAlign w:val="superscript"/>
              </w:rPr>
              <w:t>9, 10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4/21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982,500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978,968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841,880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CHS/Community Health Systems, Inc.</w:t>
            </w:r>
            <w:r>
              <w:rPr>
                <w:rFonts w:ascii="Arial" w:cs="Arial" w:eastAsia="Arial" w:hAnsi="Arial"/>
                <w:sz w:val="23"/>
                <w:szCs w:val="23"/>
                <w:color w:val="auto"/>
                <w:vertAlign w:val="superscript"/>
              </w:rPr>
              <w:t>10</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Incremental 2021</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H Loan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1,987,683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Consolidated Communications, Inc.</w:t>
            </w:r>
            <w:r>
              <w:rPr>
                <w:rFonts w:ascii="Arial" w:cs="Arial" w:eastAsia="Arial" w:hAnsi="Arial"/>
                <w:sz w:val="28"/>
                <w:szCs w:val="28"/>
                <w:color w:val="auto"/>
                <w:vertAlign w:val="superscript"/>
              </w:rPr>
              <w:t>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Telecommunications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2,954,660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2,963,366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2,957,615</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CRGT Inc.</w:t>
            </w:r>
            <w:r>
              <w:rPr>
                <w:rFonts w:ascii="Arial" w:cs="Arial" w:eastAsia="Arial" w:hAnsi="Arial"/>
                <w:sz w:val="28"/>
                <w:szCs w:val="28"/>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3,862,184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3,814,208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3,699,199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Crowne Group, LLC</w:t>
            </w:r>
            <w:r>
              <w:rPr>
                <w:rFonts w:ascii="Arial" w:cs="Arial" w:eastAsia="Arial" w:hAnsi="Arial"/>
                <w:sz w:val="23"/>
                <w:szCs w:val="23"/>
                <w:color w:val="auto"/>
                <w:vertAlign w:val="superscript"/>
              </w:rPr>
              <w:t>9, 10</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Automotive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9/20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3,895,560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3,664,988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CSM Bakery Solutions Limited (fka CSM</w:t>
            </w:r>
          </w:p>
        </w:tc>
        <w:tc>
          <w:tcPr>
            <w:tcW w:w="3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Bakery Supplies Limited)</w:t>
            </w:r>
            <w:r>
              <w:rPr>
                <w:rFonts w:ascii="Arial" w:cs="Arial" w:eastAsia="Arial" w:hAnsi="Arial"/>
                <w:sz w:val="29"/>
                <w:szCs w:val="29"/>
                <w:color w:val="auto"/>
                <w:vertAlign w:val="superscript"/>
              </w:rPr>
              <w:t>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8.8%</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7/21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3,013,221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CT Technologies Intermediate Holdings, Inc.</w:t>
            </w:r>
          </w:p>
        </w:tc>
        <w:tc>
          <w:tcPr>
            <w:tcW w:w="3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New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w w:val="92"/>
              </w:rPr>
              <w:t>(Smart Holdings Corp.) (aka HealthPort)</w:t>
            </w:r>
            <w:r>
              <w:rPr>
                <w:rFonts w:ascii="Arial" w:cs="Arial" w:eastAsia="Arial" w:hAnsi="Arial"/>
                <w:sz w:val="29"/>
                <w:szCs w:val="29"/>
                <w:color w:val="auto"/>
                <w:w w:val="92"/>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Facility</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2,962,613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2,936,461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2,923,728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DBI Holding LLC</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Unsecured Bond — 09/2019 – PIK</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9"/>
              </w:rPr>
              <w:t>Note</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0.0%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16.0% PIK, Due 9/19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4,209,063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4,037,638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4,209,063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DBI Holding LLC</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95"/>
              </w:rPr>
              <w:t>Senior Subordinated Bond — 09/2019 - Senior</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 Cash, 4.0% PIK, Due 9/19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4,526,942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4,513,571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4,662,751</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DJO Finance LLC</w:t>
            </w:r>
            <w:r>
              <w:rPr>
                <w:rFonts w:ascii="Arial" w:cs="Arial" w:eastAsia="Arial" w:hAnsi="Arial"/>
                <w:sz w:val="28"/>
                <w:szCs w:val="28"/>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6/20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1,496,241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1,487,679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1,468,186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Drew Marine Group Inc.</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5/21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2,495,700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2,490,000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ELO Touch Solutions, Inc.</w:t>
            </w:r>
            <w:r>
              <w:rPr>
                <w:rFonts w:ascii="Arial" w:cs="Arial" w:eastAsia="Arial" w:hAnsi="Arial"/>
                <w:sz w:val="22"/>
                <w:szCs w:val="22"/>
                <w:color w:val="auto"/>
                <w:vertAlign w:val="superscript"/>
              </w:rPr>
              <w:t>9, 10</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Term Loan (First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6/18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1,529,469</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1,490,113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EWT Holdings III Corp. (fka WTG Holdings</w:t>
            </w:r>
          </w:p>
        </w:tc>
        <w:tc>
          <w:tcPr>
            <w:tcW w:w="3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III Corp.)</w:t>
            </w:r>
            <w:r>
              <w:rPr>
                <w:rFonts w:ascii="Arial" w:cs="Arial" w:eastAsia="Arial" w:hAnsi="Arial"/>
                <w:sz w:val="29"/>
                <w:szCs w:val="29"/>
                <w:color w:val="auto"/>
                <w:vertAlign w:val="superscript"/>
              </w:rPr>
              <w:t>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3,985,514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3,677,600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Fender Musical Instruments Corporation</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5.8%</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4/19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1,427,484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1,436,324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1,426,627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FHC Health Systems, Inc.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3,868,071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3,836,113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3,742,359</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First American Payment Systems, L.P.</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7"/>
              </w:rPr>
              <w:t>Banking, Finance, Insurance &amp; Real Estate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10.8% Cash, 1.3% Libor Floor, Due 4/19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1,796,448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1,779,667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Getty Images, Inc.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4.8%</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10/19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2,157,292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2,166,407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1,613,741</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GI Advo Opco, LLC</w:t>
            </w:r>
            <w:r>
              <w:rPr>
                <w:rFonts w:ascii="Arial" w:cs="Arial" w:eastAsia="Arial" w:hAnsi="Arial"/>
                <w:sz w:val="28"/>
                <w:szCs w:val="28"/>
                <w:color w:val="auto"/>
                <w:vertAlign w:val="superscript"/>
              </w:rPr>
              <w:t>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11/21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249,375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GI Advo Opco, LLC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2,743,125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2,717,226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2,712,402</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GK Holdings, Inc. (aka Global Knowledge)</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Lien)</w:t>
            </w: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10.5% Cash, 1.0% Libor Floor, Due 1/22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1,474,959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GK Holdings, Inc. (aka Global Knowledge)</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1/21</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2,468,750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2,448,830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2,355,681</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Global Tel*Link Corporation</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Telecommunications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9.0%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3,949,287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Gold Standard Baking, Inc.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4/21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2,481,250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2,470,660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2,397,384</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Grande Communications Networks LLC</w:t>
            </w:r>
            <w:r>
              <w:rPr>
                <w:rFonts w:ascii="Arial" w:cs="Arial" w:eastAsia="Arial" w:hAnsi="Arial"/>
                <w:sz w:val="27"/>
                <w:szCs w:val="27"/>
                <w:color w:val="auto"/>
                <w:vertAlign w:val="superscript"/>
              </w:rPr>
              <w:t>9, 10</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Telecommunications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5/20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3,890,105</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3,895,928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3,884,659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Grifols Worldwide Operations Limited</w:t>
            </w:r>
            <w:r>
              <w:rPr>
                <w:rFonts w:ascii="Arial" w:cs="Arial" w:eastAsia="Arial" w:hAnsi="Arial"/>
                <w:sz w:val="23"/>
                <w:szCs w:val="23"/>
                <w:color w:val="auto"/>
                <w:vertAlign w:val="superscript"/>
              </w:rPr>
              <w:t>10</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96"/>
              </w:rPr>
              <w:t>Senior Secured Loan — U.S. Tranche B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3.4%</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Due 2/21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994,924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992,588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995,929</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Grupo HIMA San Pablo, Inc.</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B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1.5% Libor Floor, Due 1/18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2,888,633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Grupo HIMA San Pablo, Inc.</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13.8% Cash, Due 7/18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6,931,473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6,475,000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Gymboree Corporation</w:t>
            </w:r>
            <w:r>
              <w:rPr>
                <w:rFonts w:ascii="Arial" w:cs="Arial" w:eastAsia="Arial" w:hAnsi="Arial"/>
                <w:sz w:val="28"/>
                <w:szCs w:val="28"/>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Retail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1.5% Libor Floor, Due 2/18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1,421,105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1,411,741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Hargray Communications Group, Inc. (HCP</w:t>
            </w:r>
          </w:p>
        </w:tc>
        <w:tc>
          <w:tcPr>
            <w:tcW w:w="35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line="253" w:lineRule="exact"/>
              <w:rPr>
                <w:sz w:val="20"/>
                <w:szCs w:val="20"/>
                <w:color w:val="auto"/>
              </w:rPr>
            </w:pPr>
            <w:r>
              <w:rPr>
                <w:rFonts w:ascii="Arial" w:cs="Arial" w:eastAsia="Arial" w:hAnsi="Arial"/>
                <w:sz w:val="18"/>
                <w:szCs w:val="18"/>
                <w:color w:val="auto"/>
              </w:rPr>
              <w:t>Acquisition LLC)</w:t>
            </w:r>
            <w:r>
              <w:rPr>
                <w:rFonts w:ascii="Arial" w:cs="Arial" w:eastAsia="Arial" w:hAnsi="Arial"/>
                <w:sz w:val="29"/>
                <w:szCs w:val="29"/>
                <w:color w:val="auto"/>
                <w:vertAlign w:val="superscript"/>
              </w:rPr>
              <w:t>9, 10</w:t>
            </w:r>
          </w:p>
        </w:tc>
        <w:tc>
          <w:tcPr>
            <w:tcW w:w="3560" w:type="dxa"/>
            <w:vAlign w:val="bottom"/>
            <w:gridSpan w:val="3"/>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6/19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2,879,602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2,893,846</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Harland Clarke Holdings Corp. (fka Clarke</w:t>
            </w:r>
          </w:p>
        </w:tc>
        <w:tc>
          <w:tcPr>
            <w:tcW w:w="3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Tranche B-3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American Corp.)</w:t>
            </w:r>
            <w:r>
              <w:rPr>
                <w:rFonts w:ascii="Arial" w:cs="Arial" w:eastAsia="Arial" w:hAnsi="Arial"/>
                <w:sz w:val="29"/>
                <w:szCs w:val="29"/>
                <w:color w:val="auto"/>
                <w:vertAlign w:val="superscript"/>
              </w:rPr>
              <w:t>9, 10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1.5% Libor Floor, Due 5/18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3,259,375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3,239,919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Harland Clarke Holdings Corp. (fka Clarke</w:t>
            </w:r>
          </w:p>
        </w:tc>
        <w:tc>
          <w:tcPr>
            <w:tcW w:w="3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Tranche B-4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American Corp.)</w:t>
            </w:r>
            <w:r>
              <w:rPr>
                <w:rFonts w:ascii="Arial" w:cs="Arial" w:eastAsia="Arial" w:hAnsi="Arial"/>
                <w:sz w:val="29"/>
                <w:szCs w:val="29"/>
                <w:color w:val="auto"/>
                <w:vertAlign w:val="superscript"/>
              </w:rPr>
              <w:t>9, 10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8/19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1,415,625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1,411,316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1,376,695</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Forest Products &amp; Paper</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Lien)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 Cash, 1.0% Libor Floor, Due 5/21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1,978,088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9, 10</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Forest Products &amp; Paper</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Lien)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5/20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3,902,989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3,879,224</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Hunter Defense Technologies, Inc.</w:t>
            </w:r>
            <w:r>
              <w:rPr>
                <w:rFonts w:ascii="Arial" w:cs="Arial" w:eastAsia="Arial" w:hAnsi="Arial"/>
                <w:sz w:val="23"/>
                <w:szCs w:val="23"/>
                <w:color w:val="auto"/>
                <w:vertAlign w:val="superscript"/>
              </w:rPr>
              <w:t>7, 9, 10</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0.0%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8/19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2,812,500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2,793,449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Integra Telecom Holdings, Inc.</w:t>
            </w:r>
            <w:r>
              <w:rPr>
                <w:rFonts w:ascii="Arial" w:cs="Arial" w:eastAsia="Arial" w:hAnsi="Arial"/>
                <w:sz w:val="28"/>
                <w:szCs w:val="28"/>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B-1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Telecommunications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8/20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2,954,924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2,945,708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2,796,835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International Architectural Products, Inc.</w:t>
            </w:r>
            <w:r>
              <w:rPr>
                <w:rFonts w:ascii="Arial" w:cs="Arial" w:eastAsia="Arial" w:hAnsi="Arial"/>
                <w:sz w:val="22"/>
                <w:szCs w:val="22"/>
                <w:color w:val="auto"/>
                <w:vertAlign w:val="superscript"/>
              </w:rPr>
              <w:t>7, 9</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Term Loan</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Metals &amp; Mining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0.0%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PIK, 2.5% Libor Floor, Due</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5/15</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247,636</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Kellermeyer Bergensons Services, LLC</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10/21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1,959,218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1,864,598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Key Safety Systems, Inc.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Automotive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4.8%</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8/21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1,471,791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Kinetic Concepts, Inc.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Senior Secured Loan — Dollar Term E-1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5/18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2,954,660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2,950,017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2,944,038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Landslide Holdings, Inc. (Crimson Acquisition</w:t>
            </w:r>
          </w:p>
        </w:tc>
        <w:tc>
          <w:tcPr>
            <w:tcW w:w="3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5"/>
              </w:rPr>
              <w:t>Senior Secured Loan — New Term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Corp.)</w:t>
            </w:r>
            <w:r>
              <w:rPr>
                <w:rFonts w:ascii="Arial" w:cs="Arial" w:eastAsia="Arial" w:hAnsi="Arial"/>
                <w:sz w:val="29"/>
                <w:szCs w:val="29"/>
                <w:color w:val="auto"/>
                <w:vertAlign w:val="superscript"/>
              </w:rPr>
              <w:t>9, 10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2/20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3,412,850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3,419,192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MB Aerospace ACP Holdings II Corp.</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12/22</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997,500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987,935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987,525</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Medical Specialties Distributors, LLC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3,886,010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3,906,872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Medrisk, Inc.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2/23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1,980,165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MGOC, Inc. (fka Media General, Inc.)</w:t>
            </w:r>
            <w:r>
              <w:rPr>
                <w:rFonts w:ascii="Arial" w:cs="Arial" w:eastAsia="Arial" w:hAnsi="Arial"/>
                <w:sz w:val="28"/>
                <w:szCs w:val="28"/>
                <w:color w:val="auto"/>
                <w:vertAlign w:val="superscript"/>
              </w:rPr>
              <w:t>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2,717,813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2,720,467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Nellson Nutraceutical, LLC</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7"/>
              </w:rPr>
              <w:t>Senior Secured Loan — Term A-1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2,368,619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2,351,346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2,284,533</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Nellson Nutraceutical, LLC</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7"/>
              </w:rPr>
              <w:t>Senior Secured Loan — Term A-2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2,087,638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2,071,747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2,013,527</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Nielsen &amp; Bainbridge, LLC</w:t>
            </w:r>
            <w:r>
              <w:rPr>
                <w:rFonts w:ascii="Arial" w:cs="Arial" w:eastAsia="Arial" w:hAnsi="Arial"/>
                <w:sz w:val="22"/>
                <w:szCs w:val="22"/>
                <w:color w:val="auto"/>
                <w:vertAlign w:val="superscript"/>
              </w:rPr>
              <w:t>9</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Term Loan (First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Lien)</w:t>
            </w:r>
          </w:p>
        </w:tc>
        <w:tc>
          <w:tcPr>
            <w:tcW w:w="4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6.0%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8/20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987,506</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980,198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934,872</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Nielsen &amp; Bainbridge, LLC</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Lien)</w:t>
            </w:r>
          </w:p>
        </w:tc>
        <w:tc>
          <w:tcPr>
            <w:tcW w:w="4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10.3% Cash, 1.0% Libor Floor, Due 8/21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2,091,954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2,067,040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1,940,287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Nielsen &amp; Bainbridge, LLC</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Lien)</w:t>
            </w:r>
          </w:p>
        </w:tc>
        <w:tc>
          <w:tcPr>
            <w:tcW w:w="4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6.0%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8/20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3,776,344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3,747,622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3,575,064</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NM Z Parent Inc. (aka Zep, Inc.)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Chemicals, Plastics and Rubber</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3,473,750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3,484,863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3,350,085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Novitex Acquisition, LLC (fka ARSloane</w:t>
            </w:r>
          </w:p>
        </w:tc>
        <w:tc>
          <w:tcPr>
            <w:tcW w:w="3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Tranche B-2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Acquisition, LLC)</w:t>
            </w:r>
            <w:r>
              <w:rPr>
                <w:rFonts w:ascii="Arial" w:cs="Arial" w:eastAsia="Arial" w:hAnsi="Arial"/>
                <w:sz w:val="29"/>
                <w:szCs w:val="29"/>
                <w:color w:val="auto"/>
                <w:vertAlign w:val="superscript"/>
              </w:rPr>
              <w:t>9, 10</w:t>
            </w: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Loan (First Lien)</w:t>
            </w: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7.5%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966,447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959,578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895,606</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Lien)</w:t>
            </w:r>
          </w:p>
        </w:tc>
        <w:tc>
          <w:tcPr>
            <w:tcW w:w="4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9.5%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12/19</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1,932,311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1,932,311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5"/>
              </w:rPr>
              <w:t>Senior Secured Loan — Term Loan (First Lien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6"/>
              </w:rPr>
              <w:t>2013)</w:t>
            </w:r>
          </w:p>
        </w:tc>
        <w:tc>
          <w:tcPr>
            <w:tcW w:w="4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1,829,686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1,834,140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1,701,608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Otter Products, LLC (OtterBox Holdings,</w:t>
            </w:r>
          </w:p>
        </w:tc>
        <w:tc>
          <w:tcPr>
            <w:tcW w:w="356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line="253" w:lineRule="exact"/>
              <w:rPr>
                <w:sz w:val="20"/>
                <w:szCs w:val="20"/>
                <w:color w:val="auto"/>
              </w:rPr>
            </w:pPr>
            <w:r>
              <w:rPr>
                <w:rFonts w:ascii="Arial" w:cs="Arial" w:eastAsia="Arial" w:hAnsi="Arial"/>
                <w:sz w:val="18"/>
                <w:szCs w:val="18"/>
                <w:color w:val="auto"/>
              </w:rPr>
              <w:t>Inc.)</w:t>
            </w:r>
            <w:r>
              <w:rPr>
                <w:rFonts w:ascii="Arial" w:cs="Arial" w:eastAsia="Arial" w:hAnsi="Arial"/>
                <w:sz w:val="29"/>
                <w:szCs w:val="29"/>
                <w:color w:val="auto"/>
                <w:vertAlign w:val="superscript"/>
              </w:rPr>
              <w:t>9, 10</w:t>
            </w:r>
          </w:p>
        </w:tc>
        <w:tc>
          <w:tcPr>
            <w:tcW w:w="3560" w:type="dxa"/>
            <w:vAlign w:val="bottom"/>
            <w:gridSpan w:val="5"/>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2,754,168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2,737,150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2,591,397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PGX Holdings, Inc.</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Services: Consumer</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9/20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3,808,571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3,779,937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3,805,144</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Playpower, Inc.</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Construction &amp; Building</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1,971,999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9"/>
              </w:rPr>
              <w:t>PrimeLine Utility Services LLC (fka FR Utility</w:t>
            </w:r>
          </w:p>
        </w:tc>
        <w:tc>
          <w:tcPr>
            <w:tcW w:w="356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line="253" w:lineRule="exact"/>
              <w:rPr>
                <w:sz w:val="20"/>
                <w:szCs w:val="20"/>
                <w:color w:val="auto"/>
              </w:rPr>
            </w:pPr>
            <w:r>
              <w:rPr>
                <w:rFonts w:ascii="Arial" w:cs="Arial" w:eastAsia="Arial" w:hAnsi="Arial"/>
                <w:sz w:val="18"/>
                <w:szCs w:val="18"/>
                <w:color w:val="auto"/>
              </w:rPr>
              <w:t>Services LLC)</w:t>
            </w:r>
            <w:r>
              <w:rPr>
                <w:rFonts w:ascii="Arial" w:cs="Arial" w:eastAsia="Arial" w:hAnsi="Arial"/>
                <w:sz w:val="29"/>
                <w:szCs w:val="29"/>
                <w:color w:val="auto"/>
                <w:vertAlign w:val="superscript"/>
              </w:rPr>
              <w:t>9, 10</w:t>
            </w:r>
          </w:p>
        </w:tc>
        <w:tc>
          <w:tcPr>
            <w:tcW w:w="3560" w:type="dxa"/>
            <w:vAlign w:val="bottom"/>
            <w:gridSpan w:val="5"/>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Energy: Electricity</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6.5%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3,491,250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3,458,158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3,447,609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3" w:name="page14"/>
    <w:bookmarkEnd w:id="13"/>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Company / Principal Business</w:t>
      </w:r>
    </w:p>
    <w:p>
      <w:pPr>
        <w:spacing w:after="0" w:line="216" w:lineRule="auto"/>
        <w:rPr>
          <w:sz w:val="20"/>
          <w:szCs w:val="20"/>
          <w:color w:val="auto"/>
        </w:rPr>
      </w:pPr>
      <w:r>
        <w:rPr>
          <w:rFonts w:ascii="Arial" w:cs="Arial" w:eastAsia="Arial" w:hAnsi="Arial"/>
          <w:sz w:val="18"/>
          <w:szCs w:val="18"/>
          <w:color w:val="auto"/>
        </w:rPr>
        <w:t>PSC Industrial Holdings Corp.</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200" w:lineRule="exact"/>
        <w:rPr>
          <w:sz w:val="20"/>
          <w:szCs w:val="20"/>
          <w:color w:val="auto"/>
        </w:rPr>
      </w:pPr>
    </w:p>
    <w:p>
      <w:pPr>
        <w:spacing w:after="0" w:line="225" w:lineRule="exact"/>
        <w:rPr>
          <w:sz w:val="20"/>
          <w:szCs w:val="20"/>
          <w:color w:val="auto"/>
        </w:rPr>
      </w:pPr>
    </w:p>
    <w:p>
      <w:pPr>
        <w:ind w:left="180" w:right="560" w:hanging="161"/>
        <w:spacing w:after="0" w:line="212" w:lineRule="auto"/>
        <w:rPr>
          <w:sz w:val="20"/>
          <w:szCs w:val="20"/>
          <w:color w:val="auto"/>
        </w:rPr>
      </w:pPr>
      <w:r>
        <w:rPr>
          <w:rFonts w:ascii="Arial" w:cs="Arial" w:eastAsia="Arial" w:hAnsi="Arial"/>
          <w:sz w:val="18"/>
          <w:szCs w:val="18"/>
          <w:color w:val="auto"/>
        </w:rPr>
        <w:t>Quad-C JH Holdings Inc. (aka Joerns Healthcare)</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Ravn Air Group,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Transportation: Consumer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Roscoe Medical,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0" w:lineRule="exact"/>
        <w:rPr>
          <w:sz w:val="20"/>
          <w:szCs w:val="20"/>
          <w:color w:val="auto"/>
        </w:rPr>
      </w:pPr>
    </w:p>
    <w:p>
      <w:pPr>
        <w:spacing w:after="0" w:line="266" w:lineRule="exact"/>
        <w:rPr>
          <w:sz w:val="20"/>
          <w:szCs w:val="20"/>
          <w:color w:val="auto"/>
        </w:rPr>
      </w:pPr>
    </w:p>
    <w:p>
      <w:pPr>
        <w:ind w:left="180" w:right="180" w:hanging="161"/>
        <w:spacing w:after="0" w:line="212" w:lineRule="auto"/>
        <w:rPr>
          <w:sz w:val="20"/>
          <w:szCs w:val="20"/>
          <w:color w:val="auto"/>
        </w:rPr>
      </w:pPr>
      <w:r>
        <w:rPr>
          <w:rFonts w:ascii="Arial" w:cs="Arial" w:eastAsia="Arial" w:hAnsi="Arial"/>
          <w:sz w:val="18"/>
          <w:szCs w:val="18"/>
          <w:color w:val="auto"/>
        </w:rPr>
        <w:t>Rovi Solutions Corporation / Rovi Guides, Inc.</w:t>
      </w:r>
      <w:r>
        <w:rPr>
          <w:rFonts w:ascii="Arial" w:cs="Arial" w:eastAsia="Arial" w:hAnsi="Arial"/>
          <w:sz w:val="30"/>
          <w:szCs w:val="30"/>
          <w:color w:val="auto"/>
          <w:vertAlign w:val="superscript"/>
        </w:rPr>
        <w:t>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Sandy Creek Energy Associates, L.P.</w:t>
      </w:r>
      <w:r>
        <w:rPr>
          <w:rFonts w:ascii="Arial" w:cs="Arial" w:eastAsia="Arial" w:hAnsi="Arial"/>
          <w:sz w:val="28"/>
          <w:szCs w:val="28"/>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Utilities: Electric</w:t>
      </w:r>
    </w:p>
    <w:p>
      <w:pPr>
        <w:spacing w:after="0" w:line="250" w:lineRule="exact"/>
        <w:rPr>
          <w:sz w:val="20"/>
          <w:szCs w:val="20"/>
          <w:color w:val="auto"/>
        </w:rPr>
      </w:pPr>
    </w:p>
    <w:p>
      <w:pPr>
        <w:ind w:left="180" w:hanging="161"/>
        <w:spacing w:after="0" w:line="212" w:lineRule="auto"/>
        <w:rPr>
          <w:sz w:val="20"/>
          <w:szCs w:val="20"/>
          <w:color w:val="auto"/>
        </w:rPr>
      </w:pPr>
      <w:r>
        <w:rPr>
          <w:rFonts w:ascii="Arial" w:cs="Arial" w:eastAsia="Arial" w:hAnsi="Arial"/>
          <w:sz w:val="18"/>
          <w:szCs w:val="18"/>
          <w:color w:val="auto"/>
        </w:rPr>
        <w:t>Stafford Logistics, Inc.(dba Custom Ecology,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Sun Products Corporation, The (fka Huish</w:t>
      </w:r>
    </w:p>
    <w:p>
      <w:pPr>
        <w:ind w:left="180"/>
        <w:spacing w:after="0" w:line="203" w:lineRule="auto"/>
        <w:rPr>
          <w:sz w:val="20"/>
          <w:szCs w:val="20"/>
          <w:color w:val="auto"/>
        </w:rPr>
      </w:pPr>
      <w:r>
        <w:rPr>
          <w:rFonts w:ascii="Arial" w:cs="Arial" w:eastAsia="Arial" w:hAnsi="Arial"/>
          <w:sz w:val="18"/>
          <w:szCs w:val="18"/>
          <w:color w:val="auto"/>
        </w:rPr>
        <w:t>Detergents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Tank Partners Holdings,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Energy: Oil &amp; Gas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TPF II Power, LLC (TPF II Covert Midco,</w:t>
      </w:r>
    </w:p>
    <w:p>
      <w:pPr>
        <w:ind w:left="180"/>
        <w:spacing w:after="0" w:line="195" w:lineRule="auto"/>
        <w:rPr>
          <w:sz w:val="20"/>
          <w:szCs w:val="20"/>
          <w:color w:val="auto"/>
        </w:rPr>
      </w:pPr>
      <w:r>
        <w:rPr>
          <w:rFonts w:ascii="Arial" w:cs="Arial" w:eastAsia="Arial" w:hAnsi="Arial"/>
          <w:sz w:val="18"/>
          <w:szCs w:val="18"/>
          <w:color w:val="auto"/>
        </w:rPr>
        <w:t>LLC)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Utilities: Electric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Trimaran Advisors,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Related Party Loan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b w:val="1"/>
                <w:bCs w:val="1"/>
                <w:color w:val="auto"/>
                <w:w w:val="94"/>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Senior Secured Loan — Term Loan (First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4"/>
              </w:rPr>
              <w:t>Lien)</w:t>
            </w: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5.8%</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12/20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2,997,063</w:t>
            </w:r>
          </w:p>
        </w:tc>
        <w:tc>
          <w:tcPr>
            <w:tcW w:w="120" w:type="dxa"/>
            <w:vAlign w:val="bottom"/>
          </w:tcPr>
          <w:p>
            <w:pPr>
              <w:spacing w:after="0"/>
              <w:rPr>
                <w:sz w:val="22"/>
                <w:szCs w:val="22"/>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2,972,154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2,907,151</w:t>
            </w:r>
          </w:p>
        </w:tc>
        <w:tc>
          <w:tcPr>
            <w:tcW w:w="0" w:type="dxa"/>
            <w:vAlign w:val="bottom"/>
          </w:tcPr>
          <w:p>
            <w:pPr>
              <w:spacing w:after="0"/>
              <w:rPr>
                <w:sz w:val="1"/>
                <w:szCs w:val="1"/>
                <w:color w:val="auto"/>
              </w:rPr>
            </w:pPr>
          </w:p>
        </w:tc>
      </w:tr>
      <w:tr>
        <w:trPr>
          <w:trHeight w:val="648"/>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 A</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6.0%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5/20</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3,930,040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3,909,660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3,925,717</w:t>
            </w:r>
          </w:p>
        </w:tc>
        <w:tc>
          <w:tcPr>
            <w:tcW w:w="0" w:type="dxa"/>
            <w:vAlign w:val="bottom"/>
          </w:tcPr>
          <w:p>
            <w:pPr>
              <w:spacing w:after="0"/>
              <w:rPr>
                <w:sz w:val="1"/>
                <w:szCs w:val="1"/>
                <w:color w:val="auto"/>
              </w:rPr>
            </w:pPr>
          </w:p>
        </w:tc>
      </w:tr>
      <w:tr>
        <w:trPr>
          <w:trHeight w:val="473"/>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7/21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2,468,750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2,457,756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2,456,406</w:t>
            </w:r>
          </w:p>
        </w:tc>
        <w:tc>
          <w:tcPr>
            <w:tcW w:w="0" w:type="dxa"/>
            <w:vAlign w:val="bottom"/>
          </w:tcPr>
          <w:p>
            <w:pPr>
              <w:spacing w:after="0"/>
              <w:rPr>
                <w:sz w:val="1"/>
                <w:szCs w:val="1"/>
                <w:color w:val="auto"/>
              </w:rPr>
            </w:pPr>
          </w:p>
        </w:tc>
      </w:tr>
      <w:tr>
        <w:trPr>
          <w:trHeight w:val="418"/>
        </w:trPr>
        <w:tc>
          <w:tcPr>
            <w:tcW w:w="3560" w:type="dxa"/>
            <w:vAlign w:val="bottom"/>
            <w:gridSpan w:val="3"/>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4"/>
              </w:rPr>
              <w:t>Lien)</w:t>
            </w: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3"/>
          </w:tcPr>
          <w:p>
            <w:pPr>
              <w:spacing w:after="0"/>
              <w:rPr>
                <w:sz w:val="20"/>
                <w:szCs w:val="20"/>
                <w:color w:val="auto"/>
              </w:rPr>
            </w:pPr>
            <w:r>
              <w:rPr>
                <w:rFonts w:ascii="Arial" w:cs="Arial" w:eastAsia="Arial" w:hAnsi="Arial"/>
                <w:sz w:val="18"/>
                <w:szCs w:val="18"/>
                <w:color w:val="auto"/>
              </w:rPr>
              <w:t>11.3% Cash, Due 9/19</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6,657,567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6,354,950</w:t>
            </w:r>
          </w:p>
        </w:tc>
        <w:tc>
          <w:tcPr>
            <w:tcW w:w="0" w:type="dxa"/>
            <w:vAlign w:val="bottom"/>
          </w:tcPr>
          <w:p>
            <w:pPr>
              <w:spacing w:after="0"/>
              <w:rPr>
                <w:sz w:val="1"/>
                <w:szCs w:val="1"/>
                <w:color w:val="auto"/>
              </w:rPr>
            </w:pPr>
          </w:p>
        </w:tc>
      </w:tr>
      <w:tr>
        <w:trPr>
          <w:trHeight w:val="689"/>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3.8%</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0.8% Libor Floor, Due 7/21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2,954,887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2,924,612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2,927,806</w:t>
            </w:r>
          </w:p>
        </w:tc>
        <w:tc>
          <w:tcPr>
            <w:tcW w:w="0" w:type="dxa"/>
            <w:vAlign w:val="bottom"/>
          </w:tcPr>
          <w:p>
            <w:pPr>
              <w:spacing w:after="0"/>
              <w:rPr>
                <w:sz w:val="1"/>
                <w:szCs w:val="1"/>
                <w:color w:val="auto"/>
              </w:rPr>
            </w:pPr>
          </w:p>
        </w:tc>
      </w:tr>
      <w:tr>
        <w:trPr>
          <w:trHeight w:val="432"/>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5.0%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11/20</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2,654,374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2,645,604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1,539,537</w:t>
            </w:r>
          </w:p>
        </w:tc>
        <w:tc>
          <w:tcPr>
            <w:tcW w:w="0" w:type="dxa"/>
            <w:vAlign w:val="bottom"/>
          </w:tcPr>
          <w:p>
            <w:pPr>
              <w:spacing w:after="0"/>
              <w:rPr>
                <w:sz w:val="1"/>
                <w:szCs w:val="1"/>
                <w:color w:val="auto"/>
              </w:rPr>
            </w:pPr>
          </w:p>
        </w:tc>
      </w:tr>
      <w:tr>
        <w:trPr>
          <w:trHeight w:val="689"/>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7.5%</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1.3% Libor Floor, Due 8/21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2,847,626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2,828,769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2,628,643</w:t>
            </w:r>
          </w:p>
        </w:tc>
        <w:tc>
          <w:tcPr>
            <w:tcW w:w="0" w:type="dxa"/>
            <w:vAlign w:val="bottom"/>
          </w:tcPr>
          <w:p>
            <w:pPr>
              <w:spacing w:after="0"/>
              <w:rPr>
                <w:sz w:val="1"/>
                <w:szCs w:val="1"/>
                <w:color w:val="auto"/>
              </w:rPr>
            </w:pPr>
          </w:p>
        </w:tc>
      </w:tr>
      <w:tr>
        <w:trPr>
          <w:trHeight w:val="648"/>
        </w:trPr>
        <w:tc>
          <w:tcPr>
            <w:tcW w:w="3560" w:type="dxa"/>
            <w:vAlign w:val="bottom"/>
            <w:gridSpan w:val="3"/>
          </w:tcPr>
          <w:p>
            <w:pPr>
              <w:spacing w:after="0"/>
              <w:rPr>
                <w:sz w:val="20"/>
                <w:szCs w:val="20"/>
                <w:color w:val="auto"/>
              </w:rPr>
            </w:pPr>
            <w:r>
              <w:rPr>
                <w:rFonts w:ascii="Arial" w:cs="Arial" w:eastAsia="Arial" w:hAnsi="Arial"/>
                <w:sz w:val="18"/>
                <w:szCs w:val="18"/>
                <w:color w:val="auto"/>
                <w:w w:val="95"/>
              </w:rPr>
              <w:t>Senior Secured Loan — Tranche B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5.5%</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1.3% Libor Floor, Due 3/20</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3,862,232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3,763,600</w:t>
            </w:r>
          </w:p>
        </w:tc>
        <w:tc>
          <w:tcPr>
            <w:tcW w:w="0" w:type="dxa"/>
            <w:vAlign w:val="bottom"/>
          </w:tcPr>
          <w:p>
            <w:pPr>
              <w:spacing w:after="0"/>
              <w:rPr>
                <w:sz w:val="1"/>
                <w:szCs w:val="1"/>
                <w:color w:val="auto"/>
              </w:rPr>
            </w:pPr>
          </w:p>
        </w:tc>
      </w:tr>
      <w:tr>
        <w:trPr>
          <w:trHeight w:val="458"/>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6.8%</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w w:val="99"/>
              </w:rPr>
              <w:t>Cash, 3.5% PIK, 3.0% Libor Floor, Due</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rPr>
              <w:t>8/19</w:t>
            </w:r>
          </w:p>
        </w:tc>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10,365,394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10,244,931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6,835,977</w:t>
            </w:r>
          </w:p>
        </w:tc>
        <w:tc>
          <w:tcPr>
            <w:tcW w:w="0" w:type="dxa"/>
            <w:vAlign w:val="bottom"/>
          </w:tcPr>
          <w:p>
            <w:pPr>
              <w:spacing w:after="0"/>
              <w:rPr>
                <w:sz w:val="1"/>
                <w:szCs w:val="1"/>
                <w:color w:val="auto"/>
              </w:rPr>
            </w:pPr>
          </w:p>
        </w:tc>
      </w:tr>
      <w:tr>
        <w:trPr>
          <w:trHeight w:val="648"/>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5.5%</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10/21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2,943,501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2,965,040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2,886,471</w:t>
            </w:r>
          </w:p>
        </w:tc>
        <w:tc>
          <w:tcPr>
            <w:tcW w:w="0" w:type="dxa"/>
            <w:vAlign w:val="bottom"/>
          </w:tcPr>
          <w:p>
            <w:pPr>
              <w:spacing w:after="0"/>
              <w:rPr>
                <w:sz w:val="1"/>
                <w:szCs w:val="1"/>
                <w:color w:val="auto"/>
              </w:rPr>
            </w:pPr>
          </w:p>
        </w:tc>
      </w:tr>
      <w:tr>
        <w:trPr>
          <w:trHeight w:val="458"/>
        </w:trPr>
        <w:tc>
          <w:tcPr>
            <w:tcW w:w="3560" w:type="dxa"/>
            <w:vAlign w:val="bottom"/>
            <w:gridSpan w:val="3"/>
          </w:tcPr>
          <w:p>
            <w:pPr>
              <w:spacing w:after="0"/>
              <w:rPr>
                <w:sz w:val="20"/>
                <w:szCs w:val="20"/>
                <w:color w:val="auto"/>
              </w:rPr>
            </w:pPr>
            <w:r>
              <w:rPr>
                <w:rFonts w:ascii="Arial" w:cs="Arial" w:eastAsia="Arial" w:hAnsi="Arial"/>
                <w:sz w:val="18"/>
                <w:szCs w:val="18"/>
                <w:color w:val="auto"/>
              </w:rPr>
              <w:t>Senior Unsecured Loan — Revolving Credit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Facility</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9.0%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Due 11/17</w:t>
            </w: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16,000,000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16,000,000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648"/>
        </w:trPr>
        <w:tc>
          <w:tcPr>
            <w:tcW w:w="400" w:type="dxa"/>
            <w:vAlign w:val="bottom"/>
          </w:tcPr>
          <w:p>
            <w:pPr>
              <w:spacing w:after="0"/>
              <w:rPr>
                <w:sz w:val="24"/>
                <w:szCs w:val="24"/>
                <w:color w:val="auto"/>
              </w:rPr>
            </w:pPr>
          </w:p>
        </w:tc>
        <w:tc>
          <w:tcPr>
            <w:tcW w:w="3040" w:type="dxa"/>
            <w:vAlign w:val="bottom"/>
          </w:tcPr>
          <w:p>
            <w:pPr>
              <w:ind w:left="16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-5873750</wp:posOffset>
            </wp:positionV>
            <wp:extent cx="7246620" cy="437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-5273675</wp:posOffset>
            </wp:positionV>
            <wp:extent cx="7246620"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-4836160</wp:posOffset>
            </wp:positionV>
            <wp:extent cx="7246620" cy="437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-4236085</wp:posOffset>
            </wp:positionV>
            <wp:extent cx="7246620" cy="437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-3661410</wp:posOffset>
            </wp:positionV>
            <wp:extent cx="7246620" cy="30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-3197860</wp:posOffset>
            </wp:positionV>
            <wp:extent cx="7246620" cy="437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-2623820</wp:posOffset>
            </wp:positionV>
            <wp:extent cx="7246620" cy="437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-2023110</wp:posOffset>
            </wp:positionV>
            <wp:extent cx="7246620" cy="437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-1448435</wp:posOffset>
            </wp:positionV>
            <wp:extent cx="7246620" cy="437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-848360</wp:posOffset>
            </wp:positionV>
            <wp:extent cx="7246620" cy="437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-6456680</wp:posOffset>
            </wp:positionV>
            <wp:extent cx="7246620" cy="445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60" w:space="300"/>
            <w:col w:w="7760"/>
          </w:cols>
          <w:pgMar w:left="240" w:top="90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TRSO I, Inc.</w:t>
            </w:r>
            <w:r>
              <w:rPr>
                <w:rFonts w:ascii="Arial" w:cs="Arial" w:eastAsia="Arial" w:hAnsi="Arial"/>
                <w:sz w:val="22"/>
                <w:szCs w:val="22"/>
                <w:color w:val="auto"/>
                <w:vertAlign w:val="superscript"/>
              </w:rPr>
              <w:t>9</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6"/>
              </w:rPr>
              <w:t>Junior Secured Loan — Term Loan (Second</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 Cash, 1.0% Libor Floor, Due 12/17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993,099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Shipping Corp (fka U.S. Shipping</w:t>
            </w: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Tranche B-2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Partners LP)</w:t>
            </w:r>
            <w:r>
              <w:rPr>
                <w:rFonts w:ascii="Arial" w:cs="Arial" w:eastAsia="Arial" w:hAnsi="Arial"/>
                <w:sz w:val="29"/>
                <w:szCs w:val="29"/>
                <w:color w:val="auto"/>
                <w:vertAlign w:val="superscript"/>
              </w:rPr>
              <w:t>9, 10</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 Cash, 1.0% Libor Floor, Due 6/21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1,411,023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1,410,014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1,374,054</w:t>
            </w: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7"/>
          <w:szCs w:val="17"/>
          <w:color w:val="auto"/>
        </w:rPr>
        <w:t>USJ-IMECO Holding Company, LLC</w:t>
      </w:r>
      <w:r>
        <w:rPr>
          <w:rFonts w:ascii="Arial" w:cs="Arial" w:eastAsia="Arial" w:hAnsi="Arial"/>
          <w:sz w:val="28"/>
          <w:szCs w:val="28"/>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209" w:lineRule="exact"/>
        <w:rPr>
          <w:sz w:val="20"/>
          <w:szCs w:val="20"/>
          <w:color w:val="auto"/>
        </w:rPr>
      </w:pPr>
    </w:p>
    <w:p>
      <w:pPr>
        <w:ind w:left="180" w:right="420" w:hanging="161"/>
        <w:spacing w:after="0" w:line="212" w:lineRule="auto"/>
        <w:rPr>
          <w:sz w:val="20"/>
          <w:szCs w:val="20"/>
          <w:color w:val="auto"/>
        </w:rPr>
      </w:pPr>
      <w:r>
        <w:rPr>
          <w:rFonts w:ascii="Arial" w:cs="Arial" w:eastAsia="Arial" w:hAnsi="Arial"/>
          <w:sz w:val="18"/>
          <w:szCs w:val="18"/>
          <w:color w:val="auto"/>
        </w:rPr>
        <w:t>Vantiv, LLC (fka Fifth Third Processing Solutions, LLC)</w:t>
      </w:r>
      <w:r>
        <w:rPr>
          <w:rFonts w:ascii="Arial" w:cs="Arial" w:eastAsia="Arial" w:hAnsi="Arial"/>
          <w:sz w:val="30"/>
          <w:szCs w:val="30"/>
          <w:color w:val="auto"/>
          <w:vertAlign w:val="superscript"/>
        </w:rPr>
        <w:t>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Banking, Finance, Insurance &amp; Real Estate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Verdesian Life Sciences,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Vestcom International, Inc. (fka Vector</w:t>
      </w:r>
    </w:p>
    <w:p>
      <w:pPr>
        <w:ind w:left="180"/>
        <w:spacing w:after="0" w:line="195" w:lineRule="auto"/>
        <w:rPr>
          <w:sz w:val="20"/>
          <w:szCs w:val="20"/>
          <w:color w:val="auto"/>
        </w:rPr>
      </w:pPr>
      <w:r>
        <w:rPr>
          <w:rFonts w:ascii="Arial" w:cs="Arial" w:eastAsia="Arial" w:hAnsi="Arial"/>
          <w:sz w:val="18"/>
          <w:szCs w:val="18"/>
          <w:color w:val="auto"/>
        </w:rPr>
        <w:t>Investment Holdings,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259" w:lineRule="exact"/>
        <w:rPr>
          <w:sz w:val="20"/>
          <w:szCs w:val="20"/>
          <w:color w:val="auto"/>
        </w:rPr>
      </w:pPr>
    </w:p>
    <w:p>
      <w:pPr>
        <w:ind w:left="180" w:right="260" w:hanging="161"/>
        <w:spacing w:after="0" w:line="347" w:lineRule="auto"/>
        <w:rPr>
          <w:sz w:val="20"/>
          <w:szCs w:val="20"/>
          <w:color w:val="auto"/>
        </w:rPr>
      </w:pPr>
      <w:r>
        <w:rPr>
          <w:rFonts w:ascii="Arial" w:cs="Arial" w:eastAsia="Arial" w:hAnsi="Arial"/>
          <w:sz w:val="16"/>
          <w:szCs w:val="16"/>
          <w:b w:val="1"/>
          <w:bCs w:val="1"/>
          <w:color w:val="auto"/>
        </w:rPr>
        <w:t>Total Investment in Debt Securities (130% of net asset value at fair value)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7.0%</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4/20</w:t>
            </w:r>
          </w:p>
        </w:tc>
        <w:tc>
          <w:tcPr>
            <w:tcW w:w="1040" w:type="dxa"/>
            <w:vAlign w:val="bottom"/>
          </w:tcPr>
          <w:p>
            <w:pPr>
              <w:jc w:val="right"/>
              <w:spacing w:after="0"/>
              <w:rPr>
                <w:sz w:val="20"/>
                <w:szCs w:val="20"/>
                <w:color w:val="auto"/>
              </w:rPr>
            </w:pPr>
            <w:r>
              <w:rPr>
                <w:rFonts w:ascii="Arial" w:cs="Arial" w:eastAsia="Arial" w:hAnsi="Arial"/>
                <w:sz w:val="18"/>
                <w:szCs w:val="18"/>
                <w:color w:val="auto"/>
              </w:rPr>
              <w:t>3,920,000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3,906,681</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3,861,200</w:t>
            </w:r>
          </w:p>
        </w:tc>
      </w:tr>
      <w:tr>
        <w:trPr>
          <w:trHeight w:val="64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B Loan</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3.8%</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Cash, 0.8% Libor Floor, Due 6/21</w:t>
            </w:r>
          </w:p>
        </w:tc>
        <w:tc>
          <w:tcPr>
            <w:tcW w:w="1040" w:type="dxa"/>
            <w:vAlign w:val="bottom"/>
          </w:tcPr>
          <w:p>
            <w:pPr>
              <w:jc w:val="right"/>
              <w:spacing w:after="0"/>
              <w:rPr>
                <w:sz w:val="20"/>
                <w:szCs w:val="20"/>
                <w:color w:val="auto"/>
              </w:rPr>
            </w:pPr>
            <w:r>
              <w:rPr>
                <w:rFonts w:ascii="Arial" w:cs="Arial" w:eastAsia="Arial" w:hAnsi="Arial"/>
                <w:sz w:val="18"/>
                <w:szCs w:val="18"/>
                <w:color w:val="auto"/>
              </w:rPr>
              <w:t>1,668,457</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1,671,788</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1,674,714</w:t>
            </w:r>
          </w:p>
        </w:tc>
      </w:tr>
      <w:tr>
        <w:trPr>
          <w:trHeight w:val="473"/>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Initial Term Loan</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6.0%</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7/20</w:t>
            </w:r>
          </w:p>
        </w:tc>
        <w:tc>
          <w:tcPr>
            <w:tcW w:w="1040" w:type="dxa"/>
            <w:vAlign w:val="bottom"/>
          </w:tcPr>
          <w:p>
            <w:pPr>
              <w:jc w:val="right"/>
              <w:spacing w:after="0"/>
              <w:rPr>
                <w:sz w:val="20"/>
                <w:szCs w:val="20"/>
                <w:color w:val="auto"/>
              </w:rPr>
            </w:pPr>
            <w:r>
              <w:rPr>
                <w:rFonts w:ascii="Arial" w:cs="Arial" w:eastAsia="Arial" w:hAnsi="Arial"/>
                <w:sz w:val="18"/>
                <w:szCs w:val="18"/>
                <w:color w:val="auto"/>
              </w:rPr>
              <w:t>3,927,535</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3,886,506</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3,707,986</w:t>
            </w:r>
          </w:p>
        </w:tc>
      </w:tr>
      <w:tr>
        <w:trPr>
          <w:trHeight w:val="64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5.3%</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9/21</w:t>
            </w:r>
          </w:p>
        </w:tc>
        <w:tc>
          <w:tcPr>
            <w:tcW w:w="1040" w:type="dxa"/>
            <w:vAlign w:val="bottom"/>
          </w:tcPr>
          <w:p>
            <w:pPr>
              <w:jc w:val="right"/>
              <w:spacing w:after="0"/>
              <w:rPr>
                <w:sz w:val="20"/>
                <w:szCs w:val="20"/>
                <w:color w:val="auto"/>
              </w:rPr>
            </w:pPr>
            <w:r>
              <w:rPr>
                <w:rFonts w:ascii="Arial" w:cs="Arial" w:eastAsia="Arial" w:hAnsi="Arial"/>
                <w:sz w:val="18"/>
                <w:szCs w:val="18"/>
                <w:color w:val="auto"/>
              </w:rPr>
              <w:t>2,982,109</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2,997,799</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2,864,913</w:t>
            </w:r>
          </w:p>
        </w:tc>
      </w:tr>
      <w:tr>
        <w:trPr>
          <w:trHeight w:val="473"/>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11/18</w:t>
            </w:r>
          </w:p>
        </w:tc>
        <w:tc>
          <w:tcPr>
            <w:tcW w:w="1040" w:type="dxa"/>
            <w:vAlign w:val="bottom"/>
          </w:tcPr>
          <w:p>
            <w:pPr>
              <w:jc w:val="right"/>
              <w:spacing w:after="0"/>
              <w:rPr>
                <w:sz w:val="20"/>
                <w:szCs w:val="20"/>
                <w:color w:val="auto"/>
              </w:rPr>
            </w:pPr>
            <w:r>
              <w:rPr>
                <w:rFonts w:ascii="Arial" w:cs="Arial" w:eastAsia="Arial" w:hAnsi="Arial"/>
                <w:sz w:val="18"/>
                <w:szCs w:val="18"/>
                <w:color w:val="auto"/>
              </w:rPr>
              <w:t>1,021,604</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1,016,077</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1,001,172</w:t>
            </w:r>
          </w:p>
        </w:tc>
      </w:tr>
      <w:tr>
        <w:trPr>
          <w:trHeight w:val="432"/>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Cash, 1.0% Libor Floor, Due 11/18</w:t>
            </w:r>
          </w:p>
        </w:tc>
        <w:tc>
          <w:tcPr>
            <w:tcW w:w="1040" w:type="dxa"/>
            <w:vAlign w:val="bottom"/>
          </w:tcPr>
          <w:p>
            <w:pPr>
              <w:jc w:val="right"/>
              <w:spacing w:after="0"/>
              <w:rPr>
                <w:sz w:val="20"/>
                <w:szCs w:val="20"/>
                <w:color w:val="auto"/>
              </w:rPr>
            </w:pPr>
            <w:r>
              <w:rPr>
                <w:rFonts w:ascii="Arial" w:cs="Arial" w:eastAsia="Arial" w:hAnsi="Arial"/>
                <w:sz w:val="18"/>
                <w:szCs w:val="18"/>
                <w:color w:val="auto"/>
              </w:rPr>
              <w:t>5,094,010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5,066,896</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4,992,130</w:t>
            </w:r>
          </w:p>
        </w:tc>
      </w:tr>
      <w:tr>
        <w:trPr>
          <w:trHeight w:val="432"/>
        </w:trPr>
        <w:tc>
          <w:tcPr>
            <w:tcW w:w="3780" w:type="dxa"/>
            <w:vAlign w:val="bottom"/>
            <w:gridSpan w:val="3"/>
          </w:tcPr>
          <w:p>
            <w:pPr>
              <w:spacing w:after="0"/>
              <w:rPr>
                <w:sz w:val="20"/>
                <w:szCs w:val="20"/>
                <w:color w:val="auto"/>
              </w:rPr>
            </w:pPr>
            <w:r>
              <w:rPr>
                <w:rFonts w:ascii="Arial" w:cs="Arial" w:eastAsia="Arial" w:hAnsi="Arial"/>
                <w:sz w:val="18"/>
                <w:szCs w:val="18"/>
                <w:color w:val="auto"/>
              </w:rPr>
              <w:t>Senior Unsecured Bond —</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400" w:type="dxa"/>
            <w:vAlign w:val="bottom"/>
          </w:tcPr>
          <w:p>
            <w:pPr>
              <w:spacing w:after="0"/>
              <w:rPr>
                <w:sz w:val="20"/>
                <w:szCs w:val="20"/>
                <w:color w:val="auto"/>
              </w:rPr>
            </w:pPr>
            <w:r>
              <w:rPr>
                <w:rFonts w:ascii="Arial" w:cs="Arial" w:eastAsia="Arial" w:hAnsi="Arial"/>
                <w:sz w:val="18"/>
                <w:szCs w:val="18"/>
                <w:color w:val="auto"/>
                <w:w w:val="92"/>
              </w:rPr>
              <w:t>9.0%</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Cash, Due 5/17</w:t>
            </w:r>
          </w:p>
        </w:tc>
        <w:tc>
          <w:tcPr>
            <w:tcW w:w="1040" w:type="dxa"/>
            <w:vAlign w:val="bottom"/>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4,980,222</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4,593,000</w:t>
            </w:r>
          </w:p>
        </w:tc>
      </w:tr>
      <w:tr>
        <w:trPr>
          <w:trHeight w:val="432"/>
        </w:trPr>
        <w:tc>
          <w:tcPr>
            <w:tcW w:w="3780" w:type="dxa"/>
            <w:vAlign w:val="bottom"/>
            <w:gridSpan w:val="3"/>
          </w:tcPr>
          <w:p>
            <w:pPr>
              <w:spacing w:after="0"/>
              <w:rPr>
                <w:sz w:val="20"/>
                <w:szCs w:val="20"/>
                <w:color w:val="auto"/>
              </w:rPr>
            </w:pPr>
            <w:r>
              <w:rPr>
                <w:rFonts w:ascii="Arial" w:cs="Arial" w:eastAsia="Arial" w:hAnsi="Arial"/>
                <w:sz w:val="18"/>
                <w:szCs w:val="18"/>
                <w:color w:val="auto"/>
              </w:rPr>
              <w:t>Senior Unsecured Bond —</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w w:val="92"/>
              </w:rPr>
              <w:t>9.0%</w:t>
            </w:r>
          </w:p>
        </w:tc>
        <w:tc>
          <w:tcPr>
            <w:tcW w:w="3160" w:type="dxa"/>
            <w:vAlign w:val="bottom"/>
          </w:tcPr>
          <w:p>
            <w:pPr>
              <w:ind w:left="20"/>
              <w:spacing w:after="0"/>
              <w:rPr>
                <w:sz w:val="20"/>
                <w:szCs w:val="20"/>
                <w:color w:val="auto"/>
              </w:rPr>
            </w:pPr>
            <w:r>
              <w:rPr>
                <w:rFonts w:ascii="Arial" w:cs="Arial" w:eastAsia="Arial" w:hAnsi="Arial"/>
                <w:sz w:val="18"/>
                <w:szCs w:val="18"/>
                <w:color w:val="auto"/>
              </w:rPr>
              <w:t>Cash, Due 5/17</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3,035,600</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2,755,800</w:t>
            </w:r>
          </w:p>
        </w:tc>
      </w:tr>
      <w:tr>
        <w:trPr>
          <w:trHeight w:val="682"/>
        </w:trPr>
        <w:tc>
          <w:tcPr>
            <w:tcW w:w="400" w:type="dxa"/>
            <w:vAlign w:val="bottom"/>
          </w:tcPr>
          <w:p>
            <w:pPr>
              <w:spacing w:after="0"/>
              <w:rPr>
                <w:sz w:val="24"/>
                <w:szCs w:val="24"/>
                <w:color w:val="auto"/>
              </w:rPr>
            </w:pPr>
          </w:p>
        </w:tc>
        <w:tc>
          <w:tcPr>
            <w:tcW w:w="3380" w:type="dxa"/>
            <w:vAlign w:val="bottom"/>
            <w:gridSpan w:val="2"/>
          </w:tcPr>
          <w:p>
            <w:pPr>
              <w:ind w:left="3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283,060,959</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281,405,117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266,003,517</w:t>
            </w:r>
          </w:p>
        </w:tc>
      </w:tr>
      <w:tr>
        <w:trPr>
          <w:trHeight w:val="20"/>
        </w:trPr>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-4150360</wp:posOffset>
            </wp:positionV>
            <wp:extent cx="7246620"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-3712845</wp:posOffset>
            </wp:positionV>
            <wp:extent cx="7246620" cy="43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-3112135</wp:posOffset>
            </wp:positionV>
            <wp:extent cx="7246620" cy="300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-2675255</wp:posOffset>
            </wp:positionV>
            <wp:extent cx="7246620" cy="437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-2074545</wp:posOffset>
            </wp:positionV>
            <wp:extent cx="7246620"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-1637030</wp:posOffset>
            </wp:positionV>
            <wp:extent cx="7246620" cy="300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-1200150</wp:posOffset>
            </wp:positionV>
            <wp:extent cx="7246620"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-762635</wp:posOffset>
            </wp:positionV>
            <wp:extent cx="724662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-290830</wp:posOffset>
            </wp:positionV>
            <wp:extent cx="7246620" cy="283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3320" w:space="240"/>
            <w:col w:w="7860"/>
          </w:cols>
          <w:pgMar w:left="240" w:top="904" w:right="239" w:bottom="1440" w:gutter="0" w:footer="0" w:header="0"/>
          <w:type w:val="continuous"/>
        </w:sectPr>
      </w:pP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 Portfolio</w:t>
            </w:r>
          </w:p>
        </w:tc>
        <w:tc>
          <w:tcPr>
            <w:tcW w:w="2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02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Interest/Shares</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7"/>
                <w:szCs w:val="27"/>
                <w:color w:val="auto"/>
                <w:vertAlign w:val="superscript"/>
              </w:rPr>
              <w:t>5, 9</w:t>
            </w:r>
          </w:p>
        </w:tc>
        <w:tc>
          <w:tcPr>
            <w:tcW w:w="120" w:type="dxa"/>
            <w:vAlign w:val="bottom"/>
            <w:tcBorders>
              <w:top w:val="single" w:sz="8" w:color="CCEEFF"/>
            </w:tcBorders>
            <w:shd w:val="clear" w:color="auto" w:fill="CCEEFF"/>
          </w:tcPr>
          <w:p>
            <w:pPr>
              <w:spacing w:after="0"/>
              <w:rPr>
                <w:sz w:val="20"/>
                <w:szCs w:val="20"/>
                <w:color w:val="auto"/>
              </w:rPr>
            </w:pPr>
          </w:p>
        </w:tc>
        <w:tc>
          <w:tcPr>
            <w:tcW w:w="202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Partnership Interests</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953,675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5, 9</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90"/>
              </w:rPr>
              <w:t>Series A Preferred Interests</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w:t>
            </w:r>
          </w:p>
        </w:tc>
        <w:tc>
          <w:tcPr>
            <w:tcW w:w="20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line="253" w:lineRule="exact"/>
              <w:rPr>
                <w:sz w:val="20"/>
                <w:szCs w:val="20"/>
                <w:color w:val="auto"/>
              </w:rPr>
            </w:pPr>
            <w:r>
              <w:rPr>
                <w:rFonts w:ascii="Arial" w:cs="Arial" w:eastAsia="Arial" w:hAnsi="Arial"/>
                <w:sz w:val="18"/>
                <w:szCs w:val="18"/>
                <w:color w:val="auto"/>
              </w:rPr>
              <w:t>Investments Incorporated)</w:t>
            </w:r>
            <w:r>
              <w:rPr>
                <w:rFonts w:ascii="Arial" w:cs="Arial" w:eastAsia="Arial" w:hAnsi="Arial"/>
                <w:sz w:val="29"/>
                <w:szCs w:val="29"/>
                <w:color w:val="auto"/>
                <w:vertAlign w:val="superscript"/>
              </w:rPr>
              <w:t>5, 9</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5, 9</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Class A Warrants</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5,090,705</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5, 9</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Membership Units</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3, 5</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Capital Equipment</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2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1,852,284</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5, 9</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Hotel, Gaming &amp; Leisure</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5, 9</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Class A Units</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5, 9, 12</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5, 9</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New Millennium Holdco, Inc. (Millennium</w:t>
            </w:r>
          </w:p>
        </w:tc>
        <w:tc>
          <w:tcPr>
            <w:tcW w:w="20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line="253" w:lineRule="exact"/>
              <w:rPr>
                <w:sz w:val="20"/>
                <w:szCs w:val="20"/>
                <w:color w:val="auto"/>
              </w:rPr>
            </w:pPr>
            <w:r>
              <w:rPr>
                <w:rFonts w:ascii="Arial" w:cs="Arial" w:eastAsia="Arial" w:hAnsi="Arial"/>
                <w:sz w:val="18"/>
                <w:szCs w:val="18"/>
                <w:color w:val="auto"/>
              </w:rPr>
              <w:t>Health, LLC)</w:t>
            </w:r>
            <w:r>
              <w:rPr>
                <w:rFonts w:ascii="Arial" w:cs="Arial" w:eastAsia="Arial" w:hAnsi="Arial"/>
                <w:sz w:val="29"/>
                <w:szCs w:val="29"/>
                <w:color w:val="auto"/>
                <w:vertAlign w:val="superscript"/>
              </w:rPr>
              <w:t>5, 9</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1,953,299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534,582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Equity Securities</w:t>
            </w:r>
          </w:p>
        </w:tc>
        <w:tc>
          <w:tcPr>
            <w:tcW w:w="20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(5% of net asset value at fair value)</w:t>
            </w:r>
          </w:p>
        </w:tc>
        <w:tc>
          <w:tcPr>
            <w:tcW w:w="2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10,467,786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10,927,901</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CLO Subordinated Investments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Grant Grove CLO, Ltd.</w:t>
      </w:r>
      <w:r>
        <w:rPr>
          <w:rFonts w:ascii="Arial" w:cs="Arial" w:eastAsia="Arial" w:hAnsi="Arial"/>
          <w:sz w:val="30"/>
          <w:szCs w:val="30"/>
          <w:color w:val="auto"/>
          <w:vertAlign w:val="superscript"/>
        </w:rPr>
        <w:t>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Katonah III, Ltd.</w:t>
      </w:r>
      <w:r>
        <w:rPr>
          <w:rFonts w:ascii="Arial" w:cs="Arial" w:eastAsia="Arial" w:hAnsi="Arial"/>
          <w:sz w:val="30"/>
          <w:szCs w:val="30"/>
          <w:color w:val="auto"/>
          <w:vertAlign w:val="superscript"/>
        </w:rPr>
        <w:t>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Katonah 2007-I CLO Ltd.</w:t>
      </w:r>
      <w:r>
        <w:rPr>
          <w:rFonts w:ascii="Arial" w:cs="Arial" w:eastAsia="Arial" w:hAnsi="Arial"/>
          <w:sz w:val="30"/>
          <w:szCs w:val="30"/>
          <w:color w:val="auto"/>
          <w:vertAlign w:val="superscript"/>
        </w:rPr>
        <w:t>3, 6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Trimaran CLO VII, Ltd.</w:t>
      </w:r>
      <w:r>
        <w:rPr>
          <w:rFonts w:ascii="Arial" w:cs="Arial" w:eastAsia="Arial" w:hAnsi="Arial"/>
          <w:sz w:val="30"/>
          <w:szCs w:val="30"/>
          <w:color w:val="auto"/>
          <w:vertAlign w:val="superscript"/>
        </w:rPr>
        <w:t>3, 6</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Catamaran CLO 2012-1 Ltd.</w:t>
      </w:r>
      <w:r>
        <w:rPr>
          <w:rFonts w:ascii="Arial" w:cs="Arial" w:eastAsia="Arial" w:hAnsi="Arial"/>
          <w:sz w:val="28"/>
          <w:szCs w:val="28"/>
          <w:color w:val="auto"/>
          <w:vertAlign w:val="superscript"/>
        </w:rPr>
        <w:t>3, 6</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2013- 1 Ltd.</w:t>
      </w:r>
      <w:r>
        <w:rPr>
          <w:rFonts w:ascii="Arial" w:cs="Arial" w:eastAsia="Arial" w:hAnsi="Arial"/>
          <w:sz w:val="26"/>
          <w:szCs w:val="26"/>
          <w:color w:val="auto"/>
          <w:vertAlign w:val="superscript"/>
        </w:rPr>
        <w:t>3, 6</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Catamaran CLO 2014-1 Ltd.</w:t>
      </w:r>
      <w:r>
        <w:rPr>
          <w:rFonts w:ascii="Arial" w:cs="Arial" w:eastAsia="Arial" w:hAnsi="Arial"/>
          <w:sz w:val="28"/>
          <w:szCs w:val="28"/>
          <w:color w:val="auto"/>
          <w:vertAlign w:val="superscript"/>
        </w:rPr>
        <w:t>3, 6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Dryden 30 Senior Loan Fund</w:t>
      </w:r>
      <w:r>
        <w:rPr>
          <w:rFonts w:ascii="Arial" w:cs="Arial" w:eastAsia="Arial" w:hAnsi="Arial"/>
          <w:sz w:val="30"/>
          <w:szCs w:val="30"/>
          <w:color w:val="auto"/>
          <w:vertAlign w:val="superscript"/>
        </w:rPr>
        <w:t>3</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Catamaran CLO 2014-2 Ltd.</w:t>
      </w:r>
      <w:r>
        <w:rPr>
          <w:rFonts w:ascii="Arial" w:cs="Arial" w:eastAsia="Arial" w:hAnsi="Arial"/>
          <w:sz w:val="28"/>
          <w:szCs w:val="28"/>
          <w:color w:val="auto"/>
          <w:vertAlign w:val="superscript"/>
        </w:rPr>
        <w:t>3, 6</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Catamaran CLO 2015-1 Ltd.</w:t>
      </w:r>
      <w:r>
        <w:rPr>
          <w:rFonts w:ascii="Arial" w:cs="Arial" w:eastAsia="Arial" w:hAnsi="Arial"/>
          <w:sz w:val="28"/>
          <w:szCs w:val="28"/>
          <w:color w:val="auto"/>
          <w:vertAlign w:val="superscript"/>
        </w:rPr>
        <w:t>3, 6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(13)</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b w:val="1"/>
                <w:bCs w:val="1"/>
                <w:color w:val="auto"/>
                <w:w w:val="94"/>
                <w:vertAlign w:val="superscript"/>
              </w:rPr>
              <w:t>2</w:t>
            </w:r>
          </w:p>
        </w:tc>
        <w:tc>
          <w:tcPr>
            <w:tcW w:w="0" w:type="dxa"/>
            <w:vAlign w:val="bottom"/>
          </w:tcPr>
          <w:p>
            <w:pPr>
              <w:spacing w:after="0"/>
              <w:rPr>
                <w:sz w:val="1"/>
                <w:szCs w:val="1"/>
                <w:color w:val="auto"/>
              </w:rPr>
            </w:pPr>
          </w:p>
        </w:tc>
      </w:tr>
      <w:tr>
        <w:trPr>
          <w:trHeight w:val="234"/>
        </w:trPr>
        <w:tc>
          <w:tcPr>
            <w:tcW w:w="3540" w:type="dxa"/>
            <w:vAlign w:val="bottom"/>
            <w:gridSpan w:val="2"/>
            <w:vMerge w:val="continue"/>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Subordinated Securities, effective interest</w:t>
            </w:r>
          </w:p>
        </w:tc>
        <w:tc>
          <w:tcPr>
            <w:tcW w:w="1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Arial" w:cs="Arial" w:eastAsia="Arial" w:hAnsi="Arial"/>
                <w:sz w:val="18"/>
                <w:szCs w:val="18"/>
                <w:color w:val="auto"/>
              </w:rPr>
              <w:t>6.2%, 1/21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2,469,703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117,484</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5"/>
              </w:rPr>
              <w:t>Preferred Shares, effective interest 2.0%, 5/15</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1,380,029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2"/>
              </w:rPr>
              <w:t>Preferred Shares, effective interest 28.3%, 4/22</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24,838,256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19,116,931</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Income Notes, effective interest 49.5%, 6/21</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1,416,218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1,378,569</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Subordinated Notes, effective interest 7.7%,</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12/23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6,585,195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2,831,834</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7"/>
              </w:rPr>
              <w:t>Subordinated Notes, effective interest 13.3%,</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1/25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5,983,704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4,896,540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7"/>
              </w:rPr>
              <w:t>Subordinated Notes, effective interest 10.5%,</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4/26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8,617,076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5,006,408</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7"/>
              </w:rPr>
              <w:t>Subordinated Notes, effective interest 26.8%,</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11/25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1,525,866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1,517,002</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7"/>
              </w:rPr>
              <w:t>Subordinated Notes, effective interest 10.8%,</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10/26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7,728,327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5,429,952</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7"/>
              </w:rPr>
              <w:t>Subordinated Notes, effective interest 10.4%,</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-2237740</wp:posOffset>
            </wp:positionV>
            <wp:extent cx="7246620"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-1637030</wp:posOffset>
            </wp:positionV>
            <wp:extent cx="7246620" cy="3003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-1036955</wp:posOffset>
            </wp:positionV>
            <wp:extent cx="7246620" cy="300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-436880</wp:posOffset>
            </wp:positionV>
            <wp:extent cx="7246620" cy="300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-2846705</wp:posOffset>
            </wp:positionV>
            <wp:extent cx="7246620" cy="308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2840" w:space="720"/>
            <w:col w:w="786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60" w:type="dxa"/>
            <w:vAlign w:val="bottom"/>
          </w:tcPr>
          <w:p>
            <w:pPr>
              <w:ind w:left="3540"/>
              <w:spacing w:after="0"/>
              <w:rPr>
                <w:sz w:val="20"/>
                <w:szCs w:val="20"/>
                <w:color w:val="auto"/>
              </w:rPr>
            </w:pPr>
            <w:r>
              <w:rPr>
                <w:rFonts w:ascii="Arial" w:cs="Arial" w:eastAsia="Arial" w:hAnsi="Arial"/>
                <w:sz w:val="18"/>
                <w:szCs w:val="18"/>
                <w:color w:val="auto"/>
              </w:rPr>
              <w:t>4/27 maturity</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11,634,222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7,618,563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60" w:type="dxa"/>
            <w:vAlign w:val="bottom"/>
            <w:tcBorders>
              <w:top w:val="single" w:sz="8" w:color="CCEEFF"/>
            </w:tcBorders>
            <w:shd w:val="clear" w:color="auto" w:fill="CCEEFF"/>
          </w:tcPr>
          <w:p>
            <w:pPr>
              <w:spacing w:after="0"/>
              <w:rPr>
                <w:sz w:val="20"/>
                <w:szCs w:val="20"/>
                <w:color w:val="auto"/>
              </w:rPr>
            </w:pPr>
          </w:p>
        </w:tc>
        <w:tc>
          <w:tcPr>
            <w:tcW w:w="35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Total Investment in CLO Subordinated Securities</w:t>
            </w:r>
          </w:p>
        </w:tc>
        <w:tc>
          <w:tcPr>
            <w:tcW w:w="3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72,178,596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48,338,283</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right"/>
              <w:ind w:right="2710"/>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CLO Rated-Note Investment</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Percentage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Ownership</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Catamaran CLO 2014-1 Ltd.</w:t>
            </w:r>
            <w:r>
              <w:rPr>
                <w:rFonts w:ascii="Arial" w:cs="Arial" w:eastAsia="Arial" w:hAnsi="Arial"/>
                <w:sz w:val="27"/>
                <w:szCs w:val="27"/>
                <w:color w:val="auto"/>
                <w:vertAlign w:val="superscript"/>
              </w:rPr>
              <w:t>3, 6</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Float - 04/2026 - E - 14889FAC7, Par Value of</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righ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$1,525,000 6.4% Cash, 4/26 maturity</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1,432,257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 in CLO Rated-Note</w:t>
            </w:r>
          </w:p>
        </w:tc>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1,432,257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CLO Fund Securities</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(24% of 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73,610,853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49,358,283</w:t>
            </w:r>
          </w:p>
        </w:tc>
        <w:tc>
          <w:tcPr>
            <w:tcW w:w="0" w:type="dxa"/>
            <w:vAlign w:val="bottom"/>
          </w:tcPr>
          <w:p>
            <w:pPr>
              <w:spacing w:after="0"/>
              <w:rPr>
                <w:sz w:val="1"/>
                <w:szCs w:val="1"/>
                <w:color w:val="auto"/>
              </w:rPr>
            </w:pPr>
          </w:p>
        </w:tc>
      </w:tr>
      <w:tr>
        <w:trPr>
          <w:trHeight w:val="426"/>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Asset Manager Affiliates</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Percentage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Ownership</w:t>
            </w:r>
          </w:p>
        </w:tc>
        <w:tc>
          <w:tcPr>
            <w:tcW w:w="20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Asset Manager Affiliates</w:t>
            </w:r>
            <w:r>
              <w:rPr>
                <w:rFonts w:ascii="Arial" w:cs="Arial" w:eastAsia="Arial" w:hAnsi="Arial"/>
                <w:sz w:val="28"/>
                <w:szCs w:val="28"/>
                <w:color w:val="auto"/>
                <w:vertAlign w:val="superscript"/>
              </w:rPr>
              <w:t>9, 11</w:t>
            </w:r>
          </w:p>
        </w:tc>
        <w:tc>
          <w:tcPr>
            <w:tcW w:w="120" w:type="dxa"/>
            <w:vAlign w:val="bottom"/>
            <w:vMerge w:val="continue"/>
            <w:shd w:val="clear" w:color="auto" w:fill="CCEEFF"/>
          </w:tcPr>
          <w:p>
            <w:pPr>
              <w:spacing w:after="0"/>
              <w:rPr>
                <w:sz w:val="21"/>
                <w:szCs w:val="21"/>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Asset Management Company</w:t>
            </w:r>
          </w:p>
        </w:tc>
        <w:tc>
          <w:tcPr>
            <w:tcW w:w="10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56,091,230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50,348,000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540" w:type="dxa"/>
            <w:vAlign w:val="bottom"/>
            <w:gridSpan w:val="2"/>
          </w:tcPr>
          <w:p>
            <w:pPr>
              <w:spacing w:after="0"/>
              <w:rPr>
                <w:sz w:val="22"/>
                <w:szCs w:val="22"/>
                <w:color w:val="auto"/>
              </w:rPr>
            </w:pPr>
          </w:p>
        </w:tc>
        <w:tc>
          <w:tcPr>
            <w:tcW w:w="3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Total Investment in Asset Manager Affiliates</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(25% of 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56,091,230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50,348,000</w:t>
            </w:r>
          </w:p>
        </w:tc>
        <w:tc>
          <w:tcPr>
            <w:tcW w:w="0" w:type="dxa"/>
            <w:vAlign w:val="bottom"/>
          </w:tcPr>
          <w:p>
            <w:pPr>
              <w:spacing w:after="0"/>
              <w:rPr>
                <w:sz w:val="1"/>
                <w:szCs w:val="1"/>
                <w:color w:val="auto"/>
              </w:rPr>
            </w:pPr>
          </w:p>
        </w:tc>
      </w:tr>
      <w:tr>
        <w:trPr>
          <w:trHeight w:val="426"/>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w w:val="97"/>
              </w:rPr>
              <w:t>Time Deposits and Money Market Account</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w w:val="97"/>
              </w:rPr>
              <w:t>Time Deposit and Money Market Accounts</w:t>
            </w: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Yield</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342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w w:val="97"/>
              </w:rPr>
              <w:t>JP Morgan Business Money Market Account</w:t>
            </w:r>
            <w:r>
              <w:rPr>
                <w:rFonts w:ascii="Arial" w:cs="Arial" w:eastAsia="Arial" w:hAnsi="Arial"/>
                <w:sz w:val="27"/>
                <w:szCs w:val="27"/>
                <w:color w:val="auto"/>
                <w:w w:val="97"/>
                <w:vertAlign w:val="superscript"/>
              </w:rPr>
              <w:t>8,</w:t>
            </w:r>
          </w:p>
        </w:tc>
        <w:tc>
          <w:tcPr>
            <w:tcW w:w="120" w:type="dxa"/>
            <w:vAlign w:val="bottom"/>
            <w:vMerge w:val="continue"/>
            <w:shd w:val="clear" w:color="auto" w:fill="CCEEFF"/>
          </w:tcPr>
          <w:p>
            <w:pPr>
              <w:spacing w:after="0"/>
              <w:rPr>
                <w:sz w:val="20"/>
                <w:szCs w:val="20"/>
                <w:color w:val="auto"/>
              </w:rPr>
            </w:pPr>
          </w:p>
        </w:tc>
        <w:tc>
          <w:tcPr>
            <w:tcW w:w="3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00" w:type="dxa"/>
            <w:vAlign w:val="bottom"/>
            <w:vMerge w:val="restart"/>
            <w:shd w:val="clear" w:color="auto" w:fill="CCEEFF"/>
          </w:tcPr>
          <w:p>
            <w:pPr>
              <w:spacing w:after="0"/>
              <w:rPr>
                <w:sz w:val="20"/>
                <w:szCs w:val="20"/>
                <w:color w:val="auto"/>
              </w:rPr>
            </w:pPr>
          </w:p>
        </w:tc>
        <w:tc>
          <w:tcPr>
            <w:tcW w:w="15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249,268</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249,268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8"/>
                <w:szCs w:val="18"/>
                <w:color w:val="auto"/>
              </w:rPr>
            </w:pPr>
          </w:p>
        </w:tc>
        <w:tc>
          <w:tcPr>
            <w:tcW w:w="34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520" w:type="dxa"/>
            <w:vAlign w:val="bottom"/>
            <w:tcBorders>
              <w:right w:val="single" w:sz="8" w:color="CCEEFF"/>
            </w:tcBorders>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540" w:type="dxa"/>
            <w:vAlign w:val="bottom"/>
            <w:gridSpan w:val="2"/>
          </w:tcPr>
          <w:p>
            <w:pPr>
              <w:spacing w:after="0"/>
              <w:rPr>
                <w:sz w:val="22"/>
                <w:szCs w:val="22"/>
                <w:color w:val="auto"/>
              </w:rPr>
            </w:pPr>
          </w:p>
        </w:tc>
        <w:tc>
          <w:tcPr>
            <w:tcW w:w="3540" w:type="dxa"/>
            <w:vAlign w:val="bottom"/>
            <w:gridSpan w:val="2"/>
          </w:tcPr>
          <w:p>
            <w:pPr>
              <w:spacing w:after="0"/>
              <w:rPr>
                <w:sz w:val="22"/>
                <w:szCs w:val="22"/>
                <w:color w:val="auto"/>
              </w:rPr>
            </w:pPr>
          </w:p>
        </w:tc>
        <w:tc>
          <w:tcPr>
            <w:tcW w:w="152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9</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1,416,725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1,416,725</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7080" w:type="dxa"/>
            <w:vAlign w:val="bottom"/>
            <w:gridSpan w:val="4"/>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08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Time Deposit and Money Market Accounts</w:t>
            </w:r>
          </w:p>
        </w:tc>
        <w:tc>
          <w:tcPr>
            <w:tcW w:w="12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(1% of 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1,665,993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1,665,993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0" w:type="dxa"/>
            <w:vAlign w:val="bottom"/>
            <w:vMerge w:val="continue"/>
          </w:tcPr>
          <w:p>
            <w:pPr>
              <w:spacing w:after="0"/>
              <w:rPr>
                <w:sz w:val="24"/>
                <w:szCs w:val="24"/>
                <w:color w:val="auto"/>
              </w:rPr>
            </w:pPr>
          </w:p>
        </w:tc>
        <w:tc>
          <w:tcPr>
            <w:tcW w:w="3540" w:type="dxa"/>
            <w:vAlign w:val="bottom"/>
            <w:gridSpan w:val="2"/>
            <w:shd w:val="clear" w:color="auto" w:fill="CCEEFF"/>
          </w:tcPr>
          <w:p>
            <w:pPr>
              <w:spacing w:after="0" w:line="278" w:lineRule="exact"/>
              <w:rPr>
                <w:sz w:val="20"/>
                <w:szCs w:val="20"/>
                <w:color w:val="auto"/>
              </w:rPr>
            </w:pPr>
            <w:r>
              <w:rPr>
                <w:rFonts w:ascii="Arial" w:cs="Arial" w:eastAsia="Arial" w:hAnsi="Arial"/>
                <w:sz w:val="18"/>
                <w:szCs w:val="18"/>
                <w:b w:val="1"/>
                <w:bCs w:val="1"/>
                <w:color w:val="auto"/>
              </w:rPr>
              <w:t>Total Investments</w:t>
            </w:r>
            <w:r>
              <w:rPr>
                <w:rFonts w:ascii="Arial" w:cs="Arial" w:eastAsia="Arial" w:hAnsi="Arial"/>
                <w:sz w:val="30"/>
                <w:szCs w:val="30"/>
                <w:b w:val="1"/>
                <w:bCs w:val="1"/>
                <w:color w:val="auto"/>
                <w:vertAlign w:val="superscript"/>
              </w:rPr>
              <w:t>4</w:t>
            </w:r>
          </w:p>
        </w:tc>
        <w:tc>
          <w:tcPr>
            <w:tcW w:w="3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(185% of net asset value at fair value)</w:t>
            </w:r>
          </w:p>
        </w:tc>
        <w:tc>
          <w:tcPr>
            <w:tcW w:w="3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423,240,979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378,303,694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left="372" w:right="40" w:hanging="372"/>
        <w:spacing w:after="0" w:line="221" w:lineRule="auto"/>
        <w:tabs>
          <w:tab w:leader="none" w:pos="372"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w:t>
      </w:r>
    </w:p>
    <w:p>
      <w:pPr>
        <w:spacing w:after="0" w:line="2" w:lineRule="exact"/>
        <w:rPr>
          <w:sz w:val="20"/>
          <w:szCs w:val="20"/>
          <w:color w:val="auto"/>
        </w:rPr>
      </w:pPr>
    </w:p>
    <w:p>
      <w:pPr>
        <w:ind w:left="372"/>
        <w:spacing w:after="0" w:line="250" w:lineRule="auto"/>
        <w:rPr>
          <w:sz w:val="20"/>
          <w:szCs w:val="20"/>
          <w:color w:val="auto"/>
        </w:rPr>
      </w:pPr>
      <w:r>
        <w:rPr>
          <w:rFonts w:ascii="Arial" w:cs="Arial" w:eastAsia="Arial" w:hAnsi="Arial"/>
          <w:sz w:val="18"/>
          <w:szCs w:val="18"/>
          <w:color w:val="auto"/>
        </w:rPr>
        <w:t>the borrower’s option. The Borrower may also elect to have multiple interest reset periods for each loan. For each such loan, the Company has provided the weighted average annual stated interest rate in effect at March 31, 2016. As noted in the table above, 82% (based on par) of debt securities contain LIBOR floors which range between 0.75% and 3.0%.</w:t>
      </w:r>
    </w:p>
    <w:p>
      <w:pPr>
        <w:ind w:left="372" w:hanging="372"/>
        <w:spacing w:after="0" w:line="181" w:lineRule="auto"/>
        <w:tabs>
          <w:tab w:leader="none" w:pos="372"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March 31, 2016, as determined by the Company’s Board of Directors.</w:t>
      </w:r>
    </w:p>
    <w:p>
      <w:pPr>
        <w:ind w:left="372" w:hanging="372"/>
        <w:spacing w:after="0" w:line="180" w:lineRule="auto"/>
        <w:tabs>
          <w:tab w:leader="none" w:pos="372"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ind w:left="372" w:hanging="372"/>
        <w:spacing w:after="0" w:line="181" w:lineRule="auto"/>
        <w:tabs>
          <w:tab w:leader="none" w:pos="372"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The aggregate cost of investments for federal income tax purposes is approximately $442 million. The aggregate gross unrealized appreciation is</w:t>
      </w:r>
    </w:p>
    <w:p>
      <w:pPr>
        <w:spacing w:after="0" w:line="2" w:lineRule="exact"/>
        <w:rPr>
          <w:sz w:val="20"/>
          <w:szCs w:val="20"/>
          <w:color w:val="auto"/>
        </w:rPr>
      </w:pPr>
    </w:p>
    <w:p>
      <w:pPr>
        <w:ind w:left="372" w:right="760"/>
        <w:spacing w:after="0" w:line="249" w:lineRule="auto"/>
        <w:rPr>
          <w:sz w:val="20"/>
          <w:szCs w:val="20"/>
          <w:color w:val="auto"/>
        </w:rPr>
      </w:pPr>
      <w:r>
        <w:rPr>
          <w:rFonts w:ascii="Arial" w:cs="Arial" w:eastAsia="Arial" w:hAnsi="Arial"/>
          <w:sz w:val="18"/>
          <w:szCs w:val="18"/>
          <w:color w:val="auto"/>
        </w:rPr>
        <w:t>approximately $5.9 million, the aggregate gross unrealized depreciation is approximately $69.6 million, and the net unrealized depreciation is approximately $63.7 million.</w:t>
      </w:r>
    </w:p>
    <w:p>
      <w:pPr>
        <w:ind w:left="372" w:hanging="372"/>
        <w:spacing w:after="0" w:line="181" w:lineRule="auto"/>
        <w:tabs>
          <w:tab w:leader="none" w:pos="372"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ind w:left="372" w:hanging="372"/>
        <w:spacing w:after="0" w:line="180" w:lineRule="auto"/>
        <w:tabs>
          <w:tab w:leader="none" w:pos="372"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372" w:hanging="372"/>
        <w:spacing w:after="0" w:line="181" w:lineRule="auto"/>
        <w:tabs>
          <w:tab w:leader="none" w:pos="372"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372" w:hanging="372"/>
        <w:spacing w:after="0" w:line="180" w:lineRule="auto"/>
        <w:tabs>
          <w:tab w:leader="none" w:pos="372"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372" w:hanging="372"/>
        <w:spacing w:after="0" w:line="180" w:lineRule="auto"/>
        <w:tabs>
          <w:tab w:leader="none" w:pos="372"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spacing w:after="0" w:line="2" w:lineRule="exact"/>
        <w:rPr>
          <w:sz w:val="20"/>
          <w:szCs w:val="20"/>
          <w:color w:val="auto"/>
        </w:rPr>
      </w:pPr>
    </w:p>
    <w:p>
      <w:pPr>
        <w:ind w:left="372" w:right="440" w:hanging="372"/>
        <w:spacing w:after="0" w:line="187" w:lineRule="auto"/>
        <w:tabs>
          <w:tab w:leader="none" w:pos="372"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As of March 31, 2016, this investment is owned by KCAP Senior Funding I, LLC and was pledged to secure KCAP Senior Funding I, LLC’s debt obligation.</w:t>
      </w:r>
    </w:p>
    <w:p>
      <w:pPr>
        <w:ind w:left="372" w:right="140" w:hanging="372"/>
        <w:spacing w:after="0" w:line="214" w:lineRule="auto"/>
        <w:tabs>
          <w:tab w:leader="none" w:pos="372"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3" w:lineRule="exact"/>
        <w:rPr>
          <w:rFonts w:ascii="Arial" w:cs="Arial" w:eastAsia="Arial" w:hAnsi="Arial"/>
          <w:sz w:val="30"/>
          <w:szCs w:val="30"/>
          <w:color w:val="auto"/>
          <w:vertAlign w:val="superscript"/>
        </w:rPr>
      </w:pPr>
    </w:p>
    <w:p>
      <w:pPr>
        <w:ind w:left="372" w:hanging="372"/>
        <w:spacing w:after="0" w:line="180" w:lineRule="auto"/>
        <w:tabs>
          <w:tab w:leader="none" w:pos="372"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Non-voting.</w:t>
      </w:r>
    </w:p>
    <w:p>
      <w:pPr>
        <w:spacing w:after="0" w:line="2" w:lineRule="exact"/>
        <w:rPr>
          <w:rFonts w:ascii="Arial" w:cs="Arial" w:eastAsia="Arial" w:hAnsi="Arial"/>
          <w:sz w:val="25"/>
          <w:szCs w:val="25"/>
          <w:color w:val="auto"/>
          <w:vertAlign w:val="superscript"/>
        </w:rPr>
      </w:pPr>
    </w:p>
    <w:p>
      <w:pPr>
        <w:jc w:val="both"/>
        <w:ind w:left="372" w:right="80" w:hanging="372"/>
        <w:spacing w:after="0" w:line="214" w:lineRule="auto"/>
        <w:tabs>
          <w:tab w:leader="none" w:pos="372"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00" w:lineRule="exact"/>
        <w:rPr>
          <w:sz w:val="20"/>
          <w:szCs w:val="20"/>
          <w:color w:val="auto"/>
        </w:rPr>
      </w:pPr>
    </w:p>
    <w:p>
      <w:pPr>
        <w:spacing w:after="0" w:line="21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908" w:right="299" w:bottom="1440" w:gutter="0" w:footer="0" w:header="0"/>
        </w:sectPr>
      </w:pPr>
    </w:p>
    <w:bookmarkStart w:id="19" w:name="page20"/>
    <w:bookmarkEnd w:id="19"/>
    <w:p>
      <w:pPr>
        <w:jc w:val="center"/>
        <w:ind w:left="420"/>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As of December 31,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320"/>
          </w:cols>
          <w:pgMar w:left="240" w:top="904" w:right="339" w:bottom="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1A Smart Start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4L Technologies Inc. (fka Clover Holdings,</w:t>
      </w:r>
    </w:p>
    <w:p>
      <w:pPr>
        <w:ind w:left="180"/>
        <w:spacing w:after="0" w:line="184" w:lineRule="auto"/>
        <w:rPr>
          <w:sz w:val="20"/>
          <w:szCs w:val="20"/>
          <w:color w:val="auto"/>
        </w:rPr>
      </w:pPr>
      <w:r>
        <w:rPr>
          <w:rFonts w:ascii="Arial" w:cs="Arial" w:eastAsia="Arial" w:hAnsi="Arial"/>
          <w:sz w:val="33"/>
          <w:szCs w:val="33"/>
          <w:color w:val="auto"/>
          <w:vertAlign w:val="subscript"/>
        </w:rPr>
        <w:t>Inc.)</w:t>
      </w:r>
      <w:r>
        <w:rPr>
          <w:rFonts w:ascii="Arial" w:cs="Arial" w:eastAsia="Arial" w:hAnsi="Arial"/>
          <w:sz w:val="14"/>
          <w:szCs w:val="14"/>
          <w:color w:val="auto"/>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14" w:lineRule="auto"/>
        <w:rPr>
          <w:sz w:val="20"/>
          <w:szCs w:val="20"/>
          <w:color w:val="auto"/>
        </w:rPr>
      </w:pPr>
      <w:r>
        <w:rPr>
          <w:rFonts w:ascii="Arial" w:cs="Arial" w:eastAsia="Arial" w:hAnsi="Arial"/>
          <w:sz w:val="16"/>
          <w:szCs w:val="16"/>
          <w:color w:val="auto"/>
        </w:rPr>
        <w:t>Advanced Lighting Technologies, Inc.</w:t>
      </w:r>
      <w:r>
        <w:rPr>
          <w:rFonts w:ascii="Arial" w:cs="Arial" w:eastAsia="Arial" w:hAnsi="Arial"/>
          <w:sz w:val="26"/>
          <w:szCs w:val="26"/>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Alere Inc. (fka IM US Holdings, LLC)</w:t>
      </w:r>
      <w:r>
        <w:rPr>
          <w:rFonts w:ascii="Arial" w:cs="Arial" w:eastAsia="Arial" w:hAnsi="Arial"/>
          <w:sz w:val="30"/>
          <w:szCs w:val="30"/>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American Seafoods Group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Anaren,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388" w:lineRule="exact"/>
        <w:rPr>
          <w:sz w:val="20"/>
          <w:szCs w:val="20"/>
          <w:color w:val="auto"/>
        </w:rPr>
      </w:pPr>
    </w:p>
    <w:p>
      <w:pPr>
        <w:jc w:val="right"/>
        <w:ind w:right="920"/>
        <w:spacing w:after="0" w:line="255" w:lineRule="auto"/>
        <w:rPr>
          <w:sz w:val="20"/>
          <w:szCs w:val="20"/>
          <w:color w:val="auto"/>
        </w:rPr>
      </w:pPr>
      <w:r>
        <w:rPr>
          <w:rFonts w:ascii="Arial" w:cs="Arial" w:eastAsia="Arial" w:hAnsi="Arial"/>
          <w:sz w:val="16"/>
          <w:szCs w:val="16"/>
          <w:color w:val="auto"/>
        </w:rPr>
        <w:t>Aristotle Corporation, The</w:t>
      </w:r>
      <w:r>
        <w:rPr>
          <w:rFonts w:ascii="Arial" w:cs="Arial" w:eastAsia="Arial" w:hAnsi="Arial"/>
          <w:sz w:val="25"/>
          <w:szCs w:val="25"/>
          <w:color w:val="auto"/>
          <w:vertAlign w:val="superscript"/>
        </w:rPr>
        <w:t>(9), (10)</w:t>
      </w:r>
      <w:r>
        <w:rPr>
          <w:rFonts w:ascii="Arial" w:cs="Arial" w:eastAsia="Arial" w:hAnsi="Arial"/>
          <w:sz w:val="16"/>
          <w:szCs w:val="16"/>
          <w:color w:val="auto"/>
        </w:rPr>
        <w:t xml:space="preserve"> </w:t>
      </w:r>
      <w:r>
        <w:rPr>
          <w:rFonts w:ascii="Arial" w:cs="Arial" w:eastAsia="Arial" w:hAnsi="Arial"/>
          <w:sz w:val="16"/>
          <w:szCs w:val="16"/>
          <w:i w:val="1"/>
          <w:iCs w:val="1"/>
          <w:color w:val="auto"/>
        </w:rPr>
        <w:t>Consumer goods: Non-durable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Asurion, LLC (fka Asurion Corporation)</w:t>
      </w:r>
      <w:r>
        <w:rPr>
          <w:rFonts w:ascii="Arial" w:cs="Arial" w:eastAsia="Arial" w:hAnsi="Arial"/>
          <w:sz w:val="28"/>
          <w:szCs w:val="28"/>
          <w:color w:val="auto"/>
          <w:vertAlign w:val="superscript"/>
        </w:rPr>
        <w:t>(9),</w:t>
      </w: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Banking, Finance, Insurance &amp; Real Estate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Asurion, LLC (fka Asurion Corporation)</w:t>
      </w:r>
      <w:r>
        <w:rPr>
          <w:rFonts w:ascii="Arial" w:cs="Arial" w:eastAsia="Arial" w:hAnsi="Arial"/>
          <w:sz w:val="28"/>
          <w:szCs w:val="28"/>
          <w:color w:val="auto"/>
          <w:vertAlign w:val="superscript"/>
        </w:rPr>
        <w:t>(9),</w:t>
      </w: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Banking, Finance, Insurance &amp; Real Estate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Avalign Technologies,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8" w:lineRule="exact"/>
        <w:rPr>
          <w:sz w:val="20"/>
          <w:szCs w:val="20"/>
          <w:color w:val="auto"/>
        </w:rPr>
      </w:pPr>
    </w:p>
    <w:p>
      <w:pPr>
        <w:jc w:val="right"/>
        <w:ind w:right="900"/>
        <w:spacing w:after="0" w:line="288" w:lineRule="auto"/>
        <w:rPr>
          <w:sz w:val="20"/>
          <w:szCs w:val="20"/>
          <w:color w:val="auto"/>
        </w:rPr>
      </w:pPr>
      <w:r>
        <w:rPr>
          <w:rFonts w:ascii="Arial" w:cs="Arial" w:eastAsia="Arial" w:hAnsi="Arial"/>
          <w:sz w:val="15"/>
          <w:szCs w:val="15"/>
          <w:color w:val="auto"/>
        </w:rPr>
        <w:t>Avalign Technologies, Inc.</w:t>
      </w:r>
      <w:r>
        <w:rPr>
          <w:rFonts w:ascii="Arial" w:cs="Arial" w:eastAsia="Arial" w:hAnsi="Arial"/>
          <w:sz w:val="24"/>
          <w:szCs w:val="24"/>
          <w:color w:val="auto"/>
          <w:vertAlign w:val="superscript"/>
        </w:rPr>
        <w:t>(9), (10)</w:t>
      </w:r>
      <w:r>
        <w:rPr>
          <w:rFonts w:ascii="Arial" w:cs="Arial" w:eastAsia="Arial" w:hAnsi="Arial"/>
          <w:sz w:val="15"/>
          <w:szCs w:val="15"/>
          <w:color w:val="auto"/>
        </w:rPr>
        <w:t xml:space="preserve"> </w:t>
      </w:r>
      <w:r>
        <w:rPr>
          <w:rFonts w:ascii="Arial" w:cs="Arial" w:eastAsia="Arial" w:hAnsi="Arial"/>
          <w:sz w:val="15"/>
          <w:szCs w:val="15"/>
          <w:i w:val="1"/>
          <w:iCs w:val="1"/>
          <w:color w:val="auto"/>
        </w:rPr>
        <w:t>Healthcare &amp; Pharmaceuticals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BarBri, Inc. (Gemini Holdings, Inc.)</w:t>
      </w:r>
      <w:r>
        <w:rPr>
          <w:rFonts w:ascii="Arial" w:cs="Arial" w:eastAsia="Arial" w:hAnsi="Arial"/>
          <w:sz w:val="28"/>
          <w:szCs w:val="28"/>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Services: Consumer</w:t>
      </w:r>
    </w:p>
    <w:p>
      <w:pPr>
        <w:spacing w:after="0" w:line="172" w:lineRule="exact"/>
        <w:rPr>
          <w:sz w:val="20"/>
          <w:szCs w:val="20"/>
          <w:color w:val="auto"/>
        </w:rPr>
      </w:pPr>
    </w:p>
    <w:p>
      <w:pPr>
        <w:ind w:left="180" w:right="360" w:hanging="172"/>
        <w:spacing w:after="0" w:line="180" w:lineRule="auto"/>
        <w:tabs>
          <w:tab w:leader="none" w:pos="40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Industries US Holdings, Inc.</w:t>
      </w:r>
      <w:r>
        <w:rPr>
          <w:rFonts w:ascii="Arial" w:cs="Arial" w:eastAsia="Arial" w:hAnsi="Arial"/>
          <w:sz w:val="28"/>
          <w:szCs w:val="28"/>
          <w:color w:val="auto"/>
          <w:vertAlign w:val="superscript"/>
        </w:rPr>
        <w:t>(9), (10)</w:t>
      </w:r>
      <w:r>
        <w:rPr>
          <w:rFonts w:ascii="Arial" w:cs="Arial" w:eastAsia="Arial" w:hAnsi="Arial"/>
          <w:sz w:val="17"/>
          <w:szCs w:val="17"/>
          <w:color w:val="auto"/>
        </w:rPr>
        <w:t xml:space="preserve"> </w:t>
      </w:r>
      <w:r>
        <w:rPr>
          <w:rFonts w:ascii="Arial" w:cs="Arial" w:eastAsia="Arial" w:hAnsi="Arial"/>
          <w:sz w:val="17"/>
          <w:szCs w:val="17"/>
          <w:i w:val="1"/>
          <w:iCs w:val="1"/>
          <w:color w:val="auto"/>
        </w:rPr>
        <w:t>Automotive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Bellisio Foods,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Bestop,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Initial</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2/22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2,971,523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2,903,100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2,744,921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2,596,059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 Bond — 10.5%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06/2019 – 00753CAE2</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10.5% Cash, Due 6/19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2,216,700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1,002,069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915,700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B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2,553,466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2,555,910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2,536,179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3,971,219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3,937,332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1,891,210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1,877,288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1,839,202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3,961,696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3,870,152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Incremental Tranche B-1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5/19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917,632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918,953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862,290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Incremental Tranche B-4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8/22</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896,048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891,815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821,676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9.3%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990,643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952,400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2,911,472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2,831,108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6/18</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682,722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682,722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651,590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2,731,875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2,723,758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2,542,829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2,927,766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2,833,985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U.S. Term B</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8/19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1,936,011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1,929,952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1,886,836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Revolving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7/20</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34,509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-7546340</wp:posOffset>
            </wp:positionV>
            <wp:extent cx="7246620" cy="411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-6585585</wp:posOffset>
            </wp:positionV>
            <wp:extent cx="7246620" cy="411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-5624830</wp:posOffset>
            </wp:positionV>
            <wp:extent cx="7246620" cy="548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-4664710</wp:posOffset>
            </wp:positionV>
            <wp:extent cx="7246620" cy="548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-3566795</wp:posOffset>
            </wp:positionV>
            <wp:extent cx="7246620" cy="548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-2468880</wp:posOffset>
            </wp:positionV>
            <wp:extent cx="7246620" cy="411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-1645920</wp:posOffset>
            </wp:positionV>
            <wp:extent cx="7246620" cy="548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-548005</wp:posOffset>
            </wp:positionV>
            <wp:extent cx="7246620" cy="548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-8540750</wp:posOffset>
            </wp:positionV>
            <wp:extent cx="7246620" cy="557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ectPr>
          <w:pgSz w:w="11900" w:h="16838" w:orient="portrait"/>
          <w:cols w:equalWidth="0" w:num="2">
            <w:col w:w="3340" w:space="220"/>
            <w:col w:w="7760"/>
          </w:cols>
          <w:pgMar w:left="240" w:top="904" w:right="339" w:bottom="0" w:gutter="0" w:footer="0" w:header="0"/>
          <w:type w:val="continuous"/>
        </w:sectPr>
      </w:pPr>
    </w:p>
    <w:bookmarkStart w:id="20" w:name="page21"/>
    <w:bookmarkEnd w:id="20"/>
    <w:p>
      <w:pPr>
        <w:ind w:left="3020"/>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1" w:name="page22"/>
    <w:bookmarkEnd w:id="21"/>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Bestop,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Carolina Beverage Group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CCS Intermediate Holdings,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Cengage Learning Acquisitions, Inc. (fka TL</w:t>
      </w:r>
    </w:p>
    <w:p>
      <w:pPr>
        <w:ind w:left="180"/>
        <w:spacing w:after="0" w:line="203" w:lineRule="auto"/>
        <w:rPr>
          <w:sz w:val="20"/>
          <w:szCs w:val="20"/>
          <w:color w:val="auto"/>
        </w:rPr>
      </w:pPr>
      <w:r>
        <w:rPr>
          <w:rFonts w:ascii="Arial" w:cs="Arial" w:eastAsia="Arial" w:hAnsi="Arial"/>
          <w:sz w:val="18"/>
          <w:szCs w:val="18"/>
          <w:color w:val="auto"/>
        </w:rPr>
        <w:t>Acquisitions,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Charter Communications Operating, LLC (aka</w:t>
      </w:r>
    </w:p>
    <w:p>
      <w:pPr>
        <w:ind w:left="180"/>
        <w:spacing w:after="0" w:line="202" w:lineRule="auto"/>
        <w:rPr>
          <w:sz w:val="20"/>
          <w:szCs w:val="20"/>
          <w:color w:val="auto"/>
        </w:rPr>
      </w:pPr>
      <w:r>
        <w:rPr>
          <w:rFonts w:ascii="Arial" w:cs="Arial" w:eastAsia="Arial" w:hAnsi="Arial"/>
          <w:sz w:val="18"/>
          <w:szCs w:val="18"/>
          <w:color w:val="auto"/>
        </w:rPr>
        <w:t>CCO Safari LLC)</w:t>
      </w:r>
      <w:r>
        <w:rPr>
          <w:rFonts w:ascii="Arial" w:cs="Arial" w:eastAsia="Arial" w:hAnsi="Arial"/>
          <w:sz w:val="30"/>
          <w:szCs w:val="30"/>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Checkout Holding Corp. (fka Catalina</w:t>
      </w:r>
    </w:p>
    <w:p>
      <w:pPr>
        <w:ind w:left="180"/>
        <w:spacing w:after="0" w:line="186" w:lineRule="auto"/>
        <w:rPr>
          <w:sz w:val="20"/>
          <w:szCs w:val="20"/>
          <w:color w:val="auto"/>
        </w:rPr>
      </w:pPr>
      <w:r>
        <w:rPr>
          <w:rFonts w:ascii="Arial" w:cs="Arial" w:eastAsia="Arial" w:hAnsi="Arial"/>
          <w:sz w:val="18"/>
          <w:szCs w:val="18"/>
          <w:color w:val="auto"/>
        </w:rPr>
        <w:t>Marketing)</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CHS/Community Health Systems, Inc.</w:t>
      </w:r>
      <w:r>
        <w:rPr>
          <w:rFonts w:ascii="Arial" w:cs="Arial" w:eastAsia="Arial" w:hAnsi="Arial"/>
          <w:sz w:val="28"/>
          <w:szCs w:val="28"/>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Consolidated Communications, Inc.</w:t>
      </w:r>
      <w:r>
        <w:rPr>
          <w:rFonts w:ascii="Arial" w:cs="Arial" w:eastAsia="Arial" w:hAnsi="Arial"/>
          <w:sz w:val="30"/>
          <w:szCs w:val="30"/>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CRGT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Crowley Holdings Preferred,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Crowne Group,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CSM Bakery Solutions Limited (fka CSM</w:t>
      </w:r>
    </w:p>
    <w:p>
      <w:pPr>
        <w:ind w:left="180"/>
        <w:spacing w:after="0" w:line="195" w:lineRule="auto"/>
        <w:rPr>
          <w:sz w:val="20"/>
          <w:szCs w:val="20"/>
          <w:color w:val="auto"/>
        </w:rPr>
      </w:pPr>
      <w:r>
        <w:rPr>
          <w:rFonts w:ascii="Arial" w:cs="Arial" w:eastAsia="Arial" w:hAnsi="Arial"/>
          <w:sz w:val="18"/>
          <w:szCs w:val="18"/>
          <w:color w:val="auto"/>
        </w:rPr>
        <w:t>Bakery Supplies Limited)</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69" w:lineRule="exact"/>
        <w:rPr>
          <w:sz w:val="20"/>
          <w:szCs w:val="20"/>
          <w:color w:val="auto"/>
        </w:rPr>
      </w:pPr>
    </w:p>
    <w:p>
      <w:pPr>
        <w:ind w:left="180" w:right="40" w:hanging="179"/>
        <w:spacing w:after="0" w:line="242" w:lineRule="auto"/>
        <w:rPr>
          <w:sz w:val="20"/>
          <w:szCs w:val="20"/>
          <w:color w:val="auto"/>
        </w:rPr>
      </w:pPr>
      <w:r>
        <w:rPr>
          <w:rFonts w:ascii="Arial" w:cs="Arial" w:eastAsia="Arial" w:hAnsi="Arial"/>
          <w:sz w:val="16"/>
          <w:szCs w:val="16"/>
          <w:color w:val="auto"/>
        </w:rPr>
        <w:t>CT Technologies Intermediate Holdings, Inc. (Smart Holdings Corp.) (aka HealthPort)</w:t>
      </w:r>
      <w:r>
        <w:rPr>
          <w:rFonts w:ascii="Arial" w:cs="Arial" w:eastAsia="Arial" w:hAnsi="Arial"/>
          <w:sz w:val="26"/>
          <w:szCs w:val="26"/>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95" w:lineRule="auto"/>
        <w:rPr>
          <w:sz w:val="20"/>
          <w:szCs w:val="20"/>
          <w:color w:val="auto"/>
        </w:rPr>
      </w:pPr>
      <w:r>
        <w:rPr>
          <w:rFonts w:ascii="Arial" w:cs="Arial" w:eastAsia="Arial" w:hAnsi="Arial"/>
          <w:sz w:val="18"/>
          <w:szCs w:val="18"/>
          <w:color w:val="auto"/>
        </w:rPr>
        <w:t>DBI Holding LLC</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DBI Holding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DJO Finance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Drew Marine Group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ELO Touch Solutions,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Term Loan</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1,580,000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1,557,976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1,460,868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Bond — 10.625%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08/2018 – 143818AA0 144A</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10.6% Cash, Due 8/18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1,510,560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1,503,752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2,950,638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2,549,824</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3/20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2,979,950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2,974,534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2,912,901</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I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3.5% Cash, 0.8%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1,001,223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1,000,420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4/21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985,000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981,284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792,925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Incremental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2021 Term H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1,994,987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1,992,571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1,967,915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2,971,404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2,947,421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3,912,342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3,861,177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3,750,762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Preferred Stock — 12.000%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12/2049 – Series A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Preferred Securities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10.0% Cash, 2.0% PIK, Due 12/49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10,411,673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10,411,673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11,036,373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9/20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3,902,980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3,664,810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8.8%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3,013,843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2,827,500</w:t>
            </w:r>
          </w:p>
        </w:tc>
        <w:tc>
          <w:tcPr>
            <w:tcW w:w="0" w:type="dxa"/>
            <w:vAlign w:val="bottom"/>
          </w:tcPr>
          <w:p>
            <w:pPr>
              <w:spacing w:after="0"/>
              <w:rPr>
                <w:sz w:val="1"/>
                <w:szCs w:val="1"/>
                <w:color w:val="auto"/>
              </w:rPr>
            </w:pPr>
          </w:p>
        </w:tc>
      </w:tr>
      <w:tr>
        <w:trPr>
          <w:trHeight w:val="445"/>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2,970,075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2,942,705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2,877,260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Unsecured Bond — 09/2019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PIK Note 0.0% Cash, 16.0% PIK,</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9/19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4,043,719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3,859,845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4,043,722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Subordinated Bond — 09/2019</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 Senior Subordinated Note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12.0% Cash, 4.0% PIK, Due 9/19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4,481,135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4,466,793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4,615,571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1,490,906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1,464,375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8.0%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2,495,491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2,495,000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8.0% Cash, 1.5%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60" w:type="dxa"/>
            <w:vAlign w:val="bottom"/>
            <w:gridSpan w:val="2"/>
          </w:tcPr>
          <w:p>
            <w:pPr>
              <w:spacing w:after="0"/>
              <w:rPr>
                <w:sz w:val="20"/>
                <w:szCs w:val="20"/>
                <w:color w:val="auto"/>
              </w:rPr>
            </w:pPr>
            <w:r>
              <w:rPr>
                <w:rFonts w:ascii="Arial" w:cs="Arial" w:eastAsia="Arial" w:hAnsi="Arial"/>
                <w:sz w:val="18"/>
                <w:szCs w:val="18"/>
                <w:color w:val="auto"/>
              </w:rPr>
              <w:t>Due 6/18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1,552,326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1,507,787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1,546,893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-8162290</wp:posOffset>
            </wp:positionV>
            <wp:extent cx="7246620" cy="548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-7176135</wp:posOffset>
            </wp:positionV>
            <wp:extent cx="7246620" cy="43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-6189980</wp:posOffset>
            </wp:positionV>
            <wp:extent cx="7246620" cy="548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-5092065</wp:posOffset>
            </wp:positionV>
            <wp:extent cx="7246620" cy="411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-4131945</wp:posOffset>
            </wp:positionV>
            <wp:extent cx="7246620" cy="548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-3034030</wp:posOffset>
            </wp:positionV>
            <wp:extent cx="7246620" cy="5657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5657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-2056130</wp:posOffset>
            </wp:positionV>
            <wp:extent cx="7246620" cy="411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-1096010</wp:posOffset>
            </wp:positionV>
            <wp:extent cx="7246620" cy="548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-8994140</wp:posOffset>
            </wp:positionV>
            <wp:extent cx="7246620" cy="420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80" w:space="180"/>
            <w:col w:w="7860"/>
          </w:cols>
          <w:pgMar w:left="240" w:top="904" w:right="239" w:bottom="0" w:gutter="0" w:footer="0" w:header="0"/>
        </w:sectPr>
      </w:pPr>
    </w:p>
    <w:tbl>
      <w:tblPr>
        <w:tblLayout w:type="fixed"/>
        <w:tblInd w:w="0" w:type="dxa"/>
        <w:tblCellMar>
          <w:top w:w="0" w:type="dxa"/>
          <w:left w:w="0" w:type="dxa"/>
          <w:bottom w:w="0" w:type="dxa"/>
          <w:right w:w="0" w:type="dxa"/>
        </w:tblCellMar>
      </w:tblPr>
      <w:tr>
        <w:trPr>
          <w:trHeight w:val="204"/>
        </w:trPr>
        <w:tc>
          <w:tcPr>
            <w:tcW w:w="34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99"/>
              </w:rPr>
              <w:t>EWT Holdings III Corp. (fka WTG Holdings</w:t>
            </w:r>
          </w:p>
        </w:tc>
        <w:tc>
          <w:tcPr>
            <w:tcW w:w="3460" w:type="dxa"/>
            <w:vAlign w:val="bottom"/>
            <w:shd w:val="clear" w:color="auto" w:fill="CCEEFF"/>
          </w:tcPr>
          <w:p>
            <w:pPr>
              <w:ind w:left="140"/>
              <w:spacing w:after="0" w:line="204" w:lineRule="exact"/>
              <w:rPr>
                <w:sz w:val="20"/>
                <w:szCs w:val="20"/>
                <w:color w:val="auto"/>
              </w:rPr>
            </w:pPr>
            <w:r>
              <w:rPr>
                <w:rFonts w:ascii="Arial" w:cs="Arial" w:eastAsia="Arial" w:hAnsi="Arial"/>
                <w:sz w:val="18"/>
                <w:szCs w:val="18"/>
                <w:color w:val="auto"/>
              </w:rPr>
              <w:t>Junior Secured Loan — Term Loan</w:t>
            </w:r>
          </w:p>
        </w:tc>
        <w:tc>
          <w:tcPr>
            <w:tcW w:w="18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180"/>
              <w:spacing w:after="0" w:line="217" w:lineRule="exact"/>
              <w:rPr>
                <w:sz w:val="20"/>
                <w:szCs w:val="20"/>
                <w:color w:val="auto"/>
              </w:rPr>
            </w:pPr>
            <w:r>
              <w:rPr>
                <w:rFonts w:ascii="Arial" w:cs="Arial" w:eastAsia="Arial" w:hAnsi="Arial"/>
                <w:sz w:val="16"/>
                <w:szCs w:val="16"/>
                <w:color w:val="auto"/>
              </w:rPr>
              <w:t>III Corp.)</w:t>
            </w:r>
            <w:r>
              <w:rPr>
                <w:rFonts w:ascii="Arial" w:cs="Arial" w:eastAsia="Arial" w:hAnsi="Arial"/>
                <w:sz w:val="25"/>
                <w:szCs w:val="25"/>
                <w:color w:val="auto"/>
                <w:vertAlign w:val="superscript"/>
              </w:rPr>
              <w:t>(9)</w:t>
            </w:r>
          </w:p>
        </w:tc>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Lien)</w:t>
            </w:r>
          </w:p>
        </w:tc>
        <w:tc>
          <w:tcPr>
            <w:tcW w:w="1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Environmental Industries</w:t>
            </w:r>
          </w:p>
        </w:tc>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8.5% Cash, 1.0% Libor Floor,</w:t>
            </w:r>
          </w:p>
        </w:tc>
        <w:tc>
          <w:tcPr>
            <w:tcW w:w="18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4,000,000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3,984,890</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3,658,400</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19"/>
                <w:szCs w:val="19"/>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1/22</w:t>
            </w:r>
          </w:p>
        </w:tc>
        <w:tc>
          <w:tcPr>
            <w:tcW w:w="18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type w:val="continuous"/>
        </w:sectPr>
      </w:pPr>
    </w:p>
    <w:bookmarkStart w:id="22" w:name="page23"/>
    <w:bookmarkEnd w:id="22"/>
    <w:p>
      <w:pPr>
        <w:ind w:left="3020"/>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3" w:name="page24"/>
    <w:bookmarkEnd w:id="23"/>
    <w:p>
      <w:pPr>
        <w:spacing w:after="0" w:line="25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b w:val="1"/>
          <w:bCs w:val="1"/>
          <w:color w:val="auto"/>
        </w:rPr>
        <w:t xml:space="preserve">Portfolio Company/Principal Business </w:t>
      </w:r>
      <w:r>
        <w:rPr>
          <w:rFonts w:ascii="Arial" w:cs="Arial" w:eastAsia="Arial" w:hAnsi="Arial"/>
          <w:sz w:val="16"/>
          <w:szCs w:val="16"/>
          <w:color w:val="auto"/>
        </w:rPr>
        <w:t>Fender Musical Instruments Corporation</w:t>
      </w:r>
      <w:r>
        <w:rPr>
          <w:rFonts w:ascii="Arial" w:cs="Arial" w:eastAsia="Arial" w:hAnsi="Arial"/>
          <w:sz w:val="26"/>
          <w:szCs w:val="26"/>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195" w:lineRule="auto"/>
        <w:rPr>
          <w:sz w:val="20"/>
          <w:szCs w:val="20"/>
          <w:color w:val="auto"/>
        </w:rPr>
      </w:pPr>
      <w:r>
        <w:rPr>
          <w:rFonts w:ascii="Arial" w:cs="Arial" w:eastAsia="Arial" w:hAnsi="Arial"/>
          <w:sz w:val="18"/>
          <w:szCs w:val="18"/>
          <w:color w:val="auto"/>
        </w:rPr>
        <w:t>FHC Health Systems,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8" w:lineRule="exact"/>
        <w:rPr>
          <w:sz w:val="20"/>
          <w:szCs w:val="20"/>
          <w:color w:val="auto"/>
        </w:rPr>
      </w:pPr>
    </w:p>
    <w:p>
      <w:pPr>
        <w:ind w:left="180" w:right="40" w:hanging="179"/>
        <w:spacing w:after="0"/>
        <w:rPr>
          <w:sz w:val="20"/>
          <w:szCs w:val="20"/>
          <w:color w:val="auto"/>
        </w:rPr>
      </w:pPr>
      <w:r>
        <w:rPr>
          <w:rFonts w:ascii="Arial" w:cs="Arial" w:eastAsia="Arial" w:hAnsi="Arial"/>
          <w:sz w:val="16"/>
          <w:szCs w:val="16"/>
          <w:color w:val="auto"/>
        </w:rPr>
        <w:t>First American Payment Systems, L.P.</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w:t>
      </w:r>
      <w:r>
        <w:rPr>
          <w:rFonts w:ascii="Arial" w:cs="Arial" w:eastAsia="Arial" w:hAnsi="Arial"/>
          <w:sz w:val="16"/>
          <w:szCs w:val="16"/>
          <w:i w:val="1"/>
          <w:iCs w:val="1"/>
          <w:color w:val="auto"/>
        </w:rPr>
        <w:t>Banking, Finance, Insurance &amp; Real Estate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Getty Images,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GI Advo Opco,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GI Advo Opco,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GK Holdings, Inc. (aka Global Knowledge)</w:t>
      </w:r>
      <w:r>
        <w:rPr>
          <w:rFonts w:ascii="Arial" w:cs="Arial" w:eastAsia="Arial" w:hAnsi="Arial"/>
          <w:sz w:val="26"/>
          <w:szCs w:val="26"/>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GK Holdings, Inc. (aka Global Knowledge)</w:t>
      </w:r>
      <w:r>
        <w:rPr>
          <w:rFonts w:ascii="Arial" w:cs="Arial" w:eastAsia="Arial" w:hAnsi="Arial"/>
          <w:sz w:val="26"/>
          <w:szCs w:val="26"/>
          <w:color w:val="auto"/>
          <w:vertAlign w:val="superscript"/>
        </w:rPr>
        <w:t>(9),</w:t>
      </w: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Global Tel*Link Corporation</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381" w:lineRule="exact"/>
        <w:rPr>
          <w:sz w:val="20"/>
          <w:szCs w:val="20"/>
          <w:color w:val="auto"/>
        </w:rPr>
      </w:pPr>
    </w:p>
    <w:p>
      <w:pPr>
        <w:jc w:val="center"/>
        <w:ind w:right="900"/>
        <w:spacing w:after="0"/>
        <w:rPr>
          <w:sz w:val="20"/>
          <w:szCs w:val="20"/>
          <w:color w:val="auto"/>
        </w:rPr>
      </w:pPr>
      <w:r>
        <w:rPr>
          <w:rFonts w:ascii="Arial" w:cs="Arial" w:eastAsia="Arial" w:hAnsi="Arial"/>
          <w:sz w:val="15"/>
          <w:szCs w:val="15"/>
          <w:color w:val="auto"/>
        </w:rPr>
        <w:t>Gold Standard Baking, Inc.</w:t>
      </w:r>
      <w:r>
        <w:rPr>
          <w:rFonts w:ascii="Arial" w:cs="Arial" w:eastAsia="Arial" w:hAnsi="Arial"/>
          <w:sz w:val="24"/>
          <w:szCs w:val="24"/>
          <w:color w:val="auto"/>
          <w:vertAlign w:val="superscript"/>
        </w:rPr>
        <w:t>(9), (10)</w:t>
      </w:r>
    </w:p>
    <w:p>
      <w:pPr>
        <w:jc w:val="center"/>
        <w:ind w:right="900"/>
        <w:spacing w:after="0"/>
        <w:rPr>
          <w:sz w:val="20"/>
          <w:szCs w:val="20"/>
          <w:color w:val="auto"/>
        </w:rPr>
      </w:pPr>
      <w:r>
        <w:rPr>
          <w:rFonts w:ascii="Arial" w:cs="Arial" w:eastAsia="Arial" w:hAnsi="Arial"/>
          <w:sz w:val="18"/>
          <w:szCs w:val="18"/>
          <w:i w:val="1"/>
          <w:iCs w:val="1"/>
          <w:color w:val="auto"/>
        </w:rPr>
        <w:t>Beverage, Food and Tobacco</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Grande Communications Networks LLC</w:t>
      </w:r>
      <w:r>
        <w:rPr>
          <w:rFonts w:ascii="Arial" w:cs="Arial" w:eastAsia="Arial" w:hAnsi="Arial"/>
          <w:sz w:val="28"/>
          <w:szCs w:val="28"/>
          <w:color w:val="auto"/>
          <w:vertAlign w:val="superscript"/>
        </w:rPr>
        <w:t>(9),</w:t>
      </w: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Grifols Worldwide Operations Limited</w:t>
      </w:r>
      <w:r>
        <w:rPr>
          <w:rFonts w:ascii="Arial" w:cs="Arial" w:eastAsia="Arial" w:hAnsi="Arial"/>
          <w:sz w:val="30"/>
          <w:szCs w:val="30"/>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Gymboree Corporation., The</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Retail</w:t>
      </w:r>
    </w:p>
    <w:p>
      <w:pPr>
        <w:spacing w:after="0" w:line="169" w:lineRule="exact"/>
        <w:rPr>
          <w:sz w:val="20"/>
          <w:szCs w:val="20"/>
          <w:color w:val="auto"/>
        </w:rPr>
      </w:pPr>
    </w:p>
    <w:p>
      <w:pPr>
        <w:ind w:left="180" w:right="180" w:hanging="179"/>
        <w:spacing w:after="0" w:line="212" w:lineRule="auto"/>
        <w:rPr>
          <w:sz w:val="20"/>
          <w:szCs w:val="20"/>
          <w:color w:val="auto"/>
        </w:rPr>
      </w:pPr>
      <w:r>
        <w:rPr>
          <w:rFonts w:ascii="Arial" w:cs="Arial" w:eastAsia="Arial" w:hAnsi="Arial"/>
          <w:sz w:val="18"/>
          <w:szCs w:val="18"/>
          <w:color w:val="auto"/>
        </w:rPr>
        <w:t>Hargray Communications Group, Inc. (HCP Acquisition LLC)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169" w:lineRule="exact"/>
        <w:rPr>
          <w:sz w:val="20"/>
          <w:szCs w:val="20"/>
          <w:color w:val="auto"/>
        </w:rPr>
      </w:pPr>
    </w:p>
    <w:p>
      <w:pPr>
        <w:ind w:left="180" w:right="260" w:hanging="179"/>
        <w:spacing w:after="0" w:line="212" w:lineRule="auto"/>
        <w:rPr>
          <w:sz w:val="20"/>
          <w:szCs w:val="20"/>
          <w:color w:val="auto"/>
        </w:rPr>
      </w:pPr>
      <w:r>
        <w:rPr>
          <w:rFonts w:ascii="Arial" w:cs="Arial" w:eastAsia="Arial" w:hAnsi="Arial"/>
          <w:sz w:val="18"/>
          <w:szCs w:val="18"/>
          <w:color w:val="auto"/>
        </w:rPr>
        <w:t>Harland Clarke Holdings Corp. (fka Clarke American Corp.)</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80" w:lineRule="exact"/>
        <w:rPr>
          <w:sz w:val="20"/>
          <w:szCs w:val="20"/>
          <w:color w:val="auto"/>
        </w:rPr>
      </w:pPr>
    </w:p>
    <w:p>
      <w:pPr>
        <w:ind w:left="180" w:right="260" w:hanging="179"/>
        <w:spacing w:after="0" w:line="212" w:lineRule="auto"/>
        <w:rPr>
          <w:sz w:val="20"/>
          <w:szCs w:val="20"/>
          <w:color w:val="auto"/>
        </w:rPr>
      </w:pPr>
      <w:r>
        <w:rPr>
          <w:rFonts w:ascii="Arial" w:cs="Arial" w:eastAsia="Arial" w:hAnsi="Arial"/>
          <w:sz w:val="18"/>
          <w:szCs w:val="18"/>
          <w:color w:val="auto"/>
        </w:rPr>
        <w:t>Harland Clarke Holdings Corp. (fka Clarke American Corp.)</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Hoffmaster Group,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Forest Products &amp; Paper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440" w:type="dxa"/>
            <w:vAlign w:val="bottom"/>
            <w:tcBorders>
              <w:bottom w:val="single" w:sz="8" w:color="auto"/>
            </w:tcBorders>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Loan</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4/19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1,434,249</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1,443,868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1,421,699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3,877,839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3,844,406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3,703,336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10.8%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2,796,448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2,768,177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2,639,288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4.8%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10/19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2,162,867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2,172,647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1,373,421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247,534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247,500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2,722,890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2,722,500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 (Second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1,473,884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1,382,550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2,453,994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2,345,805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9.0%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3,946,567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2,476,361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2,408,149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3,900,092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3,906,280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3,841,591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U.S. Tranche B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3.4% Cash, Due 2/21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997,462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995,001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989,732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8.5% Cash, 1.5%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2,893,169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2,917,500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13.8% Cash, Due 7/18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6,924,146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1.5%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2/18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1,421,105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1,410,511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734,001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2,895,294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2,878,392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2,893,267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Tranche B-3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7.0% Cash, 1.5%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3,281,250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3,259,381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3,271,078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Tranche B-4</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1,420,339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1,421,580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5/21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1,977,018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1,995,600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-8506460</wp:posOffset>
            </wp:positionV>
            <wp:extent cx="7246620" cy="548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-7408545</wp:posOffset>
            </wp:positionV>
            <wp:extent cx="7246620" cy="411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-6585585</wp:posOffset>
            </wp:positionV>
            <wp:extent cx="7246620" cy="548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-5487670</wp:posOffset>
            </wp:positionV>
            <wp:extent cx="7246620" cy="548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-4527550</wp:posOffset>
            </wp:positionV>
            <wp:extent cx="7246620" cy="548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-3566795</wp:posOffset>
            </wp:positionV>
            <wp:extent cx="7246620" cy="548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-2606675</wp:posOffset>
            </wp:positionV>
            <wp:extent cx="7246620" cy="411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-1645920</wp:posOffset>
            </wp:positionV>
            <wp:extent cx="7246620" cy="548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-548005</wp:posOffset>
            </wp:positionV>
            <wp:extent cx="7246620" cy="548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-9492615</wp:posOffset>
            </wp:positionV>
            <wp:extent cx="7246620" cy="43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ectPr>
          <w:pgSz w:w="11900" w:h="16838" w:orient="portrait"/>
          <w:cols w:equalWidth="0" w:num="2">
            <w:col w:w="3380" w:space="180"/>
            <w:col w:w="7760"/>
          </w:cols>
          <w:pgMar w:left="240" w:top="904" w:right="339" w:bottom="0" w:gutter="0" w:footer="0" w:header="0"/>
        </w:sectPr>
      </w:pPr>
    </w:p>
    <w:bookmarkStart w:id="24" w:name="page25"/>
    <w:bookmarkEnd w:id="24"/>
    <w:p>
      <w:pPr>
        <w:ind w:left="3020"/>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5" w:name="page26"/>
    <w:bookmarkEnd w:id="25"/>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Hoffmaster Group,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Forest Products &amp; Paper</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Hunter Defense Technologies, Inc.</w:t>
      </w:r>
      <w:r>
        <w:rPr>
          <w:rFonts w:ascii="Arial" w:cs="Arial" w:eastAsia="Arial" w:hAnsi="Arial"/>
          <w:sz w:val="28"/>
          <w:szCs w:val="28"/>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Integra Telecom Holdings,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Architectural Products, Inc.</w:t>
      </w:r>
      <w:r>
        <w:rPr>
          <w:rFonts w:ascii="Arial" w:cs="Arial" w:eastAsia="Arial" w:hAnsi="Arial"/>
          <w:sz w:val="26"/>
          <w:szCs w:val="26"/>
          <w:color w:val="auto"/>
          <w:vertAlign w:val="superscript"/>
        </w:rPr>
        <w:t>(7), (9)</w:t>
      </w:r>
    </w:p>
    <w:p>
      <w:pPr>
        <w:ind w:left="180"/>
        <w:spacing w:after="0"/>
        <w:rPr>
          <w:sz w:val="20"/>
          <w:szCs w:val="20"/>
          <w:color w:val="auto"/>
        </w:rPr>
      </w:pPr>
      <w:r>
        <w:rPr>
          <w:rFonts w:ascii="Arial" w:cs="Arial" w:eastAsia="Arial" w:hAnsi="Arial"/>
          <w:sz w:val="18"/>
          <w:szCs w:val="18"/>
          <w:i w:val="1"/>
          <w:iCs w:val="1"/>
          <w:color w:val="auto"/>
        </w:rPr>
        <w:t>Metals &amp; Mining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Kellermeyer Bergensons Services, LLC</w:t>
      </w:r>
      <w:r>
        <w:rPr>
          <w:rFonts w:ascii="Arial" w:cs="Arial" w:eastAsia="Arial" w:hAnsi="Arial"/>
          <w:sz w:val="25"/>
          <w:szCs w:val="25"/>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Key Safety Systems,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Kinetic Concepts,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Landslide Holdings, Inc. (Crimson Acquisition</w:t>
      </w:r>
    </w:p>
    <w:p>
      <w:pPr>
        <w:ind w:left="180"/>
        <w:spacing w:after="0" w:line="180" w:lineRule="auto"/>
        <w:rPr>
          <w:sz w:val="20"/>
          <w:szCs w:val="20"/>
          <w:color w:val="auto"/>
        </w:rPr>
      </w:pPr>
      <w:r>
        <w:rPr>
          <w:rFonts w:ascii="Arial" w:cs="Arial" w:eastAsia="Arial" w:hAnsi="Arial"/>
          <w:sz w:val="35"/>
          <w:szCs w:val="35"/>
          <w:color w:val="auto"/>
          <w:vertAlign w:val="subscript"/>
        </w:rPr>
        <w:t>Corp.)</w:t>
      </w:r>
      <w:r>
        <w:rPr>
          <w:rFonts w:ascii="Arial" w:cs="Arial" w:eastAsia="Arial" w:hAnsi="Arial"/>
          <w:sz w:val="15"/>
          <w:szCs w:val="15"/>
          <w:color w:val="auto"/>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MB Aerospace ACP Holdings II Corp.</w:t>
      </w:r>
      <w:r>
        <w:rPr>
          <w:rFonts w:ascii="Arial" w:cs="Arial" w:eastAsia="Arial" w:hAnsi="Arial"/>
          <w:sz w:val="26"/>
          <w:szCs w:val="26"/>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Medical Specialties Distributors, LLC</w:t>
      </w:r>
      <w:r>
        <w:rPr>
          <w:rFonts w:ascii="Arial" w:cs="Arial" w:eastAsia="Arial" w:hAnsi="Arial"/>
          <w:sz w:val="26"/>
          <w:szCs w:val="26"/>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72"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MGOC, Inc. (fka Media General, Inc.)</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w:t>
      </w:r>
      <w:r>
        <w:rPr>
          <w:rFonts w:ascii="Arial" w:cs="Arial" w:eastAsia="Arial" w:hAnsi="Arial"/>
          <w:sz w:val="16"/>
          <w:szCs w:val="16"/>
          <w:i w:val="1"/>
          <w:iCs w:val="1"/>
          <w:color w:val="auto"/>
        </w:rPr>
        <w:t>Media: Broadcasting &amp; Subscription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Nellson Nutraceutical,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Nellson Nutraceutical,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385" w:lineRule="exact"/>
        <w:rPr>
          <w:sz w:val="20"/>
          <w:szCs w:val="20"/>
          <w:color w:val="auto"/>
        </w:rPr>
      </w:pPr>
    </w:p>
    <w:p>
      <w:pPr>
        <w:ind w:left="180" w:right="260" w:hanging="179"/>
        <w:spacing w:after="0" w:line="212" w:lineRule="auto"/>
        <w:rPr>
          <w:sz w:val="20"/>
          <w:szCs w:val="20"/>
          <w:color w:val="auto"/>
        </w:rPr>
      </w:pPr>
      <w:r>
        <w:rPr>
          <w:rFonts w:ascii="Arial" w:cs="Arial" w:eastAsia="Arial" w:hAnsi="Arial"/>
          <w:sz w:val="18"/>
          <w:szCs w:val="18"/>
          <w:color w:val="auto"/>
        </w:rPr>
        <w:t>New Millennium Holdco, Inc. (Millennium Health, LLC)</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Nielsen &amp; Bainbrige,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388"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Nielsen &amp; Bainbrige, LLC</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w:t>
      </w:r>
      <w:r>
        <w:rPr>
          <w:rFonts w:ascii="Arial" w:cs="Arial" w:eastAsia="Arial" w:hAnsi="Arial"/>
          <w:sz w:val="16"/>
          <w:szCs w:val="16"/>
          <w:i w:val="1"/>
          <w:iCs w:val="1"/>
          <w:color w:val="auto"/>
        </w:rPr>
        <w:t>Consumer goods: Durable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Nielsen &amp; Bainbrige,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388" w:lineRule="exact"/>
        <w:rPr>
          <w:sz w:val="20"/>
          <w:szCs w:val="20"/>
          <w:color w:val="auto"/>
        </w:rPr>
      </w:pPr>
    </w:p>
    <w:p>
      <w:pPr>
        <w:ind w:left="180" w:right="520" w:hanging="179"/>
        <w:spacing w:after="0" w:line="193" w:lineRule="auto"/>
        <w:rPr>
          <w:sz w:val="20"/>
          <w:szCs w:val="20"/>
          <w:color w:val="auto"/>
        </w:rPr>
      </w:pPr>
      <w:r>
        <w:rPr>
          <w:rFonts w:ascii="Arial" w:cs="Arial" w:eastAsia="Arial" w:hAnsi="Arial"/>
          <w:sz w:val="16"/>
          <w:szCs w:val="16"/>
          <w:color w:val="auto"/>
        </w:rPr>
        <w:t>NM Z Parent Inc. (aka Zep, Inc.)</w:t>
      </w:r>
      <w:r>
        <w:rPr>
          <w:rFonts w:ascii="Arial" w:cs="Arial" w:eastAsia="Arial" w:hAnsi="Arial"/>
          <w:sz w:val="26"/>
          <w:szCs w:val="26"/>
          <w:color w:val="auto"/>
          <w:vertAlign w:val="superscript"/>
        </w:rPr>
        <w:t>(9), (10)</w:t>
      </w:r>
      <w:r>
        <w:rPr>
          <w:rFonts w:ascii="Arial" w:cs="Arial" w:eastAsia="Arial" w:hAnsi="Arial"/>
          <w:sz w:val="16"/>
          <w:szCs w:val="16"/>
          <w:color w:val="auto"/>
        </w:rPr>
        <w:t xml:space="preserve"> </w:t>
      </w:r>
      <w:r>
        <w:rPr>
          <w:rFonts w:ascii="Arial" w:cs="Arial" w:eastAsia="Arial" w:hAnsi="Arial"/>
          <w:sz w:val="16"/>
          <w:szCs w:val="16"/>
          <w:i w:val="1"/>
          <w:iCs w:val="1"/>
          <w:color w:val="auto"/>
        </w:rPr>
        <w:t>Chemicals, Plastics and Rubber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Initial Term</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3,940,000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3,911,276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3,887,480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2,792,045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2,616,469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B-1</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2,962,386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2,952,620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2,876,477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0.0% Cash, 3.3% PIK, 2.5% Libor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Floor, Due 5/15</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247,636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228,563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10/21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1,963,471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1,856,844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1,481,250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1,475,263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1,444,219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Dollar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E-1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2,957,007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2,864,700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New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3,421,556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3,428,320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3,417,450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990,055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3,894,315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3,918,040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2,717,813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2,720,620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2,690,635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A-1</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2,374,598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2,356,528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2,295,761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A-2</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2,092,907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2,076,283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2,023,422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Closing Date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1,016,626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1,016,626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889,548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8/20</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990,004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982,260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943,870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2,091,954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2,065,884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1,956,814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3,785,896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3,755,461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3,609,473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6/22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3,482,500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3,494,086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3,359,916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-8232140</wp:posOffset>
            </wp:positionV>
            <wp:extent cx="7246620" cy="41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-7408545</wp:posOffset>
            </wp:positionV>
            <wp:extent cx="7246620" cy="548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-6311265</wp:posOffset>
            </wp:positionV>
            <wp:extent cx="7246620" cy="548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-5213350</wp:posOffset>
            </wp:positionV>
            <wp:extent cx="7246620" cy="548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-4253230</wp:posOffset>
            </wp:positionV>
            <wp:extent cx="7246620" cy="411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-3292475</wp:posOffset>
            </wp:positionV>
            <wp:extent cx="7246620" cy="548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-2194560</wp:posOffset>
            </wp:positionV>
            <wp:extent cx="7246620" cy="548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-1097280</wp:posOffset>
            </wp:positionV>
            <wp:extent cx="7246620" cy="548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-9338310</wp:posOffset>
            </wp:positionV>
            <wp:extent cx="7246620" cy="557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2">
            <w:col w:w="3400" w:space="160"/>
            <w:col w:w="7760"/>
          </w:cols>
          <w:pgMar w:left="240" w:top="904" w:right="339" w:bottom="0" w:gutter="0" w:footer="0" w:header="0"/>
        </w:sectPr>
      </w:pPr>
    </w:p>
    <w:bookmarkStart w:id="26" w:name="page27"/>
    <w:bookmarkEnd w:id="26"/>
    <w:p>
      <w:pPr>
        <w:jc w:val="center"/>
        <w:ind w:right="-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7" w:name="page28"/>
    <w:bookmarkEnd w:id="27"/>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Novitex Acquisition, LLC (fka ARSloane</w:t>
      </w:r>
    </w:p>
    <w:p>
      <w:pPr>
        <w:ind w:left="180"/>
        <w:spacing w:after="0" w:line="195" w:lineRule="auto"/>
        <w:rPr>
          <w:sz w:val="20"/>
          <w:szCs w:val="20"/>
          <w:color w:val="auto"/>
        </w:rPr>
      </w:pPr>
      <w:r>
        <w:rPr>
          <w:rFonts w:ascii="Arial" w:cs="Arial" w:eastAsia="Arial" w:hAnsi="Arial"/>
          <w:sz w:val="18"/>
          <w:szCs w:val="18"/>
          <w:color w:val="auto"/>
        </w:rPr>
        <w:t>Acquisition, LLC)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Onex Carestream Finance LP</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1" w:lineRule="exact"/>
        <w:rPr>
          <w:sz w:val="20"/>
          <w:szCs w:val="20"/>
          <w:color w:val="auto"/>
        </w:rPr>
      </w:pPr>
    </w:p>
    <w:p>
      <w:pPr>
        <w:jc w:val="center"/>
        <w:ind w:right="800"/>
        <w:spacing w:after="0"/>
        <w:rPr>
          <w:sz w:val="20"/>
          <w:szCs w:val="20"/>
          <w:color w:val="auto"/>
        </w:rPr>
      </w:pPr>
      <w:r>
        <w:rPr>
          <w:rFonts w:ascii="Arial" w:cs="Arial" w:eastAsia="Arial" w:hAnsi="Arial"/>
          <w:sz w:val="15"/>
          <w:szCs w:val="15"/>
          <w:color w:val="auto"/>
        </w:rPr>
        <w:t>Onex Carestream Finance LP</w:t>
      </w:r>
      <w:r>
        <w:rPr>
          <w:rFonts w:ascii="Arial" w:cs="Arial" w:eastAsia="Arial" w:hAnsi="Arial"/>
          <w:sz w:val="24"/>
          <w:szCs w:val="24"/>
          <w:color w:val="auto"/>
          <w:vertAlign w:val="superscript"/>
        </w:rPr>
        <w:t>(9), (10)</w:t>
      </w:r>
    </w:p>
    <w:p>
      <w:pPr>
        <w:jc w:val="center"/>
        <w:ind w:right="820"/>
        <w:spacing w:after="0"/>
        <w:rPr>
          <w:sz w:val="20"/>
          <w:szCs w:val="20"/>
          <w:color w:val="auto"/>
        </w:rPr>
      </w:pPr>
      <w:r>
        <w:rPr>
          <w:rFonts w:ascii="Arial" w:cs="Arial" w:eastAsia="Arial" w:hAnsi="Arial"/>
          <w:sz w:val="18"/>
          <w:szCs w:val="18"/>
          <w:i w:val="1"/>
          <w:iCs w:val="1"/>
          <w:color w:val="auto"/>
        </w:rPr>
        <w:t>Healthcare &amp; Pharmaceuticals</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Otter Products, LLC (OtterBox Holdings, Inc.)</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(9), (10)</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195" w:lineRule="auto"/>
        <w:rPr>
          <w:sz w:val="20"/>
          <w:szCs w:val="20"/>
          <w:color w:val="auto"/>
        </w:rPr>
      </w:pPr>
      <w:r>
        <w:rPr>
          <w:rFonts w:ascii="Arial" w:cs="Arial" w:eastAsia="Arial" w:hAnsi="Arial"/>
          <w:sz w:val="18"/>
          <w:szCs w:val="18"/>
          <w:color w:val="auto"/>
        </w:rPr>
        <w:t>PGX Holdings,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Consumer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Playpower,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Construction &amp; Building</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PrimeLine Utility Services LLC (fka FR Utility</w:t>
      </w:r>
    </w:p>
    <w:p>
      <w:pPr>
        <w:ind w:left="180"/>
        <w:spacing w:after="0" w:line="203" w:lineRule="auto"/>
        <w:rPr>
          <w:sz w:val="20"/>
          <w:szCs w:val="20"/>
          <w:color w:val="auto"/>
        </w:rPr>
      </w:pPr>
      <w:r>
        <w:rPr>
          <w:rFonts w:ascii="Arial" w:cs="Arial" w:eastAsia="Arial" w:hAnsi="Arial"/>
          <w:sz w:val="18"/>
          <w:szCs w:val="18"/>
          <w:color w:val="auto"/>
        </w:rPr>
        <w:t>Services LLC)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Energy: Electricity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PSC Industrial Holdings Corp.</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385" w:lineRule="exact"/>
        <w:rPr>
          <w:sz w:val="20"/>
          <w:szCs w:val="20"/>
          <w:color w:val="auto"/>
        </w:rPr>
      </w:pPr>
    </w:p>
    <w:p>
      <w:pPr>
        <w:ind w:left="180" w:right="740" w:hanging="179"/>
        <w:spacing w:after="0" w:line="212" w:lineRule="auto"/>
        <w:rPr>
          <w:sz w:val="20"/>
          <w:szCs w:val="20"/>
          <w:color w:val="auto"/>
        </w:rPr>
      </w:pPr>
      <w:r>
        <w:rPr>
          <w:rFonts w:ascii="Arial" w:cs="Arial" w:eastAsia="Arial" w:hAnsi="Arial"/>
          <w:sz w:val="18"/>
          <w:szCs w:val="18"/>
          <w:color w:val="auto"/>
        </w:rPr>
        <w:t>Quad-C JH Holdings Inc. (aka Joerns Healthcare)</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Ravn Air Group,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Transportation: Consumer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Roscoe Medical,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Rovi Solutions Corporation/Rovi Guides, Inc.</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36" w:lineRule="auto"/>
        <w:rPr>
          <w:sz w:val="20"/>
          <w:szCs w:val="20"/>
          <w:color w:val="auto"/>
        </w:rPr>
      </w:pPr>
      <w:r>
        <w:rPr>
          <w:rFonts w:ascii="Arial" w:cs="Arial" w:eastAsia="Arial" w:hAnsi="Arial"/>
          <w:sz w:val="16"/>
          <w:szCs w:val="16"/>
          <w:color w:val="auto"/>
        </w:rPr>
        <w:t>Sandy Creek Energy Associates, L.P.</w:t>
      </w:r>
      <w:r>
        <w:rPr>
          <w:rFonts w:ascii="Arial" w:cs="Arial" w:eastAsia="Arial" w:hAnsi="Arial"/>
          <w:sz w:val="26"/>
          <w:szCs w:val="26"/>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Utilities: Electric</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Stafford Logistics, Inc.(dba Custom Ecology,</w:t>
      </w:r>
    </w:p>
    <w:p>
      <w:pPr>
        <w:ind w:left="180"/>
        <w:spacing w:after="0" w:line="184" w:lineRule="auto"/>
        <w:rPr>
          <w:sz w:val="20"/>
          <w:szCs w:val="20"/>
          <w:color w:val="auto"/>
        </w:rPr>
      </w:pPr>
      <w:r>
        <w:rPr>
          <w:rFonts w:ascii="Arial" w:cs="Arial" w:eastAsia="Arial" w:hAnsi="Arial"/>
          <w:sz w:val="33"/>
          <w:szCs w:val="33"/>
          <w:color w:val="auto"/>
          <w:vertAlign w:val="subscript"/>
        </w:rPr>
        <w:t>Inc.)</w:t>
      </w:r>
      <w:r>
        <w:rPr>
          <w:rFonts w:ascii="Arial" w:cs="Arial" w:eastAsia="Arial" w:hAnsi="Arial"/>
          <w:sz w:val="14"/>
          <w:szCs w:val="14"/>
          <w:color w:val="auto"/>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Products Corporation, The (fka Huish</w:t>
      </w:r>
    </w:p>
    <w:p>
      <w:pPr>
        <w:spacing w:after="0" w:line="9" w:lineRule="exact"/>
        <w:rPr>
          <w:sz w:val="20"/>
          <w:szCs w:val="20"/>
          <w:color w:val="auto"/>
        </w:rPr>
      </w:pPr>
    </w:p>
    <w:p>
      <w:pPr>
        <w:ind w:left="180" w:right="1020"/>
        <w:spacing w:after="0" w:line="234" w:lineRule="auto"/>
        <w:rPr>
          <w:sz w:val="20"/>
          <w:szCs w:val="20"/>
          <w:color w:val="auto"/>
        </w:rPr>
      </w:pPr>
      <w:r>
        <w:rPr>
          <w:rFonts w:ascii="Arial" w:cs="Arial" w:eastAsia="Arial" w:hAnsi="Arial"/>
          <w:sz w:val="16"/>
          <w:szCs w:val="16"/>
          <w:color w:val="auto"/>
        </w:rPr>
        <w:t>Detergents Inc.)</w:t>
      </w:r>
      <w:r>
        <w:rPr>
          <w:rFonts w:ascii="Arial" w:cs="Arial" w:eastAsia="Arial" w:hAnsi="Arial"/>
          <w:sz w:val="26"/>
          <w:szCs w:val="26"/>
          <w:color w:val="auto"/>
          <w:vertAlign w:val="superscript"/>
        </w:rPr>
        <w:t>(9), (10)</w:t>
      </w:r>
      <w:r>
        <w:rPr>
          <w:rFonts w:ascii="Arial" w:cs="Arial" w:eastAsia="Arial" w:hAnsi="Arial"/>
          <w:sz w:val="16"/>
          <w:szCs w:val="16"/>
          <w:color w:val="auto"/>
        </w:rPr>
        <w:t xml:space="preserve"> </w:t>
      </w:r>
      <w:r>
        <w:rPr>
          <w:rFonts w:ascii="Arial" w:cs="Arial" w:eastAsia="Arial" w:hAnsi="Arial"/>
          <w:sz w:val="16"/>
          <w:szCs w:val="16"/>
          <w:i w:val="1"/>
          <w:iCs w:val="1"/>
          <w:color w:val="auto"/>
        </w:rPr>
        <w:t>Consumer goods: Non-durable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Tank Partners Holdings,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Energy: Oil &amp; Gas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TPF II Power, LLC (TPF II Covert Midco,</w:t>
      </w:r>
    </w:p>
    <w:p>
      <w:pPr>
        <w:ind w:left="180"/>
        <w:spacing w:after="0" w:line="182" w:lineRule="auto"/>
        <w:rPr>
          <w:sz w:val="20"/>
          <w:szCs w:val="20"/>
          <w:color w:val="auto"/>
        </w:rPr>
      </w:pPr>
      <w:r>
        <w:rPr>
          <w:rFonts w:ascii="Arial" w:cs="Arial" w:eastAsia="Arial" w:hAnsi="Arial"/>
          <w:sz w:val="32"/>
          <w:szCs w:val="32"/>
          <w:color w:val="auto"/>
          <w:vertAlign w:val="subscript"/>
        </w:rPr>
        <w:t>LLC)</w:t>
      </w:r>
      <w:r>
        <w:rPr>
          <w:rFonts w:ascii="Arial" w:cs="Arial" w:eastAsia="Arial" w:hAnsi="Arial"/>
          <w:sz w:val="14"/>
          <w:szCs w:val="14"/>
          <w:color w:val="auto"/>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Utilities: Electric</w:t>
      </w:r>
    </w:p>
    <w:p>
      <w:pPr>
        <w:spacing w:after="0" w:line="186" w:lineRule="auto"/>
        <w:rPr>
          <w:sz w:val="20"/>
          <w:szCs w:val="20"/>
          <w:color w:val="auto"/>
        </w:rPr>
      </w:pPr>
      <w:r>
        <w:rPr>
          <w:rFonts w:ascii="Arial" w:cs="Arial" w:eastAsia="Arial" w:hAnsi="Arial"/>
          <w:sz w:val="18"/>
          <w:szCs w:val="18"/>
          <w:color w:val="auto"/>
        </w:rPr>
        <w:t>Trimaran Advisors,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Related Party Loan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TRSO I,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Energy: Oil &amp; Gas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Tranche B-2</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972,650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965,333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893,865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9.5%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12/19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1,932,311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1,932,311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1,823,329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 2013)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6/19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1,856,203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1,861,076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1,681,414</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2,754,168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2,736,134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2,604,892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9/20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3,818,571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3,788,271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3,813,225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1,976,345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1,907,614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3,465,576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3,465,000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3,004,650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2,978,349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3,000,744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A</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3,940,026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3,918,354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3,937,662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2,484,375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2,472,795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2,324,381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11.3% Cash, Due 9/19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6,654,533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6,235,020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3.8% Cash, 0.8%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2,962,406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2,930,614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2,947,890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11/20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2,708,992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2,699,558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1,907,130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2,854,780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2,835,003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2,736,307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Tranche B</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3/20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3,882,654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3,863,759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3,657,460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6.6% Cash, 3.5% PIK, 3.0% Libor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Floor, Due 8/19</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10,759,919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10,624,515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8,177,538</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10/21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2,950,953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2,973,524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2,899,311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Unsecured Loan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9.0% Cash, Due 11/17</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11.0%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12/17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992,101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950,300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-8309610</wp:posOffset>
            </wp:positionV>
            <wp:extent cx="7246620" cy="548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-7322820</wp:posOffset>
            </wp:positionV>
            <wp:extent cx="7246620" cy="548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-6225540</wp:posOffset>
            </wp:positionV>
            <wp:extent cx="7246620" cy="548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-5127625</wp:posOffset>
            </wp:positionV>
            <wp:extent cx="7246620" cy="548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-4029710</wp:posOffset>
            </wp:positionV>
            <wp:extent cx="7246620" cy="411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-3206750</wp:posOffset>
            </wp:positionV>
            <wp:extent cx="7246620" cy="411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-2357755</wp:posOffset>
            </wp:positionV>
            <wp:extent cx="7246620" cy="548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-1397000</wp:posOffset>
            </wp:positionV>
            <wp:extent cx="7246620" cy="43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-548005</wp:posOffset>
            </wp:positionV>
            <wp:extent cx="7246620" cy="548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-9415780</wp:posOffset>
            </wp:positionV>
            <wp:extent cx="7246620" cy="557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120"/>
            <w:col w:w="7760"/>
          </w:cols>
          <w:pgMar w:left="240" w:top="904" w:right="339" w:bottom="0" w:gutter="0" w:footer="0" w:header="0"/>
        </w:sectPr>
      </w:pPr>
    </w:p>
    <w:p>
      <w:pPr>
        <w:spacing w:after="0" w:line="2"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11320"/>
          </w:cols>
          <w:pgMar w:left="240" w:top="904" w:right="339" w:bottom="0" w:gutter="0" w:footer="0" w:header="0"/>
          <w:type w:val="continuous"/>
        </w:sectPr>
      </w:pPr>
    </w:p>
    <w:bookmarkStart w:id="28" w:name="page29"/>
    <w:bookmarkEnd w:id="28"/>
    <w:p>
      <w:pPr>
        <w:jc w:val="center"/>
        <w:ind w:right="-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9" w:name="page30"/>
    <w:bookmarkEnd w:id="29"/>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TWCC Holding Corp.</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U.S. Shipping Corp (fka U.S. Shipping</w:t>
      </w:r>
    </w:p>
    <w:p>
      <w:pPr>
        <w:ind w:left="180"/>
        <w:spacing w:after="0" w:line="195" w:lineRule="auto"/>
        <w:rPr>
          <w:sz w:val="20"/>
          <w:szCs w:val="20"/>
          <w:color w:val="auto"/>
        </w:rPr>
      </w:pPr>
      <w:r>
        <w:rPr>
          <w:rFonts w:ascii="Arial" w:cs="Arial" w:eastAsia="Arial" w:hAnsi="Arial"/>
          <w:sz w:val="18"/>
          <w:szCs w:val="18"/>
          <w:color w:val="auto"/>
        </w:rPr>
        <w:t>Partners LP)</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USJ-IMECO Holding Company, LLC</w:t>
      </w:r>
      <w:r>
        <w:rPr>
          <w:rFonts w:ascii="Arial" w:cs="Arial" w:eastAsia="Arial" w:hAnsi="Arial"/>
          <w:sz w:val="26"/>
          <w:szCs w:val="26"/>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169" w:lineRule="exact"/>
        <w:rPr>
          <w:sz w:val="20"/>
          <w:szCs w:val="20"/>
          <w:color w:val="auto"/>
        </w:rPr>
      </w:pPr>
    </w:p>
    <w:p>
      <w:pPr>
        <w:ind w:left="180" w:right="440" w:hanging="179"/>
        <w:spacing w:after="0" w:line="212" w:lineRule="auto"/>
        <w:rPr>
          <w:sz w:val="20"/>
          <w:szCs w:val="20"/>
          <w:color w:val="auto"/>
        </w:rPr>
      </w:pPr>
      <w:r>
        <w:rPr>
          <w:rFonts w:ascii="Arial" w:cs="Arial" w:eastAsia="Arial" w:hAnsi="Arial"/>
          <w:sz w:val="18"/>
          <w:szCs w:val="18"/>
          <w:color w:val="auto"/>
        </w:rPr>
        <w:t>Vantiv, LLC (fka Fifth Third Processing Solutions, LLC)</w:t>
      </w:r>
      <w:r>
        <w:rPr>
          <w:rFonts w:ascii="Arial" w:cs="Arial" w:eastAsia="Arial" w:hAnsi="Arial"/>
          <w:sz w:val="30"/>
          <w:szCs w:val="30"/>
          <w:color w:val="auto"/>
          <w:vertAlign w:val="superscript"/>
        </w:rPr>
        <w:t>(10)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Banking, Finance, Insurance &amp; Real Estate</w:t>
      </w:r>
    </w:p>
    <w:p>
      <w:pPr>
        <w:spacing w:after="0" w:line="200" w:lineRule="auto"/>
        <w:rPr>
          <w:sz w:val="20"/>
          <w:szCs w:val="20"/>
          <w:color w:val="auto"/>
        </w:rPr>
      </w:pPr>
      <w:r>
        <w:rPr>
          <w:rFonts w:ascii="Arial" w:cs="Arial" w:eastAsia="Arial" w:hAnsi="Arial"/>
          <w:sz w:val="18"/>
          <w:szCs w:val="18"/>
          <w:color w:val="auto"/>
        </w:rPr>
        <w:t>Verdesian Life Sciences, LLC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Vestcom International, Inc. (fka Vector</w:t>
      </w:r>
    </w:p>
    <w:p>
      <w:pPr>
        <w:ind w:left="180"/>
        <w:spacing w:after="0" w:line="195" w:lineRule="auto"/>
        <w:rPr>
          <w:sz w:val="20"/>
          <w:szCs w:val="20"/>
          <w:color w:val="auto"/>
        </w:rPr>
      </w:pPr>
      <w:r>
        <w:rPr>
          <w:rFonts w:ascii="Arial" w:cs="Arial" w:eastAsia="Arial" w:hAnsi="Arial"/>
          <w:sz w:val="18"/>
          <w:szCs w:val="18"/>
          <w:color w:val="auto"/>
        </w:rPr>
        <w:t>Investment Holdings,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w:t>
      </w:r>
    </w:p>
    <w:p>
      <w:pPr>
        <w:spacing w:after="0" w:line="184" w:lineRule="auto"/>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WireCo WorldGroup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184" w:lineRule="auto"/>
        <w:rPr>
          <w:sz w:val="20"/>
          <w:szCs w:val="20"/>
          <w:color w:val="auto"/>
        </w:rPr>
      </w:pPr>
      <w:r>
        <w:rPr>
          <w:rFonts w:ascii="Arial" w:cs="Arial" w:eastAsia="Arial" w:hAnsi="Arial"/>
          <w:sz w:val="18"/>
          <w:szCs w:val="18"/>
          <w:color w:val="auto"/>
        </w:rPr>
        <w:t>WireCo WorldGroup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7" w:lineRule="exact"/>
        <w:rPr>
          <w:sz w:val="20"/>
          <w:szCs w:val="20"/>
          <w:color w:val="auto"/>
        </w:rPr>
      </w:pPr>
    </w:p>
    <w:p>
      <w:pPr>
        <w:ind w:left="180" w:right="80" w:hanging="179"/>
        <w:spacing w:after="0" w:line="307" w:lineRule="auto"/>
        <w:rPr>
          <w:sz w:val="20"/>
          <w:szCs w:val="20"/>
          <w:color w:val="auto"/>
        </w:rPr>
      </w:pPr>
      <w:r>
        <w:rPr>
          <w:rFonts w:ascii="Arial" w:cs="Arial" w:eastAsia="Arial" w:hAnsi="Arial"/>
          <w:sz w:val="17"/>
          <w:szCs w:val="17"/>
          <w:b w:val="1"/>
          <w:bCs w:val="1"/>
          <w:color w:val="auto"/>
        </w:rPr>
        <w:t>Total Investment in Debt Securities (132%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400" w:type="dxa"/>
            <w:vAlign w:val="bottom"/>
          </w:tcPr>
          <w:p>
            <w:pPr>
              <w:spacing w:after="0"/>
              <w:rPr>
                <w:sz w:val="19"/>
                <w:szCs w:val="19"/>
                <w:color w:val="auto"/>
              </w:rPr>
            </w:pPr>
          </w:p>
        </w:tc>
        <w:tc>
          <w:tcPr>
            <w:tcW w:w="3160" w:type="dxa"/>
            <w:vAlign w:val="bottom"/>
            <w:gridSpan w:val="2"/>
          </w:tcPr>
          <w:p>
            <w:pPr>
              <w:ind w:left="8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3160" w:type="dxa"/>
            <w:vAlign w:val="bottom"/>
            <w:gridSpan w:val="2"/>
          </w:tcPr>
          <w:p>
            <w:pPr>
              <w:ind w:left="3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Senior Secured Loan — Term B-1</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Loan</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5.8%</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0.8%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2/20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822,470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827,875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822,470</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Tranche B-2</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6/21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1,411,023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1,409,966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1,405,802</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7.0%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Due 4/20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3,915,823</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3,928,428</w:t>
            </w:r>
          </w:p>
        </w:tc>
        <w:tc>
          <w:tcPr>
            <w:tcW w:w="0" w:type="dxa"/>
            <w:vAlign w:val="bottom"/>
          </w:tcPr>
          <w:p>
            <w:pPr>
              <w:spacing w:after="0"/>
              <w:rPr>
                <w:sz w:val="1"/>
                <w:szCs w:val="1"/>
                <w:color w:val="auto"/>
              </w:rPr>
            </w:pPr>
          </w:p>
        </w:tc>
      </w:tr>
      <w:tr>
        <w:trPr>
          <w:trHeight w:val="242"/>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3.8%</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0.8%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6/21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1,688,507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1,692,039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1,685,333</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6.0%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Due 7/20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3,981,279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3,937,250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3,784,206</w:t>
            </w:r>
          </w:p>
        </w:tc>
        <w:tc>
          <w:tcPr>
            <w:tcW w:w="0" w:type="dxa"/>
            <w:vAlign w:val="bottom"/>
          </w:tcPr>
          <w:p>
            <w:pPr>
              <w:spacing w:after="0"/>
              <w:rPr>
                <w:sz w:val="1"/>
                <w:szCs w:val="1"/>
                <w:color w:val="auto"/>
              </w:rPr>
            </w:pPr>
          </w:p>
        </w:tc>
      </w:tr>
      <w:tr>
        <w:trPr>
          <w:trHeight w:val="242"/>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9/21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2,989,755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3,006,198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2,860,598</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11/18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1,106,050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1,099,501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1,105,829</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Due 11/18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5,515,079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5,482,956</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5,513,976</w:t>
            </w:r>
          </w:p>
        </w:tc>
        <w:tc>
          <w:tcPr>
            <w:tcW w:w="0" w:type="dxa"/>
            <w:vAlign w:val="bottom"/>
          </w:tcPr>
          <w:p>
            <w:pPr>
              <w:spacing w:after="0"/>
              <w:rPr>
                <w:sz w:val="1"/>
                <w:szCs w:val="1"/>
                <w:color w:val="auto"/>
              </w:rPr>
            </w:pPr>
          </w:p>
        </w:tc>
      </w:tr>
      <w:tr>
        <w:trPr>
          <w:trHeight w:val="242"/>
        </w:trPr>
        <w:tc>
          <w:tcPr>
            <w:tcW w:w="3560" w:type="dxa"/>
            <w:vAlign w:val="bottom"/>
            <w:gridSpan w:val="3"/>
          </w:tcPr>
          <w:p>
            <w:pPr>
              <w:spacing w:after="0"/>
              <w:rPr>
                <w:sz w:val="20"/>
                <w:szCs w:val="20"/>
                <w:color w:val="auto"/>
              </w:rPr>
            </w:pPr>
            <w:r>
              <w:rPr>
                <w:rFonts w:ascii="Arial" w:cs="Arial" w:eastAsia="Arial" w:hAnsi="Arial"/>
                <w:sz w:val="18"/>
                <w:szCs w:val="18"/>
                <w:color w:val="auto"/>
              </w:rPr>
              <w:t>Senior Unsecured Bond —</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9.0%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Due 5/17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4,975,822</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4,067,500</w:t>
            </w:r>
          </w:p>
        </w:tc>
        <w:tc>
          <w:tcPr>
            <w:tcW w:w="0" w:type="dxa"/>
            <w:vAlign w:val="bottom"/>
          </w:tcPr>
          <w:p>
            <w:pPr>
              <w:spacing w:after="0"/>
              <w:rPr>
                <w:sz w:val="1"/>
                <w:szCs w:val="1"/>
                <w:color w:val="auto"/>
              </w:rPr>
            </w:pPr>
          </w:p>
        </w:tc>
      </w:tr>
      <w:tr>
        <w:trPr>
          <w:trHeight w:val="242"/>
        </w:trPr>
        <w:tc>
          <w:tcPr>
            <w:tcW w:w="3560" w:type="dxa"/>
            <w:vAlign w:val="bottom"/>
            <w:gridSpan w:val="3"/>
          </w:tcPr>
          <w:p>
            <w:pPr>
              <w:spacing w:after="0"/>
              <w:rPr>
                <w:sz w:val="20"/>
                <w:szCs w:val="20"/>
                <w:color w:val="auto"/>
              </w:rPr>
            </w:pPr>
            <w:r>
              <w:rPr>
                <w:rFonts w:ascii="Arial" w:cs="Arial" w:eastAsia="Arial" w:hAnsi="Arial"/>
                <w:sz w:val="18"/>
                <w:szCs w:val="18"/>
                <w:color w:val="auto"/>
              </w:rPr>
              <w:t>Senior Unsecured Bond —</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0"/>
                <w:szCs w:val="20"/>
                <w:color w:val="auto"/>
              </w:rPr>
            </w:pPr>
            <w:r>
              <w:rPr>
                <w:rFonts w:ascii="Arial" w:cs="Arial" w:eastAsia="Arial" w:hAnsi="Arial"/>
                <w:sz w:val="18"/>
                <w:szCs w:val="18"/>
                <w:color w:val="auto"/>
                <w:w w:val="92"/>
              </w:rPr>
              <w:t>9.0%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Due 5/17</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3,043,520</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2,440,500</w:t>
            </w:r>
          </w:p>
        </w:tc>
        <w:tc>
          <w:tcPr>
            <w:tcW w:w="0" w:type="dxa"/>
            <w:vAlign w:val="bottom"/>
          </w:tcPr>
          <w:p>
            <w:pPr>
              <w:spacing w:after="0"/>
              <w:rPr>
                <w:sz w:val="1"/>
                <w:szCs w:val="1"/>
                <w:color w:val="auto"/>
              </w:rPr>
            </w:pPr>
          </w:p>
        </w:tc>
      </w:tr>
      <w:tr>
        <w:trPr>
          <w:trHeight w:val="426"/>
        </w:trPr>
        <w:tc>
          <w:tcPr>
            <w:tcW w:w="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299,940,657</w:t>
            </w:r>
          </w:p>
        </w:tc>
        <w:tc>
          <w:tcPr>
            <w:tcW w:w="12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298,308,845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284,639,244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-3558540</wp:posOffset>
            </wp:positionV>
            <wp:extent cx="7246620" cy="411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-2709545</wp:posOffset>
            </wp:positionV>
            <wp:extent cx="7246620" cy="548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-1723390</wp:posOffset>
            </wp:positionV>
            <wp:extent cx="7246620" cy="411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-899795</wp:posOffset>
            </wp:positionV>
            <wp:extent cx="7246620" cy="3003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-290830</wp:posOffset>
            </wp:positionV>
            <wp:extent cx="7246620" cy="283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-4664710</wp:posOffset>
            </wp:positionV>
            <wp:extent cx="7246620" cy="557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340" w:space="220"/>
            <w:col w:w="7760"/>
          </w:cols>
          <w:pgMar w:left="240" w:top="90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Company/Principal Business</w:t>
            </w:r>
          </w:p>
        </w:tc>
        <w:tc>
          <w:tcPr>
            <w:tcW w:w="354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Interest/Shares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4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7"/>
                <w:szCs w:val="27"/>
                <w:color w:val="auto"/>
                <w:vertAlign w:val="superscript"/>
              </w:rPr>
              <w:t>(5), (9)</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Aerospace and Defense</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 Interests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Aerospace and Defense</w:t>
            </w:r>
          </w:p>
        </w:tc>
        <w:tc>
          <w:tcPr>
            <w:tcW w:w="3540" w:type="dxa"/>
            <w:vAlign w:val="bottom"/>
            <w:gridSpan w:val="2"/>
          </w:tcPr>
          <w:p>
            <w:pPr>
              <w:spacing w:after="0"/>
              <w:rPr>
                <w:sz w:val="20"/>
                <w:szCs w:val="20"/>
                <w:color w:val="auto"/>
              </w:rPr>
            </w:pPr>
            <w:r>
              <w:rPr>
                <w:rFonts w:ascii="Arial" w:cs="Arial" w:eastAsia="Arial" w:hAnsi="Arial"/>
                <w:sz w:val="18"/>
                <w:szCs w:val="18"/>
                <w:color w:val="auto"/>
              </w:rPr>
              <w:t>Series A Preferred Interests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250,960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937,053</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60" w:type="dxa"/>
            <w:vAlign w:val="bottom"/>
            <w:gridSpan w:val="2"/>
            <w:shd w:val="clear" w:color="auto" w:fill="CCEEFF"/>
          </w:tcPr>
          <w:p>
            <w:pPr>
              <w:ind w:left="180"/>
              <w:spacing w:after="0" w:line="253" w:lineRule="exact"/>
              <w:rPr>
                <w:sz w:val="20"/>
                <w:szCs w:val="20"/>
                <w:color w:val="auto"/>
              </w:rPr>
            </w:pPr>
            <w:r>
              <w:rPr>
                <w:rFonts w:ascii="Arial" w:cs="Arial" w:eastAsia="Arial" w:hAnsi="Arial"/>
                <w:sz w:val="18"/>
                <w:szCs w:val="18"/>
                <w:color w:val="auto"/>
              </w:rPr>
              <w:t>Investments Incorporated)</w:t>
            </w:r>
            <w:r>
              <w:rPr>
                <w:rFonts w:ascii="Arial" w:cs="Arial" w:eastAsia="Arial" w:hAnsi="Arial"/>
                <w:sz w:val="29"/>
                <w:szCs w:val="29"/>
                <w:color w:val="auto"/>
                <w:vertAlign w:val="superscript"/>
              </w:rPr>
              <w:t>(5), (9)</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Media: Advertising, Printing &amp; Publishing</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568,544</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Services: Business</w:t>
            </w:r>
          </w:p>
        </w:tc>
        <w:tc>
          <w:tcPr>
            <w:tcW w:w="3540" w:type="dxa"/>
            <w:vAlign w:val="bottom"/>
            <w:gridSpan w:val="2"/>
          </w:tcPr>
          <w:p>
            <w:pPr>
              <w:spacing w:after="0"/>
              <w:rPr>
                <w:sz w:val="20"/>
                <w:szCs w:val="20"/>
                <w:color w:val="auto"/>
              </w:rPr>
            </w:pPr>
            <w:r>
              <w:rPr>
                <w:rFonts w:ascii="Arial" w:cs="Arial" w:eastAsia="Arial" w:hAnsi="Arial"/>
                <w:sz w:val="18"/>
                <w:szCs w:val="18"/>
                <w:color w:val="auto"/>
              </w:rPr>
              <w:t>Class A Warrants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258,940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4,316,159</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(5), (9)</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Services: Business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Membership Units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 (5)</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Capital Equipment</w:t>
            </w:r>
          </w:p>
        </w:tc>
        <w:tc>
          <w:tcPr>
            <w:tcW w:w="3540" w:type="dxa"/>
            <w:vAlign w:val="bottom"/>
            <w:gridSpan w:val="2"/>
          </w:tcPr>
          <w:p>
            <w:pPr>
              <w:spacing w:after="0"/>
              <w:rPr>
                <w:sz w:val="20"/>
                <w:szCs w:val="20"/>
                <w:color w:val="auto"/>
              </w:rPr>
            </w:pPr>
            <w:r>
              <w:rPr>
                <w:rFonts w:ascii="Arial" w:cs="Arial" w:eastAsia="Arial" w:hAnsi="Arial"/>
                <w:sz w:val="18"/>
                <w:szCs w:val="18"/>
                <w:color w:val="auto"/>
              </w:rPr>
              <w:t>Class A Shares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1,338,767</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(5), (9)</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Hotel, Gaming &amp; Leisure</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Healthcare &amp; Pharmaceuticals</w:t>
            </w:r>
          </w:p>
        </w:tc>
        <w:tc>
          <w:tcPr>
            <w:tcW w:w="3540" w:type="dxa"/>
            <w:vAlign w:val="bottom"/>
            <w:gridSpan w:val="2"/>
          </w:tcPr>
          <w:p>
            <w:pPr>
              <w:spacing w:after="0"/>
              <w:rPr>
                <w:sz w:val="20"/>
                <w:szCs w:val="20"/>
                <w:color w:val="auto"/>
              </w:rPr>
            </w:pPr>
            <w:r>
              <w:rPr>
                <w:rFonts w:ascii="Arial" w:cs="Arial" w:eastAsia="Arial" w:hAnsi="Arial"/>
                <w:sz w:val="18"/>
                <w:szCs w:val="18"/>
                <w:color w:val="auto"/>
              </w:rPr>
              <w:t>Class A Units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863,000</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 (12)</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(5), (9)</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1,074,480</w:t>
            </w:r>
          </w:p>
        </w:tc>
        <w:tc>
          <w:tcPr>
            <w:tcW w:w="0" w:type="dxa"/>
            <w:vAlign w:val="bottom"/>
          </w:tcPr>
          <w:p>
            <w:pPr>
              <w:spacing w:after="0"/>
              <w:rPr>
                <w:sz w:val="1"/>
                <w:szCs w:val="1"/>
                <w:color w:val="auto"/>
              </w:rPr>
            </w:pPr>
          </w:p>
        </w:tc>
      </w:tr>
      <w:tr>
        <w:trPr>
          <w:trHeight w:val="205"/>
        </w:trPr>
        <w:tc>
          <w:tcPr>
            <w:tcW w:w="3560" w:type="dxa"/>
            <w:vAlign w:val="bottom"/>
            <w:gridSpan w:val="2"/>
          </w:tcPr>
          <w:p>
            <w:pPr>
              <w:spacing w:after="0" w:line="206" w:lineRule="exact"/>
              <w:rPr>
                <w:sz w:val="20"/>
                <w:szCs w:val="20"/>
                <w:color w:val="auto"/>
              </w:rPr>
            </w:pPr>
            <w:r>
              <w:rPr>
                <w:rFonts w:ascii="Arial" w:cs="Arial" w:eastAsia="Arial" w:hAnsi="Arial"/>
                <w:sz w:val="18"/>
                <w:szCs w:val="18"/>
                <w:color w:val="auto"/>
              </w:rPr>
              <w:t>New Millennium Holdco, Inc. (Millennium</w:t>
            </w: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60" w:type="dxa"/>
            <w:vAlign w:val="bottom"/>
            <w:gridSpan w:val="2"/>
          </w:tcPr>
          <w:p>
            <w:pPr>
              <w:ind w:left="180"/>
              <w:spacing w:after="0" w:line="253" w:lineRule="exact"/>
              <w:rPr>
                <w:sz w:val="20"/>
                <w:szCs w:val="20"/>
                <w:color w:val="auto"/>
              </w:rPr>
            </w:pPr>
            <w:r>
              <w:rPr>
                <w:rFonts w:ascii="Arial" w:cs="Arial" w:eastAsia="Arial" w:hAnsi="Arial"/>
                <w:sz w:val="18"/>
                <w:szCs w:val="18"/>
                <w:color w:val="auto"/>
              </w:rPr>
              <w:t>Health, LLC)</w:t>
            </w:r>
            <w:r>
              <w:rPr>
                <w:rFonts w:ascii="Arial" w:cs="Arial" w:eastAsia="Arial" w:hAnsi="Arial"/>
                <w:sz w:val="29"/>
                <w:szCs w:val="29"/>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Healthcare &amp; Pharmaceuticals</w:t>
            </w:r>
          </w:p>
        </w:tc>
        <w:tc>
          <w:tcPr>
            <w:tcW w:w="3540" w:type="dxa"/>
            <w:vAlign w:val="bottom"/>
            <w:gridSpan w:val="2"/>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1,953,299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445,485</w:t>
            </w: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4"/>
              </w:rPr>
              <w:t>Total Investment in Equity Securities (4% of</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10,467,786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9,548,488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00" w:type="dxa"/>
            <w:vAlign w:val="bottom"/>
            <w:gridSpan w:val="4"/>
          </w:tcPr>
          <w:p>
            <w:pPr>
              <w:spacing w:after="0"/>
              <w:rPr>
                <w:sz w:val="20"/>
                <w:szCs w:val="20"/>
                <w:color w:val="auto"/>
              </w:rPr>
            </w:pPr>
            <w:r>
              <w:rPr>
                <w:rFonts w:ascii="Arial" w:cs="Arial" w:eastAsia="Arial" w:hAnsi="Arial"/>
                <w:sz w:val="18"/>
                <w:szCs w:val="18"/>
                <w:b w:val="1"/>
                <w:bCs w:val="1"/>
                <w:color w:val="auto"/>
              </w:rPr>
              <w:t>CLO Subordinated Securities, Preferred Shares and Income Notes Investments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(13)</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vMerge w:val="continue"/>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Grant Grove CLO, Ltd.</w:t>
            </w:r>
            <w:r>
              <w:rPr>
                <w:rFonts w:ascii="Arial" w:cs="Arial" w:eastAsia="Arial" w:hAnsi="Arial"/>
                <w:sz w:val="22"/>
                <w:szCs w:val="22"/>
                <w:color w:val="auto"/>
                <w:vertAlign w:val="superscript"/>
              </w:rPr>
              <w:t>(3)</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Subordinated Securities,</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interest 9.6%,</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2,484,943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280,164</w:t>
            </w: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Katonah III, Ltd.</w:t>
            </w:r>
            <w:r>
              <w:rPr>
                <w:rFonts w:ascii="Arial" w:cs="Arial" w:eastAsia="Arial" w:hAnsi="Arial"/>
                <w:sz w:val="23"/>
                <w:szCs w:val="23"/>
                <w:color w:val="auto"/>
                <w:vertAlign w:val="superscript"/>
              </w:rPr>
              <w:t>(3)</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Preferred Shares, effective</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1,373,132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N/M, 5/15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Katonah IX CLO Ltd</w:t>
            </w:r>
            <w:r>
              <w:rPr>
                <w:rFonts w:ascii="Arial" w:cs="Arial" w:eastAsia="Arial" w:hAnsi="Arial"/>
                <w:sz w:val="23"/>
                <w:szCs w:val="23"/>
                <w:color w:val="auto"/>
                <w:vertAlign w:val="superscript"/>
              </w:rPr>
              <w:t>(3), (6), (14)</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Preferred Shares,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1,140,057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2.2%, 1/19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Katonah X CLO Ltd</w:t>
            </w:r>
            <w:r>
              <w:rPr>
                <w:rFonts w:ascii="Arial" w:cs="Arial" w:eastAsia="Arial" w:hAnsi="Arial"/>
                <w:sz w:val="23"/>
                <w:szCs w:val="23"/>
                <w:color w:val="auto"/>
                <w:vertAlign w:val="superscript"/>
              </w:rPr>
              <w:t>(3), (6), (14)</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Securities,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effective interest 12.8%,</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4/20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7,637,499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Katonah 2007-I CLO Ltd.</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Preferred Shares,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24,312,424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20,295,677</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27.0%, 4/22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Trimaran CLO VII, Ltd.</w:t>
            </w:r>
            <w:r>
              <w:rPr>
                <w:rFonts w:ascii="Arial" w:cs="Arial" w:eastAsia="Arial" w:hAnsi="Arial"/>
                <w:sz w:val="23"/>
                <w:szCs w:val="23"/>
                <w:color w:val="auto"/>
                <w:vertAlign w:val="superscript"/>
              </w:rPr>
              <w:t>(3),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Income Notes, effective</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1,375,013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1,647,272</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50.8%, 6/21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Catamaran CLO 2012-1 Ltd.</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6,791,980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3,312,940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2.8%, 12/23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Catamaran CLO 2013-1 Ltd.</w:t>
            </w:r>
            <w:r>
              <w:rPr>
                <w:rFonts w:ascii="Arial" w:cs="Arial" w:eastAsia="Arial" w:hAnsi="Arial"/>
                <w:sz w:val="23"/>
                <w:szCs w:val="23"/>
                <w:color w:val="auto"/>
                <w:vertAlign w:val="superscript"/>
              </w:rPr>
              <w:t>(3),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6,256,090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5,639,106</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12.9%, 1/25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Catamaran CLO 2014-1 Ltd.</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8,928,790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5,846,325</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8.4%, 4/26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Dryden 30 Senior Loan Fund</w:t>
            </w:r>
            <w:r>
              <w:rPr>
                <w:rFonts w:ascii="Arial" w:cs="Arial" w:eastAsia="Arial" w:hAnsi="Arial"/>
                <w:sz w:val="23"/>
                <w:szCs w:val="23"/>
                <w:color w:val="auto"/>
                <w:vertAlign w:val="superscript"/>
              </w:rPr>
              <w:t>(3)</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1,592,303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1,634,647</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29.4%, 11/25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Catamaran CLO 2014-2 Ltd.</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8,024,168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5,751,600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8.8%, 10/26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Catamaran CLO 2015-1 Ltd.</w:t>
            </w:r>
            <w:r>
              <w:rPr>
                <w:rFonts w:ascii="Arial" w:cs="Arial" w:eastAsia="Arial" w:hAnsi="Arial"/>
                <w:sz w:val="23"/>
                <w:szCs w:val="23"/>
                <w:color w:val="auto"/>
                <w:vertAlign w:val="superscript"/>
              </w:rPr>
              <w:t>(3),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10.1%, 4/27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11,869,751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8,789,651</w:t>
            </w: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CLO Subordinated</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Securities</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81,786,150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54,702,382</w:t>
            </w:r>
          </w:p>
        </w:tc>
        <w:tc>
          <w:tcPr>
            <w:tcW w:w="0" w:type="dxa"/>
            <w:vAlign w:val="bottom"/>
          </w:tcPr>
          <w:p>
            <w:pPr>
              <w:spacing w:after="0"/>
              <w:rPr>
                <w:sz w:val="1"/>
                <w:szCs w:val="1"/>
                <w:color w:val="auto"/>
              </w:rPr>
            </w:pPr>
          </w:p>
        </w:tc>
      </w:tr>
      <w:tr>
        <w:trPr>
          <w:trHeight w:val="42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Investments</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22"/>
                <w:szCs w:val="22"/>
                <w:color w:val="auto"/>
                <w:vertAlign w:val="superscript"/>
              </w:rPr>
              <w:t>(3), (6)</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Float – 04/2026 – E –</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Value of</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1,525,000 6.1% Cash,</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4/26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1,428,797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1,170,000</w:t>
            </w: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Investment in CLO</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tcPr>
          <w:p>
            <w:pPr>
              <w:ind w:left="180"/>
              <w:spacing w:after="0"/>
              <w:rPr>
                <w:sz w:val="20"/>
                <w:szCs w:val="20"/>
                <w:color w:val="auto"/>
              </w:rPr>
            </w:pPr>
            <w:r>
              <w:rPr>
                <w:rFonts w:ascii="Arial" w:cs="Arial" w:eastAsia="Arial" w:hAnsi="Arial"/>
                <w:sz w:val="18"/>
                <w:szCs w:val="18"/>
                <w:b w:val="1"/>
                <w:bCs w:val="1"/>
                <w:color w:val="auto"/>
              </w:rPr>
              <w:t>Rated-Note</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1,428,797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1,170,000</w:t>
            </w: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CLO</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3"/>
              </w:rPr>
              <w:t>Fund Securities (26% of net asset value at</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83,214,947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55,872,382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00" w:lineRule="exact"/>
        <w:rPr>
          <w:sz w:val="20"/>
          <w:szCs w:val="20"/>
          <w:color w:val="auto"/>
        </w:rPr>
      </w:pPr>
    </w:p>
    <w:p>
      <w:pPr>
        <w:spacing w:after="0" w:line="241"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b w:val="1"/>
          <w:bCs w:val="1"/>
          <w:color w:val="auto"/>
        </w:rPr>
        <w:t xml:space="preserve">Portfolio Company/Principal Business </w:t>
      </w:r>
      <w:r>
        <w:rPr>
          <w:rFonts w:ascii="Arial" w:cs="Arial" w:eastAsia="Arial" w:hAnsi="Arial"/>
          <w:sz w:val="16"/>
          <w:szCs w:val="16"/>
          <w:color w:val="auto"/>
        </w:rPr>
        <w:t>Asset Manager Affiliates</w:t>
      </w:r>
      <w:r>
        <w:rPr>
          <w:rFonts w:ascii="Arial" w:cs="Arial" w:eastAsia="Arial" w:hAnsi="Arial"/>
          <w:sz w:val="26"/>
          <w:szCs w:val="26"/>
          <w:color w:val="auto"/>
          <w:vertAlign w:val="superscript"/>
        </w:rPr>
        <w:t>(9), (11)</w:t>
      </w:r>
    </w:p>
    <w:p>
      <w:pPr>
        <w:ind w:left="180" w:hanging="179"/>
        <w:spacing w:after="0" w:line="254" w:lineRule="auto"/>
        <w:rPr>
          <w:sz w:val="20"/>
          <w:szCs w:val="20"/>
          <w:color w:val="auto"/>
        </w:rPr>
      </w:pPr>
      <w:r>
        <w:rPr>
          <w:rFonts w:ascii="Arial" w:cs="Arial" w:eastAsia="Arial" w:hAnsi="Arial"/>
          <w:sz w:val="18"/>
          <w:szCs w:val="18"/>
          <w:b w:val="1"/>
          <w:bCs w:val="1"/>
          <w:color w:val="auto"/>
        </w:rPr>
        <w:t>Total Investment in Asset Manager Affiliates (27%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Percentage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6"/>
              </w:rPr>
              <w:t xml:space="preserve">Fair Value </w:t>
            </w:r>
            <w:r>
              <w:rPr>
                <w:rFonts w:ascii="Arial" w:cs="Arial" w:eastAsia="Arial" w:hAnsi="Arial"/>
                <w:sz w:val="30"/>
                <w:szCs w:val="30"/>
                <w:b w:val="1"/>
                <w:bCs w:val="1"/>
                <w:color w:val="auto"/>
                <w:w w:val="96"/>
                <w:vertAlign w:val="superscript"/>
              </w:rPr>
              <w:t>(2)</w:t>
            </w: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Ownership</w:t>
            </w:r>
          </w:p>
        </w:tc>
        <w:tc>
          <w:tcPr>
            <w:tcW w:w="280" w:type="dxa"/>
            <w:vAlign w:val="bottom"/>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40" w:type="dxa"/>
            <w:vAlign w:val="bottom"/>
            <w:gridSpan w:val="2"/>
          </w:tcPr>
          <w:p>
            <w:pPr>
              <w:jc w:val="right"/>
              <w:ind w:right="1420"/>
              <w:spacing w:after="0"/>
              <w:rPr>
                <w:sz w:val="20"/>
                <w:szCs w:val="20"/>
                <w:color w:val="auto"/>
              </w:rPr>
            </w:pPr>
            <w:r>
              <w:rPr>
                <w:rFonts w:ascii="Arial" w:cs="Arial" w:eastAsia="Arial" w:hAnsi="Arial"/>
                <w:sz w:val="18"/>
                <w:szCs w:val="18"/>
                <w:color w:val="auto"/>
                <w:w w:val="88"/>
              </w:rPr>
              <w:t>Asset Management Company</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56,591,230</w:t>
            </w:r>
          </w:p>
        </w:tc>
        <w:tc>
          <w:tcPr>
            <w:tcW w:w="20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57,381,000</w:t>
            </w:r>
          </w:p>
        </w:tc>
        <w:tc>
          <w:tcPr>
            <w:tcW w:w="0" w:type="dxa"/>
            <w:vAlign w:val="bottom"/>
          </w:tcPr>
          <w:p>
            <w:pPr>
              <w:spacing w:after="0"/>
              <w:rPr>
                <w:sz w:val="1"/>
                <w:szCs w:val="1"/>
                <w:color w:val="auto"/>
              </w:rPr>
            </w:pPr>
          </w:p>
        </w:tc>
      </w:tr>
      <w:tr>
        <w:trPr>
          <w:trHeight w:val="642"/>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56,591,230</w:t>
            </w:r>
          </w:p>
        </w:tc>
        <w:tc>
          <w:tcPr>
            <w:tcW w:w="1260" w:type="dxa"/>
            <w:vAlign w:val="bottom"/>
          </w:tcPr>
          <w:p>
            <w:pPr>
              <w:jc w:val="right"/>
              <w:spacing w:after="0"/>
              <w:rPr>
                <w:sz w:val="20"/>
                <w:szCs w:val="20"/>
                <w:color w:val="auto"/>
              </w:rPr>
            </w:pPr>
            <w:r>
              <w:rPr>
                <w:rFonts w:ascii="Arial" w:cs="Arial" w:eastAsia="Arial" w:hAnsi="Arial"/>
                <w:sz w:val="18"/>
                <w:szCs w:val="18"/>
                <w:color w:val="auto"/>
              </w:rPr>
              <w:t>57,381,000</w:t>
            </w:r>
          </w:p>
        </w:tc>
        <w:tc>
          <w:tcPr>
            <w:tcW w:w="0" w:type="dxa"/>
            <w:vAlign w:val="bottom"/>
          </w:tcPr>
          <w:p>
            <w:pPr>
              <w:spacing w:after="0"/>
              <w:rPr>
                <w:sz w:val="1"/>
                <w:szCs w:val="1"/>
                <w:color w:val="auto"/>
              </w:rPr>
            </w:pPr>
          </w:p>
        </w:tc>
      </w:tr>
      <w:tr>
        <w:trPr>
          <w:trHeight w:val="426"/>
        </w:trPr>
        <w:tc>
          <w:tcPr>
            <w:tcW w:w="5060" w:type="dxa"/>
            <w:vAlign w:val="bottom"/>
            <w:gridSpan w:val="4"/>
          </w:tcPr>
          <w:p>
            <w:pPr>
              <w:jc w:val="right"/>
              <w:ind w:right="920"/>
              <w:spacing w:after="0"/>
              <w:rPr>
                <w:sz w:val="20"/>
                <w:szCs w:val="20"/>
                <w:color w:val="auto"/>
              </w:rPr>
            </w:pPr>
            <w:r>
              <w:rPr>
                <w:rFonts w:ascii="Arial" w:cs="Arial" w:eastAsia="Arial" w:hAnsi="Arial"/>
                <w:sz w:val="18"/>
                <w:szCs w:val="18"/>
                <w:color w:val="auto"/>
              </w:rPr>
              <w:t>See accompanying notes to financial statements.</w:t>
            </w:r>
          </w:p>
        </w:tc>
        <w:tc>
          <w:tcPr>
            <w:tcW w:w="12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440" w:type="dxa"/>
            <w:vAlign w:val="bottom"/>
          </w:tcPr>
          <w:p>
            <w:pPr>
              <w:jc w:val="right"/>
              <w:ind w:right="109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-1294130</wp:posOffset>
            </wp:positionV>
            <wp:extent cx="7246620" cy="180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20" w:space="340"/>
            <w:col w:w="7860"/>
          </w:cols>
          <w:pgMar w:left="240" w:top="904"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w w:val="97"/>
              </w:rPr>
              <w:t>Time Deposits and Money Market Account</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w w:val="97"/>
              </w:rPr>
              <w:t>Time Deposit and Money Market Accounts</w:t>
            </w:r>
          </w:p>
        </w:tc>
        <w:tc>
          <w:tcPr>
            <w:tcW w:w="354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66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rPr>
              <w:t>Yield</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4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JP Morgan Business Money Market</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Money Market Account</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56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 xml:space="preserve">Account </w:t>
            </w:r>
            <w:r>
              <w:rPr>
                <w:rFonts w:ascii="Arial" w:cs="Arial" w:eastAsia="Arial" w:hAnsi="Arial"/>
                <w:sz w:val="30"/>
                <w:szCs w:val="30"/>
                <w:color w:val="auto"/>
                <w:vertAlign w:val="superscript"/>
              </w:rPr>
              <w:t>(8), (9)</w:t>
            </w:r>
          </w:p>
        </w:tc>
        <w:tc>
          <w:tcPr>
            <w:tcW w:w="3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0.10%  $</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249,247</w:t>
            </w:r>
          </w:p>
        </w:tc>
        <w:tc>
          <w:tcPr>
            <w:tcW w:w="0" w:type="dxa"/>
            <w:vAlign w:val="bottom"/>
          </w:tcPr>
          <w:p>
            <w:pPr>
              <w:spacing w:after="0"/>
              <w:rPr>
                <w:sz w:val="1"/>
                <w:szCs w:val="1"/>
                <w:color w:val="auto"/>
              </w:rPr>
            </w:pPr>
          </w:p>
        </w:tc>
      </w:tr>
      <w:tr>
        <w:trPr>
          <w:trHeight w:val="217"/>
        </w:trPr>
        <w:tc>
          <w:tcPr>
            <w:tcW w:w="3560" w:type="dxa"/>
            <w:vAlign w:val="bottom"/>
            <w:gridSpan w:val="2"/>
          </w:tcPr>
          <w:p>
            <w:pPr>
              <w:spacing w:after="0"/>
              <w:rPr>
                <w:sz w:val="20"/>
                <w:szCs w:val="20"/>
                <w:color w:val="auto"/>
              </w:rPr>
            </w:pPr>
            <w:r>
              <w:rPr>
                <w:rFonts w:ascii="Arial" w:cs="Arial" w:eastAsia="Arial" w:hAnsi="Arial"/>
                <w:sz w:val="18"/>
                <w:szCs w:val="18"/>
                <w:color w:val="auto"/>
              </w:rPr>
              <w:t>US Bank Money Market</w:t>
            </w:r>
          </w:p>
        </w:tc>
        <w:tc>
          <w:tcPr>
            <w:tcW w:w="3540" w:type="dxa"/>
            <w:vAlign w:val="bottom"/>
            <w:gridSpan w:val="2"/>
          </w:tcPr>
          <w:p>
            <w:pPr>
              <w:spacing w:after="0"/>
              <w:rPr>
                <w:sz w:val="20"/>
                <w:szCs w:val="20"/>
                <w:color w:val="auto"/>
              </w:rPr>
            </w:pPr>
            <w:r>
              <w:rPr>
                <w:rFonts w:ascii="Arial" w:cs="Arial" w:eastAsia="Arial" w:hAnsi="Arial"/>
                <w:sz w:val="18"/>
                <w:szCs w:val="18"/>
                <w:color w:val="auto"/>
              </w:rPr>
              <w:t>Money Market Account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80"/>
        <w:spacing w:after="0" w:line="188" w:lineRule="auto"/>
        <w:rPr>
          <w:sz w:val="20"/>
          <w:szCs w:val="20"/>
          <w:color w:val="auto"/>
        </w:rPr>
      </w:pPr>
      <w:r>
        <w:rPr>
          <w:rFonts w:ascii="Arial" w:cs="Arial" w:eastAsia="Arial" w:hAnsi="Arial"/>
          <w:sz w:val="18"/>
          <w:szCs w:val="18"/>
          <w:color w:val="auto"/>
        </w:rPr>
        <w:t>Account</w:t>
      </w:r>
      <w:r>
        <w:rPr>
          <w:rFonts w:ascii="Arial" w:cs="Arial" w:eastAsia="Arial" w:hAnsi="Arial"/>
          <w:sz w:val="30"/>
          <w:szCs w:val="30"/>
          <w:color w:val="auto"/>
          <w:vertAlign w:val="superscript"/>
        </w:rPr>
        <w:t>(9)</w:t>
      </w:r>
    </w:p>
    <w:p>
      <w:pPr>
        <w:ind w:left="180" w:hanging="179"/>
        <w:spacing w:after="0" w:line="249" w:lineRule="auto"/>
        <w:rPr>
          <w:sz w:val="20"/>
          <w:szCs w:val="20"/>
          <w:color w:val="auto"/>
        </w:rPr>
      </w:pPr>
      <w:r>
        <w:rPr>
          <w:rFonts w:ascii="Arial" w:cs="Arial" w:eastAsia="Arial" w:hAnsi="Arial"/>
          <w:sz w:val="18"/>
          <w:szCs w:val="18"/>
          <w:b w:val="1"/>
          <w:bCs w:val="1"/>
          <w:color w:val="auto"/>
        </w:rPr>
        <w:t>Total Investment in Time Deposit and Money Market Accounts (1% of net asset value at fair value)</w:t>
      </w:r>
    </w:p>
    <w:p>
      <w:pPr>
        <w:spacing w:after="0" w:line="2" w:lineRule="exact"/>
        <w:rPr>
          <w:sz w:val="20"/>
          <w:szCs w:val="20"/>
          <w:color w:val="auto"/>
        </w:rPr>
      </w:pPr>
    </w:p>
    <w:p>
      <w:pPr>
        <w:ind w:left="180" w:right="360" w:hanging="179"/>
        <w:spacing w:after="0" w:line="211" w:lineRule="auto"/>
        <w:rPr>
          <w:sz w:val="20"/>
          <w:szCs w:val="20"/>
          <w:color w:val="auto"/>
        </w:rPr>
      </w:pPr>
      <w:r>
        <w:rPr>
          <w:rFonts w:ascii="Arial" w:cs="Arial" w:eastAsia="Arial" w:hAnsi="Arial"/>
          <w:sz w:val="18"/>
          <w:szCs w:val="18"/>
          <w:b w:val="1"/>
          <w:bCs w:val="1"/>
          <w:color w:val="auto"/>
        </w:rPr>
        <w:t>Total Investments</w:t>
      </w:r>
      <w:r>
        <w:rPr>
          <w:rFonts w:ascii="Arial" w:cs="Arial" w:eastAsia="Arial" w:hAnsi="Arial"/>
          <w:sz w:val="30"/>
          <w:szCs w:val="30"/>
          <w:b w:val="1"/>
          <w:bCs w:val="1"/>
          <w:color w:val="auto"/>
          <w:vertAlign w:val="superscript"/>
        </w:rPr>
        <w:t>(4)</w:t>
      </w:r>
      <w:r>
        <w:rPr>
          <w:rFonts w:ascii="Arial" w:cs="Arial" w:eastAsia="Arial" w:hAnsi="Arial"/>
          <w:sz w:val="18"/>
          <w:szCs w:val="18"/>
          <w:b w:val="1"/>
          <w:bCs w:val="1"/>
          <w:color w:val="auto"/>
        </w:rPr>
        <w:t xml:space="preserve"> (190% of net asset value at fair value)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100"/>
        <w:spacing w:after="0"/>
        <w:tabs>
          <w:tab w:leader="none" w:pos="2160" w:val="left"/>
          <w:tab w:leader="none" w:pos="700" w:val="left"/>
        </w:tabs>
        <w:rPr>
          <w:sz w:val="20"/>
          <w:szCs w:val="20"/>
          <w:color w:val="auto"/>
        </w:rPr>
      </w:pPr>
      <w:r>
        <w:rPr>
          <w:rFonts w:ascii="Arial" w:cs="Arial" w:eastAsia="Arial" w:hAnsi="Arial"/>
          <w:sz w:val="18"/>
          <w:szCs w:val="18"/>
          <w:color w:val="auto"/>
        </w:rPr>
        <w:t>0.02%</w:t>
      </w:r>
      <w:r>
        <w:rPr>
          <w:sz w:val="20"/>
          <w:szCs w:val="20"/>
          <w:color w:val="auto"/>
        </w:rPr>
        <w:tab/>
      </w:r>
      <w:r>
        <w:rPr>
          <w:rFonts w:ascii="Arial" w:cs="Arial" w:eastAsia="Arial" w:hAnsi="Arial"/>
          <w:sz w:val="18"/>
          <w:szCs w:val="18"/>
          <w:color w:val="auto"/>
        </w:rPr>
        <w:t>1,880,134</w:t>
      </w:r>
      <w:r>
        <w:rPr>
          <w:sz w:val="20"/>
          <w:szCs w:val="20"/>
          <w:color w:val="auto"/>
        </w:rPr>
        <w:tab/>
      </w:r>
      <w:r>
        <w:rPr>
          <w:rFonts w:ascii="Arial" w:cs="Arial" w:eastAsia="Arial" w:hAnsi="Arial"/>
          <w:sz w:val="16"/>
          <w:szCs w:val="16"/>
          <w:color w:val="auto"/>
        </w:rPr>
        <w:t>1,880,134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23495</wp:posOffset>
            </wp:positionV>
            <wp:extent cx="7246620" cy="420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180"/>
        <w:spacing w:after="0"/>
        <w:tabs>
          <w:tab w:leader="none" w:pos="6620" w:val="left"/>
        </w:tabs>
        <w:rPr>
          <w:sz w:val="20"/>
          <w:szCs w:val="20"/>
          <w:color w:val="auto"/>
        </w:rPr>
      </w:pPr>
      <w:r>
        <w:rPr>
          <w:rFonts w:ascii="Arial" w:cs="Arial" w:eastAsia="Arial" w:hAnsi="Arial"/>
          <w:sz w:val="18"/>
          <w:szCs w:val="18"/>
          <w:color w:val="auto"/>
        </w:rPr>
        <w:t>2,129,381</w:t>
      </w:r>
      <w:r>
        <w:rPr>
          <w:sz w:val="20"/>
          <w:szCs w:val="20"/>
          <w:color w:val="auto"/>
        </w:rPr>
        <w:tab/>
      </w:r>
      <w:r>
        <w:rPr>
          <w:rFonts w:ascii="Arial" w:cs="Arial" w:eastAsia="Arial" w:hAnsi="Arial"/>
          <w:sz w:val="18"/>
          <w:szCs w:val="18"/>
          <w:color w:val="auto"/>
        </w:rPr>
        <w:t>2,129,381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14605</wp:posOffset>
            </wp:positionV>
            <wp:extent cx="17151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73" w:lineRule="exact"/>
        <w:rPr>
          <w:sz w:val="20"/>
          <w:szCs w:val="20"/>
          <w:color w:val="auto"/>
        </w:rPr>
      </w:pPr>
    </w:p>
    <w:p>
      <w:pPr>
        <w:jc w:val="both"/>
        <w:ind w:left="4660"/>
        <w:spacing w:after="0"/>
        <w:tabs>
          <w:tab w:leader="none" w:pos="4980" w:val="left"/>
          <w:tab w:leader="none" w:pos="6080" w:val="left"/>
          <w:tab w:leader="none" w:pos="6440" w:val="left"/>
        </w:tabs>
        <w:rPr>
          <w:sz w:val="20"/>
          <w:szCs w:val="20"/>
          <w:color w:val="auto"/>
        </w:rPr>
      </w:pPr>
      <w:r>
        <w:rPr>
          <w:rFonts w:ascii="Arial" w:cs="Arial" w:eastAsia="Arial" w:hAnsi="Arial"/>
          <w:sz w:val="18"/>
          <w:szCs w:val="18"/>
          <w:u w:val="single" w:color="auto"/>
          <w:color w:val="auto"/>
        </w:rPr>
        <w:t>$</w:t>
        <w:tab/>
        <w:t>450,712,189</w:t>
        <w:tab/>
        <w:t>$</w:t>
      </w:r>
      <w:r>
        <w:rPr>
          <w:sz w:val="20"/>
          <w:szCs w:val="20"/>
          <w:color w:val="auto"/>
        </w:rPr>
        <w:tab/>
      </w:r>
      <w:r>
        <w:rPr>
          <w:rFonts w:ascii="Arial" w:cs="Arial" w:eastAsia="Arial" w:hAnsi="Arial"/>
          <w:sz w:val="16"/>
          <w:szCs w:val="16"/>
          <w:u w:val="single" w:color="auto"/>
          <w:color w:val="auto"/>
        </w:rPr>
        <w:t>409,570,495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31750</wp:posOffset>
            </wp:positionV>
            <wp:extent cx="17151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ectPr>
          <w:pgSz w:w="11900" w:h="16838" w:orient="portrait"/>
          <w:cols w:equalWidth="0" w:num="2">
            <w:col w:w="3360" w:space="600"/>
            <w:col w:w="7460"/>
          </w:cols>
          <w:pgMar w:left="240" w:top="904" w:right="239" w:bottom="1440" w:gutter="0" w:footer="0" w:header="0"/>
          <w:type w:val="continuous"/>
        </w:sect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3" w:name="page34"/>
    <w:bookmarkEnd w:id="33"/>
    <w:p>
      <w:pPr>
        <w:jc w:val="both"/>
        <w:ind w:left="372" w:hanging="372"/>
        <w:spacing w:after="0" w:line="221" w:lineRule="auto"/>
        <w:tabs>
          <w:tab w:leader="none" w:pos="372"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w:t>
      </w:r>
    </w:p>
    <w:p>
      <w:pPr>
        <w:spacing w:after="0" w:line="2" w:lineRule="exact"/>
        <w:rPr>
          <w:sz w:val="20"/>
          <w:szCs w:val="20"/>
          <w:color w:val="auto"/>
        </w:rPr>
      </w:pPr>
    </w:p>
    <w:p>
      <w:pPr>
        <w:ind w:left="372"/>
        <w:spacing w:after="0" w:line="250" w:lineRule="auto"/>
        <w:rPr>
          <w:sz w:val="20"/>
          <w:szCs w:val="20"/>
          <w:color w:val="auto"/>
        </w:rPr>
      </w:pPr>
      <w:r>
        <w:rPr>
          <w:rFonts w:ascii="Arial" w:cs="Arial" w:eastAsia="Arial" w:hAnsi="Arial"/>
          <w:sz w:val="18"/>
          <w:szCs w:val="18"/>
          <w:color w:val="auto"/>
        </w:rPr>
        <w:t>the borrower’s option. The Borrower may also elect to have multiple interest reset periods for each loan. For each such loan, the Company has provided the weighted average annual stated interest rate in effect at December 31, 2015. As noted in the table above, 77% (based on par) of debt securities contain LIBOR floors which range between 0.75% and 3.0%.</w:t>
      </w:r>
    </w:p>
    <w:p>
      <w:pPr>
        <w:ind w:left="372" w:hanging="372"/>
        <w:spacing w:after="0" w:line="181" w:lineRule="auto"/>
        <w:tabs>
          <w:tab w:leader="none" w:pos="372"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December 31, 2015, as determined by the Company’s Board of Directors.</w:t>
      </w:r>
    </w:p>
    <w:p>
      <w:pPr>
        <w:ind w:left="372" w:hanging="372"/>
        <w:spacing w:after="0" w:line="180" w:lineRule="auto"/>
        <w:tabs>
          <w:tab w:leader="none" w:pos="372"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ind w:left="372" w:hanging="372"/>
        <w:spacing w:after="0" w:line="181" w:lineRule="auto"/>
        <w:tabs>
          <w:tab w:leader="none" w:pos="372"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The aggregate cost of investments for federal income tax purposes is approximately $471 million. The aggregate gross unrealized appreciation is</w:t>
      </w:r>
    </w:p>
    <w:p>
      <w:pPr>
        <w:spacing w:after="0" w:line="2" w:lineRule="exact"/>
        <w:rPr>
          <w:sz w:val="20"/>
          <w:szCs w:val="20"/>
          <w:color w:val="auto"/>
        </w:rPr>
      </w:pPr>
    </w:p>
    <w:p>
      <w:pPr>
        <w:ind w:left="372" w:right="720"/>
        <w:spacing w:after="0" w:line="249" w:lineRule="auto"/>
        <w:rPr>
          <w:sz w:val="20"/>
          <w:szCs w:val="20"/>
          <w:color w:val="auto"/>
        </w:rPr>
      </w:pPr>
      <w:r>
        <w:rPr>
          <w:rFonts w:ascii="Arial" w:cs="Arial" w:eastAsia="Arial" w:hAnsi="Arial"/>
          <w:sz w:val="18"/>
          <w:szCs w:val="18"/>
          <w:color w:val="auto"/>
        </w:rPr>
        <w:t>approximately $7.0 million, the aggregate gross unrealized depreciation is approximately $68.2 million, and the net unrealized depreciation is approximately $61.2 million.</w:t>
      </w:r>
    </w:p>
    <w:p>
      <w:pPr>
        <w:ind w:left="372" w:hanging="372"/>
        <w:spacing w:after="0" w:line="181" w:lineRule="auto"/>
        <w:tabs>
          <w:tab w:leader="none" w:pos="372"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ind w:left="372" w:hanging="372"/>
        <w:spacing w:after="0" w:line="180" w:lineRule="auto"/>
        <w:tabs>
          <w:tab w:leader="none" w:pos="372"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372" w:hanging="372"/>
        <w:spacing w:after="0" w:line="181" w:lineRule="auto"/>
        <w:tabs>
          <w:tab w:leader="none" w:pos="372"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372" w:hanging="372"/>
        <w:spacing w:after="0" w:line="180" w:lineRule="auto"/>
        <w:tabs>
          <w:tab w:leader="none" w:pos="372"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372" w:hanging="372"/>
        <w:spacing w:after="0" w:line="180" w:lineRule="auto"/>
        <w:tabs>
          <w:tab w:leader="none" w:pos="372"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spacing w:after="0" w:line="2" w:lineRule="exact"/>
        <w:rPr>
          <w:sz w:val="20"/>
          <w:szCs w:val="20"/>
          <w:color w:val="auto"/>
        </w:rPr>
      </w:pPr>
    </w:p>
    <w:p>
      <w:pPr>
        <w:ind w:left="372" w:right="480" w:hanging="372"/>
        <w:spacing w:after="0" w:line="187" w:lineRule="auto"/>
        <w:tabs>
          <w:tab w:leader="none" w:pos="372"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As of December 31, 2015, this investment is owned by KCAP Senior Funding I, LLC and was pledged to secure KCAP Senior Funding I, LLC’s obligation.</w:t>
      </w:r>
    </w:p>
    <w:p>
      <w:pPr>
        <w:ind w:left="372" w:right="100" w:hanging="372"/>
        <w:spacing w:after="0" w:line="214" w:lineRule="auto"/>
        <w:tabs>
          <w:tab w:leader="none" w:pos="372"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3" w:lineRule="exact"/>
        <w:rPr>
          <w:rFonts w:ascii="Arial" w:cs="Arial" w:eastAsia="Arial" w:hAnsi="Arial"/>
          <w:sz w:val="30"/>
          <w:szCs w:val="30"/>
          <w:color w:val="auto"/>
          <w:vertAlign w:val="superscript"/>
        </w:rPr>
      </w:pPr>
    </w:p>
    <w:p>
      <w:pPr>
        <w:ind w:left="372" w:hanging="372"/>
        <w:spacing w:after="0" w:line="180" w:lineRule="auto"/>
        <w:tabs>
          <w:tab w:leader="none" w:pos="372"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Non-voting.</w:t>
      </w:r>
    </w:p>
    <w:p>
      <w:pPr>
        <w:spacing w:after="0" w:line="2" w:lineRule="exact"/>
        <w:rPr>
          <w:rFonts w:ascii="Arial" w:cs="Arial" w:eastAsia="Arial" w:hAnsi="Arial"/>
          <w:sz w:val="25"/>
          <w:szCs w:val="25"/>
          <w:color w:val="auto"/>
          <w:vertAlign w:val="superscript"/>
        </w:rPr>
      </w:pPr>
    </w:p>
    <w:p>
      <w:pPr>
        <w:jc w:val="both"/>
        <w:ind w:left="372" w:right="40" w:hanging="372"/>
        <w:spacing w:after="0" w:line="214" w:lineRule="auto"/>
        <w:tabs>
          <w:tab w:leader="none" w:pos="372"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30"/>
          <w:szCs w:val="30"/>
          <w:color w:val="auto"/>
          <w:vertAlign w:val="superscript"/>
        </w:rPr>
      </w:pPr>
    </w:p>
    <w:p>
      <w:pPr>
        <w:ind w:left="372" w:hanging="372"/>
        <w:spacing w:after="0" w:line="180" w:lineRule="auto"/>
        <w:tabs>
          <w:tab w:leader="none" w:pos="372"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Notice of redemption has been received for this transaction.</w:t>
      </w:r>
    </w:p>
    <w:p>
      <w:pPr>
        <w:spacing w:after="0" w:line="200" w:lineRule="exact"/>
        <w:rPr>
          <w:sz w:val="20"/>
          <w:szCs w:val="20"/>
          <w:color w:val="auto"/>
        </w:rPr>
      </w:pPr>
    </w:p>
    <w:p>
      <w:pPr>
        <w:spacing w:after="0" w:line="21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0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7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5.82</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20" w:type="dxa"/>
            <w:vAlign w:val="bottom"/>
          </w:tcPr>
          <w:p>
            <w:pPr>
              <w:ind w:left="160"/>
              <w:spacing w:after="0" w:line="256" w:lineRule="exact"/>
              <w:rPr>
                <w:sz w:val="20"/>
                <w:szCs w:val="20"/>
                <w:color w:val="auto"/>
              </w:rPr>
            </w:pPr>
            <w:r>
              <w:rPr>
                <w:rFonts w:ascii="Arial" w:cs="Arial" w:eastAsia="Arial" w:hAnsi="Arial"/>
                <w:sz w:val="18"/>
                <w:szCs w:val="18"/>
                <w:color w:val="auto"/>
              </w:rPr>
              <w:t>Net realized gains from investments</w:t>
            </w:r>
            <w:r>
              <w:rPr>
                <w:rFonts w:ascii="Arial" w:cs="Arial" w:eastAsia="Arial" w:hAnsi="Arial"/>
                <w:sz w:val="29"/>
                <w:szCs w:val="29"/>
                <w:color w:val="auto"/>
                <w:vertAlign w:val="superscript"/>
              </w:rPr>
              <w:t>1</w:t>
            </w: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2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Net change in unrealized appreciation (depreciation) on investments</w:t>
            </w:r>
            <w:r>
              <w:rPr>
                <w:rFonts w:ascii="Arial" w:cs="Arial" w:eastAsia="Arial" w:hAnsi="Arial"/>
                <w:sz w:val="30"/>
                <w:szCs w:val="30"/>
                <w:color w:val="auto"/>
                <w:vertAlign w:val="superscript"/>
              </w:rPr>
              <w:t>1</w:t>
            </w:r>
          </w:p>
        </w:tc>
        <w:tc>
          <w:tcPr>
            <w:tcW w:w="14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Net increase in net assets resulting from operations</w:t>
            </w:r>
          </w:p>
        </w:tc>
        <w:tc>
          <w:tcPr>
            <w:tcW w:w="14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From taxable income</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excess of taxable income</w:t>
            </w:r>
          </w:p>
        </w:tc>
        <w:tc>
          <w:tcPr>
            <w:tcW w:w="1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increase in net assets relating to stock-based transactions: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under dividend reinvestment plan</w:t>
            </w:r>
          </w:p>
        </w:tc>
        <w:tc>
          <w:tcPr>
            <w:tcW w:w="1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8"/>
                <w:szCs w:val="18"/>
                <w:color w:val="auto"/>
              </w:rPr>
              <w:t>(0.00)</w:t>
            </w:r>
            <w:r>
              <w:rPr>
                <w:rFonts w:ascii="Arial" w:cs="Arial" w:eastAsia="Arial" w:hAnsi="Arial"/>
                <w:sz w:val="29"/>
                <w:szCs w:val="29"/>
                <w:color w:val="auto"/>
                <w:vertAlign w:val="superscript"/>
              </w:rPr>
              <w:t>4</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8"/>
                <w:szCs w:val="18"/>
                <w:color w:val="auto"/>
              </w:rPr>
              <w:t>(0.00)</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Stock based compensation expense</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increase in net assets relating to stock-based transactions</w:t>
            </w:r>
          </w:p>
        </w:tc>
        <w:tc>
          <w:tcPr>
            <w:tcW w:w="1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4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spacing w:after="0" w:line="250" w:lineRule="exact"/>
              <w:rPr>
                <w:sz w:val="20"/>
                <w:szCs w:val="20"/>
                <w:color w:val="auto"/>
              </w:rPr>
            </w:pPr>
            <w:r>
              <w:rPr>
                <w:rFonts w:ascii="Arial" w:cs="Arial" w:eastAsia="Arial" w:hAnsi="Arial"/>
                <w:sz w:val="17"/>
                <w:szCs w:val="17"/>
                <w:color w:val="auto"/>
              </w:rPr>
              <w:t>Total net asset value return</w:t>
            </w:r>
            <w:r>
              <w:rPr>
                <w:rFonts w:ascii="Arial" w:cs="Arial" w:eastAsia="Arial" w:hAnsi="Arial"/>
                <w:sz w:val="28"/>
                <w:szCs w:val="28"/>
                <w:color w:val="auto"/>
                <w:vertAlign w:val="superscript"/>
              </w:rPr>
              <w:t>2</w:t>
            </w:r>
          </w:p>
        </w:tc>
        <w:tc>
          <w:tcPr>
            <w:tcW w:w="1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beginning of period</w:t>
            </w:r>
          </w:p>
        </w:tc>
        <w:tc>
          <w:tcPr>
            <w:tcW w:w="1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7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3.60</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1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37,130,433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36,859,957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204,387,728</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263,923,435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Portfolio turnover rate</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Average par debt outstanding</w:t>
            </w:r>
          </w:p>
        </w:tc>
        <w:tc>
          <w:tcPr>
            <w:tcW w:w="1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204,443,692</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227,397,000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Asset coverage ratio</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1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20" w:type="dxa"/>
            <w:vAlign w:val="bottom"/>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1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30"/>
                <w:szCs w:val="30"/>
                <w:color w:val="auto"/>
                <w:vertAlign w:val="superscript"/>
              </w:rPr>
              <w:t>5</w:t>
            </w: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line="226" w:lineRule="auto"/>
        <w:tabs>
          <w:tab w:leader="none" w:pos="3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spacing w:after="0" w:line="2" w:lineRule="exact"/>
        <w:rPr>
          <w:sz w:val="20"/>
          <w:szCs w:val="20"/>
          <w:color w:val="auto"/>
        </w:rPr>
      </w:pPr>
    </w:p>
    <w:p>
      <w:pPr>
        <w:ind w:left="340" w:hanging="332"/>
        <w:spacing w:after="0" w:line="187" w:lineRule="auto"/>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Total net asset value return (not annualized) equals the change in the net asset value per share over the beginning of period net asset value per share plus distributions, divided by the beginning net asset value per share.</w:t>
      </w:r>
    </w:p>
    <w:p>
      <w:pPr>
        <w:ind w:left="340" w:hanging="332"/>
        <w:spacing w:after="0" w:line="181"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6"/>
          <w:szCs w:val="16"/>
          <w:color w:val="auto"/>
        </w:rPr>
        <w:t>Total market return (not annualized) equals the change in the ending market price, over the beginning of period price per share plus distributions, divided</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the beginning market price.</w:t>
      </w:r>
    </w:p>
    <w:p>
      <w:pPr>
        <w:ind w:left="340" w:hanging="332"/>
        <w:spacing w:after="0" w:line="186"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6"/>
          <w:szCs w:val="16"/>
          <w:color w:val="auto"/>
        </w:rPr>
        <w:t>Balance rounds to less than $0.01.</w:t>
      </w:r>
    </w:p>
    <w:p>
      <w:pPr>
        <w:spacing w:after="0" w:line="2"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30"/>
          <w:szCs w:val="30"/>
          <w:color w:val="auto"/>
          <w:vertAlign w:val="superscript"/>
        </w:rPr>
        <w:t>5</w:t>
      </w:r>
      <w:r>
        <w:rPr>
          <w:rFonts w:ascii="Arial" w:cs="Arial" w:eastAsia="Arial" w:hAnsi="Arial"/>
          <w:sz w:val="18"/>
          <w:szCs w:val="18"/>
          <w:color w:val="auto"/>
        </w:rPr>
        <w:t xml:space="preserve">    Annualized.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(collectively, “Katonah Debt Advisors”) and in securities issued by collateralized loan obligation funds (“CLO Funds”) managed by Katonah Debt Advisors and two other asset managers.</w:t>
      </w:r>
    </w:p>
    <w:p>
      <w:pPr>
        <w:spacing w:after="0" w:line="179"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the Company’s common stock, and net proceeds of $27 million.</w:t>
      </w:r>
    </w:p>
    <w:p>
      <w:pPr>
        <w:spacing w:after="0" w:line="170"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On February 29, 2012, the Company purchased Trimaran Advisors, L.L.C. (“Trimaran Advisors”), a CLO manager similar to Katonah Debt Advisors with assets under management of approximately $1.5 billion,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w:t>
      </w:r>
    </w:p>
    <w:p>
      <w:pPr>
        <w:spacing w:after="0" w:line="187"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On October 6, 2014, the Company completed a follow-on public offering of 3.0 million shares of its common stock at a price of $8.02 per share. The offering raised net proceeds of approximately $23.8 million, after deducting underwriting discounts and offering expenses.</w:t>
      </w:r>
    </w:p>
    <w:p>
      <w:pPr>
        <w:spacing w:after="0" w:line="170" w:lineRule="exact"/>
        <w:rPr>
          <w:sz w:val="20"/>
          <w:szCs w:val="20"/>
          <w:color w:val="auto"/>
        </w:rPr>
      </w:pPr>
    </w:p>
    <w:p>
      <w:pPr>
        <w:ind w:right="100" w:firstLine="270"/>
        <w:spacing w:after="0" w:line="272" w:lineRule="auto"/>
        <w:rPr>
          <w:sz w:val="20"/>
          <w:szCs w:val="20"/>
          <w:color w:val="auto"/>
        </w:rPr>
      </w:pPr>
      <w:r>
        <w:rPr>
          <w:rFonts w:ascii="Arial" w:cs="Arial" w:eastAsia="Arial" w:hAnsi="Arial"/>
          <w:sz w:val="17"/>
          <w:szCs w:val="17"/>
          <w:color w:val="auto"/>
        </w:rPr>
        <w:t>As of March 31, 2016, Katonah Debt Advisors and Trimaran Advisors, as well as affiliated management companies Katonah 2007-1 Management, L.L.C., Katonah X Management, L.L.C. and Trimaran Advisors Management, L.L.C. (collectively the “Asset Manager Affiliates”), had approximately $2.7 billion of par value assets under management. The Asset Manager Affiliates are each managed independently from KCAP by a separate management team (however, certain of the Company’s executive officers also act in similar capacities for one or both of the Asset Manager Affiliates). The Asset Manager Affiliates provide investment management services to CLO Funds, making day-to-day investment decisions concerning the assets of the CLO Funds. The Asset Manager Affiliates do not have an investment interest in the CLO Funds they manage; however, KCAP holds investments in a portion of the securities issued by the CLO Funds managed by the Asset Manager Affiliates.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has three principal areas of investment:</w:t>
      </w:r>
    </w:p>
    <w:p>
      <w:pPr>
        <w:spacing w:after="0" w:line="225"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Second, the Company has invested in the Asset Manager Affiliates, which manage CLO Funds.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6" w:name="page37"/>
    <w:bookmarkEnd w:id="36"/>
    <w:p>
      <w:pPr>
        <w:ind w:right="40" w:firstLine="270"/>
        <w:spacing w:after="0" w:line="264" w:lineRule="auto"/>
        <w:rPr>
          <w:sz w:val="20"/>
          <w:szCs w:val="20"/>
          <w:color w:val="auto"/>
        </w:rPr>
      </w:pPr>
      <w:r>
        <w:rPr>
          <w:rFonts w:ascii="Arial" w:cs="Arial" w:eastAsia="Arial" w:hAnsi="Arial"/>
          <w:sz w:val="18"/>
          <w:szCs w:val="18"/>
          <w:color w:val="auto"/>
        </w:rPr>
        <w:t>Third, the Company invests in debt and subordinated securities issued by CLOs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may also invest in other investments such as loans to larger, publicly-traded companies, high-yield bonds and distressed debt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receive warrants or options to purchase common stock in connection with its debt investments.</w:t>
      </w:r>
    </w:p>
    <w:p>
      <w:pPr>
        <w:spacing w:after="0" w:line="21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3" w:lineRule="exact"/>
        <w:rPr>
          <w:sz w:val="20"/>
          <w:szCs w:val="20"/>
          <w:color w:val="auto"/>
        </w:rPr>
      </w:pPr>
    </w:p>
    <w:p>
      <w:pPr>
        <w:ind w:left="340" w:right="7820" w:hanging="332"/>
        <w:spacing w:after="0" w:line="503" w:lineRule="auto"/>
        <w:tabs>
          <w:tab w:leader="none" w:pos="19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accounting principles generally accepted in the United States of America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2015, as filed with the U.S. Securities and Exchange Commission (the “Commission” or the “SEC”).</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19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and KCAP Senior Funding I Holdings, LLC in its consolidated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17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Asset Manager Affiliates are subject to Accounting Standards Codification Topic 810, “Consolidation” and although the Company cannot consolidate the financial statements of portfolio company investments, this guidance impacts the required disclosures relating to the Asset Manager Affiliates. 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7" w:name="page38"/>
    <w:bookmarkEnd w:id="37"/>
    <w:p>
      <w:pPr>
        <w:ind w:right="80" w:firstLine="324"/>
        <w:spacing w:after="0" w:line="272" w:lineRule="auto"/>
        <w:rPr>
          <w:sz w:val="20"/>
          <w:szCs w:val="20"/>
          <w:color w:val="auto"/>
        </w:rPr>
      </w:pPr>
      <w:r>
        <w:rPr>
          <w:rFonts w:ascii="Arial" w:cs="Arial" w:eastAsia="Arial" w:hAnsi="Arial"/>
          <w:sz w:val="17"/>
          <w:szCs w:val="17"/>
          <w:color w:val="auto"/>
        </w:rPr>
        <w:t>On February 18, 2015, the Financial Accounting Standards Board (“FASB”) issued Accounting Standards Update 2015-2 (“ASU 2015-2”), which updated consolidation standards under ASC Topic 810, “Consolidation”. Under this update, a new consolidation analysis is required for variable interest entities (“VIEs”) and will limit the circumstances in which investment managers and similar entities are required to consolidate the entities that they manage. The FASB decided to eliminate some of the criteria under which their management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early adoption is permitted. The Asset Manager Affiliates adopted ASU 2015-2 in 2016 which resulted in the deconsolidation of the CLO Funds.</w:t>
      </w:r>
    </w:p>
    <w:p>
      <w:pPr>
        <w:spacing w:after="0" w:line="178"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In addition, in accordance with Regulation S-X promulgated by the SEC, additional financial information with respect to one of the CLO Funds in which the Company has an investment, Katonah 2007-I CLO Ltd. (“Katonah 2007-I CLO”) is required to be included in the Company’s SEC filings. The additional financial information regarding the Asset Manager Affiliates and Katonah 2007-I CLO is set forth in Note 5 to these consolidated financial statements.</w:t>
      </w:r>
    </w:p>
    <w:p>
      <w:pPr>
        <w:spacing w:after="0" w:line="14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Stockholder distributions on the Statement of Changes in Net Assets reflect the estimated allocation, between net investment income and return of capital, of distributions made during the reporting period, excluding the distribution declared in a quarter with a record date occurring after the quarter-end. 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8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It is the Company’s primary investment objective to generate current income and capital appreciation by lending directly to privately-held middle market companies. During the quarter ended March 31, 2016, the Company provided approximately $6 million to portfolio companies to support their growth objectives. None of this support was contractually obligated. See also Note 8 – Commitments and Contingencies. As of March 31, 2016, the Company holds loans it has made to 95 investee companies with aggregate principal amounts of approximately $261.8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leading a syndicate of lenders to provide the investee companies with financing. During the three months month period ended March 31, 2016, the Company did not make any such introductions or lead any syndicates.</w:t>
      </w:r>
    </w:p>
    <w:p>
      <w:pPr>
        <w:spacing w:after="0" w:line="17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August 2014, the FASB issued Accounting Standards Update (“ASU”) 2014- 15, “Presentation of Financial Statements — Going Concern (Subtopic 205-40): Disclosure of Uncertainties about an Entity’s Ability to Continue as a Going Concern” (“ASU 2014-15”). The standard requires management to evaluate, at each interim and annual reporting period, whether there are conditions or events that raise substantial doubt about the entity’s ability to continue as a going concern within one year after the date the financial statements are issued, and provide related disclosures. ASU 2014- 15 is effective for annual periods ending after December 15, 2016, and for annual and interim periods thereafter, and early adoption is permitted. We do not expect to adopt ASU 2014-15 early, and we do not believe the standard will have a material impact on our financial statements, when adopted.</w:t>
      </w:r>
    </w:p>
    <w:p>
      <w:pPr>
        <w:spacing w:after="0" w:line="165"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 xml:space="preserve">In April 2015, the FASB issued Accounting Standards Update 2015-03, </w:t>
      </w:r>
      <w:r>
        <w:rPr>
          <w:rFonts w:ascii="Arial" w:cs="Arial" w:eastAsia="Arial" w:hAnsi="Arial"/>
          <w:sz w:val="18"/>
          <w:szCs w:val="18"/>
          <w:i w:val="1"/>
          <w:iCs w:val="1"/>
          <w:color w:val="auto"/>
        </w:rPr>
        <w:t>Interest – Imputation of Interest (Subtopic 835-30): Simplifying the Presentation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Debt Issuance Costs</w:t>
      </w:r>
      <w:r>
        <w:rPr>
          <w:rFonts w:ascii="Arial" w:cs="Arial" w:eastAsia="Arial" w:hAnsi="Arial"/>
          <w:sz w:val="18"/>
          <w:szCs w:val="18"/>
          <w:color w:val="auto"/>
        </w:rPr>
        <w:t>. Under this guidance, debt issuance costs related to a recognized debt liability are to be presented as a direct deduction from the debt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rather than as an asset on the balance sheet, consistent with debt discounts. For public business entities, the final guidance will be effective for fiscal years beginning after December 15, 2015, and interim periods within those fiscal years. Early adoption is permitted. The Company adopted the new guidance beginning the first quarter of 2016.</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impact of the Accounting Standards Update 2015-03 on our Consolidated Balance Sheet at December 31, 2015:</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440" w:type="dxa"/>
            <w:vAlign w:val="bottom"/>
            <w:gridSpan w:val="4"/>
          </w:tcPr>
          <w:p>
            <w:pPr>
              <w:jc w:val="right"/>
              <w:spacing w:after="0"/>
              <w:rPr>
                <w:sz w:val="20"/>
                <w:szCs w:val="20"/>
                <w:color w:val="auto"/>
              </w:rPr>
            </w:pPr>
            <w:r>
              <w:rPr>
                <w:rFonts w:ascii="Arial" w:cs="Arial" w:eastAsia="Arial" w:hAnsi="Arial"/>
                <w:sz w:val="18"/>
                <w:szCs w:val="18"/>
                <w:b w:val="1"/>
                <w:bCs w:val="1"/>
                <w:color w:val="auto"/>
              </w:rPr>
              <w:t>CONSOLIDATED BALANCE SHEET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As of December 31,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2"/>
              </w:rPr>
              <w:t>As originally</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Impact of</w:t>
            </w:r>
          </w:p>
        </w:tc>
        <w:tc>
          <w:tcPr>
            <w:tcW w:w="100" w:type="dxa"/>
            <w:vAlign w:val="bottom"/>
          </w:tcPr>
          <w:p>
            <w:pPr>
              <w:spacing w:after="0"/>
              <w:rPr>
                <w:sz w:val="16"/>
                <w:szCs w:val="16"/>
                <w:color w:val="auto"/>
              </w:rPr>
            </w:pPr>
          </w:p>
        </w:tc>
        <w:tc>
          <w:tcPr>
            <w:tcW w:w="122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7"/>
              </w:rPr>
              <w:t>Balance Sheet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reported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adoption</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after adjustment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assets</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4,603,855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(4,037,644)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566,211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w:t>
            </w: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41,400,000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(890,344)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40,509,656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Notes issued by KCAP Senior Funding I, LLC</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144,442,405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(3,126,009)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141,316,396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19,299,000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19,277,709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color w:val="auto"/>
        </w:rPr>
        <w:t>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US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2017. We do not expect the adoption of ASU 2014-09 to have a material impact to the Company’s financial statements.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60" w:firstLine="414"/>
        <w:spacing w:after="0" w:line="289" w:lineRule="auto"/>
        <w:rPr>
          <w:sz w:val="20"/>
          <w:szCs w:val="20"/>
          <w:color w:val="auto"/>
        </w:rPr>
      </w:pPr>
      <w:r>
        <w:rPr>
          <w:rFonts w:ascii="Arial" w:cs="Arial" w:eastAsia="Arial" w:hAnsi="Arial"/>
          <w:sz w:val="16"/>
          <w:szCs w:val="16"/>
          <w:i w:val="1"/>
          <w:iCs w:val="1"/>
          <w:color w:val="auto"/>
        </w:rPr>
        <w:t>Valuation of Portfolio Investments</w:t>
      </w:r>
      <w:r>
        <w:rPr>
          <w:rFonts w:ascii="Arial" w:cs="Arial" w:eastAsia="Arial" w:hAnsi="Arial"/>
          <w:sz w:val="16"/>
          <w:szCs w:val="16"/>
          <w:color w:val="auto"/>
        </w:rPr>
        <w:t>. The Company’s Board of Directors is ultimately and solely responsible for making a good faith determination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the Valuation Committee of the Board of Directors,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167" w:lineRule="exact"/>
        <w:rPr>
          <w:sz w:val="20"/>
          <w:szCs w:val="20"/>
          <w:color w:val="auto"/>
        </w:rPr>
      </w:pPr>
    </w:p>
    <w:p>
      <w:pPr>
        <w:ind w:right="40" w:firstLine="414"/>
        <w:spacing w:after="0" w:line="291" w:lineRule="auto"/>
        <w:rPr>
          <w:sz w:val="20"/>
          <w:szCs w:val="20"/>
          <w:color w:val="auto"/>
        </w:rPr>
      </w:pPr>
      <w:r>
        <w:rPr>
          <w:rFonts w:ascii="Arial" w:cs="Arial" w:eastAsia="Arial" w:hAnsi="Arial"/>
          <w:sz w:val="16"/>
          <w:szCs w:val="16"/>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(see Note 4</w:t>
      </w:r>
    </w:p>
    <w:p>
      <w:pPr>
        <w:ind w:right="340"/>
        <w:spacing w:after="0" w:line="261" w:lineRule="auto"/>
        <w:rPr>
          <w:sz w:val="20"/>
          <w:szCs w:val="20"/>
          <w:color w:val="auto"/>
        </w:rPr>
      </w:pPr>
      <w:r>
        <w:rPr>
          <w:rFonts w:ascii="Arial" w:cs="Arial" w:eastAsia="Arial" w:hAnsi="Arial"/>
          <w:sz w:val="18"/>
          <w:szCs w:val="18"/>
          <w:color w:val="auto"/>
        </w:rPr>
        <w:t>– “Investments – Fair Value Measurements” for further information relating to Level I, Level II and Level III). The guidance also required that purchases, sales, issuances and settlements be presented gross in the Level III reconciliation.</w:t>
      </w:r>
    </w:p>
    <w:p>
      <w:pPr>
        <w:spacing w:after="0" w:line="184" w:lineRule="exact"/>
        <w:rPr>
          <w:sz w:val="20"/>
          <w:szCs w:val="20"/>
          <w:color w:val="auto"/>
        </w:rPr>
      </w:pPr>
    </w:p>
    <w:p>
      <w:pPr>
        <w:ind w:right="540" w:firstLine="414"/>
        <w:spacing w:after="0" w:line="277" w:lineRule="auto"/>
        <w:rPr>
          <w:sz w:val="20"/>
          <w:szCs w:val="20"/>
          <w:color w:val="auto"/>
        </w:rPr>
      </w:pPr>
      <w:r>
        <w:rPr>
          <w:rFonts w:ascii="Arial" w:cs="Arial" w:eastAsia="Arial" w:hAnsi="Arial"/>
          <w:sz w:val="18"/>
          <w:szCs w:val="18"/>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70" w:lineRule="exact"/>
        <w:rPr>
          <w:sz w:val="20"/>
          <w:szCs w:val="20"/>
          <w:color w:val="auto"/>
        </w:rPr>
      </w:pPr>
    </w:p>
    <w:p>
      <w:pPr>
        <w:jc w:val="both"/>
        <w:ind w:right="300" w:firstLine="414"/>
        <w:spacing w:after="0" w:line="302" w:lineRule="auto"/>
        <w:rPr>
          <w:sz w:val="20"/>
          <w:szCs w:val="20"/>
          <w:color w:val="auto"/>
        </w:rPr>
      </w:pPr>
      <w:r>
        <w:rPr>
          <w:rFonts w:ascii="Arial" w:cs="Arial" w:eastAsia="Arial" w:hAnsi="Arial"/>
          <w:sz w:val="16"/>
          <w:szCs w:val="16"/>
          <w:color w:val="auto"/>
        </w:rPr>
        <w:t>The Company utilizes an independent valuation firm to provide an annual third-party review of the Company’s CLO fair value model relative to its functionality, model inputs and calculations as a reasonable method to determine CLO fair values, in the absence of Level I or Level II trading activity or observable market inputs. The independent valuation firm’s 2015 annual review concluded that the Company’s CLO model appropriately factors in all the necessary inputs required to build a CLO equity cash flow model for fair value purposes and that the inputs were being employed correctly.</w:t>
      </w:r>
    </w:p>
    <w:p>
      <w:pPr>
        <w:spacing w:after="0" w:line="154" w:lineRule="exact"/>
        <w:rPr>
          <w:sz w:val="20"/>
          <w:szCs w:val="20"/>
          <w:color w:val="auto"/>
        </w:rPr>
      </w:pPr>
    </w:p>
    <w:p>
      <w:pPr>
        <w:ind w:right="140" w:firstLine="41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88" w:lineRule="exact"/>
        <w:rPr>
          <w:sz w:val="20"/>
          <w:szCs w:val="20"/>
          <w:color w:val="auto"/>
        </w:rPr>
      </w:pPr>
    </w:p>
    <w:p>
      <w:pPr>
        <w:ind w:right="40" w:firstLine="41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ind w:right="360" w:firstLine="41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208" w:gutter="0" w:footer="0" w:header="0"/>
        </w:sectPr>
      </w:pPr>
    </w:p>
    <w:bookmarkStart w:id="39" w:name="page40"/>
    <w:bookmarkEnd w:id="39"/>
    <w:p>
      <w:pPr>
        <w:ind w:right="20" w:firstLine="414"/>
        <w:spacing w:after="0" w:line="255" w:lineRule="auto"/>
        <w:rPr>
          <w:sz w:val="20"/>
          <w:szCs w:val="20"/>
          <w:color w:val="auto"/>
        </w:rPr>
      </w:pPr>
      <w:r>
        <w:rPr>
          <w:rFonts w:ascii="Arial" w:cs="Arial" w:eastAsia="Arial" w:hAnsi="Arial"/>
          <w:sz w:val="18"/>
          <w:szCs w:val="18"/>
          <w:i w:val="1"/>
          <w:iCs w:val="1"/>
          <w:color w:val="auto"/>
        </w:rPr>
        <w:t>Debt Securities</w:t>
      </w:r>
      <w:r>
        <w:rPr>
          <w:rFonts w:ascii="Arial" w:cs="Arial" w:eastAsia="Arial" w:hAnsi="Arial"/>
          <w:sz w:val="18"/>
          <w:szCs w:val="18"/>
          <w:color w:val="auto"/>
        </w:rPr>
        <w:t>. To the extent that the Company’s investments are exchange traded and are priced or have sufficient price indications from normal</w:t>
      </w:r>
      <w:r>
        <w:rPr>
          <w:rFonts w:ascii="Arial" w:cs="Arial" w:eastAsia="Arial" w:hAnsi="Arial"/>
          <w:sz w:val="18"/>
          <w:szCs w:val="18"/>
          <w:i w:val="1"/>
          <w:iCs w:val="1"/>
          <w:color w:val="auto"/>
        </w:rPr>
        <w:t xml:space="preserve"> </w:t>
      </w:r>
      <w:r>
        <w:rPr>
          <w:rFonts w:ascii="Arial" w:cs="Arial" w:eastAsia="Arial" w:hAnsi="Arial"/>
          <w:sz w:val="18"/>
          <w:szCs w:val="18"/>
          <w:color w:val="auto"/>
        </w:rPr>
        <w:t>course trading at or around the valuation date (financial reporting date), such pricing will determine fair value.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189" w:lineRule="exact"/>
        <w:rPr>
          <w:sz w:val="20"/>
          <w:szCs w:val="20"/>
          <w:color w:val="auto"/>
        </w:rPr>
      </w:pPr>
    </w:p>
    <w:p>
      <w:pPr>
        <w:ind w:right="80" w:firstLine="41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75"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In cases where the Company receives warrants to purchase equity securities, a market standard Black-Scholes model is utilized.</w:t>
      </w:r>
    </w:p>
    <w:p>
      <w:pPr>
        <w:spacing w:after="0" w:line="189" w:lineRule="exact"/>
        <w:rPr>
          <w:sz w:val="20"/>
          <w:szCs w:val="20"/>
          <w:color w:val="auto"/>
        </w:rPr>
      </w:pPr>
    </w:p>
    <w:p>
      <w:pPr>
        <w:ind w:firstLine="414"/>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which is primarily determined utilizing the Discounted Cash Flow approach,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a percentage of assets under management. The Asset Manager Affiliates are classified as a Level III investment. Any change in value from period to period is recognized as net change in unrealized appreciation or depreciation.</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0" w:name="page41"/>
    <w:bookmarkEnd w:id="40"/>
    <w:p>
      <w:pPr>
        <w:jc w:val="both"/>
        <w:ind w:right="120" w:firstLine="414"/>
        <w:spacing w:after="0" w:line="264"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raised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181" w:lineRule="exact"/>
        <w:rPr>
          <w:sz w:val="20"/>
          <w:szCs w:val="20"/>
          <w:color w:val="auto"/>
        </w:rPr>
      </w:pPr>
    </w:p>
    <w:p>
      <w:pPr>
        <w:ind w:right="120" w:firstLine="41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69" w:lineRule="exact"/>
        <w:rPr>
          <w:sz w:val="20"/>
          <w:szCs w:val="20"/>
          <w:color w:val="auto"/>
        </w:rPr>
      </w:pPr>
    </w:p>
    <w:p>
      <w:pPr>
        <w:ind w:firstLine="41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20" w:firstLine="41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460" w:firstLine="414"/>
        <w:spacing w:after="0" w:line="27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170" w:lineRule="exact"/>
        <w:rPr>
          <w:sz w:val="20"/>
          <w:szCs w:val="20"/>
          <w:color w:val="auto"/>
        </w:rPr>
      </w:pPr>
    </w:p>
    <w:p>
      <w:pPr>
        <w:ind w:right="520" w:firstLine="414"/>
        <w:spacing w:after="0" w:line="277"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 Restricted cash and cash equivalents (e.g. money market funds) consists of cash held for reinvestment and quarterly interest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distribution (if any) to holders of notes issued by KCAP Senior Funding I, LLC.</w:t>
      </w:r>
    </w:p>
    <w:p>
      <w:pPr>
        <w:spacing w:after="0" w:line="170" w:lineRule="exact"/>
        <w:rPr>
          <w:sz w:val="20"/>
          <w:szCs w:val="20"/>
          <w:color w:val="auto"/>
        </w:rPr>
      </w:pPr>
    </w:p>
    <w:p>
      <w:pPr>
        <w:ind w:right="240" w:firstLine="414"/>
        <w:spacing w:after="0" w:line="342" w:lineRule="auto"/>
        <w:rPr>
          <w:sz w:val="20"/>
          <w:szCs w:val="20"/>
          <w:color w:val="auto"/>
        </w:rPr>
      </w:pPr>
      <w:r>
        <w:rPr>
          <w:rFonts w:ascii="Arial" w:cs="Arial" w:eastAsia="Arial" w:hAnsi="Arial"/>
          <w:sz w:val="16"/>
          <w:szCs w:val="16"/>
          <w:b w:val="1"/>
          <w:bCs w:val="1"/>
          <w:i w:val="1"/>
          <w:iCs w:val="1"/>
          <w:color w:val="auto"/>
        </w:rPr>
        <w:t>Time Deposits and Money Market Accounts</w:t>
      </w:r>
      <w:r>
        <w:rPr>
          <w:rFonts w:ascii="Arial" w:cs="Arial" w:eastAsia="Arial" w:hAnsi="Arial"/>
          <w:sz w:val="16"/>
          <w:szCs w:val="16"/>
          <w:color w:val="auto"/>
        </w:rPr>
        <w:t>. Time deposits primarily represent investments of cash held in demand deposit accounts. Money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primarily represent short term interest-bearing deposit accounts. Also includes restricted cash held under employee benefit plans.</w:t>
      </w:r>
    </w:p>
    <w:p>
      <w:pPr>
        <w:spacing w:after="0" w:line="124"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including the amortization of premium and accretion of discount, is recorded on the accrual basis to the extent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amounts are expected to be collected. The Company generally places a loan or security on non-accrual status and ceases recognizing cash interest income on such loan or security when a loan or security becomes 90 days or more past due or if the Company otherwise does not expect the debtor to be able to service its debt obligations. Non-accrual loans remain in such status until the borrower has demonstrated the ability and intent to pay contractual amounts due or such loans become current. As of March 31, 2016, two issuers representing less than 1% of the Company’s total investments at fair value were on non-accrual status.</w:t>
      </w:r>
    </w:p>
    <w:p>
      <w:pPr>
        <w:spacing w:after="0" w:line="193"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b w:val="1"/>
          <w:bCs w:val="1"/>
          <w:i w:val="1"/>
          <w:iCs w:val="1"/>
          <w:color w:val="auto"/>
        </w:rPr>
        <w:t>Distributions from Asset Manager Affiliates</w:t>
      </w:r>
      <w:r>
        <w:rPr>
          <w:rFonts w:ascii="Arial" w:cs="Arial" w:eastAsia="Arial" w:hAnsi="Arial"/>
          <w:sz w:val="18"/>
          <w:szCs w:val="18"/>
          <w:color w:val="auto"/>
        </w:rPr>
        <w:t>. The Company records distributions from our Asset Manager Affiliates on the declaration date,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right="40" w:firstLine="414"/>
        <w:spacing w:after="0" w:line="293" w:lineRule="auto"/>
        <w:rPr>
          <w:sz w:val="20"/>
          <w:szCs w:val="20"/>
          <w:color w:val="auto"/>
        </w:rPr>
      </w:pPr>
      <w:r>
        <w:rPr>
          <w:rFonts w:ascii="Arial" w:cs="Arial" w:eastAsia="Arial" w:hAnsi="Arial"/>
          <w:sz w:val="16"/>
          <w:szCs w:val="16"/>
          <w:b w:val="1"/>
          <w:bCs w:val="1"/>
          <w:i w:val="1"/>
          <w:iCs w:val="1"/>
          <w:color w:val="auto"/>
        </w:rPr>
        <w:t>Investment Income on CLO Fund Securities</w:t>
      </w:r>
      <w:r>
        <w:rPr>
          <w:rFonts w:ascii="Arial" w:cs="Arial" w:eastAsia="Arial" w:hAnsi="Arial"/>
          <w:sz w:val="16"/>
          <w:szCs w:val="16"/>
          <w:color w:val="auto"/>
        </w:rPr>
        <w:t>. The Company generates investment income from its investments in the most junior class of securities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 Funds (typically preferred shares or subordinated securities) managed by the Asset Manager Affiliates and select investments in securities issued by funds managed by other asset management companies.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165" w:lineRule="exact"/>
        <w:rPr>
          <w:sz w:val="20"/>
          <w:szCs w:val="20"/>
          <w:color w:val="auto"/>
        </w:rPr>
      </w:pPr>
    </w:p>
    <w:p>
      <w:pPr>
        <w:ind w:right="20" w:firstLine="41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60" w:firstLine="41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E Notes of the Catamaran 2014-1 CLO, interest is earned at a fixed spread relative to the LIBOR index.</w:t>
      </w:r>
    </w:p>
    <w:p>
      <w:pPr>
        <w:spacing w:after="0" w:line="170" w:lineRule="exact"/>
        <w:rPr>
          <w:sz w:val="20"/>
          <w:szCs w:val="20"/>
          <w:color w:val="auto"/>
        </w:rPr>
      </w:pPr>
    </w:p>
    <w:p>
      <w:pPr>
        <w:ind w:right="120" w:firstLine="414"/>
        <w:spacing w:after="0" w:line="259" w:lineRule="auto"/>
        <w:rPr>
          <w:sz w:val="20"/>
          <w:szCs w:val="20"/>
          <w:color w:val="auto"/>
        </w:rPr>
      </w:pPr>
      <w:r>
        <w:rPr>
          <w:rFonts w:ascii="Arial" w:cs="Arial" w:eastAsia="Arial" w:hAnsi="Arial"/>
          <w:sz w:val="18"/>
          <w:szCs w:val="18"/>
          <w:b w:val="1"/>
          <w:bCs w:val="1"/>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187" w:lineRule="exact"/>
        <w:rPr>
          <w:sz w:val="20"/>
          <w:szCs w:val="20"/>
          <w:color w:val="auto"/>
        </w:rPr>
      </w:pPr>
    </w:p>
    <w:p>
      <w:pPr>
        <w:ind w:right="180" w:firstLine="414"/>
        <w:spacing w:after="0" w:line="277" w:lineRule="auto"/>
        <w:rPr>
          <w:sz w:val="20"/>
          <w:szCs w:val="20"/>
          <w:color w:val="auto"/>
        </w:rPr>
      </w:pPr>
      <w:r>
        <w:rPr>
          <w:rFonts w:ascii="Arial" w:cs="Arial" w:eastAsia="Arial" w:hAnsi="Arial"/>
          <w:sz w:val="18"/>
          <w:szCs w:val="18"/>
          <w:b w:val="1"/>
          <w:bCs w:val="1"/>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capitalized and amortized using the effective interest method over the expected term of the borrowing.</w:t>
      </w:r>
    </w:p>
    <w:p>
      <w:pPr>
        <w:spacing w:after="0" w:line="170" w:lineRule="exact"/>
        <w:rPr>
          <w:sz w:val="20"/>
          <w:szCs w:val="20"/>
          <w:color w:val="auto"/>
        </w:rPr>
      </w:pPr>
    </w:p>
    <w:p>
      <w:pPr>
        <w:ind w:right="60" w:firstLine="414"/>
        <w:spacing w:after="0" w:line="302" w:lineRule="auto"/>
        <w:rPr>
          <w:sz w:val="20"/>
          <w:szCs w:val="20"/>
          <w:color w:val="auto"/>
        </w:rPr>
      </w:pPr>
      <w:r>
        <w:rPr>
          <w:rFonts w:ascii="Arial" w:cs="Arial" w:eastAsia="Arial" w:hAnsi="Arial"/>
          <w:sz w:val="16"/>
          <w:szCs w:val="16"/>
          <w:b w:val="1"/>
          <w:bCs w:val="1"/>
          <w:i w:val="1"/>
          <w:iCs w:val="1"/>
          <w:color w:val="auto"/>
        </w:rPr>
        <w:t>Extinguishment of debt</w:t>
      </w:r>
      <w:r>
        <w:rPr>
          <w:rFonts w:ascii="Arial" w:cs="Arial" w:eastAsia="Arial" w:hAnsi="Arial"/>
          <w:sz w:val="16"/>
          <w:szCs w:val="16"/>
          <w:color w:val="auto"/>
        </w:rPr>
        <w:t>. The Company must derecognize a liability if and only if it has been extinguished through delivery of cash, delivery of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154"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193" w:lineRule="exact"/>
        <w:rPr>
          <w:sz w:val="20"/>
          <w:szCs w:val="20"/>
          <w:color w:val="auto"/>
        </w:rPr>
      </w:pPr>
    </w:p>
    <w:p>
      <w:pPr>
        <w:ind w:right="740" w:firstLine="414"/>
        <w:spacing w:after="0" w:line="277" w:lineRule="auto"/>
        <w:rPr>
          <w:sz w:val="20"/>
          <w:szCs w:val="20"/>
          <w:color w:val="auto"/>
        </w:rPr>
      </w:pPr>
      <w:r>
        <w:rPr>
          <w:rFonts w:ascii="Arial" w:cs="Arial" w:eastAsia="Arial" w:hAnsi="Arial"/>
          <w:sz w:val="18"/>
          <w:szCs w:val="18"/>
          <w:b w:val="1"/>
          <w:bCs w:val="1"/>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Board of Directors each quarter.</w:t>
      </w:r>
    </w:p>
    <w:p>
      <w:pPr>
        <w:spacing w:after="0" w:line="170" w:lineRule="exact"/>
        <w:rPr>
          <w:sz w:val="20"/>
          <w:szCs w:val="20"/>
          <w:color w:val="auto"/>
        </w:rPr>
      </w:pPr>
    </w:p>
    <w:p>
      <w:pPr>
        <w:ind w:right="360" w:firstLine="414"/>
        <w:spacing w:after="0" w:line="264" w:lineRule="auto"/>
        <w:rPr>
          <w:sz w:val="20"/>
          <w:szCs w:val="20"/>
          <w:color w:val="auto"/>
        </w:rPr>
      </w:pPr>
      <w:r>
        <w:rPr>
          <w:rFonts w:ascii="Arial" w:cs="Arial" w:eastAsia="Arial" w:hAnsi="Arial"/>
          <w:sz w:val="18"/>
          <w:szCs w:val="18"/>
          <w:color w:val="auto"/>
        </w:rPr>
        <w:t>The Company has adopted a dividend reinvestment plan that provides for reinvestment of its distributions on behalf of its stockholders, unless a stockholder “opts out” of the plan to receive cash in lieu of having their cash distributions automatically reinvested in additional shares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(LOSSES) PER SHARE</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months ended March 31, 2016 and 2015 (unaudited):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net assets resulting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(6,842,699)</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increase/(decrease) in net assets allocated to unvested share awards</w:t>
            </w:r>
          </w:p>
        </w:tc>
        <w:tc>
          <w:tcPr>
            <w:tcW w:w="1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123,579</w:t>
            </w:r>
          </w:p>
        </w:tc>
        <w:tc>
          <w:tcPr>
            <w:tcW w:w="4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(128,976)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(decrease)/increase in net assets available to common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(6,719,120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7,543,314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 for basic shares computation</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37,109,735</w:t>
            </w:r>
          </w:p>
        </w:tc>
        <w:tc>
          <w:tcPr>
            <w:tcW w:w="2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9"/>
              </w:rPr>
              <w:t>36,834,266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 stock options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Pr>
          <w:p>
            <w:pPr>
              <w:spacing w:after="0" w:line="182" w:lineRule="exact"/>
              <w:rPr>
                <w:sz w:val="20"/>
                <w:szCs w:val="20"/>
                <w:color w:val="auto"/>
              </w:rPr>
            </w:pPr>
            <w:r>
              <w:rPr>
                <w:rFonts w:ascii="Arial" w:cs="Arial" w:eastAsia="Arial" w:hAnsi="Arial"/>
                <w:sz w:val="18"/>
                <w:szCs w:val="18"/>
                <w:color w:val="auto"/>
                <w:w w:val="92"/>
              </w:rPr>
              <w:t>Weighted average number of common and common stock equivalent shares outstanding for diluted</w:t>
            </w: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7320" w:type="dxa"/>
            <w:vAlign w:val="bottom"/>
            <w:gridSpan w:val="2"/>
          </w:tcPr>
          <w:p>
            <w:pPr>
              <w:spacing w:after="0"/>
              <w:rPr>
                <w:sz w:val="20"/>
                <w:szCs w:val="20"/>
                <w:color w:val="auto"/>
              </w:rPr>
            </w:pPr>
            <w:r>
              <w:rPr>
                <w:rFonts w:ascii="Arial" w:cs="Arial" w:eastAsia="Arial" w:hAnsi="Arial"/>
                <w:sz w:val="18"/>
                <w:szCs w:val="18"/>
                <w:color w:val="auto"/>
              </w:rPr>
              <w:t>shares computation</w:t>
            </w:r>
          </w:p>
        </w:tc>
        <w:tc>
          <w:tcPr>
            <w:tcW w:w="140" w:type="dxa"/>
            <w:vAlign w:val="bottom"/>
          </w:tcPr>
          <w:p>
            <w:pPr>
              <w:spacing w:after="0"/>
              <w:rPr>
                <w:sz w:val="24"/>
                <w:szCs w:val="2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37,109,735</w:t>
            </w:r>
          </w:p>
        </w:tc>
        <w:tc>
          <w:tcPr>
            <w:tcW w:w="4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36,843,382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increase in net assets per basic common shares: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per diluted shares: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ind w:right="300" w:firstLine="414"/>
        <w:spacing w:after="0" w:line="342" w:lineRule="auto"/>
        <w:rPr>
          <w:sz w:val="20"/>
          <w:szCs w:val="20"/>
          <w:color w:val="auto"/>
        </w:rPr>
      </w:pPr>
      <w:r>
        <w:rPr>
          <w:rFonts w:ascii="Arial" w:cs="Arial" w:eastAsia="Arial" w:hAnsi="Arial"/>
          <w:sz w:val="16"/>
          <w:szCs w:val="16"/>
          <w:color w:val="auto"/>
        </w:rPr>
        <w:t>There were 50,000 options to purchase shares of common stock for the three months ended March 31, 2016. For the three months ended March 31, 2016 and 2015, options to purchase 0 and 9,116 shares of common stock, respectively, were included in the computation of diluted earnings per share.</w:t>
      </w:r>
    </w:p>
    <w:p>
      <w:pPr>
        <w:spacing w:after="0" w:line="124" w:lineRule="exact"/>
        <w:rPr>
          <w:sz w:val="20"/>
          <w:szCs w:val="20"/>
          <w:color w:val="auto"/>
        </w:rPr>
      </w:pPr>
    </w:p>
    <w:p>
      <w:pPr>
        <w:ind w:firstLine="414"/>
        <w:spacing w:after="0" w:line="293" w:lineRule="auto"/>
        <w:rPr>
          <w:sz w:val="20"/>
          <w:szCs w:val="20"/>
          <w:color w:val="auto"/>
        </w:rPr>
      </w:pPr>
      <w:r>
        <w:rPr>
          <w:rFonts w:ascii="Arial" w:cs="Arial" w:eastAsia="Arial" w:hAnsi="Arial"/>
          <w:sz w:val="16"/>
          <w:szCs w:val="16"/>
          <w:color w:val="auto"/>
        </w:rPr>
        <w:t>The Company’s Convertible Notes were included in the computation of the diluted net increase or decrease in net assets resulting from operations per share by application of the “if-converted method” for periods when the Convertible Notes were outstanding. Under the if-converted method, interest charges applicable to the convertible notes for the period are added to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three months ended March 31, 2015, the effect of the Convertible Notes was anti-dilutive. The Convertible Notes matured and were repaid in March 2016.</w:t>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5"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4. INVESTMENTS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60" w:type="dxa"/>
            <w:vAlign w:val="bottom"/>
            <w:gridSpan w:val="16"/>
          </w:tcPr>
          <w:p>
            <w:pPr>
              <w:ind w:left="320"/>
              <w:spacing w:after="0"/>
              <w:rPr>
                <w:sz w:val="20"/>
                <w:szCs w:val="20"/>
                <w:color w:val="auto"/>
              </w:rPr>
            </w:pPr>
            <w:r>
              <w:rPr>
                <w:rFonts w:ascii="Arial" w:cs="Arial" w:eastAsia="Arial" w:hAnsi="Arial"/>
                <w:sz w:val="18"/>
                <w:szCs w:val="18"/>
                <w:color w:val="auto"/>
                <w:w w:val="93"/>
              </w:rPr>
              <w:t>The following table shows the Company’s portfolio by security type at March 31, 2016 and December 31, 2015: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92"/>
              </w:rPr>
              <w:t>March 31, 2016 (unaudited)</w:t>
            </w: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0"/>
              </w:rPr>
              <w:t>December 31, 2015</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2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19"/>
                <w:szCs w:val="19"/>
                <w:color w:val="auto"/>
              </w:rPr>
            </w:pPr>
          </w:p>
        </w:tc>
        <w:tc>
          <w:tcPr>
            <w:tcW w:w="15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2"/>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Fair Value</w:t>
            </w: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Accounts³</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1,665,993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1,665,993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Senior Secured Loan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205,077,628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193,931,052</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203,819,074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194,123,223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39,250,916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36,586,051</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40,221,557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37,591,900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Senior Unsecured Loan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16,000,000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16,000,000</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23,000,000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23,000,000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1,825,800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2,216,700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4,513,571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4,662,751</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4,466,793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4,615,569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12,053,460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11,557,863</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11,879,187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10,551,724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Senior Secured Bond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1,509,541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1,440,000</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1,510,560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1,503,755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73,610,853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49,358,283</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83,214,947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55,872,382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Equity Securities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10,467,787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10,927,901</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10,467,787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9,548,488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Preferred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10,411,673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11,036,373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Asset Manager Affiliates²</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56,091,230</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50,348,000</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56,591,230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57,381,000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423,240,979</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378,303,694</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450,712,189</w:t>
            </w:r>
          </w:p>
        </w:tc>
        <w:tc>
          <w:tcPr>
            <w:tcW w:w="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409,570,495</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right="6360" w:firstLine="8"/>
        <w:spacing w:after="0" w:line="323" w:lineRule="auto"/>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equity investment in the Asset Manager Affiliates. ³ Includes restricted cash held under employee benefit plans.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ind w:right="60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2016 and December 31, 2015,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ind w:left="680"/>
              <w:spacing w:after="0"/>
              <w:rPr>
                <w:sz w:val="20"/>
                <w:szCs w:val="20"/>
                <w:color w:val="auto"/>
              </w:rPr>
            </w:pPr>
            <w:r>
              <w:rPr>
                <w:rFonts w:ascii="Arial" w:cs="Arial" w:eastAsia="Arial" w:hAnsi="Arial"/>
                <w:sz w:val="18"/>
                <w:szCs w:val="18"/>
                <w:b w:val="1"/>
                <w:bCs w:val="1"/>
                <w:color w:val="auto"/>
                <w:w w:val="95"/>
              </w:rPr>
              <w:t>March 31, 2016 (unaudited)</w:t>
            </w: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0"/>
              </w:rPr>
              <w:t>December 31, 2015</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Industry Classification</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5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6,905,517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5,969,552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6,910,349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6,383,724</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57"/>
        </w:trPr>
        <w:tc>
          <w:tcPr>
            <w:tcW w:w="332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56,091,230</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50,348,000</w:t>
            </w: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56,591,230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57,381,000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2"/>
                <w:szCs w:val="2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Portfolio Company Loan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16,000,000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16,000,000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Automotive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9,883,628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9,459,234</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9,898,494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9,440,866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6"/>
              </w:rPr>
              <w:t>Banking, Finance, Insurance &amp; Real Estate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5,248,718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5,164,697</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6,270,984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6,008,587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17,273,466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16,676,821</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17,334,746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16,882,750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9,515,822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9,201,084</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9,519,342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7,846,767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3,484,863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3,350,085</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3,494,086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3,359,916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73,610,853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49,358,283</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83,214,947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55,872,382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1,971,999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1,918,106</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1,976,345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1,907,614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13,968,336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12,294,047</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13,983,607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12,753,455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19,327,124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18,779,753</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20,124,355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19,646,576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Energy: Electricity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3,458,158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3,447,609</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3,465,576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3,465,000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Energy: Oil &amp; Gas</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13,903,235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8,770,758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14,281,821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10,204,318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13,672,943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12,921,380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13,735,492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13,179,657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5,881,077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5,739,224</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5,888,294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5,883,080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58,525,815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55,024,740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58,649,512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55,417,827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High Tech Industries</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11,648,125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11,487,908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11,727,898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11,662,995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Media: Advertising, Printing &amp; Publishing</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11,129,455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10,665,306</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11,167,950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10,340,449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&amp; Subscription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6,601,248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6,613,480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7,428,110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7,406,792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Metals &amp; Mining</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228,563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228,563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4,409,540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3,769,979</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4,416,709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3,594,599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Services: Business</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22,295,921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25,926,536</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18,206,668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21,022,801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Services: Consumer</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6,504,267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6,302,351</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6,512,029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6,356,054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Telecommunications</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13,754,288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12,839,109</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13,776,871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12,425,489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r>
      <w:tr>
        <w:trPr>
          <w:trHeight w:val="205"/>
        </w:trPr>
        <w:tc>
          <w:tcPr>
            <w:tcW w:w="33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Time Deposit and Money Market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67"/>
        </w:trPr>
        <w:tc>
          <w:tcPr>
            <w:tcW w:w="332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Accounts</w:t>
            </w:r>
            <w:r>
              <w:rPr>
                <w:rFonts w:ascii="Arial" w:cs="Arial" w:eastAsia="Arial" w:hAnsi="Arial"/>
                <w:sz w:val="30"/>
                <w:szCs w:val="30"/>
                <w:color w:val="auto"/>
                <w:vertAlign w:val="superscript"/>
              </w:rPr>
              <w:t>3</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1,665,993</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1,665,993</w:t>
            </w:r>
          </w:p>
        </w:tc>
        <w:tc>
          <w:tcPr>
            <w:tcW w:w="3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2,129,381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Transportation: Cargo</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7,812,395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7,725,254</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18,232,953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18,865,603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Consumer</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2,457,756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2,456,406</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2,472,795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2,324,381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Utilities: Electric</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5,610,644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4,426,008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5,673,082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4,806,441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r>
      <w:tr>
        <w:trPr>
          <w:trHeight w:val="230"/>
        </w:trPr>
        <w:tc>
          <w:tcPr>
            <w:tcW w:w="3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423,240,979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378,303,694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450,712,189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409,570,495</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3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bl>
    <w:p>
      <w:pPr>
        <w:spacing w:after="0" w:line="8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ind w:left="340" w:hanging="332"/>
        <w:spacing w:after="0" w:line="180"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3" w:lineRule="exact"/>
        <w:rPr>
          <w:sz w:val="20"/>
          <w:szCs w:val="20"/>
          <w:color w:val="auto"/>
        </w:rPr>
      </w:pPr>
    </w:p>
    <w:p>
      <w:pPr>
        <w:ind w:right="240" w:firstLine="414"/>
        <w:spacing w:after="0" w:line="259"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 debt and equity securities of CLO Funds, distressed debt or debt and equity securities of public companies. The Company expects that these public companies generally will have debt that is non-investment grade. Within this 30% of the portfolio, the Company also may invest in debt of middle market companies located outside of the United States.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right="200" w:firstLine="414"/>
        <w:spacing w:after="0" w:line="312" w:lineRule="auto"/>
        <w:rPr>
          <w:sz w:val="20"/>
          <w:szCs w:val="20"/>
          <w:color w:val="auto"/>
        </w:rPr>
      </w:pPr>
      <w:r>
        <w:rPr>
          <w:rFonts w:ascii="Arial" w:cs="Arial" w:eastAsia="Arial" w:hAnsi="Arial"/>
          <w:sz w:val="16"/>
          <w:szCs w:val="16"/>
          <w:color w:val="auto"/>
        </w:rPr>
        <w:t>At March 31, 2016 and December 31, 2015, the total amount of non-qualifying assets was approximately 17% and 18%, respectively. The majority of non-qualifying assets were foreign investments which were approximately 13% of the Company’s total assets for both periods (including the Company’s investments in CLO Funds, which are typically domiciled outside the U.S. and represented approximately 13% of its total assets on such dates).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detail the ten largest portfolio investments (at fair value) as of March 31, 2016 and December 31, 2015,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17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1200"/>
              <w:spacing w:after="0"/>
              <w:rPr>
                <w:sz w:val="20"/>
                <w:szCs w:val="20"/>
                <w:color w:val="auto"/>
              </w:rPr>
            </w:pPr>
            <w:r>
              <w:rPr>
                <w:rFonts w:ascii="Arial" w:cs="Arial" w:eastAsia="Arial" w:hAnsi="Arial"/>
                <w:sz w:val="18"/>
                <w:szCs w:val="18"/>
                <w:b w:val="1"/>
                <w:bCs w:val="1"/>
                <w:color w:val="auto"/>
              </w:rPr>
              <w:t>March 31, 2016</w:t>
            </w: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gridSpan w:val="2"/>
            <w:vMerge w:val="continue"/>
          </w:tcPr>
          <w:p>
            <w:pPr>
              <w:spacing w:after="0"/>
              <w:rPr>
                <w:sz w:val="19"/>
                <w:szCs w:val="19"/>
                <w:color w:val="auto"/>
              </w:rPr>
            </w:pPr>
          </w:p>
        </w:tc>
        <w:tc>
          <w:tcPr>
            <w:tcW w:w="1780" w:type="dxa"/>
            <w:vAlign w:val="bottom"/>
          </w:tcPr>
          <w:p>
            <w:pPr>
              <w:spacing w:after="0"/>
              <w:rPr>
                <w:sz w:val="19"/>
                <w:szCs w:val="19"/>
                <w:color w:val="auto"/>
              </w:rPr>
            </w:pPr>
          </w:p>
        </w:tc>
        <w:tc>
          <w:tcPr>
            <w:tcW w:w="1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9"/>
              </w:rPr>
              <w:t>Cost/Amortized Cost</w:t>
            </w:r>
          </w:p>
        </w:tc>
        <w:tc>
          <w:tcPr>
            <w:tcW w:w="14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200" w:type="dxa"/>
            <w:vAlign w:val="bottom"/>
          </w:tcPr>
          <w:p>
            <w:pPr>
              <w:ind w:left="200"/>
              <w:spacing w:after="0"/>
              <w:rPr>
                <w:sz w:val="20"/>
                <w:szCs w:val="20"/>
                <w:color w:val="auto"/>
              </w:rPr>
            </w:pPr>
            <w:r>
              <w:rPr>
                <w:rFonts w:ascii="Arial" w:cs="Arial" w:eastAsia="Arial" w:hAnsi="Arial"/>
                <w:sz w:val="18"/>
                <w:szCs w:val="18"/>
                <w:b w:val="1"/>
                <w:bCs w:val="1"/>
                <w:color w:val="auto"/>
              </w:rPr>
              <w:t>% of FMV</w:t>
            </w:r>
          </w:p>
        </w:tc>
        <w:tc>
          <w:tcPr>
            <w:tcW w:w="1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7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vMerge w:val="continue"/>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56,091,230</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50,348,000</w:t>
            </w:r>
          </w:p>
        </w:tc>
        <w:tc>
          <w:tcPr>
            <w:tcW w:w="180" w:type="dxa"/>
            <w:vAlign w:val="bottom"/>
            <w:vMerge w:val="continue"/>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Katonah 2007-I CLO Ltd.</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24,838,257</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19,116,934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Trimaran Advisors, L.L.C.</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16,000,000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DBI Holding LLC</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8,810,149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13,962,518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Grupo HIMA San Pablo, Inc.</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9,820,107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9,292,462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Catamaran CLO 2015-1 Ltd.</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11,634,222</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7,618,563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WireCo WorldGroup Inc.</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8,015,822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7,348,800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11,410,136</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6,837,977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Nielsen &amp; Bainbridge, LLC</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6,794,861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6,450,224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Roscoe Medical, Inc.</w:t>
            </w: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6,657,567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6,354,950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160,072,351</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143,330,428</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16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1060"/>
              <w:spacing w:after="0"/>
              <w:rPr>
                <w:sz w:val="20"/>
                <w:szCs w:val="20"/>
                <w:color w:val="auto"/>
              </w:rPr>
            </w:pPr>
            <w:r>
              <w:rPr>
                <w:rFonts w:ascii="Arial" w:cs="Arial" w:eastAsia="Arial" w:hAnsi="Arial"/>
                <w:sz w:val="18"/>
                <w:szCs w:val="18"/>
                <w:b w:val="1"/>
                <w:bCs w:val="1"/>
                <w:color w:val="auto"/>
              </w:rPr>
              <w:t>December 31, 2015</w:t>
            </w:r>
          </w:p>
        </w:tc>
        <w:tc>
          <w:tcPr>
            <w:tcW w:w="1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gridSpan w:val="2"/>
            <w:vMerge w:val="continue"/>
          </w:tcPr>
          <w:p>
            <w:pPr>
              <w:spacing w:after="0"/>
              <w:rPr>
                <w:sz w:val="19"/>
                <w:szCs w:val="19"/>
                <w:color w:val="auto"/>
              </w:rPr>
            </w:pPr>
          </w:p>
        </w:tc>
        <w:tc>
          <w:tcPr>
            <w:tcW w:w="1640" w:type="dxa"/>
            <w:vAlign w:val="bottom"/>
          </w:tcPr>
          <w:p>
            <w:pPr>
              <w:spacing w:after="0"/>
              <w:rPr>
                <w:sz w:val="19"/>
                <w:szCs w:val="19"/>
                <w:color w:val="auto"/>
              </w:rPr>
            </w:pPr>
          </w:p>
        </w:tc>
        <w:tc>
          <w:tcPr>
            <w:tcW w:w="1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9"/>
              </w:rPr>
              <w:t>Cost/Amortized Cost</w:t>
            </w:r>
          </w:p>
        </w:tc>
        <w:tc>
          <w:tcPr>
            <w:tcW w:w="14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200" w:type="dxa"/>
            <w:vAlign w:val="bottom"/>
          </w:tcPr>
          <w:p>
            <w:pPr>
              <w:ind w:left="200"/>
              <w:spacing w:after="0"/>
              <w:rPr>
                <w:sz w:val="20"/>
                <w:szCs w:val="20"/>
                <w:color w:val="auto"/>
              </w:rPr>
            </w:pPr>
            <w:r>
              <w:rPr>
                <w:rFonts w:ascii="Arial" w:cs="Arial" w:eastAsia="Arial" w:hAnsi="Arial"/>
                <w:sz w:val="18"/>
                <w:szCs w:val="18"/>
                <w:b w:val="1"/>
                <w:bCs w:val="1"/>
                <w:color w:val="auto"/>
              </w:rPr>
              <w:t>% of FMV</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6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vMerge w:val="continue"/>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56,591,230</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18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Trimaran Advisors, L.L.C.</w:t>
            </w: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23,000,000</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23,000,000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1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24,312,424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20,295,677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DBI Holding, LLC</w:t>
            </w: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8,585,578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12,975,447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Crowley Holdings Preferred, LLC</w:t>
            </w:r>
          </w:p>
        </w:tc>
        <w:tc>
          <w:tcPr>
            <w:tcW w:w="1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10,411,673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11,036,373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9,817,315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9,917,500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2015-1 Ltd.</w:t>
            </w:r>
          </w:p>
        </w:tc>
        <w:tc>
          <w:tcPr>
            <w:tcW w:w="1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11,869,751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8,789,651</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10,624,515</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8,177,538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Weiman Products, LLC</w:t>
            </w:r>
          </w:p>
        </w:tc>
        <w:tc>
          <w:tcPr>
            <w:tcW w:w="1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6,582,457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6,619,805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Nielsen &amp; Bainbrige, LLC</w:t>
            </w:r>
          </w:p>
        </w:tc>
        <w:tc>
          <w:tcPr>
            <w:tcW w:w="1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6,803,605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6,510,157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w:t>
            </w:r>
          </w:p>
        </w:tc>
        <w:tc>
          <w:tcPr>
            <w:tcW w:w="20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168,598,548</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164,703,148</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39</w:t>
            </w: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46" w:name="page47"/>
    <w:bookmarkEnd w:id="46"/>
    <w:p>
      <w:pPr>
        <w:ind w:right="180" w:firstLine="414"/>
        <w:spacing w:after="0" w:line="277" w:lineRule="auto"/>
        <w:rPr>
          <w:sz w:val="20"/>
          <w:szCs w:val="20"/>
          <w:color w:val="auto"/>
        </w:rPr>
      </w:pPr>
      <w:r>
        <w:rPr>
          <w:rFonts w:ascii="Arial" w:cs="Arial" w:eastAsia="Arial" w:hAnsi="Arial"/>
          <w:sz w:val="18"/>
          <w:szCs w:val="18"/>
          <w:color w:val="auto"/>
        </w:rPr>
        <w:t>Excluding the Asset Manager Affiliates and CLO Fund securities, the Company’s ten largest portfolio companies represented approximately 16% and 19% of the total fair value of the Company’s investments at March 31, 2016 and December 31,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29" w:lineRule="exact"/>
        <w:rPr>
          <w:sz w:val="20"/>
          <w:szCs w:val="20"/>
          <w:color w:val="auto"/>
        </w:rPr>
      </w:pPr>
    </w:p>
    <w:p>
      <w:pPr>
        <w:ind w:right="20" w:firstLine="414"/>
        <w:spacing w:after="0" w:line="290" w:lineRule="auto"/>
        <w:rPr>
          <w:sz w:val="20"/>
          <w:szCs w:val="20"/>
          <w:color w:val="auto"/>
        </w:rPr>
      </w:pPr>
      <w:r>
        <w:rPr>
          <w:rFonts w:ascii="Arial" w:cs="Arial" w:eastAsia="Arial" w:hAnsi="Arial"/>
          <w:sz w:val="16"/>
          <w:szCs w:val="16"/>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66" w:lineRule="exact"/>
        <w:rPr>
          <w:sz w:val="20"/>
          <w:szCs w:val="20"/>
          <w:color w:val="auto"/>
        </w:rPr>
      </w:pPr>
    </w:p>
    <w:p>
      <w:pPr>
        <w:ind w:right="560" w:firstLine="414"/>
        <w:spacing w:after="0" w:line="277" w:lineRule="auto"/>
        <w:rPr>
          <w:sz w:val="20"/>
          <w:szCs w:val="20"/>
          <w:color w:val="auto"/>
        </w:rPr>
      </w:pPr>
      <w:r>
        <w:rPr>
          <w:rFonts w:ascii="Arial" w:cs="Arial" w:eastAsia="Arial" w:hAnsi="Arial"/>
          <w:sz w:val="18"/>
          <w:szCs w:val="18"/>
          <w:color w:val="auto"/>
        </w:rPr>
        <w:t>In June 2013, the Company purchased $9.0 million of the par value of the Subordinated Notes of Catamaran 2013-1 CLO (“Catamaran 2013-1”) managed by Trimaran Advisors.</w:t>
      </w:r>
    </w:p>
    <w:p>
      <w:pPr>
        <w:spacing w:after="0" w:line="170" w:lineRule="exact"/>
        <w:rPr>
          <w:sz w:val="20"/>
          <w:szCs w:val="20"/>
          <w:color w:val="auto"/>
        </w:rPr>
      </w:pPr>
    </w:p>
    <w:p>
      <w:pPr>
        <w:ind w:right="40" w:firstLine="414"/>
        <w:spacing w:after="0" w:line="277" w:lineRule="auto"/>
        <w:rPr>
          <w:sz w:val="20"/>
          <w:szCs w:val="20"/>
          <w:color w:val="auto"/>
        </w:rPr>
      </w:pPr>
      <w:r>
        <w:rPr>
          <w:rFonts w:ascii="Arial" w:cs="Arial" w:eastAsia="Arial" w:hAnsi="Arial"/>
          <w:sz w:val="18"/>
          <w:szCs w:val="18"/>
          <w:color w:val="auto"/>
        </w:rPr>
        <w:t>In May and August 2014, the Company purchased $11.1 million and $9.9 million of the par value of the Subordinated Notes of Catamaran 2014-1 CLO (“Catamaran 2014-1”) and 2014-2 CLO (“Catamaran 2014-2”), respectively. Both are managed by Trimaran Advisors.</w:t>
      </w:r>
    </w:p>
    <w:p>
      <w:pPr>
        <w:spacing w:after="0" w:line="170" w:lineRule="exact"/>
        <w:rPr>
          <w:sz w:val="20"/>
          <w:szCs w:val="20"/>
          <w:color w:val="auto"/>
        </w:rPr>
      </w:pPr>
    </w:p>
    <w:p>
      <w:pPr>
        <w:ind w:right="480" w:firstLine="414"/>
        <w:spacing w:after="0" w:line="277" w:lineRule="auto"/>
        <w:rPr>
          <w:sz w:val="20"/>
          <w:szCs w:val="20"/>
          <w:color w:val="auto"/>
        </w:rPr>
      </w:pPr>
      <w:r>
        <w:rPr>
          <w:rFonts w:ascii="Arial" w:cs="Arial" w:eastAsia="Arial" w:hAnsi="Arial"/>
          <w:sz w:val="18"/>
          <w:szCs w:val="18"/>
          <w:color w:val="auto"/>
        </w:rPr>
        <w:t>In May 2015, the Company purchased $11.9 million of the par value of the Subordinated Notes of Catamaran 2015-1 CLO (“Catamaran 2015-1”) managed by Trimaran Advisors.</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All CLO Funds managed by the Asset Manager Affiliates are currently making quarterly distributions to the Company with respect to its interests in the CLO Funds and are paying all senior and subordinate management fees to the Asset Manager Affiliates. With the exception of Katonah III, Ltd., all third-party managed CLO Funds are making distributions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 Significant Accounting Policies — Investments”).</w:t>
      </w:r>
    </w:p>
    <w:p>
      <w:pPr>
        <w:spacing w:after="0" w:line="183" w:lineRule="exact"/>
        <w:rPr>
          <w:sz w:val="20"/>
          <w:szCs w:val="20"/>
          <w:color w:val="auto"/>
        </w:rPr>
      </w:pPr>
    </w:p>
    <w:p>
      <w:pPr>
        <w:ind w:right="120" w:firstLine="41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420" w:right="180" w:firstLine="41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7" w:name="page48"/>
    <w:bookmarkEnd w:id="47"/>
    <w:p>
      <w:pPr>
        <w:ind w:left="420" w:right="160" w:firstLine="41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420" w:right="140" w:firstLine="41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20" w:firstLine="414"/>
        <w:spacing w:after="0" w:line="289"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67"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March 31, 2016 (unaudited) and December 31, 2015,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7"/>
          </w:tcPr>
          <w:p>
            <w:pPr>
              <w:ind w:left="20"/>
              <w:spacing w:after="0"/>
              <w:rPr>
                <w:sz w:val="20"/>
                <w:szCs w:val="20"/>
                <w:color w:val="auto"/>
              </w:rPr>
            </w:pPr>
            <w:r>
              <w:rPr>
                <w:rFonts w:ascii="Arial" w:cs="Arial" w:eastAsia="Arial" w:hAnsi="Arial"/>
                <w:sz w:val="18"/>
                <w:szCs w:val="18"/>
                <w:b w:val="1"/>
                <w:bCs w:val="1"/>
                <w:color w:val="auto"/>
                <w:w w:val="96"/>
              </w:rPr>
              <w:t>As of March 31, 2016 (unaudited)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I</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III</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1,665,993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1,665,993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Debt securities</w:t>
            </w:r>
          </w:p>
        </w:tc>
        <w:tc>
          <w:tcPr>
            <w:tcW w:w="9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95,323,960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170,679,557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266,003,517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49,358,283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49,358,283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10,927,901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10,927,901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50,348,000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50,348,000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96,989,953</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281,313,741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378,303,694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6"/>
          </w:tcPr>
          <w:p>
            <w:pPr>
              <w:ind w:left="160"/>
              <w:spacing w:after="0"/>
              <w:rPr>
                <w:sz w:val="20"/>
                <w:szCs w:val="20"/>
                <w:color w:val="auto"/>
              </w:rPr>
            </w:pPr>
            <w:r>
              <w:rPr>
                <w:rFonts w:ascii="Arial" w:cs="Arial" w:eastAsia="Arial" w:hAnsi="Arial"/>
                <w:sz w:val="18"/>
                <w:szCs w:val="18"/>
                <w:b w:val="1"/>
                <w:bCs w:val="1"/>
                <w:color w:val="auto"/>
              </w:rPr>
              <w:t>As of December 31, 2015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III</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Debt securities</w:t>
            </w:r>
          </w:p>
        </w:tc>
        <w:tc>
          <w:tcPr>
            <w:tcW w:w="94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101,238,779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183,400,465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284,639,244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55,872,382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55,872,382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Equity securities</w:t>
            </w:r>
          </w:p>
        </w:tc>
        <w:tc>
          <w:tcPr>
            <w:tcW w:w="94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445,485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9,103,003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9,548,488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57,381,000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57,381,000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103,813,645</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305,756,850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409,570,495</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48" w:name="page49"/>
    <w:bookmarkEnd w:id="48"/>
    <w:p>
      <w:pPr>
        <w:ind w:right="60" w:firstLine="324"/>
        <w:spacing w:after="0" w:line="308" w:lineRule="auto"/>
        <w:rPr>
          <w:sz w:val="20"/>
          <w:szCs w:val="20"/>
          <w:color w:val="auto"/>
        </w:rPr>
      </w:pPr>
      <w:r>
        <w:rPr>
          <w:rFonts w:ascii="Arial" w:cs="Arial" w:eastAsia="Arial" w:hAnsi="Arial"/>
          <w:sz w:val="17"/>
          <w:szCs w:val="17"/>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w:t>
      </w:r>
    </w:p>
    <w:p>
      <w:pPr>
        <w:spacing w:after="0" w:line="14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the Company considers them to be Level II.</w:t>
      </w:r>
    </w:p>
    <w:p>
      <w:pPr>
        <w:spacing w:after="0" w:line="170" w:lineRule="exact"/>
        <w:rPr>
          <w:sz w:val="20"/>
          <w:szCs w:val="20"/>
          <w:color w:val="auto"/>
        </w:rPr>
      </w:pPr>
    </w:p>
    <w:p>
      <w:pPr>
        <w:ind w:right="260" w:firstLine="414"/>
        <w:spacing w:after="0" w:line="276" w:lineRule="auto"/>
        <w:rPr>
          <w:sz w:val="20"/>
          <w:szCs w:val="20"/>
          <w:color w:val="auto"/>
        </w:rPr>
      </w:pPr>
      <w:r>
        <w:rPr>
          <w:rFonts w:ascii="Arial" w:cs="Arial" w:eastAsia="Arial" w:hAnsi="Arial"/>
          <w:sz w:val="17"/>
          <w:szCs w:val="17"/>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73" w:lineRule="exact"/>
        <w:rPr>
          <w:sz w:val="20"/>
          <w:szCs w:val="20"/>
          <w:color w:val="auto"/>
        </w:rPr>
      </w:pPr>
    </w:p>
    <w:p>
      <w:pPr>
        <w:ind w:right="60" w:firstLine="41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Investments measured at fair value for which the Company has used unobservable inputs to determine fair value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9"/>
          </w:tcPr>
          <w:p>
            <w:pPr>
              <w:jc w:val="right"/>
              <w:ind w:right="440"/>
              <w:spacing w:after="0"/>
              <w:rPr>
                <w:sz w:val="20"/>
                <w:szCs w:val="20"/>
                <w:color w:val="auto"/>
              </w:rPr>
            </w:pPr>
            <w:r>
              <w:rPr>
                <w:rFonts w:ascii="Arial" w:cs="Arial" w:eastAsia="Arial" w:hAnsi="Arial"/>
                <w:sz w:val="18"/>
                <w:szCs w:val="18"/>
                <w:b w:val="1"/>
                <w:bCs w:val="1"/>
                <w:color w:val="auto"/>
                <w:w w:val="92"/>
              </w:rPr>
              <w:t>Three Months Ended March 31, 2016 (unaudited)</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4"/>
              </w:rPr>
              <w:t>Equity</w:t>
            </w:r>
          </w:p>
        </w:tc>
        <w:tc>
          <w:tcPr>
            <w:tcW w:w="120" w:type="dxa"/>
            <w:vAlign w:val="bottom"/>
          </w:tcPr>
          <w:p>
            <w:pPr>
              <w:spacing w:after="0"/>
              <w:rPr>
                <w:sz w:val="16"/>
                <w:szCs w:val="16"/>
                <w:color w:val="auto"/>
              </w:rPr>
            </w:pPr>
          </w:p>
        </w:tc>
        <w:tc>
          <w:tcPr>
            <w:tcW w:w="14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0"/>
              </w:rPr>
              <w:t>Asset Manager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Debt Securities</w:t>
            </w:r>
          </w:p>
        </w:tc>
        <w:tc>
          <w:tcPr>
            <w:tcW w:w="14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Securities</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Affiliate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183,400,465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55,872,382</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9,103,003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305,756,850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(19,927,939)</w:t>
            </w: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(19,927,939)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III²</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20,895,090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445,485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21,340,575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81,423</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(1,938,974)</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(1,857,551)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 / Paydowns / Return of Capital</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(13,099,662)</w:t>
            </w: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(13,599,662)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63,666</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(7,665,121)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(7,601,455)</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(733,486)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3,089,996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1,379,413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(6,533,000)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(2,797,077)</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2016</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170,679,557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49,358,283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10,927,901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50,348,000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281,313,741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(11,271,164)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3,089,996</w:t>
            </w:r>
          </w:p>
        </w:tc>
        <w:tc>
          <w:tcPr>
            <w:tcW w:w="26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1,379,413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(6,533,000)</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(13,334,755)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¹Transfers out of Level III represent a transfer of $19,927,939 relating to debt securities for which pricing inputs, other than their quoted prices in active markets were observable as of March 31, 2016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²Transfers into Level III represent a transfer of $20,895,090 relating to debt securities for which pricing inputs, other than their quoted prices in active markets were unobservable as of March 31,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9"/>
          </w:tcPr>
          <w:p>
            <w:pPr>
              <w:jc w:val="right"/>
              <w:ind w:right="1080"/>
              <w:spacing w:after="0"/>
              <w:rPr>
                <w:sz w:val="20"/>
                <w:szCs w:val="20"/>
                <w:color w:val="auto"/>
              </w:rPr>
            </w:pPr>
            <w:r>
              <w:rPr>
                <w:rFonts w:ascii="Arial" w:cs="Arial" w:eastAsia="Arial" w:hAnsi="Arial"/>
                <w:sz w:val="18"/>
                <w:szCs w:val="18"/>
                <w:b w:val="1"/>
                <w:bCs w:val="1"/>
                <w:color w:val="auto"/>
              </w:rPr>
              <w:t>Year Ended December 31, 2015</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2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380" w:type="dxa"/>
            <w:vAlign w:val="bottom"/>
            <w:gridSpan w:val="3"/>
          </w:tcPr>
          <w:p>
            <w:pPr>
              <w:jc w:val="right"/>
              <w:ind w:right="200"/>
              <w:spacing w:after="0" w:line="191" w:lineRule="exact"/>
              <w:rPr>
                <w:sz w:val="20"/>
                <w:szCs w:val="20"/>
                <w:color w:val="auto"/>
              </w:rPr>
            </w:pPr>
            <w:r>
              <w:rPr>
                <w:rFonts w:ascii="Arial" w:cs="Arial" w:eastAsia="Arial" w:hAnsi="Arial"/>
                <w:sz w:val="18"/>
                <w:szCs w:val="18"/>
                <w:b w:val="1"/>
                <w:bCs w:val="1"/>
                <w:color w:val="auto"/>
                <w:w w:val="90"/>
              </w:rPr>
              <w:t>Asset Manager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Debt Securities</w:t>
            </w:r>
          </w:p>
        </w:tc>
        <w:tc>
          <w:tcPr>
            <w:tcW w:w="16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Affiliate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171,018,343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77,514,902</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328,978,926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(30,472,595)</w:t>
            </w: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(30,472,595)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III²</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34,013,134</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34,013,134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300,255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(9,507,048)</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(9,206,793)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11,952,000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(3,872,700)</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(317,340)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(3,701,446)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(7,891,486)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99,145</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(6,246,883)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(6,144,723)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7,452,183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(13,967,889)</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1,297,647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(11,243,554)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(16,461,613)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183,400,465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55,872,382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9,103,003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305,756,850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(7,109,531)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(20,760,499)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1,297,647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(11,243,554)</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(23,254,223)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¹Transfers out of Level III represent a transfer of $30,472,595 relating to debt securities for which pricing inputs, other than their quoted prices in active markets were observable as of December 31, 2015.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²Transfers into Level III represent a transfer of $34,013,134 relating to debt securities for which pricing inputs, other than their quoted prices in active markets were unobservable as of December 31, 2015.</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As of March 31, 2016,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$96,989,953 as of March 31, 2016.</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2016,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6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Type</w:t>
            </w: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22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Primary Valuation</w:t>
            </w:r>
          </w:p>
        </w:tc>
        <w:tc>
          <w:tcPr>
            <w:tcW w:w="22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Unobservable</w:t>
            </w:r>
          </w:p>
        </w:tc>
        <w:tc>
          <w:tcPr>
            <w:tcW w:w="350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126"/>
        </w:trPr>
        <w:tc>
          <w:tcPr>
            <w:tcW w:w="1660" w:type="dxa"/>
            <w:vAlign w:val="bottom"/>
            <w:tcBorders>
              <w:left w:val="single" w:sz="8" w:color="auto"/>
              <w:right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restart"/>
          </w:tcPr>
          <w:p>
            <w:pPr>
              <w:ind w:left="580"/>
              <w:spacing w:after="0"/>
              <w:rPr>
                <w:sz w:val="20"/>
                <w:szCs w:val="20"/>
                <w:color w:val="auto"/>
              </w:rPr>
            </w:pPr>
            <w:r>
              <w:rPr>
                <w:rFonts w:ascii="Arial" w:cs="Arial" w:eastAsia="Arial" w:hAnsi="Arial"/>
                <w:sz w:val="18"/>
                <w:szCs w:val="18"/>
                <w:b w:val="1"/>
                <w:bCs w:val="1"/>
                <w:color w:val="auto"/>
              </w:rPr>
              <w:t>Methodology</w:t>
            </w:r>
          </w:p>
        </w:tc>
        <w:tc>
          <w:tcPr>
            <w:tcW w:w="2200" w:type="dxa"/>
            <w:vAlign w:val="bottom"/>
            <w:tcBorders>
              <w:right w:val="single" w:sz="8" w:color="auto"/>
            </w:tcBorders>
            <w:vMerge w:val="restart"/>
          </w:tcPr>
          <w:p>
            <w:pPr>
              <w:ind w:left="840"/>
              <w:spacing w:after="0"/>
              <w:rPr>
                <w:sz w:val="20"/>
                <w:szCs w:val="20"/>
                <w:color w:val="auto"/>
              </w:rPr>
            </w:pPr>
            <w:r>
              <w:rPr>
                <w:rFonts w:ascii="Arial" w:cs="Arial" w:eastAsia="Arial" w:hAnsi="Arial"/>
                <w:sz w:val="18"/>
                <w:szCs w:val="18"/>
                <w:b w:val="1"/>
                <w:bCs w:val="1"/>
                <w:color w:val="auto"/>
              </w:rPr>
              <w:t>Inputs</w:t>
            </w:r>
          </w:p>
        </w:tc>
        <w:tc>
          <w:tcPr>
            <w:tcW w:w="3500" w:type="dxa"/>
            <w:vAlign w:val="bottom"/>
            <w:tcBorders>
              <w:right w:val="single" w:sz="8" w:color="auto"/>
            </w:tcBorders>
            <w:vMerge w:val="restart"/>
          </w:tcPr>
          <w:p>
            <w:pPr>
              <w:ind w:left="98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vMerge w:val="continue"/>
          </w:tcPr>
          <w:p>
            <w:pPr>
              <w:spacing w:after="0"/>
              <w:rPr>
                <w:sz w:val="9"/>
                <w:szCs w:val="9"/>
                <w:color w:val="auto"/>
              </w:rPr>
            </w:pPr>
          </w:p>
        </w:tc>
        <w:tc>
          <w:tcPr>
            <w:tcW w:w="2200" w:type="dxa"/>
            <w:vAlign w:val="bottom"/>
            <w:tcBorders>
              <w:bottom w:val="single" w:sz="8" w:color="auto"/>
              <w:right w:val="single" w:sz="8" w:color="auto"/>
            </w:tcBorders>
            <w:vMerge w:val="continue"/>
          </w:tcPr>
          <w:p>
            <w:pPr>
              <w:spacing w:after="0"/>
              <w:rPr>
                <w:sz w:val="9"/>
                <w:szCs w:val="9"/>
                <w:color w:val="auto"/>
              </w:rPr>
            </w:pPr>
          </w:p>
        </w:tc>
        <w:tc>
          <w:tcPr>
            <w:tcW w:w="35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60" w:type="dxa"/>
            <w:vAlign w:val="bottom"/>
            <w:tcBorders>
              <w:left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5,599,868</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Enterprise Value</w:t>
            </w:r>
          </w:p>
        </w:tc>
        <w:tc>
          <w:tcPr>
            <w:tcW w:w="2200" w:type="dxa"/>
            <w:vAlign w:val="bottom"/>
            <w:tcBorders>
              <w:bottom w:val="single" w:sz="8" w:color="808080"/>
              <w:right w:val="single" w:sz="8" w:color="auto"/>
            </w:tcBorders>
          </w:tcPr>
          <w:p>
            <w:pPr>
              <w:ind w:left="80"/>
              <w:spacing w:after="0"/>
              <w:rPr>
                <w:sz w:val="20"/>
                <w:szCs w:val="20"/>
                <w:color w:val="auto"/>
              </w:rPr>
            </w:pPr>
            <w:r>
              <w:rPr>
                <w:rFonts w:ascii="Arial" w:cs="Arial" w:eastAsia="Arial" w:hAnsi="Arial"/>
                <w:sz w:val="18"/>
                <w:szCs w:val="18"/>
                <w:color w:val="auto"/>
              </w:rPr>
              <w:t>Average EBITDA Multiple</w:t>
            </w:r>
          </w:p>
        </w:tc>
        <w:tc>
          <w:tcPr>
            <w:tcW w:w="3500" w:type="dxa"/>
            <w:vAlign w:val="bottom"/>
            <w:tcBorders>
              <w:bottom w:val="single" w:sz="8" w:color="808080"/>
              <w:right w:val="single" w:sz="8" w:color="auto"/>
            </w:tcBorders>
          </w:tcPr>
          <w:p>
            <w:pPr>
              <w:ind w:left="80"/>
              <w:spacing w:after="0"/>
              <w:rPr>
                <w:sz w:val="20"/>
                <w:szCs w:val="20"/>
                <w:color w:val="auto"/>
              </w:rPr>
            </w:pPr>
            <w:r>
              <w:rPr>
                <w:rFonts w:ascii="Arial" w:cs="Arial" w:eastAsia="Arial" w:hAnsi="Arial"/>
                <w:sz w:val="18"/>
                <w:szCs w:val="18"/>
                <w:color w:val="auto"/>
              </w:rPr>
              <w:t>7.15x</w:t>
            </w:r>
          </w:p>
        </w:tc>
        <w:tc>
          <w:tcPr>
            <w:tcW w:w="0" w:type="dxa"/>
            <w:vAlign w:val="bottom"/>
          </w:tcPr>
          <w:p>
            <w:pPr>
              <w:spacing w:after="0"/>
              <w:rPr>
                <w:sz w:val="1"/>
                <w:szCs w:val="1"/>
                <w:color w:val="auto"/>
              </w:rPr>
            </w:pPr>
          </w:p>
        </w:tc>
      </w:tr>
      <w:tr>
        <w:trPr>
          <w:trHeight w:val="21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Debt Securities</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165,078,689</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Income Approach</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Implied Discount Rate</w:t>
            </w:r>
          </w:p>
        </w:tc>
        <w:tc>
          <w:tcPr>
            <w:tcW w:w="3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2.9% - 34.4% (10.4%)</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Options Value</w:t>
            </w:r>
          </w:p>
        </w:tc>
        <w:tc>
          <w:tcPr>
            <w:tcW w:w="220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3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660" w:type="dxa"/>
            <w:vAlign w:val="bottom"/>
            <w:tcBorders>
              <w:left w:val="single" w:sz="8" w:color="auto"/>
              <w:right w:val="single" w:sz="8" w:color="auto"/>
            </w:tcBorders>
          </w:tcPr>
          <w:p>
            <w:pPr>
              <w:spacing w:after="0"/>
              <w:rPr>
                <w:sz w:val="16"/>
                <w:szCs w:val="16"/>
                <w:color w:val="auto"/>
              </w:rPr>
            </w:pP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10,388,319</w:t>
            </w: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Enterprise Value</w:t>
            </w:r>
          </w:p>
        </w:tc>
        <w:tc>
          <w:tcPr>
            <w:tcW w:w="22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Average EBITDA</w:t>
            </w: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4.9x/7.3% - 13.8x/13.3% (7.3x/11.8%)</w:t>
            </w:r>
          </w:p>
        </w:tc>
        <w:tc>
          <w:tcPr>
            <w:tcW w:w="0" w:type="dxa"/>
            <w:vAlign w:val="bottom"/>
          </w:tcPr>
          <w:p>
            <w:pPr>
              <w:spacing w:after="0"/>
              <w:rPr>
                <w:sz w:val="1"/>
                <w:szCs w:val="1"/>
                <w:color w:val="auto"/>
              </w:rPr>
            </w:pPr>
          </w:p>
        </w:tc>
      </w:tr>
      <w:tr>
        <w:trPr>
          <w:trHeight w:val="122"/>
        </w:trPr>
        <w:tc>
          <w:tcPr>
            <w:tcW w:w="1660" w:type="dxa"/>
            <w:vAlign w:val="bottom"/>
            <w:tcBorders>
              <w:left w:val="single" w:sz="8" w:color="auto"/>
              <w:right w:val="single" w:sz="8" w:color="auto"/>
            </w:tcBorders>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Multiple/WAAC</w:t>
            </w:r>
          </w:p>
        </w:tc>
        <w:tc>
          <w:tcPr>
            <w:tcW w:w="3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Equity Securities</w:t>
            </w:r>
          </w:p>
        </w:tc>
        <w:tc>
          <w:tcPr>
            <w:tcW w:w="30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vMerge w:val="continue"/>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60" w:type="dxa"/>
            <w:vAlign w:val="bottom"/>
            <w:tcBorders>
              <w:left w:val="single" w:sz="8" w:color="auto"/>
              <w:right w:val="single" w:sz="8" w:color="auto"/>
            </w:tcBorders>
            <w:vMerge w:val="continue"/>
          </w:tcPr>
          <w:p>
            <w:pPr>
              <w:spacing w:after="0"/>
              <w:rPr>
                <w:sz w:val="10"/>
                <w:szCs w:val="10"/>
                <w:color w:val="auto"/>
              </w:rPr>
            </w:pP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534,582</w:t>
            </w: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Market Approach</w:t>
            </w: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Third Party Quote</w:t>
            </w: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100 (100)</w:t>
            </w:r>
          </w:p>
        </w:tc>
        <w:tc>
          <w:tcPr>
            <w:tcW w:w="0" w:type="dxa"/>
            <w:vAlign w:val="bottom"/>
          </w:tcPr>
          <w:p>
            <w:pPr>
              <w:spacing w:after="0"/>
              <w:rPr>
                <w:sz w:val="1"/>
                <w:szCs w:val="1"/>
                <w:color w:val="auto"/>
              </w:rPr>
            </w:pPr>
          </w:p>
        </w:tc>
      </w:tr>
      <w:tr>
        <w:trPr>
          <w:trHeight w:val="100"/>
        </w:trPr>
        <w:tc>
          <w:tcPr>
            <w:tcW w:w="1660" w:type="dxa"/>
            <w:vAlign w:val="bottom"/>
            <w:tcBorders>
              <w:left w:val="single" w:sz="8" w:color="auto"/>
              <w:right w:val="single" w:sz="8" w:color="auto"/>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340" w:type="dxa"/>
            <w:vAlign w:val="bottom"/>
            <w:tcBorders>
              <w:bottom w:val="single" w:sz="8" w:color="auto"/>
              <w:right w:val="single" w:sz="8" w:color="auto"/>
            </w:tcBorders>
            <w:vMerge w:val="continue"/>
          </w:tcPr>
          <w:p>
            <w:pPr>
              <w:spacing w:after="0"/>
              <w:rPr>
                <w:sz w:val="8"/>
                <w:szCs w:val="8"/>
                <w:color w:val="auto"/>
              </w:rPr>
            </w:pPr>
          </w:p>
        </w:tc>
        <w:tc>
          <w:tcPr>
            <w:tcW w:w="2200" w:type="dxa"/>
            <w:vAlign w:val="bottom"/>
            <w:tcBorders>
              <w:bottom w:val="single" w:sz="8" w:color="auto"/>
              <w:right w:val="single" w:sz="8" w:color="auto"/>
            </w:tcBorders>
            <w:vMerge w:val="continue"/>
          </w:tcPr>
          <w:p>
            <w:pPr>
              <w:spacing w:after="0"/>
              <w:rPr>
                <w:sz w:val="8"/>
                <w:szCs w:val="8"/>
                <w:color w:val="auto"/>
              </w:rPr>
            </w:pPr>
          </w:p>
        </w:tc>
        <w:tc>
          <w:tcPr>
            <w:tcW w:w="2200" w:type="dxa"/>
            <w:vAlign w:val="bottom"/>
            <w:tcBorders>
              <w:bottom w:val="single" w:sz="8" w:color="auto"/>
              <w:right w:val="single" w:sz="8" w:color="auto"/>
            </w:tcBorders>
            <w:vMerge w:val="continue"/>
          </w:tcPr>
          <w:p>
            <w:pPr>
              <w:spacing w:after="0"/>
              <w:rPr>
                <w:sz w:val="8"/>
                <w:szCs w:val="8"/>
                <w:color w:val="auto"/>
              </w:rPr>
            </w:pPr>
          </w:p>
        </w:tc>
        <w:tc>
          <w:tcPr>
            <w:tcW w:w="35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w:t>
            </w: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Options Value</w:t>
            </w:r>
          </w:p>
        </w:tc>
        <w:tc>
          <w:tcPr>
            <w:tcW w:w="220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3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66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Discount Rate</w:t>
            </w:r>
          </w:p>
        </w:tc>
        <w:tc>
          <w:tcPr>
            <w:tcW w:w="3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13.25% - 16% (15.9%)</w:t>
            </w:r>
          </w:p>
        </w:tc>
        <w:tc>
          <w:tcPr>
            <w:tcW w:w="0" w:type="dxa"/>
            <w:vAlign w:val="bottom"/>
          </w:tcPr>
          <w:p>
            <w:pPr>
              <w:spacing w:after="0"/>
              <w:rPr>
                <w:sz w:val="1"/>
                <w:szCs w:val="1"/>
                <w:color w:val="auto"/>
              </w:rPr>
            </w:pPr>
          </w:p>
        </w:tc>
      </w:tr>
      <w:tr>
        <w:trPr>
          <w:trHeight w:val="21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CLO Fund</w:t>
            </w:r>
          </w:p>
        </w:tc>
        <w:tc>
          <w:tcPr>
            <w:tcW w:w="30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Probability of Default</w:t>
            </w:r>
          </w:p>
        </w:tc>
        <w:tc>
          <w:tcPr>
            <w:tcW w:w="3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 - 2.5% (2.1%)</w:t>
            </w:r>
          </w:p>
        </w:tc>
        <w:tc>
          <w:tcPr>
            <w:tcW w:w="0" w:type="dxa"/>
            <w:vAlign w:val="bottom"/>
          </w:tcPr>
          <w:p>
            <w:pPr>
              <w:spacing w:after="0"/>
              <w:rPr>
                <w:sz w:val="1"/>
                <w:szCs w:val="1"/>
                <w:color w:val="auto"/>
              </w:rPr>
            </w:pPr>
          </w:p>
        </w:tc>
      </w:tr>
      <w:tr>
        <w:trPr>
          <w:trHeight w:val="178"/>
        </w:trPr>
        <w:tc>
          <w:tcPr>
            <w:tcW w:w="1660" w:type="dxa"/>
            <w:vAlign w:val="bottom"/>
            <w:tcBorders>
              <w:left w:val="single" w:sz="8" w:color="auto"/>
              <w:right w:val="single" w:sz="8" w:color="auto"/>
            </w:tcBorders>
            <w:vMerge w:val="continue"/>
          </w:tcPr>
          <w:p>
            <w:pPr>
              <w:spacing w:after="0"/>
              <w:rPr>
                <w:sz w:val="15"/>
                <w:szCs w:val="15"/>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49,358,283</w:t>
            </w: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Discounted Cash Flow</w:t>
            </w: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Loss Severity</w:t>
            </w: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25.0% - 25.9% (25.8%)</w:t>
            </w:r>
          </w:p>
        </w:tc>
        <w:tc>
          <w:tcPr>
            <w:tcW w:w="0" w:type="dxa"/>
            <w:vAlign w:val="bottom"/>
          </w:tcPr>
          <w:p>
            <w:pPr>
              <w:spacing w:after="0"/>
              <w:rPr>
                <w:sz w:val="1"/>
                <w:szCs w:val="1"/>
                <w:color w:val="auto"/>
              </w:rPr>
            </w:pPr>
          </w:p>
        </w:tc>
      </w:tr>
      <w:tr>
        <w:trPr>
          <w:trHeight w:val="126"/>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00" w:type="dxa"/>
            <w:vAlign w:val="bottom"/>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3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right w:val="single" w:sz="8" w:color="auto"/>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2200" w:type="dxa"/>
            <w:vAlign w:val="bottom"/>
            <w:tcBorders>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60" w:type="dxa"/>
            <w:vAlign w:val="bottom"/>
            <w:tcBorders>
              <w:left w:val="single" w:sz="8" w:color="auto"/>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Recovery Rate</w:t>
            </w:r>
          </w:p>
        </w:tc>
        <w:tc>
          <w:tcPr>
            <w:tcW w:w="3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74.1% - 75.0% (74.25%)</w:t>
            </w:r>
          </w:p>
        </w:tc>
        <w:tc>
          <w:tcPr>
            <w:tcW w:w="0" w:type="dxa"/>
            <w:vAlign w:val="bottom"/>
          </w:tcPr>
          <w:p>
            <w:pPr>
              <w:spacing w:after="0"/>
              <w:rPr>
                <w:sz w:val="1"/>
                <w:szCs w:val="1"/>
                <w:color w:val="auto"/>
              </w:rPr>
            </w:pPr>
          </w:p>
        </w:tc>
      </w:tr>
      <w:tr>
        <w:trPr>
          <w:trHeight w:val="210"/>
        </w:trPr>
        <w:tc>
          <w:tcPr>
            <w:tcW w:w="166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Prepayment Rate</w:t>
            </w:r>
          </w:p>
        </w:tc>
        <w:tc>
          <w:tcPr>
            <w:tcW w:w="3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7.9% - 32% (25.2%)</w:t>
            </w:r>
          </w:p>
        </w:tc>
        <w:tc>
          <w:tcPr>
            <w:tcW w:w="0" w:type="dxa"/>
            <w:vAlign w:val="bottom"/>
          </w:tcPr>
          <w:p>
            <w:pPr>
              <w:spacing w:after="0"/>
              <w:rPr>
                <w:sz w:val="1"/>
                <w:szCs w:val="1"/>
                <w:color w:val="auto"/>
              </w:rPr>
            </w:pPr>
          </w:p>
        </w:tc>
      </w:tr>
      <w:tr>
        <w:trPr>
          <w:trHeight w:val="191"/>
        </w:trPr>
        <w:tc>
          <w:tcPr>
            <w:tcW w:w="166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Asset Manager</w:t>
            </w: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50,348,000</w:t>
            </w: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Discounted Cash Flow</w:t>
            </w: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Discount Rate</w:t>
            </w: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2.27% - 16.00% (9.27%)</w:t>
            </w:r>
          </w:p>
        </w:tc>
        <w:tc>
          <w:tcPr>
            <w:tcW w:w="0" w:type="dxa"/>
            <w:vAlign w:val="bottom"/>
          </w:tcPr>
          <w:p>
            <w:pPr>
              <w:spacing w:after="0"/>
              <w:rPr>
                <w:sz w:val="1"/>
                <w:szCs w:val="1"/>
                <w:color w:val="auto"/>
              </w:rPr>
            </w:pPr>
          </w:p>
        </w:tc>
      </w:tr>
      <w:tr>
        <w:trPr>
          <w:trHeight w:val="126"/>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Affiliate</w:t>
            </w:r>
          </w:p>
        </w:tc>
        <w:tc>
          <w:tcPr>
            <w:tcW w:w="300" w:type="dxa"/>
            <w:vAlign w:val="bottom"/>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3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8"/>
              </w:rPr>
              <w:t>Total Level III</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0"/>
              <w:spacing w:after="0"/>
              <w:rPr>
                <w:sz w:val="20"/>
                <w:szCs w:val="20"/>
                <w:color w:val="auto"/>
              </w:rPr>
            </w:pPr>
            <w:r>
              <w:rPr>
                <w:rFonts w:ascii="Arial" w:cs="Arial" w:eastAsia="Arial" w:hAnsi="Arial"/>
                <w:sz w:val="18"/>
                <w:szCs w:val="18"/>
                <w:color w:val="auto"/>
              </w:rPr>
              <w:t>281,313,741</w:t>
            </w:r>
          </w:p>
        </w:tc>
        <w:tc>
          <w:tcPr>
            <w:tcW w:w="22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3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2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40" w:firstLine="332"/>
        <w:spacing w:after="0" w:line="277" w:lineRule="auto"/>
        <w:tabs>
          <w:tab w:leader="none" w:pos="42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color w:val="auto"/>
        </w:rPr>
        <w:t>As of December 31, 2015,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6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Type</w:t>
            </w:r>
          </w:p>
        </w:tc>
        <w:tc>
          <w:tcPr>
            <w:tcW w:w="380" w:type="dxa"/>
            <w:vAlign w:val="bottom"/>
            <w:tcBorders>
              <w:top w:val="single" w:sz="8" w:color="auto"/>
            </w:tcBorders>
          </w:tcPr>
          <w:p>
            <w:pPr>
              <w:spacing w:after="0"/>
              <w:rPr>
                <w:sz w:val="18"/>
                <w:szCs w:val="18"/>
                <w:color w:val="auto"/>
              </w:rPr>
            </w:pPr>
          </w:p>
        </w:tc>
        <w:tc>
          <w:tcPr>
            <w:tcW w:w="1640" w:type="dxa"/>
            <w:vAlign w:val="bottom"/>
            <w:tcBorders>
              <w:top w:val="single" w:sz="8" w:color="auto"/>
              <w:right w:val="single" w:sz="8" w:color="auto"/>
            </w:tcBorders>
            <w:vMerge w:val="restart"/>
          </w:tcPr>
          <w:p>
            <w:pPr>
              <w:jc w:val="right"/>
              <w:ind w:right="530"/>
              <w:spacing w:after="0"/>
              <w:rPr>
                <w:sz w:val="20"/>
                <w:szCs w:val="20"/>
                <w:color w:val="auto"/>
              </w:rPr>
            </w:pPr>
            <w:r>
              <w:rPr>
                <w:rFonts w:ascii="Arial" w:cs="Arial" w:eastAsia="Arial" w:hAnsi="Arial"/>
                <w:sz w:val="18"/>
                <w:szCs w:val="18"/>
                <w:b w:val="1"/>
                <w:bCs w:val="1"/>
                <w:color w:val="auto"/>
              </w:rPr>
              <w:t>Fair Value</w:t>
            </w:r>
          </w:p>
        </w:tc>
        <w:tc>
          <w:tcPr>
            <w:tcW w:w="216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Primary Valuation</w:t>
            </w:r>
          </w:p>
        </w:tc>
        <w:tc>
          <w:tcPr>
            <w:tcW w:w="218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Unobservable</w:t>
            </w:r>
          </w:p>
        </w:tc>
        <w:tc>
          <w:tcPr>
            <w:tcW w:w="3400" w:type="dxa"/>
            <w:vAlign w:val="bottom"/>
            <w:tcBorders>
              <w:top w:val="single" w:sz="8" w:color="auto"/>
              <w:right w:val="single" w:sz="8" w:color="auto"/>
            </w:tcBorders>
          </w:tcPr>
          <w:p>
            <w:pPr>
              <w:ind w:left="108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126"/>
        </w:trPr>
        <w:tc>
          <w:tcPr>
            <w:tcW w:w="1660" w:type="dxa"/>
            <w:vAlign w:val="bottom"/>
            <w:tcBorders>
              <w:left w:val="single" w:sz="8" w:color="auto"/>
              <w:right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560"/>
              <w:spacing w:after="0"/>
              <w:rPr>
                <w:sz w:val="20"/>
                <w:szCs w:val="20"/>
                <w:color w:val="auto"/>
              </w:rPr>
            </w:pPr>
            <w:r>
              <w:rPr>
                <w:rFonts w:ascii="Arial" w:cs="Arial" w:eastAsia="Arial" w:hAnsi="Arial"/>
                <w:sz w:val="18"/>
                <w:szCs w:val="18"/>
                <w:b w:val="1"/>
                <w:bCs w:val="1"/>
                <w:color w:val="auto"/>
              </w:rPr>
              <w:t>Methodology</w:t>
            </w:r>
          </w:p>
        </w:tc>
        <w:tc>
          <w:tcPr>
            <w:tcW w:w="2180" w:type="dxa"/>
            <w:vAlign w:val="bottom"/>
            <w:tcBorders>
              <w:right w:val="single" w:sz="8" w:color="auto"/>
            </w:tcBorders>
            <w:vMerge w:val="restart"/>
          </w:tcPr>
          <w:p>
            <w:pPr>
              <w:ind w:left="820"/>
              <w:spacing w:after="0"/>
              <w:rPr>
                <w:sz w:val="20"/>
                <w:szCs w:val="20"/>
                <w:color w:val="auto"/>
              </w:rPr>
            </w:pPr>
            <w:r>
              <w:rPr>
                <w:rFonts w:ascii="Arial" w:cs="Arial" w:eastAsia="Arial" w:hAnsi="Arial"/>
                <w:sz w:val="18"/>
                <w:szCs w:val="18"/>
                <w:b w:val="1"/>
                <w:bCs w:val="1"/>
                <w:color w:val="auto"/>
              </w:rPr>
              <w:t>Inputs</w:t>
            </w:r>
          </w:p>
        </w:tc>
        <w:tc>
          <w:tcPr>
            <w:tcW w:w="3400" w:type="dxa"/>
            <w:vAlign w:val="bottom"/>
            <w:tcBorders>
              <w:right w:val="single" w:sz="8" w:color="auto"/>
            </w:tcBorders>
            <w:vMerge w:val="restart"/>
          </w:tcPr>
          <w:p>
            <w:pPr>
              <w:ind w:left="94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auto"/>
            </w:tcBorders>
            <w:vMerge w:val="continue"/>
          </w:tcPr>
          <w:p>
            <w:pPr>
              <w:spacing w:after="0"/>
              <w:rPr>
                <w:sz w:val="9"/>
                <w:szCs w:val="9"/>
                <w:color w:val="auto"/>
              </w:rPr>
            </w:pPr>
          </w:p>
        </w:tc>
        <w:tc>
          <w:tcPr>
            <w:tcW w:w="2180" w:type="dxa"/>
            <w:vAlign w:val="bottom"/>
            <w:tcBorders>
              <w:bottom w:val="single" w:sz="8" w:color="auto"/>
              <w:right w:val="single" w:sz="8" w:color="auto"/>
            </w:tcBorders>
            <w:vMerge w:val="continue"/>
          </w:tcPr>
          <w:p>
            <w:pPr>
              <w:spacing w:after="0"/>
              <w:rPr>
                <w:sz w:val="9"/>
                <w:szCs w:val="9"/>
                <w:color w:val="auto"/>
              </w:rPr>
            </w:pPr>
          </w:p>
        </w:tc>
        <w:tc>
          <w:tcPr>
            <w:tcW w:w="34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60" w:type="dxa"/>
            <w:vAlign w:val="bottom"/>
            <w:tcBorders>
              <w:left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2,216,700</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Enterprise Value</w:t>
            </w:r>
          </w:p>
        </w:tc>
        <w:tc>
          <w:tcPr>
            <w:tcW w:w="2180" w:type="dxa"/>
            <w:vAlign w:val="bottom"/>
            <w:tcBorders>
              <w:bottom w:val="single" w:sz="8" w:color="808080"/>
              <w:right w:val="single" w:sz="8" w:color="auto"/>
            </w:tcBorders>
          </w:tcPr>
          <w:p>
            <w:pPr>
              <w:ind w:left="80"/>
              <w:spacing w:after="0"/>
              <w:rPr>
                <w:sz w:val="20"/>
                <w:szCs w:val="20"/>
                <w:color w:val="auto"/>
              </w:rPr>
            </w:pPr>
            <w:r>
              <w:rPr>
                <w:rFonts w:ascii="Arial" w:cs="Arial" w:eastAsia="Arial" w:hAnsi="Arial"/>
                <w:sz w:val="18"/>
                <w:szCs w:val="18"/>
                <w:color w:val="auto"/>
              </w:rPr>
              <w:t>Average EBITDA Multiple</w:t>
            </w:r>
          </w:p>
        </w:tc>
        <w:tc>
          <w:tcPr>
            <w:tcW w:w="3400" w:type="dxa"/>
            <w:vAlign w:val="bottom"/>
            <w:tcBorders>
              <w:bottom w:val="single" w:sz="8" w:color="808080"/>
              <w:right w:val="single" w:sz="8" w:color="auto"/>
            </w:tcBorders>
          </w:tcPr>
          <w:p>
            <w:pPr>
              <w:ind w:left="100"/>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21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Debt Securities</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181,182,774</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Income Approach</w:t>
            </w:r>
          </w:p>
        </w:tc>
        <w:tc>
          <w:tcPr>
            <w:tcW w:w="2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Implied Discount Rate</w:t>
            </w: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4.9% - 27.1% (10.46%)</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991</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Options Value</w:t>
            </w:r>
          </w:p>
        </w:tc>
        <w:tc>
          <w:tcPr>
            <w:tcW w:w="21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3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660" w:type="dxa"/>
            <w:vAlign w:val="bottom"/>
            <w:tcBorders>
              <w:left w:val="single" w:sz="8" w:color="auto"/>
              <w:right w:val="single" w:sz="8" w:color="auto"/>
            </w:tcBorders>
          </w:tcPr>
          <w:p>
            <w:pPr>
              <w:spacing w:after="0"/>
              <w:rPr>
                <w:sz w:val="16"/>
                <w:szCs w:val="16"/>
                <w:color w:val="auto"/>
              </w:rPr>
            </w:pPr>
          </w:p>
        </w:tc>
        <w:tc>
          <w:tcPr>
            <w:tcW w:w="3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9,100,103</w:t>
            </w:r>
          </w:p>
        </w:tc>
        <w:tc>
          <w:tcPr>
            <w:tcW w:w="21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Enterprise Value</w:t>
            </w:r>
          </w:p>
        </w:tc>
        <w:tc>
          <w:tcPr>
            <w:tcW w:w="21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Average EBITDA</w:t>
            </w:r>
          </w:p>
        </w:tc>
        <w:tc>
          <w:tcPr>
            <w:tcW w:w="3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4.8x/6.9% - 12.9x/13.4% (6.8x/12.0%)</w:t>
            </w:r>
          </w:p>
        </w:tc>
        <w:tc>
          <w:tcPr>
            <w:tcW w:w="0" w:type="dxa"/>
            <w:vAlign w:val="bottom"/>
          </w:tcPr>
          <w:p>
            <w:pPr>
              <w:spacing w:after="0"/>
              <w:rPr>
                <w:sz w:val="1"/>
                <w:szCs w:val="1"/>
                <w:color w:val="auto"/>
              </w:rPr>
            </w:pPr>
          </w:p>
        </w:tc>
      </w:tr>
      <w:tr>
        <w:trPr>
          <w:trHeight w:val="122"/>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Equity Securities</w:t>
            </w:r>
          </w:p>
        </w:tc>
        <w:tc>
          <w:tcPr>
            <w:tcW w:w="380" w:type="dxa"/>
            <w:vAlign w:val="bottom"/>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Multiple/WAAC</w:t>
            </w:r>
          </w:p>
        </w:tc>
        <w:tc>
          <w:tcPr>
            <w:tcW w:w="3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2180" w:type="dxa"/>
            <w:vAlign w:val="bottom"/>
            <w:tcBorders>
              <w:bottom w:val="single" w:sz="8" w:color="auto"/>
              <w:right w:val="single" w:sz="8" w:color="auto"/>
            </w:tcBorders>
            <w:vMerge w:val="continue"/>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Options Value</w:t>
            </w:r>
          </w:p>
        </w:tc>
        <w:tc>
          <w:tcPr>
            <w:tcW w:w="21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3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6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Discount Rate</w:t>
            </w: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11.3% - 15.0% (14.9%)</w:t>
            </w:r>
          </w:p>
        </w:tc>
        <w:tc>
          <w:tcPr>
            <w:tcW w:w="0" w:type="dxa"/>
            <w:vAlign w:val="bottom"/>
          </w:tcPr>
          <w:p>
            <w:pPr>
              <w:spacing w:after="0"/>
              <w:rPr>
                <w:sz w:val="1"/>
                <w:szCs w:val="1"/>
                <w:color w:val="auto"/>
              </w:rPr>
            </w:pPr>
          </w:p>
        </w:tc>
      </w:tr>
      <w:tr>
        <w:trPr>
          <w:trHeight w:val="21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CLO Fund</w:t>
            </w:r>
          </w:p>
        </w:tc>
        <w:tc>
          <w:tcPr>
            <w:tcW w:w="38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Probability of Default</w:t>
            </w: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 - 2.5% (2.1%)</w:t>
            </w:r>
          </w:p>
        </w:tc>
        <w:tc>
          <w:tcPr>
            <w:tcW w:w="0" w:type="dxa"/>
            <w:vAlign w:val="bottom"/>
          </w:tcPr>
          <w:p>
            <w:pPr>
              <w:spacing w:after="0"/>
              <w:rPr>
                <w:sz w:val="1"/>
                <w:szCs w:val="1"/>
                <w:color w:val="auto"/>
              </w:rPr>
            </w:pPr>
          </w:p>
        </w:tc>
      </w:tr>
      <w:tr>
        <w:trPr>
          <w:trHeight w:val="178"/>
        </w:trPr>
        <w:tc>
          <w:tcPr>
            <w:tcW w:w="1660" w:type="dxa"/>
            <w:vAlign w:val="bottom"/>
            <w:tcBorders>
              <w:left w:val="single" w:sz="8" w:color="auto"/>
              <w:right w:val="single" w:sz="8" w:color="auto"/>
            </w:tcBorders>
            <w:vMerge w:val="continue"/>
          </w:tcPr>
          <w:p>
            <w:pPr>
              <w:spacing w:after="0"/>
              <w:rPr>
                <w:sz w:val="15"/>
                <w:szCs w:val="15"/>
                <w:color w:val="auto"/>
              </w:rPr>
            </w:pPr>
          </w:p>
        </w:tc>
        <w:tc>
          <w:tcPr>
            <w:tcW w:w="3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55,872,382</w:t>
            </w:r>
          </w:p>
        </w:tc>
        <w:tc>
          <w:tcPr>
            <w:tcW w:w="21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Discounted Cash Flow</w:t>
            </w:r>
          </w:p>
        </w:tc>
        <w:tc>
          <w:tcPr>
            <w:tcW w:w="2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Loss Severity</w:t>
            </w:r>
          </w:p>
        </w:tc>
        <w:tc>
          <w:tcPr>
            <w:tcW w:w="3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25.0% - 25.9% (25.7%)</w:t>
            </w:r>
          </w:p>
        </w:tc>
        <w:tc>
          <w:tcPr>
            <w:tcW w:w="0" w:type="dxa"/>
            <w:vAlign w:val="bottom"/>
          </w:tcPr>
          <w:p>
            <w:pPr>
              <w:spacing w:after="0"/>
              <w:rPr>
                <w:sz w:val="1"/>
                <w:szCs w:val="1"/>
                <w:color w:val="auto"/>
              </w:rPr>
            </w:pPr>
          </w:p>
        </w:tc>
      </w:tr>
      <w:tr>
        <w:trPr>
          <w:trHeight w:val="126"/>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80" w:type="dxa"/>
            <w:vAlign w:val="bottom"/>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Recovery Rate</w:t>
            </w: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74.1% - 75% (74.3%)</w:t>
            </w:r>
          </w:p>
        </w:tc>
        <w:tc>
          <w:tcPr>
            <w:tcW w:w="0" w:type="dxa"/>
            <w:vAlign w:val="bottom"/>
          </w:tcPr>
          <w:p>
            <w:pPr>
              <w:spacing w:after="0"/>
              <w:rPr>
                <w:sz w:val="1"/>
                <w:szCs w:val="1"/>
                <w:color w:val="auto"/>
              </w:rPr>
            </w:pPr>
          </w:p>
        </w:tc>
      </w:tr>
      <w:tr>
        <w:trPr>
          <w:trHeight w:val="210"/>
        </w:trPr>
        <w:tc>
          <w:tcPr>
            <w:tcW w:w="1660" w:type="dxa"/>
            <w:vAlign w:val="bottom"/>
            <w:tcBorders>
              <w:left w:val="single" w:sz="8" w:color="auto"/>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Prepayment Rate</w:t>
            </w: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7.9% - 32.0% (25.3%)</w:t>
            </w:r>
          </w:p>
        </w:tc>
        <w:tc>
          <w:tcPr>
            <w:tcW w:w="0" w:type="dxa"/>
            <w:vAlign w:val="bottom"/>
          </w:tcPr>
          <w:p>
            <w:pPr>
              <w:spacing w:after="0"/>
              <w:rPr>
                <w:sz w:val="1"/>
                <w:szCs w:val="1"/>
                <w:color w:val="auto"/>
              </w:rPr>
            </w:pPr>
          </w:p>
        </w:tc>
      </w:tr>
      <w:tr>
        <w:trPr>
          <w:trHeight w:val="191"/>
        </w:trPr>
        <w:tc>
          <w:tcPr>
            <w:tcW w:w="166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Asset Manager</w:t>
            </w:r>
          </w:p>
        </w:tc>
        <w:tc>
          <w:tcPr>
            <w:tcW w:w="3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57,381,000</w:t>
            </w:r>
          </w:p>
        </w:tc>
        <w:tc>
          <w:tcPr>
            <w:tcW w:w="21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Discounted Cash Flow</w:t>
            </w:r>
          </w:p>
        </w:tc>
        <w:tc>
          <w:tcPr>
            <w:tcW w:w="2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Discount Rate</w:t>
            </w:r>
          </w:p>
        </w:tc>
        <w:tc>
          <w:tcPr>
            <w:tcW w:w="3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2.4% - 15.0% (8.6%)</w:t>
            </w:r>
          </w:p>
        </w:tc>
        <w:tc>
          <w:tcPr>
            <w:tcW w:w="0" w:type="dxa"/>
            <w:vAlign w:val="bottom"/>
          </w:tcPr>
          <w:p>
            <w:pPr>
              <w:spacing w:after="0"/>
              <w:rPr>
                <w:sz w:val="1"/>
                <w:szCs w:val="1"/>
                <w:color w:val="auto"/>
              </w:rPr>
            </w:pPr>
          </w:p>
        </w:tc>
      </w:tr>
      <w:tr>
        <w:trPr>
          <w:trHeight w:val="126"/>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Affiliate</w:t>
            </w:r>
          </w:p>
        </w:tc>
        <w:tc>
          <w:tcPr>
            <w:tcW w:w="380" w:type="dxa"/>
            <w:vAlign w:val="bottom"/>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8"/>
              </w:rPr>
              <w:t>Total Level III</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vMerge w:val="restart"/>
          </w:tcPr>
          <w:p>
            <w:pPr>
              <w:jc w:val="right"/>
              <w:ind w:right="30"/>
              <w:spacing w:after="0"/>
              <w:rPr>
                <w:sz w:val="20"/>
                <w:szCs w:val="20"/>
                <w:color w:val="auto"/>
              </w:rPr>
            </w:pPr>
            <w:r>
              <w:rPr>
                <w:rFonts w:ascii="Arial" w:cs="Arial" w:eastAsia="Arial" w:hAnsi="Arial"/>
                <w:sz w:val="18"/>
                <w:szCs w:val="18"/>
                <w:color w:val="auto"/>
              </w:rPr>
              <w:t>305,756,850</w:t>
            </w:r>
          </w:p>
        </w:tc>
        <w:tc>
          <w:tcPr>
            <w:tcW w:w="21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38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2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6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60" w:firstLine="8"/>
        <w:spacing w:after="0" w:line="277" w:lineRule="auto"/>
        <w:tabs>
          <w:tab w:leader="none" w:pos="9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170"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147"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firstLine="324"/>
        <w:spacing w:after="0" w:line="270" w:lineRule="auto"/>
        <w:rPr>
          <w:sz w:val="20"/>
          <w:szCs w:val="20"/>
          <w:color w:val="auto"/>
        </w:rPr>
      </w:pPr>
      <w:r>
        <w:rPr>
          <w:rFonts w:ascii="Arial" w:cs="Arial" w:eastAsia="Arial" w:hAnsi="Arial"/>
          <w:sz w:val="17"/>
          <w:szCs w:val="17"/>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March 31, 2016 and December 31, 2015, the Asset Manager Affiliates had approximately $2.7 billion of par value of assets under management, and the Company’s 100% equity interest in the Asset Manager Affiliates had a fair value of approximately $50 million and $57 million, respectively.</w:t>
      </w:r>
    </w:p>
    <w:p>
      <w:pPr>
        <w:spacing w:after="0" w:line="18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 - a senior management fee, a subordinated management fee and an incentive fee. Currently, all CLO Funds managed by the Asset Manager Affiliates are paying both their senior and subordinated management fees on a current basis.</w:t>
      </w:r>
    </w:p>
    <w:p>
      <w:pPr>
        <w:spacing w:after="0" w:line="178"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For the three months ended March 31, 2016 and 2015, the Asset Manager Affiliates declared cash distributions of $1.1 million and $2.7 million to the Company, respectively. Any distributions from the Asset Manager Affiliates out of the estimated tax-basis earnings and profits are recorded as “Dividends from Asset Manager Affiliates” on the Company’s statement of operations. The Company recognized $550,000 and $1.4 million of Dividends from Asset Manager Affiliates in the Statement of Operations in the first quarter of 2016 and 2015, respectively. The difference between cash distributions received and the tax-basis earnings and profits of the distributing affiliate, are recorded as an adjustment to the cost basis in the Asset Manager Affiliate (i.e., tax-basis return of capital). Distributions receivable, if any, are reflected in the Due from Affiliates account on the consolidated balance sheets.</w:t>
      </w:r>
    </w:p>
    <w:p>
      <w:pPr>
        <w:spacing w:after="0" w:line="16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166"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2" w:name="page53"/>
    <w:bookmarkEnd w:id="52"/>
    <w:p>
      <w:pPr>
        <w:ind w:right="20" w:firstLine="324"/>
        <w:spacing w:after="0" w:line="253" w:lineRule="auto"/>
        <w:rPr>
          <w:sz w:val="20"/>
          <w:szCs w:val="20"/>
          <w:color w:val="auto"/>
        </w:rPr>
      </w:pPr>
      <w:r>
        <w:rPr>
          <w:rFonts w:ascii="Arial" w:cs="Arial" w:eastAsia="Arial" w:hAnsi="Arial"/>
          <w:sz w:val="18"/>
          <w:szCs w:val="18"/>
          <w:color w:val="auto"/>
        </w:rPr>
        <w:t>On February 18, 2015, the FASB issued Accounting Standards Update 2015-2 (“ASU 2015-2”), which updated consolidation standards under ASC Topic 810, “Consolidation”. Under this update, a new consolidation analysis is required for VIEs and will limit the circumstances in which investment managers and similar entities are required to consolidate the entities that they manage. The FASB decided to eliminate some of the criteria under which their management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early adoption is permitted. The Asset Manager Affiliates adopted ASU 2015-2 in 2016 which resulted in the deconsolidation of the CLO Funds. In addition, in accordance with Regulation S-X, additional financial information with respect to one of the CLO Funds in which the Company has an investment, Katonah 2007-I CLO is required to be included in the Company’s SEC Filings. This additional financial information regarding the Asset Manager Affiliates and Katonah 2007-1 CLO does not directly impact the financial position, results of operations, or cash flows of the Company.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March 31, 2016</w:t>
            </w: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2,337,417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3,601,156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Investments</w:t>
            </w: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16,237,272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23,089,679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24,140,164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24,467,705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Assets</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3,256,136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5,244,693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45,970,989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56,403,233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2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16,000,000</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Liabilities</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2,450,799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5,131,814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18,450,799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28,131,814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2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27,520,190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28,271,419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26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45,970,989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56,403,233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3,329,627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4,186,141</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Interest Income</w:t>
            </w:r>
          </w:p>
        </w:tc>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153,832</w:t>
            </w:r>
          </w:p>
        </w:tc>
        <w:tc>
          <w:tcPr>
            <w:tcW w:w="3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519,662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w:t>
            </w:r>
          </w:p>
        </w:tc>
        <w:tc>
          <w:tcPr>
            <w:tcW w:w="3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3,483,459</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4,705,803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Expenses</w:t>
            </w: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2,728,445</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3,452,516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327,541</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527,133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Interest Expense</w:t>
            </w:r>
          </w:p>
        </w:tc>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489,835</w:t>
            </w:r>
          </w:p>
        </w:tc>
        <w:tc>
          <w:tcPr>
            <w:tcW w:w="3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517,500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3,545,821</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4,497,149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Pre-Tax Income (Loss)</w:t>
            </w: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(62,362)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208,654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(361,132)</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176,298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Net Income</w:t>
            </w:r>
          </w:p>
        </w:tc>
        <w:tc>
          <w:tcPr>
            <w:tcW w:w="3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298,770</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400" w:type="dxa"/>
            <w:vAlign w:val="bottom"/>
            <w:vMerge w:val="restart"/>
          </w:tcPr>
          <w:p>
            <w:pPr>
              <w:jc w:val="right"/>
              <w:ind w:right="1410"/>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r>
      <w:tr>
        <w:trPr>
          <w:trHeight w:val="234"/>
        </w:trPr>
        <w:tc>
          <w:tcPr>
            <w:tcW w:w="7220" w:type="dxa"/>
            <w:vAlign w:val="bottom"/>
          </w:tcPr>
          <w:p>
            <w:pPr>
              <w:spacing w:after="0"/>
              <w:rPr>
                <w:sz w:val="20"/>
                <w:szCs w:val="20"/>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March 31, 2016</w:t>
            </w:r>
          </w:p>
        </w:tc>
        <w:tc>
          <w:tcPr>
            <w:tcW w:w="1640" w:type="dxa"/>
            <w:vAlign w:val="bottom"/>
            <w:gridSpan w:val="4"/>
          </w:tcPr>
          <w:p>
            <w:pPr>
              <w:ind w:left="100"/>
              <w:spacing w:after="0"/>
              <w:rPr>
                <w:sz w:val="20"/>
                <w:szCs w:val="20"/>
                <w:color w:val="auto"/>
              </w:rPr>
            </w:pPr>
            <w:r>
              <w:rPr>
                <w:rFonts w:ascii="Arial" w:cs="Arial" w:eastAsia="Arial" w:hAnsi="Arial"/>
                <w:sz w:val="18"/>
                <w:szCs w:val="18"/>
                <w:b w:val="1"/>
                <w:bCs w:val="1"/>
                <w:color w:val="auto"/>
                <w:w w:val="93"/>
              </w:rPr>
              <w:t>December 31, 2015</w:t>
            </w: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243,498,777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246,766,505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Cash</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15,057,779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17,301,178</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259,134,698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265,389,850</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CLO Debt at Fair Value</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255,382,574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261,433,473</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259,211,308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269,163,111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 Net Assets</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ind w:left="290"/>
              <w:spacing w:after="0"/>
              <w:rPr>
                <w:sz w:val="20"/>
                <w:szCs w:val="20"/>
                <w:color w:val="auto"/>
              </w:rPr>
            </w:pPr>
            <w:r>
              <w:rPr>
                <w:rFonts w:ascii="Arial" w:cs="Arial" w:eastAsia="Arial" w:hAnsi="Arial"/>
                <w:sz w:val="18"/>
                <w:szCs w:val="18"/>
                <w:color w:val="auto"/>
                <w:w w:val="92"/>
              </w:rPr>
              <w:t>(76,610)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(3,773,261)</w:t>
            </w:r>
          </w:p>
        </w:tc>
      </w:tr>
      <w:tr>
        <w:trPr>
          <w:trHeight w:val="404"/>
        </w:trPr>
        <w:tc>
          <w:tcPr>
            <w:tcW w:w="4460" w:type="dxa"/>
            <w:vAlign w:val="bottom"/>
          </w:tcPr>
          <w:p>
            <w:pPr>
              <w:spacing w:after="0"/>
              <w:rPr>
                <w:sz w:val="24"/>
                <w:szCs w:val="24"/>
                <w:color w:val="auto"/>
              </w:rPr>
            </w:pPr>
          </w:p>
        </w:tc>
        <w:tc>
          <w:tcPr>
            <w:tcW w:w="3080" w:type="dxa"/>
            <w:vAlign w:val="bottom"/>
            <w:gridSpan w:val="2"/>
          </w:tcPr>
          <w:p>
            <w:pPr>
              <w:jc w:val="center"/>
              <w:ind w:right="505"/>
              <w:spacing w:after="0"/>
              <w:rPr>
                <w:sz w:val="20"/>
                <w:szCs w:val="20"/>
                <w:color w:val="auto"/>
              </w:rPr>
            </w:pPr>
            <w:r>
              <w:rPr>
                <w:rFonts w:ascii="Arial" w:cs="Arial" w:eastAsia="Arial" w:hAnsi="Arial"/>
                <w:sz w:val="18"/>
                <w:szCs w:val="18"/>
                <w:b w:val="1"/>
                <w:bCs w:val="1"/>
                <w:color w:val="auto"/>
                <w:w w:val="96"/>
              </w:rPr>
              <w:t>Katonah 2007-I CLO Ltd.</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860" w:type="dxa"/>
            <w:vAlign w:val="bottom"/>
            <w:gridSpan w:val="5"/>
          </w:tcPr>
          <w:p>
            <w:pPr>
              <w:jc w:val="center"/>
              <w:ind w:left="2490"/>
              <w:spacing w:after="0"/>
              <w:rPr>
                <w:sz w:val="20"/>
                <w:szCs w:val="20"/>
                <w:color w:val="auto"/>
              </w:rPr>
            </w:pPr>
            <w:r>
              <w:rPr>
                <w:rFonts w:ascii="Arial" w:cs="Arial" w:eastAsia="Arial" w:hAnsi="Arial"/>
                <w:sz w:val="18"/>
                <w:szCs w:val="18"/>
                <w:color w:val="auto"/>
                <w:w w:val="90"/>
              </w:rPr>
              <w:t>Summarized Statements of Operations Information (unaudited)</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4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For the three months ended</w:t>
            </w:r>
          </w:p>
        </w:tc>
      </w:tr>
      <w:tr>
        <w:trPr>
          <w:trHeight w:val="234"/>
        </w:trPr>
        <w:tc>
          <w:tcPr>
            <w:tcW w:w="44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9"/>
              </w:rPr>
              <w:t>2,539,074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2,615,394</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Income</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2,565,008</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2,649,868</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2,122,315</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2,375,635</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Expenses</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2,426,062</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2,699,853</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w:t>
            </w: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3,557,707</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(2,121,720)</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w w:val="94"/>
              </w:rPr>
              <w:t>Increase (Decrease) in net assets resulting from operations</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3,696,652</w:t>
            </w:r>
          </w:p>
        </w:tc>
        <w:tc>
          <w:tcPr>
            <w:tcW w:w="3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(2,171,705)</w:t>
            </w:r>
          </w:p>
        </w:tc>
      </w:tr>
    </w:tbl>
    <w:p>
      <w:pPr>
        <w:spacing w:after="0" w:line="187"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167"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which is being amortized for tax purposes on a straight-line basis over 15 years.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Outstanding borrowings on the Trimaran Credit Facility are callable by the Company at any time. On April 15, 2013, the Trimaran Credit Facility was amended and upsized from $20 million to $23 million. At March 31, 2016 and December 31, 2015, the par value of the outstanding loan was $16 million and $23 million, respectively. During the first quarter of 2016, Trimaran repaid $7 million of the outstanding loan. For the three months ended March 31, 2016 and 2015, the Company recognized interest income of approximately $482,000 and $517,500 related to the Trimaran Credit Facility,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6. BORROWINGS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The Company’s debt obligations consist of the following:</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 2016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 (net of offering costs of: 2016 - $837,745; 2015 - $890,344)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40,562,255</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40,509,656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w w:val="93"/>
              </w:rPr>
              <w:t>Notes issued by KCAP Senior Funding I, LLC (net of discount and offering costs of: 2016 - $2,753,854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$2,961,017, respectively; 2015 - $2,907,595 and $3,126,009, respectively)</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141,635,129</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141,316,396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due March 15, 2016 (net of offering costs of: 2015 - $21,292)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19,277,709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March 31, 2016 were 3.8% and 7.3 years, respectively, and as of December 31, 2015 were 4.08% and 6.8 years,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after the payment of underwriting expenses, were approximately $57.7 million. Interest on the Convertible Notes is due semi-annually in arrears on March 15 and September 15, at a rate of 8.75%, commencing September 15, 2011. The Convertible Notes matured and were repaid on March 15, 2016. The Convertible Notes were senior unsecured obligations of the Company.</w:t>
      </w:r>
    </w:p>
    <w:p>
      <w:pPr>
        <w:spacing w:after="0" w:line="1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connection with the issuance of the Convertible Notes, the Company incurred approximately $2.4 million of debt offering costs which were amortized over the term of the Convertible Notes on an effective yield method. On April 4, 2013, approximately $9 million of the Company’s 8.75% Convertible Notes were converted at a price per share of $8.159 into 1,102,093 shares of KCAP common stock. On September 4, 2013, the Company purchased $2 million face value of its own Convertible Notes at a price of $114.50, plus accrued interest. KCAP subsequently surrendered these notes to the note trustee for cancellation effective September 13, 2013. During 2015 the Company repurchased approximately $19.3 million of Convertible Notes at a price ranging from $101.500 to $102.375. KCAP subsequently surrendered these notes to the Trustee for cancellation. Due to the cash conversion option embedded in the Convertible Notes, the Company applied the guidance in ASC 470-20-40, Debt with Conversion and Other Options and realized a loss on the extinguishment of this debt. For the three months ended March 31, 2016 there were no realized losses on extinguishment of debt. The indenture governing the Convertible Notes contains certain restrictive covenants, including compliance with certain provisions of the 1940 Act and conditions governing the undertaking of new debt. The Convertible Notes matured and were fully repaid on March 15, 2016.</w:t>
      </w:r>
    </w:p>
    <w:p>
      <w:pPr>
        <w:spacing w:after="0" w:line="17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the three months ended March 31, 2016 and 2015, interest expense related to the Convertible Notes was approximately $378,000 and $845,000,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Fair Value of Convertible Notes. </w:t>
      </w:r>
      <w:r>
        <w:rPr>
          <w:rFonts w:ascii="Arial" w:cs="Arial" w:eastAsia="Arial" w:hAnsi="Arial"/>
          <w:sz w:val="18"/>
          <w:szCs w:val="18"/>
          <w:color w:val="auto"/>
        </w:rPr>
        <w:t>The Company carries the Convertible Notes at cost. The Convertible Notes were issued in a private placement and there</w:t>
      </w:r>
      <w:r>
        <w:rPr>
          <w:rFonts w:ascii="Arial" w:cs="Arial" w:eastAsia="Arial" w:hAnsi="Arial"/>
          <w:sz w:val="18"/>
          <w:szCs w:val="18"/>
          <w:i w:val="1"/>
          <w:iCs w:val="1"/>
          <w:color w:val="auto"/>
        </w:rPr>
        <w:t xml:space="preserve"> </w:t>
      </w:r>
      <w:r>
        <w:rPr>
          <w:rFonts w:ascii="Arial" w:cs="Arial" w:eastAsia="Arial" w:hAnsi="Arial"/>
          <w:sz w:val="18"/>
          <w:szCs w:val="18"/>
          <w:color w:val="auto"/>
        </w:rPr>
        <w:t>is no active trading of these notes. The estimated fair value of the Company’s outstanding Convertible Notes was approximately $19.5 million at December 31, 2015. The fair value was determined based on an indicative closing price as of that date. The Convertible Notes were categorized as Level III following ASC 820: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October 10, 2012, the Company issued $41.4 million in aggregate principal amount of unsecured 7.375% Notes Due 2019. The net proceeds for these Notes, after the payment underwriting expenses, were approximately $39.9 million. Interest on the 7.375% Notes Due 2019 is paid quarterly in arrears on March 30, June 30, September 30 and December 30, at a rate of 7.375%, commencing December 30, 2012. The 7.375% Notes Due 2019 mature on September, 30, 2019 and are unsecured obligations of the Company. The 7.375% Notes Due 2019 are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March 31, 2016, the Company was in compliance with all of its debt covenants.</w:t>
      </w:r>
    </w:p>
    <w:p>
      <w:pPr>
        <w:spacing w:after="0" w:line="178"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For the three months ended March 31, 2016 and 2015, interest expense related to the 7.375% Notes Due 2019 was approximately $763,000 for both periods.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expected term of the facility on an effective yield method, of which approximately $838,000 remains to be amortized, and is included on the consolidated balance sheets as a reduction in the related debt liability.</w:t>
      </w:r>
    </w:p>
    <w:p>
      <w:pPr>
        <w:spacing w:after="0" w:line="18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i w:val="1"/>
          <w:iCs w:val="1"/>
          <w:color w:val="auto"/>
        </w:rPr>
        <w:t>Fair Value of 7.375% Notes Due 2019</w:t>
      </w:r>
      <w:r>
        <w:rPr>
          <w:rFonts w:ascii="Arial" w:cs="Arial" w:eastAsia="Arial" w:hAnsi="Arial"/>
          <w:sz w:val="18"/>
          <w:szCs w:val="18"/>
          <w:color w:val="auto"/>
        </w:rPr>
        <w:t>. The 7.375% Notes Due 2019 were issued in a public offering on October 10, 2012 and are carried at cost.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Company’s outstanding 7.375% Notes Due 2019 was approximately $40.8 million and $41.1 million at March 31, 2016 and December 31, 2015, respectively. The fair value was determined based on the closing price on March 31, 2016 for the 7.375% Notes Due 2019. The 7.375% Notes Due 2019 are categorized as Level I under the ASC 820: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188" w:lineRule="exact"/>
        <w:rPr>
          <w:sz w:val="20"/>
          <w:szCs w:val="20"/>
          <w:color w:val="auto"/>
        </w:rPr>
      </w:pPr>
    </w:p>
    <w:p>
      <w:pPr>
        <w:ind w:right="340" w:firstLine="324"/>
        <w:spacing w:after="0" w:line="286" w:lineRule="auto"/>
        <w:rPr>
          <w:sz w:val="20"/>
          <w:szCs w:val="20"/>
          <w:color w:val="auto"/>
        </w:rPr>
      </w:pPr>
      <w:r>
        <w:rPr>
          <w:rFonts w:ascii="Arial" w:cs="Arial" w:eastAsia="Arial" w:hAnsi="Arial"/>
          <w:sz w:val="16"/>
          <w:szCs w:val="16"/>
          <w:color w:val="auto"/>
        </w:rPr>
        <w:t>The secured notes (the “KCAP Senior Funding I Secured Notes”) were issued as Class A senior secured floating rate notes which have an initial face amount of $77,250,000, are rated AAA (sf)/Aaa (sf) by Standard &amp; Poor’s Ratings Services and Moody’s Investors Service, Inc., respectively, and bear interest at the three-month LIBOR plus 1.50%, Class B senior secured floating rate notes which have an initial face amount of $9,000,000, are rated AA (sf)/Aa2 (sf) by Standard &amp; Poor’s Ratings Services and Moody’s Investors Service, Inc., respectively, and bear interest at three-month LIBOR plus the</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3.25%, Class C secured deferrable floating rate notes which have an initial face amount of $10,000,000, are rated A (sf)/A2 (sf) by Standard &amp; Poor’s Ratings Services and Moody’s Investors Service, Inc., respectively, and bear interest at three-month LIBOR plus 4.25%, and Class D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in July, 2024, and are subject to a two year non-call period. The Issuer has a four year reinvestment period. The stated interest rate re-sets on a quarterly basis based upon the then-current level of the benchmark three-month LIBOR.</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6" w:name="page57"/>
    <w:bookmarkEnd w:id="56"/>
    <w:p>
      <w:pPr>
        <w:ind w:right="720" w:firstLine="324"/>
        <w:spacing w:after="0" w:line="264" w:lineRule="auto"/>
        <w:rPr>
          <w:sz w:val="20"/>
          <w:szCs w:val="20"/>
          <w:color w:val="auto"/>
        </w:rPr>
      </w:pPr>
      <w:r>
        <w:rPr>
          <w:rFonts w:ascii="Arial" w:cs="Arial" w:eastAsia="Arial" w:hAnsi="Arial"/>
          <w:sz w:val="18"/>
          <w:szCs w:val="18"/>
          <w:color w:val="auto"/>
        </w:rPr>
        <w:t>On December 8, 2014, the Company completed the sale of additional notes (“Additional Issuance Securities”) in a $56,000,000 increase to the collateralized loan obligation transaction that originally closed on June 18, 2013 (the “Original Closing Date”). The issuance of additional notes was proportional across all existing classes of notes issued on the Original Closing Date.</w:t>
      </w:r>
    </w:p>
    <w:p>
      <w:pPr>
        <w:spacing w:after="0" w:line="18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Each class of secured Additional Issuance Securities (all such classes, collectively, the “Additional Issuance Offered Securities”) was issued as a pari passu sub-class of an existing class of notes issued on the Original Closing Date. Accordingly, the ratings given by Standard &amp; Poor’s Ratings Services and Moody’s Investors Service, Inc. to each existing class of notes issued on the Original Closing Date will apply to each class of Additional Issuance Offered Securities that constitutes a related pari passu sub-class of such existing class of notes issued on the Original Closing Date.</w:t>
      </w:r>
    </w:p>
    <w:p>
      <w:pPr>
        <w:spacing w:after="0" w:line="17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Additional Issuance Offered Securities were issued as Class A-2 senior secured floating rate notes which have an initial face amount of $30,900,000, have a rating of AAA (sf)/Aaa (sf) by Standard &amp; Poor’s Ratings Services and Moody’s Investors Service, Inc., respectively, and bear interest at the three-month LIBOR plus 1.50%, Class B-2 senior secured floating rate notes which have an initial face amount of $3,600,000, a rating of AA (sf)/Aa2 (sf) by Standard &amp; Poor’s Ratings Services and Moody’s Investors Service, Inc., respectively, and bear interest at three-month LIBOR plus 3.25%, Class C-2 secured deferrable floating rate notes which have an initial face amount of $4,000,000, a rating of A (sf)/A2 (sf) by Standard &amp; Poor’s Ratings Services and Moody’s Investors Service, Inc., respectively, and bear interest at three-month LIBOR plus 4.25%, and Class D-2 secured deferrable floating rate notes which have an initial face amount of $3,600,000, a rating of BBB (sf)/Baa2 (sf) by Standard &amp; Poor’s Ratings Services and Moody’s Investors Service, Inc., respectively, and bear interest at three-month LIBOR plus 5.25%. The Depositor retained all of the subordinated Additional Issuance Securities of the Issuer (the “Additional Issuance Subordinated Notes”), which have an initial face amount of $13,900,000. The Additional Issuance Subordinated Notes do not bear interest and are not rated. The Additional Issuance Securities have a stated maturity date of July 20, 2024 and are subject to a non-call period until the payment date on the Additional Issuance Securities occurring in July 2015. The Issuer has a reinvestment period to and including the payment date on the Additional Issuance Securities occurring in July 2017, or such earlier date as is provided in the indenture relating to the Additional Issuance Securities. In connection with the Additional Issuance Offered Securities, the Company incurred issuance costs and OID costs of approximately $584,000 and $896,000, respectively.</w:t>
      </w:r>
    </w:p>
    <w:p>
      <w:pPr>
        <w:spacing w:after="0" w:line="18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189" w:lineRule="exact"/>
        <w:rPr>
          <w:sz w:val="20"/>
          <w:szCs w:val="20"/>
          <w:color w:val="auto"/>
        </w:rPr>
      </w:pPr>
    </w:p>
    <w:p>
      <w:pPr>
        <w:jc w:val="both"/>
        <w:ind w:right="80" w:firstLine="324"/>
        <w:spacing w:after="0" w:line="329" w:lineRule="auto"/>
        <w:rPr>
          <w:sz w:val="20"/>
          <w:szCs w:val="20"/>
          <w:color w:val="auto"/>
        </w:rPr>
      </w:pPr>
      <w:r>
        <w:rPr>
          <w:rFonts w:ascii="Arial" w:cs="Arial" w:eastAsia="Arial" w:hAnsi="Arial"/>
          <w:sz w:val="16"/>
          <w:szCs w:val="16"/>
          <w:color w:val="auto"/>
        </w:rPr>
        <w:t>The Company serves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135"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In addition, because each of the Issuer and the Depositor are consolidated subsidiaries, the Company did not recognize any gain or loss on the transfer of any of our portfolio assets to such vehicles in connection with the issuance and sale of the KCAP Senior Funding I Notes.</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of March 31, 2016, there were 75 investments in portfolio companies with a total fair value of approximately $186 million plus cash of $4.3 million, collateralizing the secured notes of the Issuer. At March 31, 2016, there were unamortized issuance costs of approximately $3.0 million, and unamortized original issue discount, (“OID”) of approximately $2.8 million included in Notes issued by KCAP Senior Funding I, LLC liabilities in the accompanying consolidated balance sheet. The pool of loans in the securitization must meet certain requirements, including asset mix and concentration, collateral coverage, term, agency rating, minimum coupon, minimum spread and sector diversity requirements.</w:t>
      </w:r>
    </w:p>
    <w:p>
      <w:pPr>
        <w:spacing w:after="0" w:line="18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For the period ended March 31, 2016, interest expense, including the amortization of deferred debt issuance costs and the OID was approximately $1.4 million consisting of stated interest expense of approximately $1.0 million, accreted discount of approximately $154,000, and amortization of deferred debt issuance costs of approximately $165,000. As of March 31, 2016 the stated interest charged under the securitization was based on current three month LIBOR at the reset date, which was 0.62%. The classes, stated interest rates, spread over LIBOR, and stated interest expense are as follows: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Stated Interest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LIBOR Spread</w:t>
            </w:r>
          </w:p>
        </w:tc>
        <w:tc>
          <w:tcPr>
            <w:tcW w:w="164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w w:val="90"/>
              </w:rPr>
              <w:t>Interest Expense</w:t>
            </w:r>
            <w:r>
              <w:rPr>
                <w:rFonts w:ascii="Arial" w:cs="Arial" w:eastAsia="Arial" w:hAnsi="Arial"/>
                <w:sz w:val="30"/>
                <w:szCs w:val="30"/>
                <w:b w:val="1"/>
                <w:bCs w:val="1"/>
                <w:color w:val="auto"/>
                <w:w w:val="90"/>
                <w:vertAlign w:val="superscript"/>
              </w:rPr>
              <w:t>(1)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1580" w:type="dxa"/>
            <w:vAlign w:val="bottom"/>
            <w:gridSpan w:val="2"/>
          </w:tcPr>
          <w:p>
            <w:pPr>
              <w:jc w:val="right"/>
              <w:ind w:right="660"/>
              <w:spacing w:after="0" w:line="269" w:lineRule="exact"/>
              <w:rPr>
                <w:sz w:val="20"/>
                <w:szCs w:val="20"/>
                <w:color w:val="auto"/>
              </w:rPr>
            </w:pPr>
            <w:r>
              <w:rPr>
                <w:rFonts w:ascii="Arial" w:cs="Arial" w:eastAsia="Arial" w:hAnsi="Arial"/>
                <w:sz w:val="18"/>
                <w:szCs w:val="18"/>
                <w:b w:val="1"/>
                <w:bCs w:val="1"/>
                <w:color w:val="auto"/>
              </w:rPr>
              <w:t>Rate</w:t>
            </w:r>
            <w:r>
              <w:rPr>
                <w:rFonts w:ascii="Arial" w:cs="Arial" w:eastAsia="Arial" w:hAnsi="Arial"/>
                <w:sz w:val="30"/>
                <w:szCs w:val="30"/>
                <w:b w:val="1"/>
                <w:bCs w:val="1"/>
                <w:color w:val="auto"/>
                <w:vertAlign w:val="superscript"/>
              </w:rPr>
              <w:t>(1)</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(basis points)</w:t>
            </w:r>
          </w:p>
        </w:tc>
        <w:tc>
          <w:tcPr>
            <w:tcW w:w="164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 Notes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50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KCAP Senior Funding LLC Class B Notes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 Notes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KCAP Senior Funding LLC Class D Notes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185,041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1,039,694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2160" w:hanging="332"/>
        <w:spacing w:after="0" w:line="434" w:lineRule="auto"/>
        <w:tabs>
          <w:tab w:leader="none" w:pos="236" w:val="left"/>
        </w:tabs>
        <w:numPr>
          <w:ilvl w:val="0"/>
          <w:numId w:val="38"/>
        </w:numPr>
        <w:rPr>
          <w:rFonts w:ascii="Arial" w:cs="Arial" w:eastAsia="Arial" w:hAnsi="Arial"/>
          <w:sz w:val="26"/>
          <w:szCs w:val="26"/>
          <w:color w:val="auto"/>
          <w:vertAlign w:val="superscript"/>
        </w:rPr>
      </w:pPr>
      <w:r>
        <w:rPr>
          <w:rFonts w:ascii="Arial" w:cs="Arial" w:eastAsia="Arial" w:hAnsi="Arial"/>
          <w:sz w:val="16"/>
          <w:szCs w:val="16"/>
          <w:color w:val="auto"/>
        </w:rPr>
        <w:t>Stated Interest Rate (and thus periodic interest expense), will vary based upon prevailing 3 month LIBOR as of the reset date. The amounts, ratings and interest rates (expressed as a spread to LIBOR) of the Class A, B, C, and D are as follows:</w:t>
      </w:r>
    </w:p>
    <w:tbl>
      <w:tblPr>
        <w:tblLayout w:type="fixed"/>
        <w:tblInd w:w="0" w:type="dxa"/>
        <w:tblCellMar>
          <w:top w:w="0" w:type="dxa"/>
          <w:left w:w="0" w:type="dxa"/>
          <w:bottom w:w="0" w:type="dxa"/>
          <w:right w:w="0" w:type="dxa"/>
        </w:tblCellMar>
      </w:tblPr>
      <w:tr>
        <w:trPr>
          <w:trHeight w:val="234"/>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Class A Notes</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Class B Notes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C Notes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Class D Notes</w:t>
            </w:r>
          </w:p>
        </w:tc>
        <w:tc>
          <w:tcPr>
            <w:tcW w:w="10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Type</w:t>
            </w:r>
          </w:p>
        </w:tc>
        <w:tc>
          <w:tcPr>
            <w:tcW w:w="14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Senior Secured Floating</w:t>
            </w: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Senior Secured Floating</w:t>
            </w:r>
          </w:p>
        </w:tc>
        <w:tc>
          <w:tcPr>
            <w:tcW w:w="12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Secured Deferrable</w:t>
            </w:r>
          </w:p>
        </w:tc>
        <w:tc>
          <w:tcPr>
            <w:tcW w:w="10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Secured Deferrable</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Rate</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Rate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Floating Rate</w:t>
            </w:r>
          </w:p>
        </w:tc>
        <w:tc>
          <w:tcPr>
            <w:tcW w:w="100" w:type="dxa"/>
            <w:vAlign w:val="bottom"/>
          </w:tcPr>
          <w:p>
            <w:pPr>
              <w:spacing w:after="0"/>
              <w:rPr>
                <w:sz w:val="18"/>
                <w:szCs w:val="18"/>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Amount Outstanding</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$ 108,150,000</w:t>
            </w:r>
          </w:p>
        </w:tc>
        <w:tc>
          <w:tcPr>
            <w:tcW w:w="1940" w:type="dxa"/>
            <w:vAlign w:val="bottom"/>
          </w:tcPr>
          <w:p>
            <w:pPr>
              <w:jc w:val="right"/>
              <w:ind w:right="410"/>
              <w:spacing w:after="0"/>
              <w:rPr>
                <w:sz w:val="20"/>
                <w:szCs w:val="20"/>
                <w:color w:val="auto"/>
              </w:rPr>
            </w:pPr>
            <w:r>
              <w:rPr>
                <w:rFonts w:ascii="Arial" w:cs="Arial" w:eastAsia="Arial" w:hAnsi="Arial"/>
                <w:sz w:val="18"/>
                <w:szCs w:val="18"/>
                <w:color w:val="auto"/>
              </w:rPr>
              <w:t>$ 12,600,000</w:t>
            </w:r>
          </w:p>
        </w:tc>
        <w:tc>
          <w:tcPr>
            <w:tcW w:w="120" w:type="dxa"/>
            <w:vAlign w:val="bottom"/>
          </w:tcPr>
          <w:p>
            <w:pPr>
              <w:spacing w:after="0"/>
              <w:rPr>
                <w:sz w:val="18"/>
                <w:szCs w:val="18"/>
                <w:color w:val="auto"/>
              </w:rPr>
            </w:pPr>
          </w:p>
        </w:tc>
        <w:tc>
          <w:tcPr>
            <w:tcW w:w="1940" w:type="dxa"/>
            <w:vAlign w:val="bottom"/>
          </w:tcPr>
          <w:p>
            <w:pPr>
              <w:jc w:val="right"/>
              <w:ind w:right="410"/>
              <w:spacing w:after="0"/>
              <w:rPr>
                <w:sz w:val="20"/>
                <w:szCs w:val="20"/>
                <w:color w:val="auto"/>
              </w:rPr>
            </w:pPr>
            <w:r>
              <w:rPr>
                <w:rFonts w:ascii="Arial" w:cs="Arial" w:eastAsia="Arial" w:hAnsi="Arial"/>
                <w:sz w:val="18"/>
                <w:szCs w:val="18"/>
                <w:color w:val="auto"/>
              </w:rPr>
              <w:t>$ 14,000,000</w:t>
            </w:r>
          </w:p>
        </w:tc>
        <w:tc>
          <w:tcPr>
            <w:tcW w:w="100" w:type="dxa"/>
            <w:vAlign w:val="bottom"/>
          </w:tcPr>
          <w:p>
            <w:pPr>
              <w:spacing w:after="0"/>
              <w:rPr>
                <w:sz w:val="18"/>
                <w:szCs w:val="18"/>
                <w:color w:val="auto"/>
              </w:rPr>
            </w:pPr>
          </w:p>
        </w:tc>
        <w:tc>
          <w:tcPr>
            <w:tcW w:w="1940" w:type="dxa"/>
            <w:vAlign w:val="bottom"/>
          </w:tcPr>
          <w:p>
            <w:pPr>
              <w:jc w:val="right"/>
              <w:ind w:right="410"/>
              <w:spacing w:after="0"/>
              <w:rPr>
                <w:sz w:val="20"/>
                <w:szCs w:val="20"/>
                <w:color w:val="auto"/>
              </w:rPr>
            </w:pPr>
            <w:r>
              <w:rPr>
                <w:rFonts w:ascii="Arial" w:cs="Arial" w:eastAsia="Arial" w:hAnsi="Arial"/>
                <w:sz w:val="18"/>
                <w:szCs w:val="18"/>
                <w:color w:val="auto"/>
              </w:rPr>
              <w:t>$ 12,600,000</w:t>
            </w:r>
          </w:p>
        </w:tc>
        <w:tc>
          <w:tcPr>
            <w:tcW w:w="100" w:type="dxa"/>
            <w:vAlign w:val="bottom"/>
          </w:tcPr>
          <w:p>
            <w:pPr>
              <w:spacing w:after="0"/>
              <w:rPr>
                <w:sz w:val="18"/>
                <w:szCs w:val="18"/>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Moody's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1940" w:type="dxa"/>
            <w:vAlign w:val="bottom"/>
          </w:tcPr>
          <w:p>
            <w:pPr>
              <w:jc w:val="center"/>
              <w:spacing w:after="0"/>
              <w:rPr>
                <w:sz w:val="20"/>
                <w:szCs w:val="20"/>
                <w:color w:val="auto"/>
              </w:rPr>
            </w:pPr>
            <w:r>
              <w:rPr>
                <w:rFonts w:ascii="Arial" w:cs="Arial" w:eastAsia="Arial" w:hAnsi="Arial"/>
                <w:sz w:val="18"/>
                <w:szCs w:val="18"/>
                <w:color w:val="auto"/>
                <w:w w:val="98"/>
              </w:rPr>
              <w:t>"Aaa"</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rPr>
              <w:t>"Aa2"</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rPr>
              <w:t>"A2"</w:t>
            </w: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"Baa2"</w:t>
            </w:r>
          </w:p>
        </w:tc>
        <w:tc>
          <w:tcPr>
            <w:tcW w:w="100" w:type="dxa"/>
            <w:vAlign w:val="bottom"/>
          </w:tcPr>
          <w:p>
            <w:pPr>
              <w:spacing w:after="0"/>
              <w:rPr>
                <w:sz w:val="18"/>
                <w:szCs w:val="18"/>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Standard &amp;amp; Poor's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1940" w:type="dxa"/>
            <w:vAlign w:val="bottom"/>
          </w:tcPr>
          <w:p>
            <w:pPr>
              <w:jc w:val="center"/>
              <w:spacing w:after="0"/>
              <w:rPr>
                <w:sz w:val="20"/>
                <w:szCs w:val="20"/>
                <w:color w:val="auto"/>
              </w:rPr>
            </w:pPr>
            <w:r>
              <w:rPr>
                <w:rFonts w:ascii="Arial" w:cs="Arial" w:eastAsia="Arial" w:hAnsi="Arial"/>
                <w:sz w:val="18"/>
                <w:szCs w:val="18"/>
                <w:color w:val="auto"/>
              </w:rPr>
              <w:t>"AAA"</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rPr>
              <w:t>"AA"</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rPr>
              <w:t>"A"</w:t>
            </w:r>
          </w:p>
        </w:tc>
        <w:tc>
          <w:tcPr>
            <w:tcW w:w="1940" w:type="dxa"/>
            <w:vAlign w:val="bottom"/>
          </w:tcPr>
          <w:p>
            <w:pPr>
              <w:jc w:val="center"/>
              <w:spacing w:after="0"/>
              <w:rPr>
                <w:sz w:val="20"/>
                <w:szCs w:val="20"/>
                <w:color w:val="auto"/>
              </w:rPr>
            </w:pPr>
            <w:r>
              <w:rPr>
                <w:rFonts w:ascii="Arial" w:cs="Arial" w:eastAsia="Arial" w:hAnsi="Arial"/>
                <w:sz w:val="18"/>
                <w:szCs w:val="18"/>
                <w:color w:val="auto"/>
              </w:rPr>
              <w:t>"BBB"</w:t>
            </w:r>
          </w:p>
        </w:tc>
        <w:tc>
          <w:tcPr>
            <w:tcW w:w="100" w:type="dxa"/>
            <w:vAlign w:val="bottom"/>
          </w:tcPr>
          <w:p>
            <w:pPr>
              <w:spacing w:after="0"/>
              <w:rPr>
                <w:sz w:val="18"/>
                <w:szCs w:val="18"/>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Interest Rate</w:t>
            </w: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LIBOR + 1.50 %</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LIBOR + 3.25 %</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LIBOR + 4.25 %</w:t>
            </w: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LIBOR + 5.25 %</w:t>
            </w:r>
          </w:p>
        </w:tc>
        <w:tc>
          <w:tcPr>
            <w:tcW w:w="100" w:type="dxa"/>
            <w:vAlign w:val="bottom"/>
          </w:tcPr>
          <w:p>
            <w:pPr>
              <w:spacing w:after="0"/>
              <w:rPr>
                <w:sz w:val="18"/>
                <w:szCs w:val="18"/>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Stated Maturity</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July, 2024</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2024</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July, 2024</w:t>
            </w:r>
          </w:p>
        </w:tc>
        <w:tc>
          <w:tcPr>
            <w:tcW w:w="100" w:type="dxa"/>
            <w:vAlign w:val="bottom"/>
          </w:tcPr>
          <w:p>
            <w:pPr>
              <w:spacing w:after="0"/>
              <w:rPr>
                <w:sz w:val="18"/>
                <w:szCs w:val="18"/>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Junior Classes</w:t>
            </w:r>
          </w:p>
        </w:tc>
        <w:tc>
          <w:tcPr>
            <w:tcW w:w="1940" w:type="dxa"/>
            <w:vAlign w:val="bottom"/>
          </w:tcPr>
          <w:p>
            <w:pPr>
              <w:jc w:val="center"/>
              <w:spacing w:after="0"/>
              <w:rPr>
                <w:sz w:val="20"/>
                <w:szCs w:val="20"/>
                <w:color w:val="auto"/>
              </w:rPr>
            </w:pPr>
            <w:r>
              <w:rPr>
                <w:rFonts w:ascii="Arial" w:cs="Arial" w:eastAsia="Arial" w:hAnsi="Arial"/>
                <w:sz w:val="18"/>
                <w:szCs w:val="18"/>
                <w:color w:val="auto"/>
                <w:w w:val="96"/>
              </w:rPr>
              <w:t>B, C, D</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 D</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 and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and Subordinated</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and Subordinated</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Subordinated</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Subordinated</w:t>
            </w:r>
          </w:p>
        </w:tc>
        <w:tc>
          <w:tcPr>
            <w:tcW w:w="10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color w:val="auto"/>
        </w:rPr>
        <w:t>The Company’s outstanding principal amounts, carrying values and fair values of the Class A, B, C and D Notes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As of</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March 31, 2016</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Principal Amount</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Carrying Value</w:t>
            </w:r>
          </w:p>
        </w:tc>
        <w:tc>
          <w:tcPr>
            <w:tcW w:w="16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 Notes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108,150,000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106,128,763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105,311,063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KCAP Senior Funding LLC Class B Notes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12,600,000</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12,364,516</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12,064,500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 Notes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14,000,000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13,738,351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KCAP Senior Funding LLC Class D Notes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12,600,000</w:t>
            </w: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12,364,516</w:t>
            </w: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10,489,500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147,350,000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144,596,146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140,255,063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Fair Value of KCAP Senior Funding I. </w:t>
      </w:r>
      <w:r>
        <w:rPr>
          <w:rFonts w:ascii="Arial" w:cs="Arial" w:eastAsia="Arial" w:hAnsi="Arial"/>
          <w:sz w:val="18"/>
          <w:szCs w:val="18"/>
          <w:color w:val="auto"/>
        </w:rPr>
        <w:t>The Company carries the KCAP Senior Funding I Notes at cost, net of unamortized discount of $2,753,854.</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KCAP Senior Funding I Notes was approximately $140 million and $144 million at March 31, 2016 and December 31, 2015, respectively. The fair values were determined based on third party indicative values. The KCAP Senior Funding I L.L.C. Notes are categorized as Level III under ASC 820: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at least 90%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2016).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 for the three months ended March 31, 2016:</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(6,842,699)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change in unrealized depreciation from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3,795,581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(1,092,986)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gains over capital losses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7,811,888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795,651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book/tax differences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372,351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5,932,772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7,044,385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w w:val="92"/>
              </w:rPr>
              <w:t>Taxable income before deductions for distributions per weighted average basic shares for the period</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r>
              <w:rPr>
                <w:rFonts w:ascii="Arial" w:cs="Arial" w:eastAsia="Arial" w:hAnsi="Arial"/>
                <w:sz w:val="18"/>
                <w:szCs w:val="18"/>
                <w:color w:val="auto"/>
                <w:w w:val="91"/>
              </w:rPr>
              <w:t>Taxable income before deductions for distributions per weighted average diluted shares for the period</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Dividends from Asset Manager Affiliates are recorded based upon a quarterly estimate of tax-basis earnings and profits of each Asset Manager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Affiliate. Distributions in excess of the estimated tax-basis quarterly earnings and profits of each distributing Asset Manager Affiliate are recognized as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return of capital. The actual tax-basis earnings and profits and resulting dividend and/or return of capital for the year will be determined at the end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year for each distributing Asset Manager Affiliate. For the three months ended March 31, 2016 and 2015, the Asset Manager Affiliates declared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distributions of $1.1 million and $2.7 million to the Company, respectively. The Company recognized $550,000 and $1.4 million of dividends from Asset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Manager Affiliates in the Statement of Operations in the first quarter of 2016 and 2015. For the quarters ended March 31, 2016 and 2015 the difference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 and $1.3 million, respectively, between cash distributions received and the tax-basis earnings and profits of the distributing affiliate, are recorded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adjustment to the cost basis in the Asset Manager Affiliate (i.e. tax-basis return of capital).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firstLine="414"/>
        <w:spacing w:after="0" w:line="302" w:lineRule="auto"/>
        <w:rPr>
          <w:sz w:val="20"/>
          <w:szCs w:val="20"/>
          <w:color w:val="auto"/>
        </w:rPr>
      </w:pPr>
      <w:r>
        <w:rPr>
          <w:rFonts w:ascii="Arial" w:cs="Arial" w:eastAsia="Arial" w:hAnsi="Arial"/>
          <w:sz w:val="16"/>
          <w:szCs w:val="16"/>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40" w:type="dxa"/>
            <w:vAlign w:val="bottom"/>
            <w:gridSpan w:val="8"/>
          </w:tcPr>
          <w:p>
            <w:pPr>
              <w:ind w:left="4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414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Distributions paid from:</w:t>
            </w:r>
          </w:p>
        </w:tc>
        <w:tc>
          <w:tcPr>
            <w:tcW w:w="2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Ordinary income</w:t>
            </w:r>
          </w:p>
        </w:tc>
        <w:tc>
          <w:tcPr>
            <w:tcW w:w="2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5,496,812</w:t>
            </w:r>
          </w:p>
        </w:tc>
        <w:tc>
          <w:tcPr>
            <w:tcW w:w="160" w:type="dxa"/>
            <w:vAlign w:val="bottom"/>
          </w:tcPr>
          <w:p>
            <w:pPr>
              <w:spacing w:after="0"/>
              <w:rPr>
                <w:sz w:val="18"/>
                <w:szCs w:val="18"/>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5,496,812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At March 31, 2016, the Company had a net capital loss carryforward of $90 million to offset net capital gains, to the extent provided by federal tax law. Of the net capital loss carryforward, $59 million is not subject to expiration under the RIC Modernization Act of 2010.</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March 18, 2016 the Company’s Board of Directors declared a distribution to shareholders of $0.15 per share for a total of $5.5 million. The record date was April 7, 2016 and the distribution was paid on April 28, 2016.</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March 31, 2016 and December 31, 2015, the Company had $7.4 million $360,000 of outstanding commitments to fund investments, respectively. At March 31, 2016, $7 million of such amount related to a revolving credit facility provided to Trimaran Advisors. Because Trimaran Advisors is wholly-owned by the Company, the Company fully controls when amounts thereunder are drawn by Trimaran Advisors.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During the three months ended March 31, 2016 and 2015, the Company issued 61,801 and 86,684 shares, respectively, of common stock under its dividend reinvestment plan. For the three months ended March 31, 2016, there were no grants of restricted stock, 31,373 shares were forfeited, and no shares vested. On February 14, 2013, the Company completed a public offering of 5,232,500 shares of common stock, which included the underwriters’ full exercise of their option to purchase up to 682,500 shares of common stock, at a price of $9.75 per share. In conjunction with this offering, the Company also sold 200,000 shares of common stock to a member of its Board of Directors, at a price of $9.31125 per share, raising approximately $1.9 million in gross proceeds. On April 4, 2013, approximately $9 million of the Company’s 8.75% Convertible Notes were converted at a price basis per share of $8.159 into 1,102,093 shares of KCAP common stock. On October 6, 2014, the Company priced a follow-on public offering of 3.0 million shares of its common stock at a price of $8.02 per share. The offering raised net proceeds were approximately $23.8 million, after deducting underwriting discounts and offering expenses. The total number of shares of the Company’s common stock outstanding as of March 31, 2016 and December 31, 2015 was 37,130,433 and 37,100,005,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right="20" w:firstLine="414"/>
        <w:spacing w:after="0" w:line="290" w:lineRule="auto"/>
        <w:rPr>
          <w:sz w:val="20"/>
          <w:szCs w:val="20"/>
          <w:color w:val="auto"/>
        </w:rPr>
      </w:pPr>
      <w:r>
        <w:rPr>
          <w:rFonts w:ascii="Arial" w:cs="Arial" w:eastAsia="Arial" w:hAnsi="Arial"/>
          <w:sz w:val="16"/>
          <w:szCs w:val="16"/>
          <w:color w:val="auto"/>
        </w:rPr>
        <w:t>The Company has an equity incentive plan, established in 2006 and as amended in 2008, 2014 and most recently in June 2015 (the “Equity Incentive Plan”). The Company reserved 2,000,000 shares of common stock for issuance under the Equity Incentive Plan. The purpose of the Equity Incentive Plan is to provide officers and employees of the Company with additional incentives and align the interests of its employees with those of its shareholders. Options granted under the Equity Incentive Plan are exercisable at a price equal to the fair market value (market closing price) of the shares on the day the option is granted. Restricted stock granted under the Equity Incentive Plan is granted at a price equal to the fair market value (market closing price) of the shares on the day such restricted stock is granted. Vesting of restricted stock awarded under the 2008 amendment of the Equity Incentive Plan will occur in two equal installments of 50%, on each of the third and fourth anniversaries of the grant date; vesting of restricted stock subsequent to the 2014 amendment of the Equity Incentive Plan will vest in four equal installments of 25%, on each of the first four anniversaries of the grant date.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320" w:firstLine="414"/>
        <w:spacing w:after="0" w:line="312" w:lineRule="auto"/>
        <w:rPr>
          <w:sz w:val="20"/>
          <w:szCs w:val="20"/>
          <w:color w:val="auto"/>
        </w:rPr>
      </w:pPr>
      <w:r>
        <w:rPr>
          <w:rFonts w:ascii="Arial" w:cs="Arial" w:eastAsia="Arial" w:hAnsi="Arial"/>
          <w:sz w:val="16"/>
          <w:szCs w:val="16"/>
          <w:color w:val="auto"/>
        </w:rPr>
        <w:t>On June 20, 2014, the Company’s Board of Directors approved the amended and restated the Non-Employee Director Plan (the “Non-Employee Director Plan”), which was approved by shareholders on June 10, 2011. Accordingly, the annual grant of options to non-employee directors has been discontinued and replaced with an annual grant of shares of restricted stock as partial annual compensation for the services of the non-employee directors.</w:t>
      </w:r>
    </w:p>
    <w:p>
      <w:pPr>
        <w:spacing w:after="0" w:line="14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2015 through March 31, 2016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Weighted Average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tcPr>
          <w:p>
            <w:pPr>
              <w:jc w:val="center"/>
              <w:ind w:right="220"/>
              <w:spacing w:after="0" w:line="181" w:lineRule="exact"/>
              <w:rPr>
                <w:sz w:val="20"/>
                <w:szCs w:val="20"/>
                <w:color w:val="auto"/>
              </w:rPr>
            </w:pPr>
            <w:r>
              <w:rPr>
                <w:rFonts w:ascii="Arial" w:cs="Arial" w:eastAsia="Arial" w:hAnsi="Arial"/>
                <w:sz w:val="18"/>
                <w:szCs w:val="18"/>
                <w:b w:val="1"/>
                <w:bCs w:val="1"/>
                <w:color w:val="auto"/>
                <w:w w:val="89"/>
              </w:rPr>
              <w:t>Exercise Price per</w:t>
            </w:r>
          </w:p>
        </w:tc>
        <w:tc>
          <w:tcPr>
            <w:tcW w:w="158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2"/>
              </w:rPr>
              <w:t>Remaining Term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Share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center"/>
              <w:ind w:right="220"/>
              <w:spacing w:after="0" w:line="269" w:lineRule="exact"/>
              <w:rPr>
                <w:sz w:val="20"/>
                <w:szCs w:val="20"/>
                <w:color w:val="auto"/>
              </w:rPr>
            </w:pPr>
            <w:r>
              <w:rPr>
                <w:rFonts w:ascii="Arial" w:cs="Arial" w:eastAsia="Arial" w:hAnsi="Arial"/>
                <w:sz w:val="18"/>
                <w:szCs w:val="18"/>
                <w:b w:val="1"/>
                <w:bCs w:val="1"/>
                <w:color w:val="auto"/>
                <w:w w:val="90"/>
              </w:rPr>
              <w:t>Intrinsic Value</w:t>
            </w:r>
            <w:r>
              <w:rPr>
                <w:rFonts w:ascii="Arial" w:cs="Arial" w:eastAsia="Arial" w:hAnsi="Arial"/>
                <w:sz w:val="30"/>
                <w:szCs w:val="30"/>
                <w:b w:val="1"/>
                <w:bCs w:val="1"/>
                <w:color w:val="auto"/>
                <w:w w:val="90"/>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Outstanding at March 31, 2016</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44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vested at March 31, 2016</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44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640" w:right="1580" w:hanging="5632"/>
        <w:spacing w:after="0" w:line="618" w:lineRule="auto"/>
        <w:tabs>
          <w:tab w:leader="none" w:pos="137" w:val="left"/>
        </w:tabs>
        <w:numPr>
          <w:ilvl w:val="0"/>
          <w:numId w:val="39"/>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on March 31, 2016 and the exercise price of the options.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ind w:right="220" w:firstLine="41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three months ended March 31, 2016 and 2015, the Company did not recognize any non-cash compensation expense related to stock options. At March 31, 2016, the Company had no remaining compensation costs related to unvested stock option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70" w:lineRule="exact"/>
        <w:rPr>
          <w:sz w:val="20"/>
          <w:szCs w:val="20"/>
          <w:color w:val="auto"/>
        </w:rPr>
      </w:pPr>
    </w:p>
    <w:p>
      <w:pPr>
        <w:ind w:left="540" w:hanging="208"/>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25"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21, 2015, 6,000 shares of restricted stock were awarded to the Company’s Board of Directors.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June 16, 2015, the Company received exemptive relief to repurchase shares of its common stock from its employees in connection with certain equity compensation plan arrangements. During the year ended December 31, 2015, the Company repurchased 36,348 shares of common stock at an aggregate cost of approximately $220,000 in connection with the vesting of employee’s restricted stock, which is reflected as Treasury Stock at cost on the Consolidated Balance Sheet. These shares are not available to be reissued under the Company’s Equity Incentive Plan.</w:t>
      </w:r>
    </w:p>
    <w:p>
      <w:pPr>
        <w:spacing w:after="0" w:line="17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181"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On June 23, 2015, the Company’s Board of Directors also voted to amend the Equity Incentive Plan to specify that shares repurchased by the Company to satisfy employee tax withholding requirements would not be returned to the plan reserve and could not be reissued under the Company’s Equity Incentive Plan.</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During the three months ended March 31, 2016, no shares of restricted stock vested and 31,373 shares of restricted stock were forfeited. As of March 31, 2016, after giving effect to these restricted stock awards, there were 669,166 shares of restricted stock outstanding. Information with respect to restricted stock granted, exercised and forfeited under the Plan for the period January 1, 2015 through March 31, 2016 is as follows: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Non-vested</w:t>
            </w:r>
          </w:p>
        </w:tc>
      </w:tr>
      <w:tr>
        <w:trPr>
          <w:trHeight w:val="216"/>
        </w:trPr>
        <w:tc>
          <w:tcPr>
            <w:tcW w:w="73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Restricted</w:t>
            </w:r>
          </w:p>
        </w:tc>
      </w:tr>
      <w:tr>
        <w:trPr>
          <w:trHeight w:val="234"/>
        </w:trPr>
        <w:tc>
          <w:tcPr>
            <w:tcW w:w="7380" w:type="dxa"/>
            <w:vAlign w:val="bottom"/>
          </w:tcPr>
          <w:p>
            <w:pPr>
              <w:spacing w:after="0"/>
              <w:rPr>
                <w:sz w:val="20"/>
                <w:szCs w:val="20"/>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3"/>
              </w:rPr>
              <w:t>Shares</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January 1, 2015</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196,166</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(104,550)</w:t>
            </w: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(10,862)</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December 31, 2015</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700,539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(31,373)</w:t>
            </w:r>
          </w:p>
        </w:tc>
      </w:tr>
      <w:tr>
        <w:trPr>
          <w:trHeight w:val="223"/>
        </w:trPr>
        <w:tc>
          <w:tcPr>
            <w:tcW w:w="7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Outstanding at March 31, 2016</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14"/>
        <w:spacing w:after="0" w:line="302" w:lineRule="auto"/>
        <w:rPr>
          <w:sz w:val="20"/>
          <w:szCs w:val="20"/>
          <w:color w:val="auto"/>
        </w:rPr>
      </w:pPr>
      <w:r>
        <w:rPr>
          <w:rFonts w:ascii="Arial" w:cs="Arial" w:eastAsia="Arial" w:hAnsi="Arial"/>
          <w:sz w:val="16"/>
          <w:szCs w:val="16"/>
          <w:color w:val="auto"/>
        </w:rPr>
        <w:t>For the three months ended March 31, 2016, non-cash compensation expense related to restricted stock was approximately $421,000; of this amount approximately $172,000 was expensed at the Company, and approximately $249,000 was a reimbursable expense allocated to the Asset Manager Affiliates. For the three months ended March 31, 2015, non-cash compensation expense related to restricted stock was approximately $355,000; of this amount approximately $158,000 was expensed at the Company and approximately $197,000 was a reimbursable expense allocated to the Asset Manager Affiliates.</w:t>
      </w:r>
    </w:p>
    <w:p>
      <w:pPr>
        <w:spacing w:after="0" w:line="154" w:lineRule="exact"/>
        <w:rPr>
          <w:sz w:val="20"/>
          <w:szCs w:val="20"/>
          <w:color w:val="auto"/>
        </w:rPr>
      </w:pPr>
    </w:p>
    <w:p>
      <w:pPr>
        <w:jc w:val="both"/>
        <w:ind w:right="300" w:firstLine="414"/>
        <w:spacing w:after="0" w:line="312" w:lineRule="auto"/>
        <w:rPr>
          <w:sz w:val="20"/>
          <w:szCs w:val="20"/>
          <w:color w:val="auto"/>
        </w:rPr>
      </w:pPr>
      <w:r>
        <w:rPr>
          <w:rFonts w:ascii="Arial" w:cs="Arial" w:eastAsia="Arial" w:hAnsi="Arial"/>
          <w:sz w:val="16"/>
          <w:szCs w:val="16"/>
          <w:color w:val="auto"/>
        </w:rPr>
        <w:t>Distributions are paid on all outstanding shares of restricted stock, whether or not vested. In general, shares of unvested restricted stock are forfeited upon the recipient’s termination of employment. As of March 31, 2016, the Company had approximately $3.0 million of total unrecognized compensation cost related to non-vested restricted share awards. That cost is expected to be recognized over the remaining weighted average period of 2.0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$9,000 and $11,000 was expensed during the three months ended March 31, 2016 and 2015, respectively, related to the 401K Plan.</w:t>
      </w:r>
    </w:p>
    <w:p>
      <w:pPr>
        <w:spacing w:after="0" w:line="188"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$46,000 and $53,000 was expensed during the three months ended March 31, 2016 and 2015, respectively, related to the Profit-Sharing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March 31, 2016 for items that should potentially be recognized or disclosed in these financial statements. Management has determined that there are no material subsequent events that would require adjustment to, or disclosure in, these consolidated financial statements.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3" w:name="page64"/>
    <w:bookmarkEnd w:id="63"/>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340" w:firstLine="41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subsidiaries.</w:t>
      </w:r>
    </w:p>
    <w:p>
      <w:pPr>
        <w:spacing w:after="0" w:line="170"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The information contained in this section should be read in conjunction with our consolidated financial statements and notes thereto appearing elsewhere in this Quarterly Report and in conjunction with the financial statements and notes thereto in the Company’s Form 10-K for the year ended December 31, 2015,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8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registered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00" w:lineRule="exact"/>
        <w:rPr>
          <w:sz w:val="20"/>
          <w:szCs w:val="20"/>
          <w:color w:val="auto"/>
        </w:rPr>
      </w:pPr>
    </w:p>
    <w:p>
      <w:pPr>
        <w:spacing w:after="0" w:line="24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2015.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or BDC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 (the “1940 Act”). We have three principal areas of investments:</w:t>
      </w:r>
    </w:p>
    <w:p>
      <w:pPr>
        <w:spacing w:after="0" w:line="211"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Second, the Company has invested in asset management companies (Katonah Debt Advisors and Trimaran Advisors, collectively the “Asset Manager Affiliates”) that manage collateralized loan obligation funds (“CLO Funds”).</w:t>
      </w:r>
    </w:p>
    <w:p>
      <w:pPr>
        <w:spacing w:after="0" w:line="170" w:lineRule="exact"/>
        <w:rPr>
          <w:sz w:val="20"/>
          <w:szCs w:val="20"/>
          <w:color w:val="auto"/>
        </w:rPr>
      </w:pPr>
    </w:p>
    <w:p>
      <w:pPr>
        <w:ind w:right="20" w:firstLine="270"/>
        <w:spacing w:after="0" w:line="312" w:lineRule="auto"/>
        <w:rPr>
          <w:sz w:val="20"/>
          <w:szCs w:val="20"/>
          <w:color w:val="auto"/>
        </w:rPr>
      </w:pPr>
      <w:r>
        <w:rPr>
          <w:rFonts w:ascii="Arial" w:cs="Arial" w:eastAsia="Arial" w:hAnsi="Arial"/>
          <w:sz w:val="16"/>
          <w:szCs w:val="16"/>
          <w:color w:val="auto"/>
        </w:rPr>
        <w:t>Third, the Company invests in debt and subordinated securities issued by collateralized loan obligation funds CLOs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may also invest in other investments such as loans to larger, publicly-traded companies, high-yield bonds and distressed debt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receive warrants or options to purchase common stock in connection with its debt investments.</w:t>
      </w:r>
    </w:p>
    <w:p>
      <w:pPr>
        <w:spacing w:after="0" w:line="211" w:lineRule="exact"/>
        <w:rPr>
          <w:sz w:val="20"/>
          <w:szCs w:val="20"/>
          <w:color w:val="auto"/>
        </w:rPr>
      </w:pPr>
    </w:p>
    <w:p>
      <w:pPr>
        <w:ind w:right="60" w:firstLine="270"/>
        <w:spacing w:after="0" w:line="270"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companies or larger, publicly-traded companies, high-yield bonds and distressed debt securities. We may also receive warrants or options to purchase common stock in connection with our debt investments.</w:t>
      </w:r>
    </w:p>
    <w:p>
      <w:pPr>
        <w:spacing w:after="0" w:line="178" w:lineRule="exact"/>
        <w:rPr>
          <w:sz w:val="20"/>
          <w:szCs w:val="20"/>
          <w:color w:val="auto"/>
        </w:rPr>
      </w:pPr>
    </w:p>
    <w:p>
      <w:pPr>
        <w:ind w:right="80" w:firstLine="270"/>
        <w:spacing w:after="0" w:line="293" w:lineRule="auto"/>
        <w:rPr>
          <w:sz w:val="20"/>
          <w:szCs w:val="20"/>
          <w:color w:val="auto"/>
        </w:rPr>
      </w:pPr>
      <w:r>
        <w:rPr>
          <w:rFonts w:ascii="Arial" w:cs="Arial" w:eastAsia="Arial" w:hAnsi="Arial"/>
          <w:sz w:val="16"/>
          <w:szCs w:val="16"/>
          <w:color w:val="auto"/>
        </w:rPr>
        <w:t>From our Asset Manager Affiliates investment, we expect to receive recurring cash distributions and to generate capital appreciation through the addition of new CLO Funds managed by our Asset Manager Affiliates. We may also seek to monetize our investment in the Asset Manager Affiliates if and when business conditions warrant. The Asset Manager Affiliates manage CLO Funds that invest in broadly syndicated loans, high-yield bonds and other credit instruments. Collectively, the Asset Manager Affiliates have approximately $2.7 billion of par value assets under management as of March 31, 2016. The Asset Manager Affiliates are registered under the Investment Advisers Act of 1940, and are each managed independently from KCAP by a separate management team (however, certain of the Company’s executive officers also act in similar capacities for one or both of the Asset Manager Affiliates).</w:t>
      </w:r>
    </w:p>
    <w:p>
      <w:pPr>
        <w:spacing w:after="0" w:line="165" w:lineRule="exact"/>
        <w:rPr>
          <w:sz w:val="20"/>
          <w:szCs w:val="20"/>
          <w:color w:val="auto"/>
        </w:rPr>
      </w:pPr>
    </w:p>
    <w:p>
      <w:pPr>
        <w:ind w:right="300" w:firstLine="270"/>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the growth of our Asset Manager Affiliates.</w:t>
      </w:r>
    </w:p>
    <w:p>
      <w:pPr>
        <w:spacing w:after="0" w:line="181"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Subject to market conditions, 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181"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We have elected to be treated for U.S. federal income tax purposes as a RIC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manage portfolios of broadly syndicated loans, high-yield bonds and other credit instruments, and (3) CLO Fund Securities.</w:t>
      </w:r>
    </w:p>
    <w:p>
      <w:pPr>
        <w:spacing w:after="0" w:line="166"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Total portfolio investment activity (excluding activity in time deposit and money market investments) for the three months ended March 31, 2016 (unaudited) and for the year ended December 31, 2015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 Fund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Asset Manager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Securities</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8"/>
              </w:rPr>
              <w:t>Equity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Affiliates</w:t>
            </w:r>
          </w:p>
        </w:tc>
        <w:tc>
          <w:tcPr>
            <w:tcW w:w="6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Total 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December 31, 2014</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320,143,170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77,514,902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478,103,753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2015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108,670,472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11,952,000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1,953,299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124,023,641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(135,328,386)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(3,872,700)</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(317,340)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(3,701,446)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(143,219,872)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accretion of interest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1,860,670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(9,507,050)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realized losses</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41,580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(6,246,883)</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(6,202,288)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fair value</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(10,748,262)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(13,967,887)</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(210,167)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(11,243,554)</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(36,169,870)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284,639,244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55,872,382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9,548,488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57,381,000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407,441,114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to Date 2016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6,218,684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6,218,684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(23,088,178)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(23,588,178)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accretion of interest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(1,938,974)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(146,767)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(7,665,121)</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(7,811,888)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fair value</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(1,731,990)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3,089,996</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1,379,413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(6,533,000)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(3,795,581)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March 31, 2016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266,003,517</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49,358,283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10,927,901</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50,348,000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376,637,701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ind w:left="340"/>
        <w:spacing w:after="0"/>
        <w:rPr>
          <w:sz w:val="20"/>
          <w:szCs w:val="20"/>
          <w:color w:val="auto"/>
        </w:rPr>
      </w:pPr>
      <w:r>
        <w:rPr>
          <w:rFonts w:ascii="Arial" w:cs="Arial" w:eastAsia="Arial" w:hAnsi="Arial"/>
          <w:sz w:val="18"/>
          <w:szCs w:val="18"/>
          <w:color w:val="auto"/>
        </w:rPr>
        <w:t>The following table shows the Company’s portfolio by security type at March 31, 2016 and December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2"/>
              </w:rPr>
              <w:t>March 31, 2016 (unaudited)</w:t>
            </w: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 2015</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6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5"/>
              </w:rPr>
              <w:t>Fair Value</w:t>
            </w: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%¹</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%¹</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Accounts³</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1,665,993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1,665,993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205,077,628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193,931,052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203,819,074</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194,123,223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39,250,916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36,586,051</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40,221,557</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37,591,900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Unsecured Loan</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16,000,000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16,000,000</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23,000,000</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23,000,000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1,825,800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3,000,000</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2,216,700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4,513,571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4,662,751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4,466,793</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4,615,569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12,053,460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11,557,863</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11,879,187</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10,551,724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Secured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1,509,541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1,440,000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1,510,560</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1,503,755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73,610,853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49,358,283</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83,214,947</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55,872,382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10,467,787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10,927,901</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10,467,787</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9,548,488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Preferred</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10,411,673</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11,036,373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Asset Manager Affiliates²</w:t>
            </w: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56,091,230</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50,348,000</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56,591,230</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57,381,000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423,240,979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378,303,694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450,712,189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409,570,495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right="6360" w:firstLine="8"/>
        <w:spacing w:after="0" w:line="323" w:lineRule="auto"/>
        <w:tabs>
          <w:tab w:leader="none" w:pos="3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the equity investment in the Asset Manager Affiliates. ³ Includes restricted cash held under employee benefit plans.</w:t>
      </w:r>
    </w:p>
    <w:p>
      <w:pPr>
        <w:spacing w:after="0" w:line="139" w:lineRule="exact"/>
        <w:rPr>
          <w:sz w:val="20"/>
          <w:szCs w:val="20"/>
          <w:color w:val="auto"/>
        </w:rPr>
      </w:pPr>
    </w:p>
    <w:p>
      <w:pPr>
        <w:ind w:right="440" w:firstLine="414"/>
        <w:spacing w:after="0" w:line="277" w:lineRule="auto"/>
        <w:rPr>
          <w:sz w:val="20"/>
          <w:szCs w:val="20"/>
          <w:color w:val="auto"/>
        </w:rPr>
      </w:pPr>
      <w:r>
        <w:rPr>
          <w:rFonts w:ascii="Arial" w:cs="Arial" w:eastAsia="Arial" w:hAnsi="Arial"/>
          <w:sz w:val="18"/>
          <w:szCs w:val="18"/>
          <w:color w:val="auto"/>
        </w:rPr>
        <w:t>At March 31, 2016 and December 31, 2015, our investments in income producing loans and debt securities, excluding CLO Fund Securities, had a weighted average interest rate of approximately 7.3% and 7.4%, respectively.</w:t>
      </w:r>
    </w:p>
    <w:p>
      <w:pPr>
        <w:spacing w:after="0" w:line="17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investment portfolio (excluding the Company’s investment in Asset Manager Affiliates and CLO Funds) at March 31, 2016 was spread across 27 different industries and 100 different entities with an average balance per entity of approximately $2.7 million. As of March 31, 2016, all but two of our portfolio companies were current on their debt service obligations.</w:t>
      </w:r>
    </w:p>
    <w:p>
      <w:pPr>
        <w:spacing w:after="0" w:line="18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may invest up to 30% of our investment portfolio in “Non-qualifying” opportunistic investments such as high-yield bonds, debt and equity securities of CLO Funds, foreign investments, and distressed debt or equity securities of public companies. At March 31, 2016 and December 31, 2015, the total amount of non-qualifying assets was approximately 17% and 18%, respectively. The majority of non-qualifying assets were foreign investments which were approximately 13% of the Company’s total assets for both periods (including the Company’s investments in CLO Funds, which are typically domiciled outside the U.S. and represented approximately 13% of its total assets on such dates). The investments in our Debt Securities Portfolio are all or predominantly below investment grade, and therefore have speculative characteristics with respect to the issuer’s capacity to pay interest and repay principal.</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detail the ten largest portfolio companies (at fair value) as of March 31, 2016 and December 31, 2015,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March 31, 2016</w:t>
            </w:r>
          </w:p>
        </w:tc>
        <w:tc>
          <w:tcPr>
            <w:tcW w:w="1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8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w w:val="90"/>
              </w:rPr>
              <w:t>Cost/Amortized Cost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300" w:type="dxa"/>
            <w:vAlign w:val="bottom"/>
          </w:tcPr>
          <w:p>
            <w:pPr>
              <w:ind w:left="240"/>
              <w:spacing w:after="0"/>
              <w:rPr>
                <w:sz w:val="20"/>
                <w:szCs w:val="20"/>
                <w:color w:val="auto"/>
              </w:rPr>
            </w:pPr>
            <w:r>
              <w:rPr>
                <w:rFonts w:ascii="Arial" w:cs="Arial" w:eastAsia="Arial" w:hAnsi="Arial"/>
                <w:sz w:val="18"/>
                <w:szCs w:val="18"/>
                <w:b w:val="1"/>
                <w:bCs w:val="1"/>
                <w:color w:val="auto"/>
              </w:rPr>
              <w:t>% of FMV</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56,091,230</w:t>
            </w:r>
          </w:p>
        </w:tc>
        <w:tc>
          <w:tcPr>
            <w:tcW w:w="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50,348,000</w:t>
            </w:r>
          </w:p>
        </w:tc>
        <w:tc>
          <w:tcPr>
            <w:tcW w:w="18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Katonah 2007-I CLO Ltd.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24,838,257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19,116,934</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Trimaran Advisors, L.L.C.</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16,000,000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16,000,000</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DBI Holding LLC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8,810,149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13,962,518</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Grupo HIMA San Pablo, Inc.</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9,820,107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9,292,462</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Catamaran CLO 2015-1 Ltd.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11,634,222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7,618,563</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WireCo WorldGroup Inc.</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8,015,822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7,348,800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11,410,136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6,837,977</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Nielsen &amp; Bainbridge, LLC</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6,794,861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6,450,224</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Roscoe Medical, Inc.</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6,657,567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6,354,950</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160,072,351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143,330,428</w:t>
            </w:r>
          </w:p>
        </w:tc>
        <w:tc>
          <w:tcPr>
            <w:tcW w:w="18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0" w:type="dxa"/>
            <w:vAlign w:val="bottom"/>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89"/>
              </w:rPr>
              <w:t>60</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15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ind w:left="1180"/>
              <w:spacing w:after="0"/>
              <w:rPr>
                <w:sz w:val="20"/>
                <w:szCs w:val="20"/>
                <w:color w:val="auto"/>
              </w:rPr>
            </w:pPr>
            <w:r>
              <w:rPr>
                <w:rFonts w:ascii="Arial" w:cs="Arial" w:eastAsia="Arial" w:hAnsi="Arial"/>
                <w:sz w:val="18"/>
                <w:szCs w:val="18"/>
                <w:b w:val="1"/>
                <w:bCs w:val="1"/>
                <w:color w:val="auto"/>
              </w:rPr>
              <w:t>December 31, 2015</w:t>
            </w:r>
          </w:p>
        </w:tc>
        <w:tc>
          <w:tcPr>
            <w:tcW w:w="1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w w:val="95"/>
              </w:rPr>
              <w:t>Cost/Amortized Cost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300" w:type="dxa"/>
            <w:vAlign w:val="bottom"/>
          </w:tcPr>
          <w:p>
            <w:pPr>
              <w:ind w:left="240"/>
              <w:spacing w:after="0"/>
              <w:rPr>
                <w:sz w:val="20"/>
                <w:szCs w:val="20"/>
                <w:color w:val="auto"/>
              </w:rPr>
            </w:pPr>
            <w:r>
              <w:rPr>
                <w:rFonts w:ascii="Arial" w:cs="Arial" w:eastAsia="Arial" w:hAnsi="Arial"/>
                <w:sz w:val="18"/>
                <w:szCs w:val="18"/>
                <w:b w:val="1"/>
                <w:bCs w:val="1"/>
                <w:color w:val="auto"/>
              </w:rPr>
              <w:t>% of FMV</w:t>
            </w:r>
          </w:p>
        </w:tc>
        <w:tc>
          <w:tcPr>
            <w:tcW w:w="1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5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56,591,230</w:t>
            </w:r>
          </w:p>
        </w:tc>
        <w:tc>
          <w:tcPr>
            <w:tcW w:w="1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180" w:type="dxa"/>
            <w:vAlign w:val="bottom"/>
            <w:vMerge w:val="continue"/>
            <w:shd w:val="clear" w:color="auto" w:fill="CCEEFF"/>
          </w:tcPr>
          <w:p>
            <w:pPr>
              <w:spacing w:after="0"/>
              <w:rPr>
                <w:sz w:val="18"/>
                <w:szCs w:val="18"/>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Trimaran Advisors, L.L.C.</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23,000,000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1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24,312,424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20,295,677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DBI Holding, LLC</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8,585,578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12,975,447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Crowley Holdings Preferred, LLC</w:t>
            </w:r>
          </w:p>
        </w:tc>
        <w:tc>
          <w:tcPr>
            <w:tcW w:w="1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10,411,673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11,036,373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9,817,315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9,917,500</w:t>
            </w:r>
          </w:p>
        </w:tc>
        <w:tc>
          <w:tcPr>
            <w:tcW w:w="1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2015-1 Ltd.</w:t>
            </w:r>
          </w:p>
        </w:tc>
        <w:tc>
          <w:tcPr>
            <w:tcW w:w="1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11,869,751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8,789,651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10,624,515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8,177,538</w:t>
            </w:r>
          </w:p>
        </w:tc>
        <w:tc>
          <w:tcPr>
            <w:tcW w:w="1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Weiman Products, LLC</w:t>
            </w:r>
          </w:p>
        </w:tc>
        <w:tc>
          <w:tcPr>
            <w:tcW w:w="1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6,582,457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6,619,805</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Nielsen &amp; Bainbrige, LLC</w:t>
            </w: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6,803,605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6,510,157</w:t>
            </w: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168,598,548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164,703,148</w:t>
            </w:r>
          </w:p>
        </w:tc>
        <w:tc>
          <w:tcPr>
            <w:tcW w:w="180" w:type="dxa"/>
            <w:vAlign w:val="bottom"/>
          </w:tcPr>
          <w:p>
            <w:pPr>
              <w:spacing w:after="0"/>
              <w:rPr>
                <w:sz w:val="21"/>
                <w:szCs w:val="21"/>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14"/>
        <w:spacing w:after="0" w:line="277" w:lineRule="auto"/>
        <w:rPr>
          <w:sz w:val="20"/>
          <w:szCs w:val="20"/>
          <w:color w:val="auto"/>
        </w:rPr>
      </w:pPr>
      <w:r>
        <w:rPr>
          <w:rFonts w:ascii="Arial" w:cs="Arial" w:eastAsia="Arial" w:hAnsi="Arial"/>
          <w:sz w:val="18"/>
          <w:szCs w:val="18"/>
          <w:color w:val="auto"/>
        </w:rPr>
        <w:t>Excluding the Asset Manager Affiliates and CLO Fund securities, the Company’s ten largest portfolio companies represented approximately 16% of the total fair value of the Company’s investments at March 31, 2016 and December 31, 2015.</w:t>
      </w:r>
    </w:p>
    <w:p>
      <w:pPr>
        <w:spacing w:after="0" w:line="170" w:lineRule="exact"/>
        <w:rPr>
          <w:sz w:val="20"/>
          <w:szCs w:val="20"/>
          <w:color w:val="auto"/>
        </w:rPr>
      </w:pPr>
    </w:p>
    <w:p>
      <w:pPr>
        <w:ind w:right="460" w:firstLine="41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2016 and December 31, 2015,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w w:val="92"/>
              </w:rPr>
              <w:t>March 31, 2016 (unaudited)</w:t>
            </w: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ind w:left="920"/>
              <w:spacing w:after="0"/>
              <w:rPr>
                <w:sz w:val="20"/>
                <w:szCs w:val="20"/>
                <w:color w:val="auto"/>
              </w:rPr>
            </w:pPr>
            <w:r>
              <w:rPr>
                <w:rFonts w:ascii="Arial" w:cs="Arial" w:eastAsia="Arial" w:hAnsi="Arial"/>
                <w:sz w:val="18"/>
                <w:szCs w:val="18"/>
                <w:b w:val="1"/>
                <w:bCs w:val="1"/>
                <w:color w:val="auto"/>
                <w:w w:val="99"/>
              </w:rPr>
              <w:t>December 31, 2015</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Industry Classification</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1</w:t>
            </w:r>
          </w:p>
        </w:tc>
        <w:tc>
          <w:tcPr>
            <w:tcW w:w="3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1"/>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1</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6,905,517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5,969,552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6,383,724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57"/>
        </w:trPr>
        <w:tc>
          <w:tcPr>
            <w:tcW w:w="402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56,091,230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50,348,000</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56,591,230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57,381,000</w:t>
            </w:r>
          </w:p>
        </w:tc>
        <w:tc>
          <w:tcPr>
            <w:tcW w:w="2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2"/>
                <w:szCs w:val="2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Portfolio Company Loan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16,000,000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16,000,000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23,000,000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23,000,000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9,883,628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9,459,234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9,898,494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9,440,866</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5,248,718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5,164,697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6,270,984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6,008,587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17,273,466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16,676,821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17,334,746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16,882,750</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9,515,822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9,201,084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9,519,342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7,846,767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3,484,863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3,350,085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3,494,086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3,359,916</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73,610,853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49,358,283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83,214,947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55,872,382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1,971,999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1,918,106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1,976,345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1,907,614</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13,968,336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12,294,047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13,983,607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12,753,455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19,327,124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18,779,753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20,124,355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19,646,576</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Energy: Electricity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3,458,158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3,447,609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3,465,576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3,465,000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Energy: Oil &amp; Gas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13,903,235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8,770,758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14,281,821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10,204,318</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13,672,943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12,921,380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13,735,492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13,179,657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5,881,077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5,739,224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5,888,294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5,883,080</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58,525,815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55,024,740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58,649,512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55,417,827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High Tech Industries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11,648,125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11,487,908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11,727,898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11,662,995</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Media: Advertising, Printing &amp; Publishing</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11,129,455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10,665,306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11,167,950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10,340,449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&amp; Subscription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6,601,248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6,613,480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7,428,110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7,406,792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Metals &amp; Mining</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228,563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228,563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4,409,540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3,769,979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4,416,709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3,594,599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Services: Business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22,295,921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25,926,536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18,206,668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21,022,801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Services: Consumer</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6,504,267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6,302,351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6,512,029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6,356,054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Telecommunications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13,754,288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12,839,109</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13,776,871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12,425,489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r>
      <w:tr>
        <w:trPr>
          <w:trHeight w:val="257"/>
        </w:trPr>
        <w:tc>
          <w:tcPr>
            <w:tcW w:w="40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Time Deposit and Money Market Accounts</w:t>
            </w:r>
            <w:r>
              <w:rPr>
                <w:rFonts w:ascii="Arial" w:cs="Arial" w:eastAsia="Arial" w:hAnsi="Arial"/>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1,665,993</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1,665,993</w:t>
            </w:r>
          </w:p>
        </w:tc>
        <w:tc>
          <w:tcPr>
            <w:tcW w:w="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2,129,381</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2,129,381</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Transportation: Cargo</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7,812,395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7,725,254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18,232,953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18,865,603</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Consumer</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2,457,756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2,456,406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2,472,795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2,324,381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Utilities: Electric</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5,610,644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4,426,008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5,673,082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4,806,441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r>
      <w:tr>
        <w:trPr>
          <w:trHeight w:val="230"/>
        </w:trPr>
        <w:tc>
          <w:tcPr>
            <w:tcW w:w="40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423,240,979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378,303,694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450,712,189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409,570,495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4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bl>
    <w:p>
      <w:pPr>
        <w:spacing w:after="0" w:line="8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ind w:left="340" w:hanging="332"/>
        <w:spacing w:after="0" w:line="180"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8" w:name="page69"/>
    <w:bookmarkEnd w:id="68"/>
    <w:p>
      <w:pPr>
        <w:ind w:left="220"/>
        <w:spacing w:after="0"/>
        <w:rPr>
          <w:sz w:val="20"/>
          <w:szCs w:val="20"/>
          <w:color w:val="auto"/>
        </w:rPr>
      </w:pPr>
      <w:r>
        <w:rPr>
          <w:rFonts w:ascii="Arial" w:cs="Arial" w:eastAsia="Arial" w:hAnsi="Arial"/>
          <w:sz w:val="18"/>
          <w:szCs w:val="18"/>
          <w:b w:val="1"/>
          <w:bCs w:val="1"/>
          <w:i w:val="1"/>
          <w:iCs w:val="1"/>
          <w:color w:val="auto"/>
        </w:rPr>
        <w:t>CLO Fund Securities</w:t>
      </w:r>
    </w:p>
    <w:p>
      <w:pPr>
        <w:spacing w:after="0" w:line="225"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March 31, 2016, we had approximately $49 million invested in CLO Fund Securities, issued primarily by funds managed by our Asset Manager Affiliates.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CLO Fund Securities as of March 31, 2016 and December 31, 2015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March 31, 2016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rPr>
              <w:t>December 31, 2015</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Amortized Cost</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Grant Grove CLO, Ltd.</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Subordinated Securities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2,469,703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117,484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2,484,943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8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Preferred Shares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1,380,029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425,000</w:t>
            </w: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1,373,132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2</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1,140,057</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80" w:type="dxa"/>
            <w:vAlign w:val="bottom"/>
          </w:tcPr>
          <w:p>
            <w:pPr>
              <w:spacing w:after="0" w:line="256" w:lineRule="exact"/>
              <w:rPr>
                <w:sz w:val="20"/>
                <w:szCs w:val="20"/>
                <w:color w:val="auto"/>
              </w:rPr>
            </w:pPr>
            <w:r>
              <w:rPr>
                <w:rFonts w:ascii="Arial" w:cs="Arial" w:eastAsia="Arial" w:hAnsi="Arial"/>
                <w:sz w:val="18"/>
                <w:szCs w:val="18"/>
                <w:color w:val="auto"/>
              </w:rPr>
              <w:t xml:space="preserve">Katonah X CLO Ltd </w:t>
            </w:r>
            <w:r>
              <w:rPr>
                <w:rFonts w:ascii="Arial" w:cs="Arial" w:eastAsia="Arial" w:hAnsi="Arial"/>
                <w:sz w:val="29"/>
                <w:szCs w:val="29"/>
                <w:color w:val="auto"/>
                <w:vertAlign w:val="superscript"/>
              </w:rPr>
              <w:t>2</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Subordinated Securities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7,637,499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7"/>
              </w:rPr>
              <w:t>Katonah 2007-I CLO Ltd.</w:t>
            </w:r>
            <w:r>
              <w:rPr>
                <w:rFonts w:ascii="Arial" w:cs="Arial" w:eastAsia="Arial" w:hAnsi="Arial"/>
                <w:sz w:val="29"/>
                <w:szCs w:val="29"/>
                <w:color w:val="auto"/>
                <w:w w:val="97"/>
                <w:vertAlign w:val="superscript"/>
              </w:rPr>
              <w:t>2</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24,838,257</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19,116,931</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24,312,424</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20,295,677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80" w:type="dxa"/>
            <w:vAlign w:val="bottom"/>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2</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Income Notes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1,416,218</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1,378,569</w:t>
            </w: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1,375,013</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1,647,272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Catamaran CLO 2012-1</w:t>
            </w: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8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Ltd.</w:t>
            </w:r>
            <w:r>
              <w:rPr>
                <w:rFonts w:ascii="Arial" w:cs="Arial" w:eastAsia="Arial" w:hAnsi="Arial"/>
                <w:sz w:val="30"/>
                <w:szCs w:val="30"/>
                <w:color w:val="auto"/>
                <w:vertAlign w:val="superscript"/>
              </w:rPr>
              <w:t>2</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6,585,195</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2,831,834</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6,791,980</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3,312,940</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80" w:type="dxa"/>
            <w:vAlign w:val="bottom"/>
          </w:tcPr>
          <w:p>
            <w:pPr>
              <w:spacing w:after="0" w:line="206" w:lineRule="exact"/>
              <w:rPr>
                <w:sz w:val="20"/>
                <w:szCs w:val="20"/>
                <w:color w:val="auto"/>
              </w:rPr>
            </w:pPr>
            <w:r>
              <w:rPr>
                <w:rFonts w:ascii="Arial" w:cs="Arial" w:eastAsia="Arial" w:hAnsi="Arial"/>
                <w:sz w:val="18"/>
                <w:szCs w:val="18"/>
                <w:color w:val="auto"/>
              </w:rPr>
              <w:t>Catamaran CLO 2013- 1</w:t>
            </w: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80" w:type="dxa"/>
            <w:vAlign w:val="bottom"/>
          </w:tcPr>
          <w:p>
            <w:pPr>
              <w:spacing w:after="0" w:line="266" w:lineRule="exact"/>
              <w:rPr>
                <w:sz w:val="20"/>
                <w:szCs w:val="20"/>
                <w:color w:val="auto"/>
              </w:rPr>
            </w:pPr>
            <w:r>
              <w:rPr>
                <w:rFonts w:ascii="Arial" w:cs="Arial" w:eastAsia="Arial" w:hAnsi="Arial"/>
                <w:sz w:val="18"/>
                <w:szCs w:val="18"/>
                <w:color w:val="auto"/>
              </w:rPr>
              <w:t>Ltd.</w:t>
            </w:r>
            <w:r>
              <w:rPr>
                <w:rFonts w:ascii="Arial" w:cs="Arial" w:eastAsia="Arial" w:hAnsi="Arial"/>
                <w:sz w:val="30"/>
                <w:szCs w:val="30"/>
                <w:color w:val="auto"/>
                <w:vertAlign w:val="superscript"/>
              </w:rPr>
              <w:t>2</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5,983,703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4,896,540</w:t>
            </w:r>
          </w:p>
        </w:tc>
        <w:tc>
          <w:tcPr>
            <w:tcW w:w="2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6,256,090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5,639,106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Catamaran CLO 2014-1</w:t>
            </w: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8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Ltd.</w:t>
            </w:r>
            <w:r>
              <w:rPr>
                <w:rFonts w:ascii="Arial" w:cs="Arial" w:eastAsia="Arial" w:hAnsi="Arial"/>
                <w:sz w:val="30"/>
                <w:szCs w:val="30"/>
                <w:color w:val="auto"/>
                <w:vertAlign w:val="superscript"/>
              </w:rPr>
              <w:t>2</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8,617,076</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5,006,408</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8,928,790</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5,846,325</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80" w:type="dxa"/>
            <w:vAlign w:val="bottom"/>
          </w:tcPr>
          <w:p>
            <w:pPr>
              <w:spacing w:after="0" w:line="206" w:lineRule="exact"/>
              <w:rPr>
                <w:sz w:val="20"/>
                <w:szCs w:val="20"/>
                <w:color w:val="auto"/>
              </w:rPr>
            </w:pPr>
            <w:r>
              <w:rPr>
                <w:rFonts w:ascii="Arial" w:cs="Arial" w:eastAsia="Arial" w:hAnsi="Arial"/>
                <w:sz w:val="18"/>
                <w:szCs w:val="18"/>
                <w:color w:val="auto"/>
              </w:rPr>
              <w:t>Catamaran CLO 2014-1</w:t>
            </w: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80" w:type="dxa"/>
            <w:vAlign w:val="bottom"/>
          </w:tcPr>
          <w:p>
            <w:pPr>
              <w:spacing w:after="0" w:line="266" w:lineRule="exact"/>
              <w:rPr>
                <w:sz w:val="20"/>
                <w:szCs w:val="20"/>
                <w:color w:val="auto"/>
              </w:rPr>
            </w:pPr>
            <w:r>
              <w:rPr>
                <w:rFonts w:ascii="Arial" w:cs="Arial" w:eastAsia="Arial" w:hAnsi="Arial"/>
                <w:sz w:val="18"/>
                <w:szCs w:val="18"/>
                <w:color w:val="auto"/>
              </w:rPr>
              <w:t>Ltd.</w:t>
            </w:r>
            <w:r>
              <w:rPr>
                <w:rFonts w:ascii="Arial" w:cs="Arial" w:eastAsia="Arial" w:hAnsi="Arial"/>
                <w:sz w:val="30"/>
                <w:szCs w:val="30"/>
                <w:color w:val="auto"/>
                <w:vertAlign w:val="superscript"/>
              </w:rPr>
              <w:t>2</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Class E Notes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1,432,257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1,020,000</w:t>
            </w:r>
          </w:p>
        </w:tc>
        <w:tc>
          <w:tcPr>
            <w:tcW w:w="2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1,428,797</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1,170,000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Dryden 30 Senior Loan</w:t>
            </w: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Fund</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1,525,866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1,517,002</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1,592,303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1,634,647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80" w:type="dxa"/>
            <w:vAlign w:val="bottom"/>
          </w:tcPr>
          <w:p>
            <w:pPr>
              <w:spacing w:after="0" w:line="206" w:lineRule="exact"/>
              <w:rPr>
                <w:sz w:val="20"/>
                <w:szCs w:val="20"/>
                <w:color w:val="auto"/>
              </w:rPr>
            </w:pPr>
            <w:r>
              <w:rPr>
                <w:rFonts w:ascii="Arial" w:cs="Arial" w:eastAsia="Arial" w:hAnsi="Arial"/>
                <w:sz w:val="18"/>
                <w:szCs w:val="18"/>
                <w:color w:val="auto"/>
              </w:rPr>
              <w:t>Catamaran CLO 2014-2</w:t>
            </w: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80" w:type="dxa"/>
            <w:vAlign w:val="bottom"/>
          </w:tcPr>
          <w:p>
            <w:pPr>
              <w:spacing w:after="0" w:line="266" w:lineRule="exact"/>
              <w:rPr>
                <w:sz w:val="20"/>
                <w:szCs w:val="20"/>
                <w:color w:val="auto"/>
              </w:rPr>
            </w:pPr>
            <w:r>
              <w:rPr>
                <w:rFonts w:ascii="Arial" w:cs="Arial" w:eastAsia="Arial" w:hAnsi="Arial"/>
                <w:sz w:val="18"/>
                <w:szCs w:val="18"/>
                <w:color w:val="auto"/>
              </w:rPr>
              <w:t>Ltd.</w:t>
            </w:r>
            <w:r>
              <w:rPr>
                <w:rFonts w:ascii="Arial" w:cs="Arial" w:eastAsia="Arial" w:hAnsi="Arial"/>
                <w:sz w:val="30"/>
                <w:szCs w:val="30"/>
                <w:color w:val="auto"/>
                <w:vertAlign w:val="superscript"/>
              </w:rPr>
              <w:t>2</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7,728,327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5,429,952</w:t>
            </w:r>
          </w:p>
        </w:tc>
        <w:tc>
          <w:tcPr>
            <w:tcW w:w="2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8,024,168</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5,751,600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Catamaran CLO 2015-1</w:t>
            </w: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80" w:type="dxa"/>
            <w:vAlign w:val="bottom"/>
            <w:shd w:val="clear" w:color="auto" w:fill="CCEEFF"/>
          </w:tcPr>
          <w:p>
            <w:pPr>
              <w:spacing w:after="0" w:line="281" w:lineRule="exact"/>
              <w:rPr>
                <w:sz w:val="20"/>
                <w:szCs w:val="20"/>
                <w:color w:val="auto"/>
              </w:rPr>
            </w:pPr>
            <w:r>
              <w:rPr>
                <w:rFonts w:ascii="Arial" w:cs="Arial" w:eastAsia="Arial" w:hAnsi="Arial"/>
                <w:sz w:val="18"/>
                <w:szCs w:val="18"/>
                <w:color w:val="auto"/>
              </w:rPr>
              <w:t>Ltd.</w:t>
            </w:r>
            <w:r>
              <w:rPr>
                <w:rFonts w:ascii="Arial" w:cs="Arial" w:eastAsia="Arial" w:hAnsi="Arial"/>
                <w:sz w:val="30"/>
                <w:szCs w:val="30"/>
                <w:color w:val="auto"/>
                <w:vertAlign w:val="superscript"/>
              </w:rPr>
              <w:t>2</w:t>
            </w: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11,634,222</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7,618,563</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11,869,751</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8,789,651</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73,610,853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49,358,283</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83,214,947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55,872,382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¹ Represents percentage of class held.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² A CLO Fund managed by an Asset Manager Affiliate.</w:t>
      </w:r>
    </w:p>
    <w:p>
      <w:pPr>
        <w:spacing w:after="0" w:line="9" w:lineRule="exact"/>
        <w:rPr>
          <w:sz w:val="20"/>
          <w:szCs w:val="20"/>
          <w:color w:val="auto"/>
        </w:rPr>
      </w:pPr>
    </w:p>
    <w:p>
      <w:pPr>
        <w:ind w:left="5640" w:right="4980" w:hanging="5632"/>
        <w:spacing w:after="0" w:line="563" w:lineRule="auto"/>
        <w:tabs>
          <w:tab w:leader="none" w:pos="116"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of March 31, 2016, this CLO Fund security was not providing a taxable distribution.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March 31, 2016, our Asset Manager Affiliates had approximately $2.7 billion of par value of assets under management on which they earn management fees, and were valued at approximately $50 million.</w:t>
      </w:r>
    </w:p>
    <w:p>
      <w:pPr>
        <w:spacing w:after="0" w:line="187"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In addition, in the first quarter of 2016 our Asset Manager Affiliates received incentive fees from one fund.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months ended March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managed by our Asset Manager Affiliates and select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0" w:name="page71"/>
    <w:bookmarkEnd w:id="70"/>
    <w:p>
      <w:pPr>
        <w:ind w:right="20" w:firstLine="324"/>
        <w:spacing w:after="0" w:line="272" w:lineRule="auto"/>
        <w:rPr>
          <w:sz w:val="20"/>
          <w:szCs w:val="20"/>
          <w:color w:val="auto"/>
        </w:rPr>
      </w:pPr>
      <w:r>
        <w:rPr>
          <w:rFonts w:ascii="Arial" w:cs="Arial" w:eastAsia="Arial" w:hAnsi="Arial"/>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2014-1, interest is earned at a fixed spread relative to the LIBOR index.</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Distributions from Asset Manager Affiliates. </w:t>
      </w:r>
      <w:r>
        <w:rPr>
          <w:rFonts w:ascii="Arial" w:cs="Arial" w:eastAsia="Arial" w:hAnsi="Arial"/>
          <w:sz w:val="16"/>
          <w:szCs w:val="16"/>
          <w:color w:val="auto"/>
        </w:rPr>
        <w:t>We receive cash distributions from our investment in our Asset Manager Affiliates, which are wholly-owned</w:t>
      </w:r>
      <w:r>
        <w:rPr>
          <w:rFonts w:ascii="Arial" w:cs="Arial" w:eastAsia="Arial" w:hAnsi="Arial"/>
          <w:sz w:val="16"/>
          <w:szCs w:val="16"/>
          <w:i w:val="1"/>
          <w:iCs w:val="1"/>
          <w:color w:val="auto"/>
        </w:rPr>
        <w:t xml:space="preserve"> </w:t>
      </w:r>
      <w:r>
        <w:rPr>
          <w:rFonts w:ascii="Arial" w:cs="Arial" w:eastAsia="Arial" w:hAnsi="Arial"/>
          <w:sz w:val="16"/>
          <w:szCs w:val="16"/>
          <w:color w:val="auto"/>
        </w:rPr>
        <w:t>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three months ended March 31, 2016, the Asset Manager Affiliates received incentive fees from one fund.</w:t>
      </w:r>
    </w:p>
    <w:p>
      <w:pPr>
        <w:spacing w:after="0" w:line="16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Asset Manager Affiliates are expected to pay future distributions to the Company based upon their after-tax free cash flow, which generally will be dependent upon the maintenance and growth in their assets under management and incentive fees. As a result of tax-basis goodwill amortization and certain other tax-related adjustments, portions of distributions received may be deemed return of capital. As amortizing funds which are paying incentive fees are redeemed, we expect incentive fees available for distribution to diminish. The fair value of our investment in our Asset Manager Affiliates was approximately $50 million at March 31, 2016, with an unrealized loss for the period ending March 31, 2016 of approximately $6.5 million. For the three months ended March 31, 2016 and 2015, we recognized dividend income of $550,000 and $1.4 million, from the Asset Manager Affiliates, respectively, while cash distributions received were approximately $1.1 million and $2.7 million for those periods, respectively. The decline in distributions from the Asset Manager Affiliates is due to the reduction in assets under management and the maturity of certain CLO Funds which were paying incentive fees. The difference between cash distributions received and the tax-basis earnings and profits is recorded as an adjustment to the cost basis of the Asset Manager Affiliates investments.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 assets under management by our Asset Manager Affiliates was $2.7 billion as of March 31, 2016 and December 31, 2015, for both periods.</w:t>
      </w:r>
    </w:p>
    <w:p>
      <w:pPr>
        <w:spacing w:after="0" w:line="17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Investment income for the three months ended March 31, 2016 and 2015 was approximately $10 million and $12 million, respectively. Of these amounts, approximately $5.7 million and $6.2 million was attributable to interest income on our Debt Securities Portfolio.</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yield on debt securities portfolio was 7.3% and 7.4%, as of March 31, 2016 and December 31, 2015, respectively.</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For the three months ended March 31, 2016 and 2015, approximately $3.2 million and $4.6 million, respectively, of investment income was attributable to investments in CLO Fund Securities. On a tax-basis, the Company recognized $4.0 million of taxable distributable income on distributions from our CLO Fund Securities during the three months ended March 31, 2016.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expected term of the borrowing.</w:t>
      </w:r>
    </w:p>
    <w:p>
      <w:pPr>
        <w:spacing w:after="0" w:line="181"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expenses for the three months ended March 31, 2016 and 2015 were approximately $4.7 million and $5.8 million, respectively. Interest expense and amortization on debt issuance costs for the period was approximately $2.6 million and $3.0 million, respectively, on average debt outstanding of $204 million and $227 million, respectively.</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the three months ended March 31, 2016 and 2015, approximately $967,000 and $1.1 million of expenses were attributable to employee compensation, including salaries, bonuses, employee benefits, payroll taxes and stock-based compensation expense, respectively. For the three months ended March 31, 2016 and 2015, respectively, professional fees and insurance expenses totaled approximately $758,000 and $1.3 million. Administrative costs, which include occupancy expense, technology and other office expenses, totaled approximately $447,000 and $511,000 for the three months ended March 31, 2016 and 2015, respectively.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Net investment income and net realized gains (losses) represents the net change in stockholder’s equity before net unrealized appreciation or depreciation on investments. For the three months ended March 31, 2016, net investment income and net realized losses were approximately $(3.0) million, or $(0.08) per share. For the three months ended March 31, 2015, net investment income and net realized gains were approximately $6.6 million, or $0.18 per share. Net investment income represents the income earned on our investments less operating and interest expense before net realized gains or losses and unrealized appreciation or depreciation on investments. 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 For the three months ended March 31, 2016, GAAP-basis net investment income was approximately $4.8 million or $0.13 per share, while tax-basis distributable income was approximately $5.9 million or $0.16 per share. For the three months ended March 31, 2015, GAAP-basis net investment income was approximately $6.5 million or $0.18 per share, while tax-basis distributable income was approximately $7 million or $0.19 per share.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During the three months ended March 31, 2016, our total investments had net unrealized depreciation of approximately $3.8 million. Included in the net unrealized loss in 2016 are unrealized appreciation on CLO Fund Securities of approximately $3.1 million and equity securities of approximately $1.4 million, also unrealized depreciation of the Asset Manager Affiliates of $6.5 million, as well as unrealized depreciation on our debt securities of $1.7 million. During the three months ended March 31, 2015, our total investments had net unrealized appreciation of approximately $1.1 million. Included in the net unrealized gain in 2015 are unrealized depreciation on CLO Fund Securities of approximately $585,000 and equity securities of approximately $56,000, as well as unrealized appreciation of the Asset Manager Affiliates of $484,000, and debt securities of $1.3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29"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net decrease in stockholders’ equity resulting from operations for the three months ended March 31, 2016 was $6.8 million, or $0.18 per share. Net increase in stockholders’ equity resulting from operations for the three months ended March 31, 2015 was $7.7 million, or $0.21 per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60" w:firstLine="41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2016 and December 31, 2015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5"/>
          </w:tcPr>
          <w:p>
            <w:pPr>
              <w:ind w:left="460"/>
              <w:spacing w:after="0"/>
              <w:rPr>
                <w:sz w:val="20"/>
                <w:szCs w:val="20"/>
                <w:color w:val="auto"/>
              </w:rPr>
            </w:pPr>
            <w:r>
              <w:rPr>
                <w:rFonts w:ascii="Arial" w:cs="Arial" w:eastAsia="Arial" w:hAnsi="Arial"/>
                <w:sz w:val="18"/>
                <w:szCs w:val="18"/>
                <w:b w:val="1"/>
                <w:bCs w:val="1"/>
                <w:color w:val="auto"/>
              </w:rPr>
              <w:t>Investments at Fair Value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31, 2016</w:t>
            </w: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2015</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626,236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Money Market Accounts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1,665,993</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2,129,381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Loan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193,931,052</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194,123,223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Junior Secured Loan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36,586,051</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37,591,900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Loan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16,000,000</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First Lien Bond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1,825,800</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2,216,700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Bond</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4,662,751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4,615,569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Senior Secured Bond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1,440,000</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1,503,755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11,557,863</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10,551,724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CLO Fund Securities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49,358,283</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55,872,382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10,927,901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9,548,488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Preferred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11,036,373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50,348,000</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57,381,000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378,929,930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409,570,495</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73" w:name="page74"/>
    <w:bookmarkEnd w:id="73"/>
    <w:p>
      <w:pPr>
        <w:ind w:right="20" w:firstLine="41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March 31, 2016, we had approximately $189 million of par value of outstanding borrowings and our asset coverage ratio of total assets to total borrowings was 205%, compliant with the minimum asset coverage level of 200% generally required for a BDC by the 1940 Act. We may also borrow amounts of up to 5% of the value of our total assets for temporary purposes.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March 15, 2016, the Convertible Notes matured and were repaid in full.</w:t>
      </w:r>
    </w:p>
    <w:p>
      <w:pPr>
        <w:spacing w:after="0" w:line="225" w:lineRule="exact"/>
        <w:rPr>
          <w:sz w:val="20"/>
          <w:szCs w:val="20"/>
          <w:color w:val="auto"/>
        </w:rPr>
      </w:pPr>
    </w:p>
    <w:p>
      <w:pPr>
        <w:ind w:right="20" w:firstLine="414"/>
        <w:spacing w:after="0" w:line="271" w:lineRule="auto"/>
        <w:rPr>
          <w:sz w:val="20"/>
          <w:szCs w:val="20"/>
          <w:color w:val="auto"/>
        </w:rPr>
      </w:pPr>
      <w:r>
        <w:rPr>
          <w:rFonts w:ascii="Arial" w:cs="Arial" w:eastAsia="Arial" w:hAnsi="Arial"/>
          <w:sz w:val="17"/>
          <w:szCs w:val="17"/>
          <w:color w:val="auto"/>
        </w:rPr>
        <w:t>On October 10, 2012, the Company issued $41.4 million in aggregate principal amount of unsecured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coverage test applicable to the Company as a BDC and a covenant that the Company agreed to in connection with the issuance of the 7.375% Notes Due 2019, the Company is limited in its ability to make distributions if its asset coverage, as defined in the 1940 Act, is below 200% at the time of the declaration of the distribution. At March 31, 2016, the Company was in compliance with all of its debt covenants. The indenture governing the 7.375% Notes Due 2019 contains certain restrictive covenants, including compliance with certain provisions of the 1940 Act relating to borrowing and dividends.</w:t>
      </w:r>
    </w:p>
    <w:p>
      <w:pPr>
        <w:spacing w:after="0" w:line="179"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On June 18, 2013, KCAP Senior Funding I, LLC, a specialty finance subsidiary of the Company, was capitalized through the issuance of $140 million of notes (the “KCAP Senior Funding I Notes”). The KCAP Senior Funding I Notes are backed by a diversified portfolio of bank loans. The Company invested in the most junior class of the notes, issued in the approximate amount of $35 million, representing the Company’s primary exposure to the performance of the assets acquired from the proceeds of the issuance of the KCAP Senior Funding I Notes. On December 8, 2014, the Company completed the sale of additional KCAP Senior Funding I Notes for $56 million. The issuance of additional notes was pro-rata across all existing classes of notes originally issued. KCAP purchased an additional $13.9 million in the most junior class of notes. As of March 31, 2016 and December 31, 2015, these junior notes eliminate in consolidation and the remaining notes with a par value of $147.4 million are reflected on our consolidated balance sheet, net of $5.7 million and $6.0 million of unamortized discount and debt offering costs, respectively. The indenture governing the KCAP Senior Funding I Notes contains an event of default that is triggered in the event that certain coverage tests are not met.</w:t>
      </w:r>
    </w:p>
    <w:p>
      <w:pPr>
        <w:spacing w:after="0" w:line="182" w:lineRule="exact"/>
        <w:rPr>
          <w:sz w:val="20"/>
          <w:szCs w:val="20"/>
          <w:color w:val="auto"/>
        </w:rPr>
      </w:pPr>
    </w:p>
    <w:p>
      <w:pPr>
        <w:ind w:right="560" w:firstLine="414"/>
        <w:spacing w:after="0" w:line="308" w:lineRule="auto"/>
        <w:rPr>
          <w:sz w:val="20"/>
          <w:szCs w:val="20"/>
          <w:color w:val="auto"/>
        </w:rPr>
      </w:pPr>
      <w:r>
        <w:rPr>
          <w:rFonts w:ascii="Arial" w:cs="Arial" w:eastAsia="Arial" w:hAnsi="Arial"/>
          <w:sz w:val="17"/>
          <w:szCs w:val="17"/>
          <w:color w:val="auto"/>
        </w:rPr>
        <w:t>On October 6, 2014, the Company priced a follow-on public offering of 3.0 million shares of its common stock at a price of $8.02 per share. The offering raised net proceeds were approximately $23.8 million, after deducting underwriting discounts and offering expenses.</w:t>
      </w:r>
    </w:p>
    <w:p>
      <w:pPr>
        <w:spacing w:after="0" w:line="147" w:lineRule="exact"/>
        <w:rPr>
          <w:sz w:val="20"/>
          <w:szCs w:val="20"/>
          <w:color w:val="auto"/>
        </w:rPr>
      </w:pPr>
    </w:p>
    <w:p>
      <w:pPr>
        <w:ind w:right="60" w:firstLine="414"/>
        <w:spacing w:after="0" w:line="271" w:lineRule="auto"/>
        <w:rPr>
          <w:sz w:val="20"/>
          <w:szCs w:val="20"/>
          <w:color w:val="auto"/>
        </w:rPr>
      </w:pPr>
      <w:r>
        <w:rPr>
          <w:rFonts w:ascii="Arial" w:cs="Arial" w:eastAsia="Arial" w:hAnsi="Arial"/>
          <w:sz w:val="17"/>
          <w:szCs w:val="17"/>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over the last year or so and we are limited in our ability to sell our common stock at a price below net asset value per share without stockholder approval (which we currently do not have), we have been and may continue to be limited in our ability to raise equity capital. See “Business — Regulation — Common Stock”. From time to time, we may seek to retire, repurchase, or exchange debt securities in open market purchases or by other means dependent on market conditions, liquidity, contractual obligations, and other matters. In addition, we evaluate strategic opportunities available to us and/or the Asset Manager Affiliates, including mergers, divestures, spin-offs, joint ventures and other similar transactions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70"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70" w:lineRule="exact"/>
        <w:rPr>
          <w:sz w:val="20"/>
          <w:szCs w:val="20"/>
          <w:color w:val="auto"/>
        </w:rPr>
      </w:pPr>
    </w:p>
    <w:p>
      <w:pPr>
        <w:ind w:right="60" w:firstLine="41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distributable taxable income and after-tax free cash flow from our Asset Manager Affiliates.</w:t>
      </w:r>
    </w:p>
    <w:p>
      <w:pPr>
        <w:spacing w:after="0" w:line="170" w:lineRule="exact"/>
        <w:rPr>
          <w:sz w:val="20"/>
          <w:szCs w:val="20"/>
          <w:color w:val="auto"/>
        </w:rPr>
      </w:pPr>
    </w:p>
    <w:p>
      <w:pPr>
        <w:ind w:right="60" w:firstLine="414"/>
        <w:spacing w:after="0" w:line="342" w:lineRule="auto"/>
        <w:rPr>
          <w:sz w:val="20"/>
          <w:szCs w:val="20"/>
          <w:color w:val="auto"/>
        </w:rPr>
      </w:pPr>
      <w:r>
        <w:rPr>
          <w:rFonts w:ascii="Arial" w:cs="Arial" w:eastAsia="Arial" w:hAnsi="Arial"/>
          <w:sz w:val="16"/>
          <w:szCs w:val="16"/>
          <w:color w:val="auto"/>
        </w:rPr>
        <w:t>We will be prohibited by the 1940 Act and the indenture governing our 7.375% Notes from making distributions if our asset coverage, as defined in the 1940 Act, falls below 200%. In any such event, we would be prohibited from making distributions required in order to maintain our status as a RIC.</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quarterly distributions declared by us since 2014.</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300"/>
              <w:spacing w:after="0"/>
              <w:rPr>
                <w:sz w:val="20"/>
                <w:szCs w:val="20"/>
                <w:color w:val="auto"/>
              </w:rPr>
            </w:pPr>
            <w:r>
              <w:rPr>
                <w:rFonts w:ascii="Arial" w:cs="Arial" w:eastAsia="Arial" w:hAnsi="Arial"/>
                <w:sz w:val="18"/>
                <w:szCs w:val="18"/>
                <w:b w:val="1"/>
                <w:bCs w:val="1"/>
                <w:color w:val="auto"/>
              </w:rPr>
              <w:t>Declaration</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Distribution</w:t>
            </w:r>
          </w:p>
        </w:tc>
        <w:tc>
          <w:tcPr>
            <w:tcW w:w="200" w:type="dxa"/>
            <w:vAlign w:val="bottom"/>
          </w:tcPr>
          <w:p>
            <w:pPr>
              <w:spacing w:after="0"/>
              <w:rPr>
                <w:sz w:val="20"/>
                <w:szCs w:val="20"/>
                <w:color w:val="auto"/>
              </w:rPr>
            </w:pPr>
          </w:p>
        </w:tc>
        <w:tc>
          <w:tcPr>
            <w:tcW w:w="1620" w:type="dxa"/>
            <w:vAlign w:val="bottom"/>
            <w:gridSpan w:val="2"/>
          </w:tcPr>
          <w:p>
            <w:pPr>
              <w:ind w:left="580"/>
              <w:spacing w:after="0"/>
              <w:rPr>
                <w:sz w:val="20"/>
                <w:szCs w:val="20"/>
                <w:color w:val="auto"/>
              </w:rPr>
            </w:pPr>
            <w:r>
              <w:rPr>
                <w:rFonts w:ascii="Arial" w:cs="Arial" w:eastAsia="Arial" w:hAnsi="Arial"/>
                <w:sz w:val="18"/>
                <w:szCs w:val="18"/>
                <w:b w:val="1"/>
                <w:bCs w:val="1"/>
                <w:color w:val="auto"/>
              </w:rPr>
              <w:t>Date</w:t>
            </w: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Date</w:t>
            </w:r>
          </w:p>
        </w:tc>
        <w:tc>
          <w:tcPr>
            <w:tcW w:w="1540" w:type="dxa"/>
            <w:vAlign w:val="bottom"/>
          </w:tcPr>
          <w:p>
            <w:pPr>
              <w:ind w:left="42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First quarter</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740" w:type="dxa"/>
            <w:vAlign w:val="bottom"/>
            <w:tcBorders>
              <w:bottom w:val="single" w:sz="8" w:color="CCEEFF"/>
            </w:tcBorders>
            <w:gridSpan w:val="2"/>
          </w:tcPr>
          <w:p>
            <w:pPr>
              <w:jc w:val="center"/>
              <w:ind w:left="110"/>
              <w:spacing w:after="0"/>
              <w:rPr>
                <w:sz w:val="20"/>
                <w:szCs w:val="20"/>
                <w:color w:val="auto"/>
              </w:rPr>
            </w:pPr>
            <w:r>
              <w:rPr>
                <w:rFonts w:ascii="Arial" w:cs="Arial" w:eastAsia="Arial" w:hAnsi="Arial"/>
                <w:sz w:val="18"/>
                <w:szCs w:val="18"/>
                <w:color w:val="auto"/>
                <w:w w:val="92"/>
              </w:rPr>
              <w:t>3/18/2016</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4/7/2016</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4/28/2016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2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2016</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7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12/16/2015</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9"/>
              </w:rPr>
              <w:t>1/6/2016</w:t>
            </w:r>
            <w:r>
              <w:rPr>
                <w:rFonts w:ascii="Arial" w:cs="Arial" w:eastAsia="Arial" w:hAnsi="Arial"/>
                <w:sz w:val="29"/>
                <w:szCs w:val="29"/>
                <w:color w:val="auto"/>
                <w:w w:val="89"/>
                <w:vertAlign w:val="superscript"/>
              </w:rPr>
              <w:t>1</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0.21</w:t>
            </w:r>
          </w:p>
        </w:tc>
        <w:tc>
          <w:tcPr>
            <w:tcW w:w="17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9/22/2015</w:t>
            </w: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10/14/2015</w:t>
            </w: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10/27/2015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7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6/23/2015</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7/6/2015</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7/27/2015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First quarter</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740" w:type="dxa"/>
            <w:vAlign w:val="bottom"/>
            <w:tcBorders>
              <w:bottom w:val="single" w:sz="8" w:color="CCEEFF"/>
            </w:tcBorders>
            <w:gridSpan w:val="2"/>
          </w:tcPr>
          <w:p>
            <w:pPr>
              <w:jc w:val="center"/>
              <w:ind w:left="110"/>
              <w:spacing w:after="0"/>
              <w:rPr>
                <w:sz w:val="20"/>
                <w:szCs w:val="20"/>
                <w:color w:val="auto"/>
              </w:rPr>
            </w:pPr>
            <w:r>
              <w:rPr>
                <w:rFonts w:ascii="Arial" w:cs="Arial" w:eastAsia="Arial" w:hAnsi="Arial"/>
                <w:sz w:val="18"/>
                <w:szCs w:val="18"/>
                <w:color w:val="auto"/>
                <w:w w:val="92"/>
              </w:rPr>
              <w:t>3/24/2015</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4/6/2015</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4/27/2015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2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2015</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20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7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12/17/2014</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12/29/2014</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0.25</w:t>
            </w:r>
          </w:p>
        </w:tc>
        <w:tc>
          <w:tcPr>
            <w:tcW w:w="17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9/19/2014</w:t>
            </w: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10/14/2014</w:t>
            </w: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10/29/2014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7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6/20/2014</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7/3/2014</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7/25/2014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First quarter</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740" w:type="dxa"/>
            <w:vAlign w:val="bottom"/>
            <w:tcBorders>
              <w:bottom w:val="single" w:sz="8" w:color="CCEEFF"/>
            </w:tcBorders>
            <w:gridSpan w:val="2"/>
          </w:tcPr>
          <w:p>
            <w:pPr>
              <w:jc w:val="center"/>
              <w:ind w:left="110"/>
              <w:spacing w:after="0"/>
              <w:rPr>
                <w:sz w:val="20"/>
                <w:szCs w:val="20"/>
                <w:color w:val="auto"/>
              </w:rPr>
            </w:pPr>
            <w:r>
              <w:rPr>
                <w:rFonts w:ascii="Arial" w:cs="Arial" w:eastAsia="Arial" w:hAnsi="Arial"/>
                <w:sz w:val="18"/>
                <w:szCs w:val="18"/>
                <w:color w:val="auto"/>
                <w:w w:val="92"/>
              </w:rPr>
              <w:t>3/21/2014</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4/4/2014</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4/25/2014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Total declared in 2014</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 Since the record date of this distribution is in 2016, it is a 2016 tax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are a party to financial instruments with off-balance sheet risk in the normal course of business in order to meet the needs of the Company’s investment objectives.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March 31, 2016 and December 31, 2015, the Company had approximately $7.4 million and $360,000 of outstanding commitments to make such investments, respectively. At March 31, 2016, $7 million of such amount related to a revolving credit facility provided to Trimaran Advisors. Because Trimaran Advisors is wholly-owned by the Company, the Company fully controls when amounts thereunder are drawn by Trimaran Advisors.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March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Contractual</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right="410"/>
              <w:spacing w:after="0" w:line="191" w:lineRule="exact"/>
              <w:rPr>
                <w:sz w:val="20"/>
                <w:szCs w:val="20"/>
                <w:color w:val="auto"/>
              </w:rPr>
            </w:pPr>
            <w:r>
              <w:rPr>
                <w:rFonts w:ascii="Arial" w:cs="Arial" w:eastAsia="Arial" w:hAnsi="Arial"/>
                <w:sz w:val="18"/>
                <w:szCs w:val="18"/>
                <w:b w:val="1"/>
                <w:bCs w:val="1"/>
                <w:color w:val="auto"/>
                <w:w w:val="85"/>
              </w:rPr>
              <w:t>Less than one</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Obligations</w:t>
            </w:r>
          </w:p>
        </w:tc>
        <w:tc>
          <w:tcPr>
            <w:tcW w:w="26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62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91"/>
              </w:rPr>
              <w:t>year</w:t>
            </w:r>
          </w:p>
        </w:tc>
        <w:tc>
          <w:tcPr>
            <w:tcW w:w="15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97"/>
              </w:rPr>
              <w:t>1 - 3 years</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3 - 5 years</w:t>
            </w: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years</w:t>
            </w: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188,750,000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207"/>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r>
        <w:rPr>
          <w:rFonts w:ascii="Arial" w:cs="Arial" w:eastAsia="Arial" w:hAnsi="Arial"/>
          <w:sz w:val="17"/>
          <w:szCs w:val="17"/>
          <w:i w:val="1"/>
          <w:iCs w:val="1"/>
          <w:color w:val="auto"/>
        </w:rPr>
        <w:t>.</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20" w:firstLine="270"/>
        <w:spacing w:after="0" w:line="286" w:lineRule="auto"/>
        <w:rPr>
          <w:sz w:val="20"/>
          <w:szCs w:val="20"/>
          <w:color w:val="auto"/>
        </w:rPr>
      </w:pPr>
      <w:r>
        <w:rPr>
          <w:rFonts w:ascii="Arial" w:cs="Arial" w:eastAsia="Arial" w:hAnsi="Arial"/>
          <w:sz w:val="17"/>
          <w:szCs w:val="17"/>
          <w:color w:val="auto"/>
        </w:rPr>
        <w:t>Pursuant to the AICPA Guide, we reflect our investments on our balance sheet at their estimated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66"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70" w:lineRule="exact"/>
        <w:rPr>
          <w:sz w:val="20"/>
          <w:szCs w:val="20"/>
          <w:color w:val="auto"/>
        </w:rPr>
      </w:pPr>
    </w:p>
    <w:p>
      <w:pPr>
        <w:ind w:firstLine="270"/>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76" w:name="page77"/>
    <w:bookmarkEnd w:id="76"/>
    <w:p>
      <w:pPr>
        <w:ind w:right="140" w:firstLine="41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740" w:right="140" w:hanging="327"/>
        <w:spacing w:after="0" w:line="312" w:lineRule="auto"/>
        <w:tabs>
          <w:tab w:leader="none" w:pos="7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6" w:lineRule="exact"/>
        <w:rPr>
          <w:rFonts w:ascii="Arial" w:cs="Arial" w:eastAsia="Arial" w:hAnsi="Arial"/>
          <w:sz w:val="16"/>
          <w:szCs w:val="16"/>
          <w:color w:val="auto"/>
        </w:rPr>
      </w:pPr>
    </w:p>
    <w:p>
      <w:pPr>
        <w:ind w:left="740" w:right="60" w:hanging="327"/>
        <w:spacing w:after="0" w:line="276" w:lineRule="auto"/>
        <w:tabs>
          <w:tab w:leader="none" w:pos="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2" w:lineRule="exact"/>
        <w:rPr>
          <w:rFonts w:ascii="Arial" w:cs="Arial" w:eastAsia="Arial" w:hAnsi="Arial"/>
          <w:sz w:val="17"/>
          <w:szCs w:val="17"/>
          <w:color w:val="auto"/>
        </w:rPr>
      </w:pPr>
    </w:p>
    <w:p>
      <w:pPr>
        <w:ind w:left="740" w:hanging="327"/>
        <w:spacing w:after="0" w:line="293" w:lineRule="auto"/>
        <w:tabs>
          <w:tab w:leader="none" w:pos="7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all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78" w:lineRule="exact"/>
        <w:rPr>
          <w:sz w:val="20"/>
          <w:szCs w:val="20"/>
          <w:color w:val="auto"/>
        </w:rPr>
      </w:pPr>
    </w:p>
    <w:p>
      <w:pPr>
        <w:ind w:right="40" w:firstLine="41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40" w:firstLine="41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ind w:right="40" w:firstLine="414"/>
        <w:spacing w:after="0" w:line="297"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58"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80" w:firstLine="414"/>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414"/>
        <w:spacing w:after="0" w:line="264"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81"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Board of Directors may consider other methods of valuation to determine the fair value of investments as appropriate in conformity with GAAP.</w:t>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60" w:firstLine="414"/>
        <w:spacing w:after="0" w:line="273" w:lineRule="auto"/>
        <w:rPr>
          <w:sz w:val="20"/>
          <w:szCs w:val="20"/>
          <w:color w:val="auto"/>
        </w:rPr>
      </w:pPr>
      <w:r>
        <w:rPr>
          <w:rFonts w:ascii="Arial" w:cs="Arial" w:eastAsia="Arial" w:hAnsi="Arial"/>
          <w:sz w:val="17"/>
          <w:szCs w:val="17"/>
          <w:color w:val="auto"/>
        </w:rPr>
        <w:t>Interest income, including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March 31, 2016, there were two issuers representing less than 1% of our total investments at fair value was on non-accrual status. As of December 31, 2015, there was one issuer representing less than 1% of our total investments at fair value was on non-accrual status.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22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225" w:lineRule="exact"/>
        <w:rPr>
          <w:sz w:val="20"/>
          <w:szCs w:val="20"/>
          <w:color w:val="auto"/>
        </w:rPr>
      </w:pPr>
    </w:p>
    <w:p>
      <w:pPr>
        <w:ind w:right="40" w:firstLine="41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78" w:lineRule="exact"/>
        <w:rPr>
          <w:sz w:val="20"/>
          <w:szCs w:val="20"/>
          <w:color w:val="auto"/>
        </w:rPr>
      </w:pPr>
    </w:p>
    <w:p>
      <w:pPr>
        <w:ind w:firstLine="41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100" w:firstLine="41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2014-1, interest is earned at a fixed spread relative to the LIBOR index.</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right="20" w:firstLine="414"/>
        <w:spacing w:after="0" w:line="273" w:lineRule="auto"/>
        <w:rPr>
          <w:sz w:val="20"/>
          <w:szCs w:val="20"/>
          <w:color w:val="auto"/>
        </w:rPr>
      </w:pPr>
      <w:r>
        <w:rPr>
          <w:rFonts w:ascii="Arial" w:cs="Arial" w:eastAsia="Arial" w:hAnsi="Arial"/>
          <w:sz w:val="17"/>
          <w:szCs w:val="17"/>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ind w:right="220" w:firstLine="41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ind w:right="40" w:firstLine="414"/>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9" w:name="page80"/>
    <w:bookmarkEnd w:id="79"/>
    <w:p>
      <w:pPr>
        <w:ind w:left="22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80" w:firstLine="41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distributable taxable income and after-tax free cash flow from our Asset Manager Affiliates.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quarterly distributions declared by us for the 2016, 2015 and 2014 calendar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Declaration</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Record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b w:val="1"/>
                <w:bCs w:val="1"/>
                <w:color w:val="auto"/>
              </w:rPr>
              <w:t>Date</w:t>
            </w: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Pay Date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3/18/2016</w:t>
            </w:r>
          </w:p>
        </w:tc>
        <w:tc>
          <w:tcPr>
            <w:tcW w:w="80" w:type="dxa"/>
            <w:vAlign w:val="bottom"/>
          </w:tcPr>
          <w:p>
            <w:pPr>
              <w:spacing w:after="0"/>
              <w:rPr>
                <w:sz w:val="19"/>
                <w:szCs w:val="19"/>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color w:val="auto"/>
                <w:w w:val="91"/>
              </w:rPr>
              <w:t>4/7/2016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2"/>
              </w:rPr>
              <w:t>4/28/2016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60" w:type="dxa"/>
            <w:vAlign w:val="bottom"/>
            <w:vMerge w:val="continue"/>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declared in 2016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60" w:type="dxa"/>
            <w:vAlign w:val="bottom"/>
            <w:vMerge w:val="restart"/>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14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12/16/2015</w:t>
            </w: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center"/>
              <w:spacing w:after="0" w:line="256" w:lineRule="exact"/>
              <w:rPr>
                <w:sz w:val="20"/>
                <w:szCs w:val="20"/>
                <w:color w:val="auto"/>
              </w:rPr>
            </w:pPr>
            <w:r>
              <w:rPr>
                <w:rFonts w:ascii="Arial" w:cs="Arial" w:eastAsia="Arial" w:hAnsi="Arial"/>
                <w:sz w:val="18"/>
                <w:szCs w:val="18"/>
                <w:color w:val="auto"/>
                <w:w w:val="89"/>
              </w:rPr>
              <w:t>1/6/2016</w:t>
            </w:r>
            <w:r>
              <w:rPr>
                <w:rFonts w:ascii="Arial" w:cs="Arial" w:eastAsia="Arial" w:hAnsi="Arial"/>
                <w:sz w:val="29"/>
                <w:szCs w:val="29"/>
                <w:color w:val="auto"/>
                <w:w w:val="89"/>
                <w:vertAlign w:val="superscript"/>
              </w:rPr>
              <w:t>1</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1/28/2016</w:t>
            </w:r>
          </w:p>
        </w:tc>
        <w:tc>
          <w:tcPr>
            <w:tcW w:w="1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9/22/2015</w:t>
            </w:r>
          </w:p>
        </w:tc>
        <w:tc>
          <w:tcPr>
            <w:tcW w:w="8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10/14/2015</w:t>
            </w:r>
          </w:p>
        </w:tc>
        <w:tc>
          <w:tcPr>
            <w:tcW w:w="80" w:type="dxa"/>
            <w:vAlign w:val="bottom"/>
          </w:tcPr>
          <w:p>
            <w:pPr>
              <w:spacing w:after="0"/>
              <w:rPr>
                <w:sz w:val="18"/>
                <w:szCs w:val="18"/>
                <w:color w:val="auto"/>
              </w:rPr>
            </w:pP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0"/>
              </w:rPr>
              <w:t>10/27/2015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0.21</w:t>
            </w:r>
          </w:p>
        </w:tc>
        <w:tc>
          <w:tcPr>
            <w:tcW w:w="14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6/23/2015</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1"/>
              </w:rPr>
              <w:t>7/6/2015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7/27/2015</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3/24/2015</w:t>
            </w:r>
          </w:p>
        </w:tc>
        <w:tc>
          <w:tcPr>
            <w:tcW w:w="80" w:type="dxa"/>
            <w:vAlign w:val="bottom"/>
          </w:tcPr>
          <w:p>
            <w:pPr>
              <w:spacing w:after="0"/>
              <w:rPr>
                <w:sz w:val="19"/>
                <w:szCs w:val="19"/>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color w:val="auto"/>
                <w:w w:val="91"/>
              </w:rPr>
              <w:t>4/6/2015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2"/>
              </w:rPr>
              <w:t>4/27/2015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60" w:type="dxa"/>
            <w:vAlign w:val="bottom"/>
            <w:vMerge w:val="continue"/>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declared in 2015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60" w:type="dxa"/>
            <w:vAlign w:val="bottom"/>
            <w:vMerge w:val="restart"/>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14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12/17/2014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12/29/2014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1/29/2015</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9/19/2014</w:t>
            </w:r>
          </w:p>
        </w:tc>
        <w:tc>
          <w:tcPr>
            <w:tcW w:w="8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10/14/2014</w:t>
            </w:r>
          </w:p>
        </w:tc>
        <w:tc>
          <w:tcPr>
            <w:tcW w:w="80" w:type="dxa"/>
            <w:vAlign w:val="bottom"/>
          </w:tcPr>
          <w:p>
            <w:pPr>
              <w:spacing w:after="0"/>
              <w:rPr>
                <w:sz w:val="18"/>
                <w:szCs w:val="18"/>
                <w:color w:val="auto"/>
              </w:rPr>
            </w:pP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0"/>
              </w:rPr>
              <w:t>10/29/2014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14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6/20/2014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1"/>
              </w:rPr>
              <w:t>7/3/2014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7/25/2014</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3/21/2014</w:t>
            </w:r>
          </w:p>
        </w:tc>
        <w:tc>
          <w:tcPr>
            <w:tcW w:w="80" w:type="dxa"/>
            <w:vAlign w:val="bottom"/>
          </w:tcPr>
          <w:p>
            <w:pPr>
              <w:spacing w:after="0"/>
              <w:rPr>
                <w:sz w:val="19"/>
                <w:szCs w:val="19"/>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color w:val="auto"/>
                <w:w w:val="91"/>
              </w:rPr>
              <w:t>4/4/2014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2"/>
              </w:rPr>
              <w:t>4/25/2014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declared in 2014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60" w:type="dxa"/>
            <w:vAlign w:val="bottom"/>
            <w:gridSpan w:val="8"/>
          </w:tcPr>
          <w:p>
            <w:pPr>
              <w:ind w:left="660"/>
              <w:spacing w:after="0"/>
              <w:rPr>
                <w:sz w:val="20"/>
                <w:szCs w:val="20"/>
                <w:color w:val="auto"/>
              </w:rPr>
            </w:pPr>
            <w:r>
              <w:rPr>
                <w:rFonts w:ascii="Arial" w:cs="Arial" w:eastAsia="Arial" w:hAnsi="Arial"/>
                <w:sz w:val="18"/>
                <w:szCs w:val="18"/>
                <w:color w:val="auto"/>
              </w:rPr>
              <w:t>¹ Since the record date of this distribution is in 2016, it is a 2016 tax event.</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60" w:type="dxa"/>
            <w:vAlign w:val="bottom"/>
            <w:gridSpan w:val="8"/>
          </w:tcPr>
          <w:p>
            <w:pPr>
              <w:spacing w:after="0"/>
              <w:rPr>
                <w:sz w:val="20"/>
                <w:szCs w:val="20"/>
                <w:color w:val="auto"/>
              </w:rPr>
            </w:pPr>
            <w:r>
              <w:rPr>
                <w:rFonts w:ascii="Arial" w:cs="Arial" w:eastAsia="Arial" w:hAnsi="Arial"/>
                <w:sz w:val="18"/>
                <w:szCs w:val="18"/>
                <w:color w:val="auto"/>
                <w:w w:val="96"/>
              </w:rPr>
              <w:t>The following table depicts the composition of shareholder distributions on a per share basis:</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gridSpan w:val="8"/>
          </w:tcPr>
          <w:p>
            <w:pPr>
              <w:jc w:val="right"/>
              <w:ind w:right="720"/>
              <w:spacing w:after="0"/>
              <w:rPr>
                <w:sz w:val="20"/>
                <w:szCs w:val="20"/>
                <w:color w:val="auto"/>
              </w:rPr>
            </w:pPr>
            <w:r>
              <w:rPr>
                <w:rFonts w:ascii="Arial" w:cs="Arial" w:eastAsia="Arial" w:hAnsi="Arial"/>
                <w:sz w:val="18"/>
                <w:szCs w:val="18"/>
                <w:b w:val="1"/>
                <w:bCs w:val="1"/>
                <w:color w:val="auto"/>
              </w:rPr>
              <w:t>Quarter-ended March 31,</w:t>
            </w:r>
          </w:p>
        </w:tc>
        <w:tc>
          <w:tcPr>
            <w:tcW w:w="0" w:type="dxa"/>
            <w:vAlign w:val="bottom"/>
          </w:tcPr>
          <w:p>
            <w:pPr>
              <w:spacing w:after="0"/>
              <w:rPr>
                <w:sz w:val="1"/>
                <w:szCs w:val="1"/>
                <w:color w:val="auto"/>
              </w:rPr>
            </w:pPr>
          </w:p>
        </w:tc>
      </w:tr>
      <w:tr>
        <w:trPr>
          <w:trHeight w:val="223"/>
        </w:trPr>
        <w:tc>
          <w:tcPr>
            <w:tcW w:w="66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2016¹</w:t>
            </w:r>
          </w:p>
        </w:tc>
        <w:tc>
          <w:tcPr>
            <w:tcW w:w="1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2015¹</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Tax Accounting Difference on CLO Equity Investments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 accounting differences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Taxable distributable income</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Cash distributed to the Company by Asset Manager Affiliates in excess of their taxable earnings</w:t>
            </w: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Available for distribution²</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Distributed</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3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Difference</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gridSpan w:val="2"/>
          </w:tcPr>
          <w:p>
            <w:pPr>
              <w:spacing w:after="0"/>
              <w:rPr>
                <w:sz w:val="19"/>
                <w:szCs w:val="19"/>
                <w:color w:val="auto"/>
              </w:rPr>
            </w:pP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Table may not foot due to rounding.</w:t>
      </w:r>
    </w:p>
    <w:p>
      <w:pPr>
        <w:spacing w:after="0" w:line="225" w:lineRule="exact"/>
        <w:rPr>
          <w:sz w:val="20"/>
          <w:szCs w:val="20"/>
          <w:color w:val="auto"/>
        </w:rPr>
      </w:pPr>
    </w:p>
    <w:p>
      <w:pPr>
        <w:ind w:left="260" w:hanging="252"/>
        <w:spacing w:after="0" w:line="293" w:lineRule="auto"/>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"Available for distribution" financial measure is a non-GAAP financial measure that is calculated by including the cash distributed to the Company by the Asset Manager Affiliates in excess of their taxable earnings to the Company's taxable distributable income, which is the most directly comparable GAAP financial measure. In order to reconcile the "Available for distribution" financial measure to taxable distributable income per share in accordance with GAAP, the $0.01 and $0.03 per share of cash distributed to the Company by the Asset Manager Affiliates in excess of their taxable earnings is subtracted from the "Available for distribution" financial measure, for the three months ended March 31, 2016 and 2015, respectively. The Company's management believes that the presentation of the non-GAAP "Available for distribution" financial measure provides useful information to investors.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40" w:firstLine="207"/>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right="40" w:firstLine="414"/>
        <w:spacing w:after="0" w:line="302"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March 31, 2016, approximately 96.0% of our Debt Securities Portfolio were either fixed rate or floating rate with a spread to an interest rate index such as LIBOR or the prime rate. Most of these floating rate loans contain LIBOR floors ranging between 0.75% and 3.0%. We generally expect that future portfolio investments will predominately be floating rate investments. As of March 31, 2016, we had $188.8 million of borrowings outstanding at a current weighted average rate of 3.8%.</w:t>
      </w:r>
    </w:p>
    <w:p>
      <w:pPr>
        <w:spacing w:after="0" w:line="154" w:lineRule="exact"/>
        <w:rPr>
          <w:sz w:val="20"/>
          <w:szCs w:val="20"/>
          <w:color w:val="auto"/>
        </w:rPr>
      </w:pPr>
    </w:p>
    <w:p>
      <w:pPr>
        <w:ind w:right="200" w:firstLine="414"/>
        <w:spacing w:after="0" w:line="257"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7.375% Notes Due 2019 would remain the same at 7.375%, given that this debt is at a fixed rate. The Notes issued by KCAP Senior Funding are floating rate based upon a LIBOR index plus a spread, which serves as a floor should LIBOR decrease to zero. Accordingly, our interest costs associated with this debt will fluctuate with changes in LIBOR.</w:t>
      </w:r>
    </w:p>
    <w:p>
      <w:pPr>
        <w:spacing w:after="0" w:line="188" w:lineRule="exact"/>
        <w:rPr>
          <w:sz w:val="20"/>
          <w:szCs w:val="20"/>
          <w:color w:val="auto"/>
        </w:rPr>
      </w:pPr>
    </w:p>
    <w:p>
      <w:pPr>
        <w:jc w:val="both"/>
        <w:ind w:right="200" w:firstLine="414"/>
        <w:spacing w:after="0" w:line="264"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March 31, 2016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980" w:type="dxa"/>
            <w:vAlign w:val="bottom"/>
            <w:gridSpan w:val="11"/>
          </w:tcPr>
          <w:p>
            <w:pPr>
              <w:ind w:left="1280"/>
              <w:spacing w:after="0"/>
              <w:rPr>
                <w:sz w:val="20"/>
                <w:szCs w:val="20"/>
                <w:color w:val="auto"/>
              </w:rPr>
            </w:pPr>
            <w:r>
              <w:rPr>
                <w:rFonts w:ascii="Arial" w:cs="Arial" w:eastAsia="Arial" w:hAnsi="Arial"/>
                <w:sz w:val="18"/>
                <w:szCs w:val="18"/>
                <w:color w:val="auto"/>
                <w:w w:val="90"/>
              </w:rPr>
              <w:t>Impact on net investment income from a change in</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2"/>
              </w:rPr>
              <w:t>interest rates at:</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interest rate</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1,392,943</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Decrease in interest rate</w:t>
            </w:r>
          </w:p>
        </w:tc>
        <w:tc>
          <w:tcPr>
            <w:tcW w:w="15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907,709</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907,709</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907,709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1" w:name="page82"/>
    <w:bookmarkEnd w:id="81"/>
    <w:p>
      <w:pPr>
        <w:ind w:right="120" w:firstLine="414"/>
        <w:spacing w:after="0" w:line="273" w:lineRule="auto"/>
        <w:rPr>
          <w:sz w:val="20"/>
          <w:szCs w:val="20"/>
          <w:color w:val="auto"/>
        </w:rPr>
      </w:pPr>
      <w:r>
        <w:rPr>
          <w:rFonts w:ascii="Arial" w:cs="Arial" w:eastAsia="Arial" w:hAnsi="Arial"/>
          <w:sz w:val="17"/>
          <w:szCs w:val="17"/>
          <w:color w:val="auto"/>
        </w:rPr>
        <w:t>As shown above, net investment income assuming a 1% increase in interest rates would decrease by approximately $121,000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$636,000 and $1.4 million, respectively. Since LIBOR underlying certain investments, as well as certain of our borrowings, is currently low, it is unlikely that the underlying rate will decrease by 1% or 2% or even 3%. If the underlying rate decreased to 0%, it would result in approximately a $908,000 increase in net investment income.</w:t>
      </w:r>
    </w:p>
    <w:p>
      <w:pPr>
        <w:spacing w:after="0" w:line="178"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March 31, 2016.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 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20" w:firstLine="414"/>
        <w:spacing w:after="0" w:line="302" w:lineRule="auto"/>
        <w:rPr>
          <w:sz w:val="20"/>
          <w:szCs w:val="20"/>
          <w:color w:val="auto"/>
        </w:rPr>
      </w:pPr>
      <w:r>
        <w:rPr>
          <w:rFonts w:ascii="Arial" w:cs="Arial" w:eastAsia="Arial" w:hAnsi="Arial"/>
          <w:sz w:val="16"/>
          <w:szCs w:val="16"/>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520" w:firstLine="414"/>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since our last Annual Report filed on Form 10-K for the period ended December 31, 2015 that have materially affected, or are reasonably likely to materially affect, our internal control over financial reporting.</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2" w:name="page83"/>
    <w:bookmarkEnd w:id="82"/>
    <w:p>
      <w:pPr>
        <w:jc w:val="center"/>
        <w:ind w:right="-1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2015.</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right="20" w:firstLine="41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March 31, 2016, we issued a total of 61,801 shares of common stock under our dividend reinvestment plan (“DRIP”). This issuance was not subject to the registration requirements of the Securities Act of 1933. For the three months ended March 31, 2016, the aggregate value of the shares of our common stock issued under our DRIP was approximately $206,000.</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4" w:right="41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KCAP FINANCIAL,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4, 2016</w:t>
            </w:r>
          </w:p>
        </w:tc>
        <w:tc>
          <w:tcPr>
            <w:tcW w:w="2640" w:type="dxa"/>
            <w:vAlign w:val="bottom"/>
          </w:tcPr>
          <w:p>
            <w:pPr>
              <w:ind w:left="21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Dayl W. Pearson</w:t>
            </w: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Pr>
          <w:p>
            <w:pPr>
              <w:jc w:val="center"/>
              <w:spacing w:after="0" w:line="195" w:lineRule="exact"/>
              <w:rPr>
                <w:sz w:val="20"/>
                <w:szCs w:val="20"/>
                <w:color w:val="auto"/>
              </w:rPr>
            </w:pPr>
            <w:r>
              <w:rPr>
                <w:rFonts w:ascii="Arial" w:cs="Arial" w:eastAsia="Arial" w:hAnsi="Arial"/>
                <w:sz w:val="18"/>
                <w:szCs w:val="18"/>
                <w:color w:val="auto"/>
                <w:w w:val="88"/>
              </w:rPr>
              <w:t>Dayl W. Pearson</w:t>
            </w: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4, 2016</w:t>
            </w:r>
          </w:p>
        </w:tc>
        <w:tc>
          <w:tcPr>
            <w:tcW w:w="2640" w:type="dxa"/>
            <w:vAlign w:val="bottom"/>
          </w:tcPr>
          <w:p>
            <w:pPr>
              <w:ind w:left="2180"/>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/s/ Edward U. Gilpin</w:t>
            </w:r>
          </w:p>
        </w:tc>
      </w:tr>
    </w:tbl>
    <w:p>
      <w:pPr>
        <w:jc w:val="center"/>
        <w:ind w:left="618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spacing w:after="0" w:line="200" w:lineRule="exact"/>
        <w:rPr>
          <w:sz w:val="20"/>
          <w:szCs w:val="20"/>
          <w:color w:val="auto"/>
        </w:rPr>
      </w:pPr>
    </w:p>
    <w:p>
      <w:pPr>
        <w:spacing w:after="0" w:line="23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6604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4.2(a)</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4.2(b)</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ind w:left="39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4490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223"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Purchase and Sale Agreement, dated February 29, 2012, by and among Kohlberg Capital Corporation (the “Company”), Commodore Holdings, L.L.C., Trimaran Advisors, L.L.C., HBK Caravelle, L.L.C., Trimaran Fund Management, L.L.C., Jay R. Bloom, and Dean C. Kehler.</w:t>
      </w:r>
      <w:r>
        <w:rPr>
          <w:rFonts w:ascii="Arial" w:cs="Arial" w:eastAsia="Arial" w:hAnsi="Arial"/>
          <w:sz w:val="30"/>
          <w:szCs w:val="30"/>
          <w:color w:val="auto"/>
          <w:vertAlign w:val="superscript"/>
        </w:rPr>
        <w:t>(1)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Form of Certificate of Incorporation of the Company.</w:t>
      </w:r>
      <w:r>
        <w:rPr>
          <w:rFonts w:ascii="Arial" w:cs="Arial" w:eastAsia="Arial" w:hAnsi="Arial"/>
          <w:sz w:val="30"/>
          <w:szCs w:val="30"/>
          <w:color w:val="auto"/>
          <w:vertAlign w:val="superscript"/>
        </w:rPr>
        <w:t>(2)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Form of Bylaws of the Company, as amended and restated effective February 29, 2012.</w:t>
      </w:r>
      <w:r>
        <w:rPr>
          <w:rFonts w:ascii="Arial" w:cs="Arial" w:eastAsia="Arial" w:hAnsi="Arial"/>
          <w:sz w:val="30"/>
          <w:szCs w:val="30"/>
          <w:color w:val="auto"/>
          <w:vertAlign w:val="superscript"/>
        </w:rPr>
        <w:t>(3)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Form of Dividend Reinvestment Plan.</w:t>
      </w:r>
      <w:r>
        <w:rPr>
          <w:rFonts w:ascii="Arial" w:cs="Arial" w:eastAsia="Arial" w:hAnsi="Arial"/>
          <w:sz w:val="30"/>
          <w:szCs w:val="30"/>
          <w:color w:val="auto"/>
          <w:vertAlign w:val="superscript"/>
        </w:rPr>
        <w:t>(4)</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Form of Base Indenture between the Company and U.S. Bank National Association relating to the 7.375% Senior Notes Due 2019</w:t>
      </w:r>
      <w:r>
        <w:rPr>
          <w:rFonts w:ascii="Arial" w:cs="Arial" w:eastAsia="Arial" w:hAnsi="Arial"/>
          <w:sz w:val="28"/>
          <w:szCs w:val="28"/>
          <w:color w:val="auto"/>
          <w:vertAlign w:val="superscript"/>
        </w:rPr>
        <w:t>(5)</w:t>
      </w:r>
    </w:p>
    <w:p>
      <w:pPr>
        <w:spacing w:after="0" w:line="147"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color w:val="auto"/>
        </w:rPr>
        <w:t>Form of First Supplemental Indenture between the Company and U.S. Bank National Association relating to the 7.375% Senior Notes Due 2019</w:t>
      </w:r>
      <w:r>
        <w:rPr>
          <w:rFonts w:ascii="Arial" w:cs="Arial" w:eastAsia="Arial" w:hAnsi="Arial"/>
          <w:sz w:val="30"/>
          <w:szCs w:val="30"/>
          <w:color w:val="auto"/>
          <w:vertAlign w:val="superscript"/>
        </w:rPr>
        <w:t>(5)</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Form of Note relating to the 7.375% Senior Notes Due 2019 (included as part of Exhibit 4.2)</w:t>
      </w:r>
      <w:r>
        <w:rPr>
          <w:rFonts w:ascii="Arial" w:cs="Arial" w:eastAsia="Arial" w:hAnsi="Arial"/>
          <w:sz w:val="30"/>
          <w:szCs w:val="30"/>
          <w:color w:val="auto"/>
          <w:vertAlign w:val="superscript"/>
        </w:rPr>
        <w:t>(5)</w:t>
      </w:r>
    </w:p>
    <w:p>
      <w:pPr>
        <w:spacing w:after="0" w:line="124" w:lineRule="exact"/>
        <w:rPr>
          <w:sz w:val="20"/>
          <w:szCs w:val="20"/>
          <w:color w:val="auto"/>
        </w:rPr>
      </w:pPr>
    </w:p>
    <w:p>
      <w:pPr>
        <w:ind w:right="240"/>
        <w:spacing w:after="0" w:line="280" w:lineRule="auto"/>
        <w:rPr>
          <w:sz w:val="20"/>
          <w:szCs w:val="20"/>
          <w:color w:val="auto"/>
        </w:rPr>
      </w:pPr>
      <w:r>
        <w:rPr>
          <w:rFonts w:ascii="Arial" w:cs="Arial" w:eastAsia="Arial" w:hAnsi="Arial"/>
          <w:sz w:val="18"/>
          <w:szCs w:val="18"/>
          <w:color w:val="auto"/>
        </w:rPr>
        <w:t>Indenture dated as of March 16, 2011, by and between the Company and U.S. Bank National Association, as trustee relating to the 8.75% Convertible Senior Notes Due 2016.</w:t>
      </w:r>
      <w:r>
        <w:rPr>
          <w:rFonts w:ascii="Arial" w:cs="Arial" w:eastAsia="Arial" w:hAnsi="Arial"/>
          <w:sz w:val="30"/>
          <w:szCs w:val="30"/>
          <w:color w:val="auto"/>
          <w:vertAlign w:val="superscript"/>
        </w:rPr>
        <w:t>(6)</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Form of 8.75% Convertible Senior Notes Due 2016 (included as part of Exhibit 4.4).</w:t>
      </w:r>
      <w:r>
        <w:rPr>
          <w:rFonts w:ascii="Arial" w:cs="Arial" w:eastAsia="Arial" w:hAnsi="Arial"/>
          <w:sz w:val="30"/>
          <w:szCs w:val="30"/>
          <w:color w:val="auto"/>
          <w:vertAlign w:val="superscript"/>
        </w:rPr>
        <w:t>(6)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Per Share Earnings (included in the notes to the unaudited financial statements contained in this report).</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Certification of Chief Executive Officer Pursuant to Rule 13a-14(a) under the Securities Exchange Act of 1934, as adopted pursuant to Section 302 of the Sarbanes-Oxley Act of 2002.</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Certification of Chief Financial Officer Pursuant to Rule 13a-14(a) under the Securities Exchange Act of 1934, as adopted pursuant to Section 302 of the Sarbanes-Oxley Act of 2002.</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Certification of Chief Executive Officer Pursuant to 18 U. S. C. 1350, as adopted pursuant to Section 906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 Pursuant to 18 U. S. C. 1350, as adopted pursuant to Section 906 of the Sarbanes-Oxley Act of 2002.</w:t>
      </w:r>
    </w:p>
    <w:p>
      <w:pPr>
        <w:spacing w:after="0" w:line="222" w:lineRule="exact"/>
        <w:rPr>
          <w:sz w:val="20"/>
          <w:szCs w:val="20"/>
          <w:color w:val="auto"/>
        </w:rPr>
      </w:pPr>
    </w:p>
    <w:p>
      <w:pPr>
        <w:sectPr>
          <w:pgSz w:w="11900" w:h="16838" w:orient="portrait"/>
          <w:cols w:equalWidth="0" w:num="2">
            <w:col w:w="640" w:space="620"/>
            <w:col w:w="10140"/>
          </w:cols>
          <w:pgMar w:left="240" w:top="904" w:right="259" w:bottom="1440" w:gutter="0" w:footer="0" w:header="0"/>
        </w:sectPr>
      </w:pPr>
    </w:p>
    <w:p>
      <w:pPr>
        <w:spacing w:after="0" w:line="25"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herewith.</w:t>
      </w:r>
    </w:p>
    <w:p>
      <w:pPr>
        <w:spacing w:after="0" w:line="63" w:lineRule="exact"/>
        <w:rPr>
          <w:sz w:val="20"/>
          <w:szCs w:val="20"/>
          <w:color w:val="auto"/>
        </w:rPr>
      </w:pPr>
    </w:p>
    <w:p>
      <w:pPr>
        <w:ind w:left="340" w:hanging="318"/>
        <w:spacing w:after="0"/>
        <w:tabs>
          <w:tab w:leader="none" w:pos="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Incorporated by reference to Exhibit 2.1 of the Current Report on Form 8-K, as filed on March 1, 2012 (File No. 814-00735).</w:t>
      </w:r>
    </w:p>
    <w:p>
      <w:pPr>
        <w:spacing w:after="0" w:line="117" w:lineRule="exact"/>
        <w:rPr>
          <w:rFonts w:ascii="Arial" w:cs="Arial" w:eastAsia="Arial" w:hAnsi="Arial"/>
          <w:sz w:val="18"/>
          <w:szCs w:val="18"/>
          <w:color w:val="auto"/>
        </w:rPr>
      </w:pPr>
    </w:p>
    <w:p>
      <w:pPr>
        <w:ind w:left="340" w:hanging="318"/>
        <w:spacing w:after="0"/>
        <w:tabs>
          <w:tab w:leader="none" w:pos="3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Incorporated by reference to the exhibit included in Pre-Effective Amendment No. 1 on Form N-2, as filed on October 6, 2006 (File No. 333-136714).</w:t>
      </w:r>
    </w:p>
    <w:p>
      <w:pPr>
        <w:spacing w:after="0" w:line="140" w:lineRule="exact"/>
        <w:rPr>
          <w:rFonts w:ascii="Arial" w:cs="Arial" w:eastAsia="Arial" w:hAnsi="Arial"/>
          <w:sz w:val="16"/>
          <w:szCs w:val="16"/>
          <w:color w:val="auto"/>
        </w:rPr>
      </w:pPr>
    </w:p>
    <w:p>
      <w:pPr>
        <w:ind w:left="340" w:hanging="318"/>
        <w:spacing w:after="0"/>
        <w:tabs>
          <w:tab w:leader="none" w:pos="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Incorporated by reference to Exhibit 3.1 of the Current Report on Form 8-K, as filed on March 1, 2012 (File No. 814-00735).</w:t>
      </w:r>
    </w:p>
    <w:p>
      <w:pPr>
        <w:spacing w:after="0" w:line="117" w:lineRule="exact"/>
        <w:rPr>
          <w:rFonts w:ascii="Arial" w:cs="Arial" w:eastAsia="Arial" w:hAnsi="Arial"/>
          <w:sz w:val="18"/>
          <w:szCs w:val="18"/>
          <w:color w:val="auto"/>
        </w:rPr>
      </w:pPr>
    </w:p>
    <w:p>
      <w:pPr>
        <w:ind w:left="340" w:right="60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2 on Form N-2, as filed on November 20, 2006 (File No. 333-136714).</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Incorporated by reference to exhibit included in the Registration Statement in Form N-2, as filed on October 3, 2012 (File No. 333-183032).</w:t>
      </w:r>
    </w:p>
    <w:p>
      <w:pPr>
        <w:spacing w:after="0" w:line="128" w:lineRule="exact"/>
        <w:rPr>
          <w:rFonts w:ascii="Arial" w:cs="Arial" w:eastAsia="Arial" w:hAnsi="Arial"/>
          <w:sz w:val="17"/>
          <w:szCs w:val="17"/>
          <w:color w:val="auto"/>
        </w:rPr>
      </w:pPr>
    </w:p>
    <w:p>
      <w:pPr>
        <w:ind w:left="340" w:hanging="318"/>
        <w:spacing w:after="0"/>
        <w:tabs>
          <w:tab w:leader="none" w:pos="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Incorporated by reference to Exhibit 4.1 of the Current Report on Form 8-K, as filed on March 16, 2011 (File No. 814-00735).</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2016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840" w:val="left"/>
          <w:tab w:leader="none" w:pos="8380" w:val="left"/>
        </w:tabs>
        <w:rPr>
          <w:sz w:val="20"/>
          <w:szCs w:val="20"/>
          <w:color w:val="auto"/>
        </w:rPr>
      </w:pPr>
      <w:r>
        <w:rPr>
          <w:rFonts w:ascii="Arial" w:cs="Arial" w:eastAsia="Arial" w:hAnsi="Arial"/>
          <w:sz w:val="18"/>
          <w:szCs w:val="18"/>
          <w:color w:val="auto"/>
        </w:rPr>
        <w:t>Date: May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DAYL W. PEARSON</w:t>
      </w:r>
    </w:p>
    <w:p>
      <w:pPr>
        <w:spacing w:after="0" w:line="23"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2016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22"/>
        <w:spacing w:after="0" w:line="277" w:lineRule="auto"/>
        <w:tabs>
          <w:tab w:leader="none" w:pos="594"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2"/>
        <w:spacing w:after="0" w:line="264" w:lineRule="auto"/>
        <w:tabs>
          <w:tab w:leader="none" w:pos="59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840" w:val="left"/>
          <w:tab w:leader="none" w:pos="8360" w:val="left"/>
        </w:tabs>
        <w:rPr>
          <w:sz w:val="20"/>
          <w:szCs w:val="20"/>
          <w:color w:val="auto"/>
        </w:rPr>
      </w:pPr>
      <w:r>
        <w:rPr>
          <w:rFonts w:ascii="Arial" w:cs="Arial" w:eastAsia="Arial" w:hAnsi="Arial"/>
          <w:sz w:val="18"/>
          <w:szCs w:val="18"/>
          <w:color w:val="auto"/>
        </w:rPr>
        <w:t>Date: May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U. GILPIN</w:t>
      </w:r>
    </w:p>
    <w:p>
      <w:pPr>
        <w:spacing w:after="0" w:line="23"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10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March 31, 2016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840" w:val="left"/>
          <w:tab w:leader="none" w:pos="8380" w:val="left"/>
        </w:tabs>
        <w:rPr>
          <w:sz w:val="20"/>
          <w:szCs w:val="20"/>
          <w:color w:val="auto"/>
        </w:rPr>
      </w:pPr>
      <w:r>
        <w:rPr>
          <w:rFonts w:ascii="Arial" w:cs="Arial" w:eastAsia="Arial" w:hAnsi="Arial"/>
          <w:sz w:val="18"/>
          <w:szCs w:val="18"/>
          <w:color w:val="auto"/>
        </w:rPr>
        <w:t>Date: May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DAYL W. PEARSON</w:t>
      </w:r>
    </w:p>
    <w:p>
      <w:pPr>
        <w:spacing w:after="0" w:line="23"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2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March 31, 2016 (the “Report”), I, Edward U. Gilpin, Chief Financial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840" w:val="left"/>
          <w:tab w:leader="none" w:pos="8360" w:val="left"/>
        </w:tabs>
        <w:rPr>
          <w:sz w:val="20"/>
          <w:szCs w:val="20"/>
          <w:color w:val="auto"/>
        </w:rPr>
      </w:pPr>
      <w:r>
        <w:rPr>
          <w:rFonts w:ascii="Arial" w:cs="Arial" w:eastAsia="Arial" w:hAnsi="Arial"/>
          <w:sz w:val="18"/>
          <w:szCs w:val="18"/>
          <w:color w:val="auto"/>
        </w:rPr>
        <w:t>Date: May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U. GILPIN</w:t>
      </w:r>
    </w:p>
    <w:p>
      <w:pPr>
        <w:spacing w:after="0" w:line="23"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x"/>
      <w:numFmt w:val="bullet"/>
      <w:start w:val="1"/>
    </w:lvl>
  </w:abstractNum>
  <w:abstractNum w:abstractNumId="1">
    <w:nsid w:val="22221A70"/>
    <w:multiLevelType w:val="hybridMultilevel"/>
    <w:lvl w:ilvl="0">
      <w:lvlJc w:val="left"/>
      <w:lvlText w:val="o"/>
      <w:numFmt w:val="bullet"/>
      <w:start w:val="1"/>
    </w:lvl>
  </w:abstractNum>
  <w:abstractNum w:abstractNumId="2">
    <w:nsid w:val="4516DDE9"/>
    <w:multiLevelType w:val="hybridMultilevel"/>
    <w:lvl w:ilvl="0">
      <w:lvlJc w:val="left"/>
      <w:lvlText w:val="%1"/>
      <w:numFmt w:val="upperLetter"/>
      <w:start w:val="54"/>
    </w:lvl>
  </w:abstractNum>
  <w:abstractNum w:abstractNumId="3">
    <w:nsid w:val="3006C83E"/>
    <w:multiLevelType w:val="hybridMultilevel"/>
    <w:lvl w:ilvl="0">
      <w:lvlJc w:val="left"/>
      <w:lvlText w:val="1"/>
      <w:numFmt w:val="bullet"/>
      <w:start w:val="1"/>
    </w:lvl>
  </w:abstractNum>
  <w:abstractNum w:abstractNumId="4">
    <w:nsid w:val="614FD4A1"/>
    <w:multiLevelType w:val="hybridMultilevel"/>
    <w:lvl w:ilvl="0">
      <w:lvlJc w:val="left"/>
      <w:lvlText w:val="2"/>
      <w:numFmt w:val="bullet"/>
      <w:start w:val="1"/>
    </w:lvl>
  </w:abstractNum>
  <w:abstractNum w:abstractNumId="5">
    <w:nsid w:val="419AC241"/>
    <w:multiLevelType w:val="hybridMultilevel"/>
    <w:lvl w:ilvl="0">
      <w:lvlJc w:val="left"/>
      <w:lvlText w:val="3"/>
      <w:numFmt w:val="bullet"/>
      <w:start w:val="1"/>
    </w:lvl>
  </w:abstractNum>
  <w:abstractNum w:abstractNumId="6">
    <w:nsid w:val="5577F8E1"/>
    <w:multiLevelType w:val="hybridMultilevel"/>
    <w:lvl w:ilvl="0">
      <w:lvlJc w:val="left"/>
      <w:lvlText w:val="4"/>
      <w:numFmt w:val="bullet"/>
      <w:start w:val="1"/>
    </w:lvl>
  </w:abstractNum>
  <w:abstractNum w:abstractNumId="7">
    <w:nsid w:val="440BADFC"/>
    <w:multiLevelType w:val="hybridMultilevel"/>
    <w:lvl w:ilvl="0">
      <w:lvlJc w:val="left"/>
      <w:lvlText w:val="5"/>
      <w:numFmt w:val="bullet"/>
      <w:start w:val="1"/>
    </w:lvl>
  </w:abstractNum>
  <w:abstractNum w:abstractNumId="8">
    <w:nsid w:val="5072367"/>
    <w:multiLevelType w:val="hybridMultilevel"/>
    <w:lvl w:ilvl="0">
      <w:lvlJc w:val="left"/>
      <w:lvlText w:val="6"/>
      <w:numFmt w:val="bullet"/>
      <w:start w:val="1"/>
    </w:lvl>
  </w:abstractNum>
  <w:abstractNum w:abstractNumId="9">
    <w:nsid w:val="3804823E"/>
    <w:multiLevelType w:val="hybridMultilevel"/>
    <w:lvl w:ilvl="0">
      <w:lvlJc w:val="left"/>
      <w:lvlText w:val="7"/>
      <w:numFmt w:val="bullet"/>
      <w:start w:val="1"/>
    </w:lvl>
  </w:abstractNum>
  <w:abstractNum w:abstractNumId="10">
    <w:nsid w:val="77465F01"/>
    <w:multiLevelType w:val="hybridMultilevel"/>
    <w:lvl w:ilvl="0">
      <w:lvlJc w:val="left"/>
      <w:lvlText w:val="8"/>
      <w:numFmt w:val="bullet"/>
      <w:start w:val="1"/>
    </w:lvl>
  </w:abstractNum>
  <w:abstractNum w:abstractNumId="11">
    <w:nsid w:val="7724C67E"/>
    <w:multiLevelType w:val="hybridMultilevel"/>
    <w:lvl w:ilvl="0">
      <w:lvlJc w:val="left"/>
      <w:lvlText w:val="9"/>
      <w:numFmt w:val="bullet"/>
      <w:start w:val="1"/>
    </w:lvl>
  </w:abstractNum>
  <w:abstractNum w:abstractNumId="12">
    <w:nsid w:val="5C482A97"/>
    <w:multiLevelType w:val="hybridMultilevel"/>
    <w:lvl w:ilvl="0">
      <w:lvlJc w:val="left"/>
      <w:lvlText w:val="%1"/>
      <w:numFmt w:val="decimal"/>
      <w:start w:val="10"/>
    </w:lvl>
  </w:abstractNum>
  <w:abstractNum w:abstractNumId="13">
    <w:nsid w:val="2463B9EA"/>
    <w:multiLevelType w:val="hybridMultilevel"/>
    <w:lvl w:ilvl="0">
      <w:lvlJc w:val="left"/>
      <w:lvlText w:val="%1"/>
      <w:numFmt w:val="upperLetter"/>
      <w:start w:val="54"/>
    </w:lvl>
  </w:abstractNum>
  <w:abstractNum w:abstractNumId="14">
    <w:nsid w:val="5E884ADC"/>
    <w:multiLevelType w:val="hybridMultilevel"/>
    <w:lvl w:ilvl="0">
      <w:lvlJc w:val="left"/>
      <w:lvlText w:val="1"/>
      <w:numFmt w:val="bullet"/>
      <w:start w:val="1"/>
    </w:lvl>
  </w:abstractNum>
  <w:abstractNum w:abstractNumId="15">
    <w:nsid w:val="51EAD36B"/>
    <w:multiLevelType w:val="hybridMultilevel"/>
    <w:lvl w:ilvl="0">
      <w:lvlJc w:val="left"/>
      <w:lvlText w:val="2"/>
      <w:numFmt w:val="bullet"/>
      <w:start w:val="1"/>
    </w:lvl>
  </w:abstractNum>
  <w:abstractNum w:abstractNumId="16">
    <w:nsid w:val="2D517796"/>
    <w:multiLevelType w:val="hybridMultilevel"/>
    <w:lvl w:ilvl="0">
      <w:lvlJc w:val="left"/>
      <w:lvlText w:val="3"/>
      <w:numFmt w:val="bullet"/>
      <w:start w:val="1"/>
    </w:lvl>
  </w:abstractNum>
  <w:abstractNum w:abstractNumId="17">
    <w:nsid w:val="580BD78F"/>
    <w:multiLevelType w:val="hybridMultilevel"/>
    <w:lvl w:ilvl="0">
      <w:lvlJc w:val="left"/>
      <w:lvlText w:val="4"/>
      <w:numFmt w:val="bullet"/>
      <w:start w:val="1"/>
    </w:lvl>
  </w:abstractNum>
  <w:abstractNum w:abstractNumId="18">
    <w:nsid w:val="153EA438"/>
    <w:multiLevelType w:val="hybridMultilevel"/>
    <w:lvl w:ilvl="0">
      <w:lvlJc w:val="left"/>
      <w:lvlText w:val="5"/>
      <w:numFmt w:val="bullet"/>
      <w:start w:val="1"/>
    </w:lvl>
  </w:abstractNum>
  <w:abstractNum w:abstractNumId="19">
    <w:nsid w:val="3855585C"/>
    <w:multiLevelType w:val="hybridMultilevel"/>
    <w:lvl w:ilvl="0">
      <w:lvlJc w:val="left"/>
      <w:lvlText w:val="6"/>
      <w:numFmt w:val="bullet"/>
      <w:start w:val="1"/>
    </w:lvl>
  </w:abstractNum>
  <w:abstractNum w:abstractNumId="20">
    <w:nsid w:val="70A64E2A"/>
    <w:multiLevelType w:val="hybridMultilevel"/>
    <w:lvl w:ilvl="0">
      <w:lvlJc w:val="left"/>
      <w:lvlText w:val="7"/>
      <w:numFmt w:val="bullet"/>
      <w:start w:val="1"/>
    </w:lvl>
  </w:abstractNum>
  <w:abstractNum w:abstractNumId="21">
    <w:nsid w:val="6A2342EC"/>
    <w:multiLevelType w:val="hybridMultilevel"/>
    <w:lvl w:ilvl="0">
      <w:lvlJc w:val="left"/>
      <w:lvlText w:val="8"/>
      <w:numFmt w:val="bullet"/>
      <w:start w:val="1"/>
    </w:lvl>
  </w:abstractNum>
  <w:abstractNum w:abstractNumId="22">
    <w:nsid w:val="2A487CB0"/>
    <w:multiLevelType w:val="hybridMultilevel"/>
    <w:lvl w:ilvl="0">
      <w:lvlJc w:val="left"/>
      <w:lvlText w:val="9"/>
      <w:numFmt w:val="bullet"/>
      <w:start w:val="1"/>
    </w:lvl>
  </w:abstractNum>
  <w:abstractNum w:abstractNumId="23">
    <w:nsid w:val="1D4ED43B"/>
    <w:multiLevelType w:val="hybridMultilevel"/>
    <w:lvl w:ilvl="0">
      <w:lvlJc w:val="left"/>
      <w:lvlText w:val="%1"/>
      <w:numFmt w:val="decimal"/>
      <w:start w:val="10"/>
    </w:lvl>
  </w:abstractNum>
  <w:abstractNum w:abstractNumId="24">
    <w:nsid w:val="725A06FB"/>
    <w:multiLevelType w:val="hybridMultilevel"/>
    <w:lvl w:ilvl="0">
      <w:lvlJc w:val="left"/>
      <w:lvlText w:val="1"/>
      <w:numFmt w:val="bullet"/>
      <w:start w:val="1"/>
    </w:lvl>
  </w:abstractNum>
  <w:abstractNum w:abstractNumId="25">
    <w:nsid w:val="2CD89A32"/>
    <w:multiLevelType w:val="hybridMultilevel"/>
    <w:lvl w:ilvl="0">
      <w:lvlJc w:val="left"/>
      <w:lvlText w:val="2"/>
      <w:numFmt w:val="bullet"/>
      <w:start w:val="1"/>
    </w:lvl>
  </w:abstractNum>
  <w:abstractNum w:abstractNumId="26">
    <w:nsid w:val="57E4CCAF"/>
    <w:multiLevelType w:val="hybridMultilevel"/>
    <w:lvl w:ilvl="0">
      <w:lvlJc w:val="left"/>
      <w:lvlText w:val="3"/>
      <w:numFmt w:val="bullet"/>
      <w:start w:val="1"/>
    </w:lvl>
  </w:abstractNum>
  <w:abstractNum w:abstractNumId="27">
    <w:nsid w:val="7A6D8D3C"/>
    <w:multiLevelType w:val="hybridMultilevel"/>
    <w:lvl w:ilvl="0">
      <w:lvlJc w:val="left"/>
      <w:lvlText w:val="4"/>
      <w:numFmt w:val="bullet"/>
      <w:start w:val="1"/>
    </w:lvl>
  </w:abstractNum>
  <w:abstractNum w:abstractNumId="28">
    <w:nsid w:val="4B588F54"/>
    <w:multiLevelType w:val="hybridMultilevel"/>
    <w:lvl w:ilvl="0">
      <w:lvlJc w:val="left"/>
      <w:lvlText w:val="%1."/>
      <w:numFmt w:val="decimal"/>
      <w:start w:val="2"/>
    </w:lvl>
  </w:abstractNum>
  <w:abstractNum w:abstractNumId="29">
    <w:nsid w:val="542289EC"/>
    <w:multiLevelType w:val="hybridMultilevel"/>
    <w:lvl w:ilvl="0">
      <w:lvlJc w:val="left"/>
      <w:lvlText w:val="\endash "/>
      <w:numFmt w:val="bullet"/>
      <w:start w:val="1"/>
    </w:lvl>
  </w:abstractNum>
  <w:abstractNum w:abstractNumId="30">
    <w:nsid w:val="6DE91B18"/>
    <w:multiLevelType w:val="hybridMultilevel"/>
    <w:lvl w:ilvl="0">
      <w:lvlJc w:val="left"/>
      <w:lvlText w:val="¹"/>
      <w:numFmt w:val="bullet"/>
      <w:start w:val="1"/>
    </w:lvl>
  </w:abstractNum>
  <w:abstractNum w:abstractNumId="31">
    <w:nsid w:val="38437FDB"/>
    <w:multiLevelType w:val="hybridMultilevel"/>
    <w:lvl w:ilvl="0">
      <w:lvlJc w:val="left"/>
      <w:lvlText w:val="²"/>
      <w:numFmt w:val="bullet"/>
      <w:start w:val="1"/>
    </w:lvl>
  </w:abstractNum>
  <w:abstractNum w:abstractNumId="32">
    <w:nsid w:val="7644A45C"/>
    <w:multiLevelType w:val="hybridMultilevel"/>
    <w:lvl w:ilvl="0">
      <w:lvlJc w:val="left"/>
      <w:lvlText w:val="1"/>
      <w:numFmt w:val="bullet"/>
      <w:start w:val="1"/>
    </w:lvl>
  </w:abstractNum>
  <w:abstractNum w:abstractNumId="33">
    <w:nsid w:val="32FFF902"/>
    <w:multiLevelType w:val="hybridMultilevel"/>
    <w:lvl w:ilvl="0">
      <w:lvlJc w:val="left"/>
      <w:lvlText w:val="2"/>
      <w:numFmt w:val="bullet"/>
      <w:start w:val="1"/>
    </w:lvl>
  </w:abstractNum>
  <w:abstractNum w:abstractNumId="34">
    <w:nsid w:val="684A481A"/>
    <w:multiLevelType w:val="hybridMultilevel"/>
    <w:lvl w:ilvl="0">
      <w:lvlJc w:val="left"/>
      <w:lvlText w:val="3"/>
      <w:numFmt w:val="bullet"/>
      <w:start w:val="1"/>
    </w:lvl>
  </w:abstractNum>
  <w:abstractNum w:abstractNumId="35">
    <w:nsid w:val="579478FE"/>
    <w:multiLevelType w:val="hybridMultilevel"/>
    <w:lvl w:ilvl="0">
      <w:lvlJc w:val="left"/>
      <w:lvlText w:val="¹"/>
      <w:numFmt w:val="bullet"/>
      <w:start w:val="1"/>
    </w:lvl>
  </w:abstractNum>
  <w:abstractNum w:abstractNumId="36">
    <w:nsid w:val="749ABB43"/>
    <w:multiLevelType w:val="hybridMultilevel"/>
    <w:lvl w:ilvl="0">
      <w:lvlJc w:val="left"/>
      <w:lvlText w:val="¹"/>
      <w:numFmt w:val="bullet"/>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bullet"/>
      <w:start w:val="1"/>
    </w:lvl>
  </w:abstractNum>
  <w:abstractNum w:abstractNumId="39">
    <w:nsid w:val="79A1DEAA"/>
    <w:multiLevelType w:val="hybridMultilevel"/>
    <w:lvl w:ilvl="0">
      <w:lvlJc w:val="left"/>
      <w:lvlText w:val="(%1)"/>
      <w:numFmt w:val="lowerRoman"/>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¹"/>
      <w:numFmt w:val="bullet"/>
      <w:start w:val="1"/>
    </w:lvl>
  </w:abstractNum>
  <w:abstractNum w:abstractNumId="42">
    <w:nsid w:val="70C6A529"/>
    <w:multiLevelType w:val="hybridMultilevel"/>
    <w:lvl w:ilvl="0">
      <w:lvlJc w:val="left"/>
      <w:lvlText w:val="²"/>
      <w:numFmt w:val="bullet"/>
      <w:start w:val="1"/>
    </w:lvl>
  </w:abstractNum>
  <w:abstractNum w:abstractNumId="43">
    <w:nsid w:val="520EEDD1"/>
    <w:multiLevelType w:val="hybridMultilevel"/>
    <w:lvl w:ilvl="0">
      <w:lvlJc w:val="left"/>
      <w:lvlText w:val="1"/>
      <w:numFmt w:val="bullet"/>
      <w:start w:val="1"/>
    </w:lvl>
  </w:abstractNum>
  <w:abstractNum w:abstractNumId="44">
    <w:nsid w:val="374A3FE6"/>
    <w:multiLevelType w:val="hybridMultilevel"/>
    <w:lvl w:ilvl="0">
      <w:lvlJc w:val="left"/>
      <w:lvlText w:val="2"/>
      <w:numFmt w:val="bullet"/>
      <w:start w:val="1"/>
    </w:lvl>
  </w:abstractNum>
  <w:abstractNum w:abstractNumId="45">
    <w:nsid w:val="4F4EF005"/>
    <w:multiLevelType w:val="hybridMultilevel"/>
    <w:lvl w:ilvl="0">
      <w:lvlJc w:val="left"/>
      <w:lvlText w:val="3"/>
      <w:numFmt w:val="bullet"/>
      <w:start w:val="1"/>
    </w:lvl>
  </w:abstractNum>
  <w:abstractNum w:abstractNumId="46">
    <w:nsid w:val="23F9C13C"/>
    <w:multiLevelType w:val="hybridMultilevel"/>
    <w:lvl w:ilvl="0">
      <w:lvlJc w:val="left"/>
      <w:lvlText w:val="³"/>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¹"/>
      <w:numFmt w:val="bullet"/>
      <w:start w:val="1"/>
    </w:lvl>
  </w:abstractNum>
  <w:abstractNum w:abstractNumId="50">
    <w:nsid w:val="1CF10FD8"/>
    <w:multiLevelType w:val="hybridMultilevel"/>
    <w:lvl w:ilvl="0">
      <w:lvlJc w:val="left"/>
      <w:lvlText w:val="²"/>
      <w:numFmt w:val="bullet"/>
      <w:start w:val="1"/>
    </w:lvl>
  </w:abstractNum>
  <w:abstractNum w:abstractNumId="51">
    <w:nsid w:val="180115BE"/>
    <w:multiLevelType w:val="hybridMultilevel"/>
    <w:lvl w:ilvl="0">
      <w:lvlJc w:val="left"/>
      <w:lvlText w:val="%1"/>
      <w:numFmt w:val="decimal"/>
      <w:start w:val="1"/>
    </w:lvl>
    <w:lvl w:ilvl="1">
      <w:lvlJc w:val="left"/>
      <w:lvlText w:val="(%2)"/>
      <w:numFmt w:val="decimal"/>
      <w:start w:val="1"/>
    </w:lvl>
  </w:abstractNum>
  <w:abstractNum w:abstractNumId="52">
    <w:nsid w:val="235BA861"/>
    <w:multiLevelType w:val="hybridMultilevel"/>
    <w:lvl w:ilvl="0">
      <w:lvlJc w:val="left"/>
      <w:lvlText w:val="(%1)"/>
      <w:numFmt w:val="decimal"/>
      <w:start w:val="4"/>
    </w:lvl>
    <w:lvl w:ilvl="1">
      <w:lvlJc w:val="left"/>
      <w:lvlText w:val="(%2)"/>
      <w:numFmt w:val="decimal"/>
      <w:start w:val="6"/>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decimal"/>
      <w:start w:val="5"/>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5"/>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2019-12-29T13:51:57Z</dcterms:created>
  <dcterms:modified xsi:type="dcterms:W3CDTF">2019-12-29T13:51:57Z</dcterms:modified>
</cp:coreProperties>
</file>